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473B6" w14:textId="10F32865" w:rsidR="0048783D" w:rsidRPr="00A246F0" w:rsidRDefault="001E4283" w:rsidP="00AC6210">
      <w:pPr>
        <w:spacing w:after="0" w:line="240" w:lineRule="auto"/>
        <w:rPr>
          <w:rFonts w:ascii="Times New Roman" w:hAnsi="Times New Roman" w:cs="Times New Roman"/>
          <w:b/>
          <w:sz w:val="24"/>
          <w:szCs w:val="24"/>
        </w:rPr>
      </w:pPr>
      <w:r w:rsidRPr="00A246F0">
        <w:rPr>
          <w:rFonts w:ascii="Times New Roman" w:hAnsi="Times New Roman" w:cs="Times New Roman"/>
          <w:b/>
          <w:sz w:val="24"/>
          <w:szCs w:val="24"/>
        </w:rPr>
        <w:t xml:space="preserve">Big </w:t>
      </w:r>
      <w:r w:rsidR="00F13D66" w:rsidRPr="00A246F0">
        <w:rPr>
          <w:rFonts w:ascii="Times New Roman" w:hAnsi="Times New Roman" w:cs="Times New Roman"/>
          <w:b/>
          <w:sz w:val="24"/>
          <w:szCs w:val="24"/>
        </w:rPr>
        <w:t>Health D</w:t>
      </w:r>
      <w:r w:rsidRPr="00A246F0">
        <w:rPr>
          <w:rFonts w:ascii="Times New Roman" w:hAnsi="Times New Roman" w:cs="Times New Roman"/>
          <w:b/>
          <w:sz w:val="24"/>
          <w:szCs w:val="24"/>
        </w:rPr>
        <w:t>ata</w:t>
      </w:r>
      <w:r w:rsidR="0048783D" w:rsidRPr="00A246F0">
        <w:rPr>
          <w:rFonts w:ascii="Times New Roman" w:hAnsi="Times New Roman" w:cs="Times New Roman"/>
          <w:b/>
          <w:sz w:val="24"/>
          <w:szCs w:val="24"/>
        </w:rPr>
        <w:t xml:space="preserve">: </w:t>
      </w:r>
      <w:r w:rsidR="00F13D66" w:rsidRPr="00A246F0">
        <w:rPr>
          <w:rFonts w:ascii="Times New Roman" w:hAnsi="Times New Roman" w:cs="Times New Roman"/>
          <w:b/>
          <w:sz w:val="24"/>
          <w:szCs w:val="24"/>
        </w:rPr>
        <w:t>T</w:t>
      </w:r>
      <w:r w:rsidR="0024531E" w:rsidRPr="00A246F0">
        <w:rPr>
          <w:rFonts w:ascii="Times New Roman" w:hAnsi="Times New Roman" w:cs="Times New Roman"/>
          <w:b/>
          <w:sz w:val="24"/>
          <w:szCs w:val="24"/>
        </w:rPr>
        <w:t xml:space="preserve">he need to </w:t>
      </w:r>
      <w:r w:rsidR="000B08F2" w:rsidRPr="00A246F0">
        <w:rPr>
          <w:rFonts w:ascii="Times New Roman" w:hAnsi="Times New Roman" w:cs="Times New Roman"/>
          <w:b/>
          <w:sz w:val="24"/>
          <w:szCs w:val="24"/>
        </w:rPr>
        <w:t>e</w:t>
      </w:r>
      <w:r w:rsidR="000040AE" w:rsidRPr="00A246F0">
        <w:rPr>
          <w:rFonts w:ascii="Times New Roman" w:hAnsi="Times New Roman" w:cs="Times New Roman"/>
          <w:b/>
          <w:sz w:val="24"/>
          <w:szCs w:val="24"/>
        </w:rPr>
        <w:t>arn public trust</w:t>
      </w:r>
    </w:p>
    <w:p w14:paraId="685A04A2" w14:textId="77777777" w:rsidR="00F13D66" w:rsidRDefault="00F13D66" w:rsidP="00313236">
      <w:pPr>
        <w:spacing w:after="0" w:line="240" w:lineRule="auto"/>
        <w:outlineLvl w:val="0"/>
        <w:rPr>
          <w:rFonts w:ascii="Times New Roman" w:hAnsi="Times New Roman" w:cs="Times New Roman"/>
          <w:sz w:val="24"/>
          <w:szCs w:val="24"/>
        </w:rPr>
      </w:pPr>
    </w:p>
    <w:p w14:paraId="6457D5B9" w14:textId="0AC835CC" w:rsidR="0048783D" w:rsidRPr="00400778" w:rsidRDefault="0048783D" w:rsidP="00313236">
      <w:pPr>
        <w:spacing w:after="0" w:line="240" w:lineRule="auto"/>
        <w:outlineLvl w:val="0"/>
        <w:rPr>
          <w:rFonts w:ascii="Times New Roman" w:hAnsi="Times New Roman" w:cs="Times New Roman"/>
          <w:sz w:val="24"/>
          <w:szCs w:val="24"/>
        </w:rPr>
      </w:pPr>
      <w:r w:rsidRPr="00400778">
        <w:rPr>
          <w:rFonts w:ascii="Times New Roman" w:hAnsi="Times New Roman" w:cs="Times New Roman"/>
          <w:sz w:val="24"/>
          <w:szCs w:val="24"/>
        </w:rPr>
        <w:t>Tjeerd-Pieter van Staa</w:t>
      </w:r>
      <w:r w:rsidRPr="00400778">
        <w:rPr>
          <w:rFonts w:ascii="Times New Roman" w:hAnsi="Times New Roman" w:cs="Times New Roman"/>
          <w:color w:val="000000"/>
          <w:sz w:val="24"/>
          <w:szCs w:val="24"/>
          <w:vertAlign w:val="superscript"/>
        </w:rPr>
        <w:t>1</w:t>
      </w:r>
      <w:r w:rsidRPr="00400778">
        <w:rPr>
          <w:rFonts w:ascii="Times New Roman" w:hAnsi="Times New Roman" w:cs="Times New Roman"/>
          <w:sz w:val="24"/>
          <w:szCs w:val="24"/>
        </w:rPr>
        <w:t xml:space="preserve">, </w:t>
      </w:r>
      <w:r w:rsidR="00655EAF" w:rsidRPr="00400778">
        <w:rPr>
          <w:rFonts w:ascii="Times New Roman" w:hAnsi="Times New Roman" w:cs="Times New Roman"/>
          <w:sz w:val="24"/>
          <w:szCs w:val="24"/>
        </w:rPr>
        <w:t>Ben Goldacre</w:t>
      </w:r>
      <w:r w:rsidR="00F13D66">
        <w:rPr>
          <w:rFonts w:ascii="Times New Roman" w:hAnsi="Times New Roman" w:cs="Times New Roman"/>
          <w:color w:val="000000"/>
          <w:sz w:val="24"/>
          <w:szCs w:val="24"/>
          <w:vertAlign w:val="superscript"/>
        </w:rPr>
        <w:t>2,3</w:t>
      </w:r>
      <w:r w:rsidRPr="00400778">
        <w:rPr>
          <w:rFonts w:ascii="Times New Roman" w:hAnsi="Times New Roman" w:cs="Times New Roman"/>
          <w:sz w:val="24"/>
          <w:szCs w:val="24"/>
        </w:rPr>
        <w:t xml:space="preserve">, </w:t>
      </w:r>
      <w:r w:rsidR="00B43FD3">
        <w:rPr>
          <w:rFonts w:ascii="Times New Roman" w:hAnsi="Times New Roman" w:cs="Times New Roman"/>
          <w:sz w:val="24"/>
          <w:szCs w:val="24"/>
        </w:rPr>
        <w:t>Iain Buchan</w:t>
      </w:r>
      <w:r w:rsidR="00B43FD3">
        <w:rPr>
          <w:rFonts w:ascii="Times New Roman" w:hAnsi="Times New Roman" w:cs="Times New Roman"/>
          <w:color w:val="000000"/>
          <w:sz w:val="24"/>
          <w:szCs w:val="24"/>
          <w:vertAlign w:val="superscript"/>
        </w:rPr>
        <w:t>1</w:t>
      </w:r>
      <w:r w:rsidR="00B43FD3">
        <w:rPr>
          <w:rFonts w:ascii="Times New Roman" w:hAnsi="Times New Roman" w:cs="Times New Roman"/>
          <w:sz w:val="24"/>
          <w:szCs w:val="24"/>
        </w:rPr>
        <w:t>, L</w:t>
      </w:r>
      <w:r w:rsidRPr="00400778">
        <w:rPr>
          <w:rFonts w:ascii="Times New Roman" w:hAnsi="Times New Roman" w:cs="Times New Roman"/>
          <w:sz w:val="24"/>
          <w:szCs w:val="24"/>
        </w:rPr>
        <w:t>iam Smeeth</w:t>
      </w:r>
      <w:r w:rsidR="00F13D66">
        <w:rPr>
          <w:rFonts w:ascii="Times New Roman" w:hAnsi="Times New Roman" w:cs="Times New Roman"/>
          <w:color w:val="000000"/>
          <w:sz w:val="24"/>
          <w:szCs w:val="24"/>
          <w:vertAlign w:val="superscript"/>
        </w:rPr>
        <w:t>2</w:t>
      </w:r>
    </w:p>
    <w:p w14:paraId="18AEF46C" w14:textId="77777777" w:rsidR="0048783D" w:rsidRPr="00400778" w:rsidRDefault="0048783D" w:rsidP="00313236">
      <w:pPr>
        <w:spacing w:after="0" w:line="240" w:lineRule="auto"/>
        <w:rPr>
          <w:rFonts w:ascii="Times New Roman" w:hAnsi="Times New Roman" w:cs="Times New Roman"/>
          <w:sz w:val="24"/>
          <w:szCs w:val="24"/>
        </w:rPr>
      </w:pPr>
    </w:p>
    <w:p w14:paraId="6E956C52" w14:textId="77777777" w:rsidR="007342B8" w:rsidRPr="00400778" w:rsidRDefault="007342B8" w:rsidP="00BD2D2E">
      <w:pPr>
        <w:spacing w:after="0" w:line="240" w:lineRule="auto"/>
        <w:rPr>
          <w:rFonts w:ascii="Times New Roman" w:hAnsi="Times New Roman" w:cs="Times New Roman"/>
          <w:sz w:val="24"/>
          <w:szCs w:val="24"/>
        </w:rPr>
      </w:pPr>
    </w:p>
    <w:p w14:paraId="46A2F0D9" w14:textId="77777777" w:rsidR="00655EAF" w:rsidRPr="00A204B0" w:rsidRDefault="00655EAF" w:rsidP="00BD2D2E">
      <w:pPr>
        <w:spacing w:after="0" w:line="240" w:lineRule="auto"/>
        <w:ind w:left="142" w:hanging="142"/>
        <w:rPr>
          <w:rFonts w:ascii="Times New Roman" w:hAnsi="Times New Roman" w:cs="Times New Roman"/>
          <w:color w:val="000000"/>
          <w:sz w:val="24"/>
          <w:szCs w:val="24"/>
        </w:rPr>
      </w:pPr>
      <w:r w:rsidRPr="00A204B0">
        <w:rPr>
          <w:rFonts w:ascii="Times New Roman" w:hAnsi="Times New Roman" w:cs="Times New Roman"/>
          <w:color w:val="000000"/>
          <w:sz w:val="24"/>
          <w:szCs w:val="24"/>
          <w:vertAlign w:val="superscript"/>
        </w:rPr>
        <w:t>1</w:t>
      </w:r>
      <w:r w:rsidRPr="00A204B0">
        <w:rPr>
          <w:rFonts w:ascii="Times New Roman" w:hAnsi="Times New Roman" w:cs="Times New Roman"/>
          <w:color w:val="000000"/>
          <w:sz w:val="24"/>
          <w:szCs w:val="24"/>
        </w:rPr>
        <w:t xml:space="preserve">Farr Institute, University of Manchester, Manchester, </w:t>
      </w:r>
      <w:r w:rsidR="00584053" w:rsidRPr="00A204B0">
        <w:rPr>
          <w:rFonts w:ascii="Times New Roman" w:hAnsi="Times New Roman" w:cs="Times New Roman"/>
          <w:color w:val="000000"/>
          <w:sz w:val="24"/>
          <w:szCs w:val="24"/>
        </w:rPr>
        <w:t>United Kingdom</w:t>
      </w:r>
    </w:p>
    <w:p w14:paraId="08B402A6" w14:textId="48E9FFA0" w:rsidR="00655EAF" w:rsidRPr="00A204B0" w:rsidRDefault="00655EAF" w:rsidP="00BD2D2E">
      <w:pPr>
        <w:spacing w:after="0" w:line="240" w:lineRule="auto"/>
        <w:ind w:left="142" w:hanging="142"/>
        <w:rPr>
          <w:rFonts w:ascii="Times New Roman" w:hAnsi="Times New Roman" w:cs="Times New Roman"/>
          <w:color w:val="000000"/>
          <w:sz w:val="24"/>
          <w:szCs w:val="24"/>
        </w:rPr>
      </w:pPr>
      <w:r w:rsidRPr="00A204B0">
        <w:rPr>
          <w:rFonts w:ascii="Times New Roman" w:hAnsi="Times New Roman" w:cs="Times New Roman"/>
          <w:color w:val="000000"/>
          <w:sz w:val="24"/>
          <w:szCs w:val="24"/>
          <w:vertAlign w:val="superscript"/>
        </w:rPr>
        <w:t>2</w:t>
      </w:r>
      <w:r w:rsidR="00912492" w:rsidRPr="00A204B0">
        <w:rPr>
          <w:rFonts w:ascii="Times New Roman" w:hAnsi="Times New Roman" w:cs="Times New Roman"/>
          <w:color w:val="000000"/>
          <w:sz w:val="24"/>
          <w:szCs w:val="24"/>
        </w:rPr>
        <w:t>London School of Hygiene &amp; Tropical Medicine, London, United Kingdom</w:t>
      </w:r>
    </w:p>
    <w:p w14:paraId="7CD65E43" w14:textId="54008A25" w:rsidR="00655EAF" w:rsidRPr="00A204B0" w:rsidRDefault="00F13D66" w:rsidP="00BD2D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3</w:t>
      </w:r>
      <w:r w:rsidR="00584053" w:rsidRPr="00A204B0">
        <w:rPr>
          <w:rFonts w:ascii="Times New Roman" w:hAnsi="Times New Roman" w:cs="Times New Roman"/>
          <w:color w:val="000000"/>
          <w:sz w:val="24"/>
          <w:szCs w:val="24"/>
        </w:rPr>
        <w:t>Nuffield Department of Primary Care Health Sciences, Oxford University, Oxford, United Kingdom</w:t>
      </w:r>
    </w:p>
    <w:p w14:paraId="46EB26E0" w14:textId="77777777" w:rsidR="0048783D" w:rsidRPr="00A204B0" w:rsidRDefault="0048783D" w:rsidP="00FE6F68">
      <w:pPr>
        <w:tabs>
          <w:tab w:val="left" w:pos="360"/>
          <w:tab w:val="left" w:pos="720"/>
          <w:tab w:val="left" w:pos="1080"/>
        </w:tabs>
        <w:spacing w:after="0" w:line="240" w:lineRule="auto"/>
        <w:rPr>
          <w:rFonts w:ascii="Times New Roman" w:hAnsi="Times New Roman" w:cs="Times New Roman"/>
          <w:b/>
          <w:sz w:val="24"/>
          <w:szCs w:val="24"/>
        </w:rPr>
      </w:pPr>
    </w:p>
    <w:p w14:paraId="70C3DFB0" w14:textId="13B69A98" w:rsidR="00733CA0" w:rsidRDefault="0048783D" w:rsidP="00B2211D">
      <w:pPr>
        <w:tabs>
          <w:tab w:val="left" w:pos="360"/>
          <w:tab w:val="left" w:pos="720"/>
          <w:tab w:val="left" w:pos="1080"/>
        </w:tabs>
        <w:spacing w:after="0" w:line="240" w:lineRule="auto"/>
        <w:rPr>
          <w:rFonts w:ascii="Times New Roman" w:hAnsi="Times New Roman" w:cs="Times New Roman"/>
          <w:b/>
          <w:sz w:val="24"/>
          <w:szCs w:val="24"/>
        </w:rPr>
      </w:pPr>
      <w:r w:rsidRPr="00A204B0">
        <w:rPr>
          <w:rFonts w:ascii="Times New Roman" w:hAnsi="Times New Roman" w:cs="Times New Roman"/>
          <w:b/>
          <w:sz w:val="24"/>
          <w:szCs w:val="24"/>
        </w:rPr>
        <w:t>Word count</w:t>
      </w:r>
      <w:r w:rsidR="00F13D66">
        <w:rPr>
          <w:rFonts w:ascii="Times New Roman" w:hAnsi="Times New Roman" w:cs="Times New Roman"/>
          <w:b/>
          <w:sz w:val="24"/>
          <w:szCs w:val="24"/>
        </w:rPr>
        <w:t xml:space="preserve"> </w:t>
      </w:r>
      <w:r w:rsidRPr="00A204B0">
        <w:rPr>
          <w:rFonts w:ascii="Times New Roman" w:hAnsi="Times New Roman" w:cs="Times New Roman"/>
          <w:b/>
          <w:sz w:val="24"/>
          <w:szCs w:val="24"/>
        </w:rPr>
        <w:t>(main document):</w:t>
      </w:r>
      <w:r w:rsidR="00A204B0" w:rsidRPr="00A204B0">
        <w:rPr>
          <w:rFonts w:ascii="Times New Roman" w:hAnsi="Times New Roman" w:cs="Times New Roman"/>
          <w:b/>
          <w:sz w:val="24"/>
          <w:szCs w:val="24"/>
        </w:rPr>
        <w:t xml:space="preserve"> </w:t>
      </w:r>
      <w:r w:rsidR="00B2211D">
        <w:rPr>
          <w:rFonts w:ascii="Times New Roman" w:hAnsi="Times New Roman" w:cs="Times New Roman"/>
          <w:b/>
          <w:sz w:val="24"/>
          <w:szCs w:val="24"/>
        </w:rPr>
        <w:t>1948</w:t>
      </w:r>
    </w:p>
    <w:p w14:paraId="5F557B01" w14:textId="77777777" w:rsidR="00B2211D" w:rsidRPr="00A204B0" w:rsidRDefault="00B2211D" w:rsidP="00B2211D">
      <w:pPr>
        <w:tabs>
          <w:tab w:val="left" w:pos="360"/>
          <w:tab w:val="left" w:pos="720"/>
          <w:tab w:val="left" w:pos="1080"/>
        </w:tabs>
        <w:spacing w:after="0" w:line="240" w:lineRule="auto"/>
        <w:rPr>
          <w:rFonts w:ascii="Times New Roman" w:hAnsi="Times New Roman" w:cs="Times New Roman"/>
          <w:color w:val="000000"/>
          <w:sz w:val="24"/>
          <w:szCs w:val="24"/>
        </w:rPr>
      </w:pPr>
    </w:p>
    <w:p w14:paraId="5B031023" w14:textId="69123C9E" w:rsidR="002C46F3" w:rsidRDefault="000A1E35" w:rsidP="00BD2D2E">
      <w:pPr>
        <w:spacing w:after="0" w:line="240" w:lineRule="auto"/>
        <w:rPr>
          <w:rFonts w:ascii="Times New Roman" w:hAnsi="Times New Roman" w:cs="Times New Roman"/>
          <w:b/>
          <w:color w:val="000000"/>
          <w:sz w:val="24"/>
          <w:szCs w:val="24"/>
        </w:rPr>
      </w:pPr>
      <w:r w:rsidRPr="00BD2D2E">
        <w:rPr>
          <w:rFonts w:ascii="Times New Roman" w:hAnsi="Times New Roman" w:cs="Times New Roman"/>
          <w:b/>
          <w:color w:val="000000"/>
          <w:sz w:val="24"/>
          <w:szCs w:val="24"/>
        </w:rPr>
        <w:t>Summary</w:t>
      </w:r>
    </w:p>
    <w:p w14:paraId="60FC023E" w14:textId="218214E0" w:rsidR="000A1E35" w:rsidRDefault="000A1E35" w:rsidP="00BD2D2E">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 xml:space="preserve">There are </w:t>
      </w:r>
      <w:r w:rsidR="005C40D9">
        <w:rPr>
          <w:rFonts w:ascii="Times New Roman" w:hAnsi="Times New Roman" w:cs="Times New Roman"/>
          <w:color w:val="000000"/>
          <w:sz w:val="24"/>
          <w:szCs w:val="24"/>
        </w:rPr>
        <w:t xml:space="preserve">great potential gains for </w:t>
      </w:r>
      <w:r w:rsidR="00AF123D">
        <w:rPr>
          <w:rFonts w:ascii="Times New Roman" w:hAnsi="Times New Roman" w:cs="Times New Roman"/>
          <w:color w:val="000000"/>
          <w:sz w:val="24"/>
          <w:szCs w:val="24"/>
        </w:rPr>
        <w:t xml:space="preserve">day-to-day </w:t>
      </w:r>
      <w:r w:rsidR="005C40D9">
        <w:rPr>
          <w:rFonts w:ascii="Times New Roman" w:hAnsi="Times New Roman" w:cs="Times New Roman"/>
          <w:color w:val="000000"/>
          <w:sz w:val="24"/>
          <w:szCs w:val="24"/>
        </w:rPr>
        <w:t>p</w:t>
      </w:r>
      <w:r>
        <w:rPr>
          <w:rFonts w:ascii="Times New Roman" w:hAnsi="Times New Roman" w:cs="Times New Roman"/>
          <w:color w:val="000000"/>
          <w:sz w:val="24"/>
          <w:szCs w:val="24"/>
        </w:rPr>
        <w:t>atient care</w:t>
      </w:r>
      <w:r w:rsidR="005C40D9">
        <w:rPr>
          <w:rFonts w:ascii="Times New Roman" w:hAnsi="Times New Roman" w:cs="Times New Roman"/>
          <w:color w:val="000000"/>
          <w:sz w:val="24"/>
          <w:szCs w:val="24"/>
        </w:rPr>
        <w:t xml:space="preserve">, public health and research </w:t>
      </w:r>
      <w:r>
        <w:rPr>
          <w:rFonts w:ascii="Times New Roman" w:hAnsi="Times New Roman" w:cs="Times New Roman"/>
          <w:color w:val="000000"/>
          <w:sz w:val="24"/>
          <w:szCs w:val="24"/>
        </w:rPr>
        <w:t>from better use</w:t>
      </w:r>
      <w:r w:rsidR="005C40D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 large</w:t>
      </w:r>
      <w:r w:rsidR="005C40D9">
        <w:rPr>
          <w:rFonts w:ascii="Times New Roman" w:hAnsi="Times New Roman" w:cs="Times New Roman"/>
          <w:color w:val="000000"/>
          <w:sz w:val="24"/>
          <w:szCs w:val="24"/>
        </w:rPr>
        <w:t xml:space="preserve">-scale </w:t>
      </w:r>
      <w:r w:rsidR="000D5AC7">
        <w:rPr>
          <w:rFonts w:ascii="Times New Roman" w:hAnsi="Times New Roman" w:cs="Times New Roman"/>
          <w:color w:val="000000"/>
          <w:sz w:val="24"/>
          <w:szCs w:val="24"/>
        </w:rPr>
        <w:t xml:space="preserve">and large volume </w:t>
      </w:r>
      <w:r w:rsidR="005C40D9">
        <w:rPr>
          <w:rFonts w:ascii="Times New Roman" w:hAnsi="Times New Roman" w:cs="Times New Roman"/>
          <w:color w:val="000000"/>
          <w:sz w:val="24"/>
          <w:szCs w:val="24"/>
        </w:rPr>
        <w:t>health data</w:t>
      </w:r>
      <w:r w:rsidR="000D5AC7">
        <w:rPr>
          <w:rFonts w:ascii="Times New Roman" w:hAnsi="Times New Roman" w:cs="Times New Roman"/>
          <w:color w:val="000000"/>
          <w:sz w:val="24"/>
          <w:szCs w:val="24"/>
        </w:rPr>
        <w:t xml:space="preserve"> (also known as ‘big data’)</w:t>
      </w:r>
      <w:r>
        <w:rPr>
          <w:rFonts w:ascii="Times New Roman" w:hAnsi="Times New Roman" w:cs="Times New Roman"/>
          <w:color w:val="000000"/>
          <w:sz w:val="24"/>
          <w:szCs w:val="24"/>
        </w:rPr>
        <w:t>.</w:t>
      </w:r>
      <w:r w:rsidR="00AF123D">
        <w:rPr>
          <w:rFonts w:ascii="Times New Roman" w:hAnsi="Times New Roman" w:cs="Times New Roman"/>
          <w:color w:val="000000"/>
          <w:sz w:val="24"/>
          <w:szCs w:val="24"/>
        </w:rPr>
        <w:t xml:space="preserve"> The handli</w:t>
      </w:r>
      <w:r w:rsidR="00153806">
        <w:rPr>
          <w:rFonts w:ascii="Times New Roman" w:hAnsi="Times New Roman" w:cs="Times New Roman"/>
          <w:color w:val="000000"/>
          <w:sz w:val="24"/>
          <w:szCs w:val="24"/>
        </w:rPr>
        <w:t xml:space="preserve">ng of such data, however, </w:t>
      </w:r>
      <w:r w:rsidR="00194A31">
        <w:rPr>
          <w:rFonts w:ascii="Times New Roman" w:hAnsi="Times New Roman" w:cs="Times New Roman"/>
          <w:color w:val="000000"/>
          <w:sz w:val="24"/>
          <w:szCs w:val="24"/>
        </w:rPr>
        <w:t>raises concerns over preserving patient privacy, even where the risk</w:t>
      </w:r>
      <w:r w:rsidR="008308A5">
        <w:rPr>
          <w:rFonts w:ascii="Times New Roman" w:hAnsi="Times New Roman" w:cs="Times New Roman"/>
          <w:color w:val="000000"/>
          <w:sz w:val="24"/>
          <w:szCs w:val="24"/>
        </w:rPr>
        <w:t>s</w:t>
      </w:r>
      <w:r w:rsidR="00194A31">
        <w:rPr>
          <w:rFonts w:ascii="Times New Roman" w:hAnsi="Times New Roman" w:cs="Times New Roman"/>
          <w:color w:val="000000"/>
          <w:sz w:val="24"/>
          <w:szCs w:val="24"/>
        </w:rPr>
        <w:t xml:space="preserve"> of disclosure </w:t>
      </w:r>
      <w:r w:rsidR="008308A5">
        <w:rPr>
          <w:rFonts w:ascii="Times New Roman" w:hAnsi="Times New Roman" w:cs="Times New Roman"/>
          <w:color w:val="000000"/>
          <w:sz w:val="24"/>
          <w:szCs w:val="24"/>
        </w:rPr>
        <w:t>are</w:t>
      </w:r>
      <w:r w:rsidR="00194A31">
        <w:rPr>
          <w:rFonts w:ascii="Times New Roman" w:hAnsi="Times New Roman" w:cs="Times New Roman"/>
          <w:color w:val="000000"/>
          <w:sz w:val="24"/>
          <w:szCs w:val="24"/>
        </w:rPr>
        <w:t xml:space="preserve"> extremely small. In England, t</w:t>
      </w:r>
      <w:r>
        <w:rPr>
          <w:rFonts w:ascii="Times New Roman" w:hAnsi="Times New Roman" w:cs="Times New Roman"/>
          <w:color w:val="000000"/>
          <w:sz w:val="24"/>
          <w:szCs w:val="24"/>
        </w:rPr>
        <w:t xml:space="preserve">he flawed implementation of </w:t>
      </w:r>
      <w:r w:rsidR="008308A5">
        <w:rPr>
          <w:rFonts w:ascii="Times New Roman" w:hAnsi="Times New Roman" w:cs="Times New Roman"/>
          <w:color w:val="000000"/>
          <w:sz w:val="24"/>
          <w:szCs w:val="24"/>
        </w:rPr>
        <w:t xml:space="preserve">recent </w:t>
      </w:r>
      <w:r>
        <w:rPr>
          <w:rFonts w:ascii="Times New Roman" w:hAnsi="Times New Roman" w:cs="Times New Roman"/>
          <w:color w:val="000000"/>
          <w:sz w:val="24"/>
          <w:szCs w:val="24"/>
        </w:rPr>
        <w:t xml:space="preserve">big data projects using </w:t>
      </w:r>
      <w:r w:rsidR="00194A31">
        <w:rPr>
          <w:rFonts w:ascii="Times New Roman" w:hAnsi="Times New Roman" w:cs="Times New Roman"/>
          <w:color w:val="000000"/>
          <w:sz w:val="24"/>
          <w:szCs w:val="24"/>
        </w:rPr>
        <w:t>h</w:t>
      </w:r>
      <w:r>
        <w:rPr>
          <w:rFonts w:ascii="Times New Roman" w:hAnsi="Times New Roman" w:cs="Times New Roman"/>
          <w:color w:val="000000"/>
          <w:sz w:val="24"/>
          <w:szCs w:val="24"/>
        </w:rPr>
        <w:t>ealth</w:t>
      </w:r>
      <w:r w:rsidR="00194A31">
        <w:rPr>
          <w:rFonts w:ascii="Times New Roman" w:hAnsi="Times New Roman" w:cs="Times New Roman"/>
          <w:color w:val="000000"/>
          <w:sz w:val="24"/>
          <w:szCs w:val="24"/>
        </w:rPr>
        <w:t>care records</w:t>
      </w:r>
      <w:r>
        <w:rPr>
          <w:rFonts w:ascii="Times New Roman" w:hAnsi="Times New Roman" w:cs="Times New Roman"/>
          <w:color w:val="000000"/>
          <w:sz w:val="24"/>
          <w:szCs w:val="24"/>
        </w:rPr>
        <w:t xml:space="preserve"> </w:t>
      </w:r>
      <w:r w:rsidR="00A50908">
        <w:rPr>
          <w:rFonts w:ascii="Times New Roman" w:hAnsi="Times New Roman" w:cs="Times New Roman"/>
          <w:color w:val="000000"/>
          <w:sz w:val="24"/>
          <w:szCs w:val="24"/>
        </w:rPr>
        <w:t xml:space="preserve">coupled with historic examples of </w:t>
      </w:r>
      <w:r w:rsidR="00A50908" w:rsidRPr="00A50908">
        <w:rPr>
          <w:rFonts w:ascii="Times New Roman" w:eastAsia="Times New Roman" w:hAnsi="Times New Roman" w:cs="Times New Roman"/>
          <w:color w:val="000000"/>
          <w:sz w:val="24"/>
          <w:szCs w:val="24"/>
          <w:lang w:eastAsia="en-GB"/>
        </w:rPr>
        <w:t>data mismanagement</w:t>
      </w:r>
      <w:r w:rsidR="00A50908">
        <w:rPr>
          <w:rFonts w:ascii="Times New Roman" w:eastAsia="Times New Roman" w:hAnsi="Times New Roman" w:cs="Times New Roman"/>
          <w:color w:val="000000"/>
          <w:sz w:val="24"/>
          <w:szCs w:val="24"/>
          <w:lang w:eastAsia="en-GB"/>
        </w:rPr>
        <w:t xml:space="preserve"> </w:t>
      </w:r>
      <w:r>
        <w:rPr>
          <w:rFonts w:ascii="Times New Roman" w:hAnsi="Times New Roman" w:cs="Times New Roman"/>
          <w:color w:val="000000"/>
          <w:sz w:val="24"/>
          <w:szCs w:val="24"/>
        </w:rPr>
        <w:t>ha</w:t>
      </w:r>
      <w:r w:rsidR="00A50908">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made this a mainstream public concern. We explore </w:t>
      </w:r>
      <w:r w:rsidR="00682083" w:rsidRPr="00A204B0">
        <w:rPr>
          <w:rFonts w:ascii="Times New Roman" w:eastAsia="Times New Roman" w:hAnsi="Times New Roman" w:cs="Times New Roman"/>
          <w:sz w:val="24"/>
          <w:szCs w:val="24"/>
          <w:lang w:eastAsia="en-GB"/>
        </w:rPr>
        <w:t xml:space="preserve">whose responsibility it was (and is) to make the case to the public for </w:t>
      </w:r>
      <w:r w:rsidR="00F13D66">
        <w:rPr>
          <w:rFonts w:ascii="Times New Roman" w:eastAsia="Times New Roman" w:hAnsi="Times New Roman" w:cs="Times New Roman"/>
          <w:sz w:val="24"/>
          <w:szCs w:val="24"/>
          <w:lang w:eastAsia="en-GB"/>
        </w:rPr>
        <w:t>large-scale linkage and analysis of health</w:t>
      </w:r>
      <w:r w:rsidR="00822CFD">
        <w:rPr>
          <w:rFonts w:ascii="Times New Roman" w:eastAsia="Times New Roman" w:hAnsi="Times New Roman" w:cs="Times New Roman"/>
          <w:sz w:val="24"/>
          <w:szCs w:val="24"/>
          <w:lang w:eastAsia="en-GB"/>
        </w:rPr>
        <w:t xml:space="preserve"> </w:t>
      </w:r>
      <w:r w:rsidR="00682083" w:rsidRPr="00A204B0">
        <w:rPr>
          <w:rFonts w:ascii="Times New Roman" w:eastAsia="Times New Roman" w:hAnsi="Times New Roman" w:cs="Times New Roman"/>
          <w:sz w:val="24"/>
          <w:szCs w:val="24"/>
          <w:lang w:eastAsia="en-GB"/>
        </w:rPr>
        <w:t>data</w:t>
      </w:r>
      <w:r w:rsidR="00F13D66">
        <w:rPr>
          <w:rFonts w:ascii="Times New Roman" w:eastAsia="Times New Roman" w:hAnsi="Times New Roman" w:cs="Times New Roman"/>
          <w:sz w:val="24"/>
          <w:szCs w:val="24"/>
          <w:lang w:eastAsia="en-GB"/>
        </w:rPr>
        <w:t xml:space="preserve">. Looking to the future, we </w:t>
      </w:r>
      <w:r w:rsidR="00682083" w:rsidRPr="00A204B0">
        <w:rPr>
          <w:rFonts w:ascii="Times New Roman" w:eastAsia="Times New Roman" w:hAnsi="Times New Roman" w:cs="Times New Roman"/>
          <w:sz w:val="24"/>
          <w:szCs w:val="24"/>
          <w:lang w:eastAsia="en-GB"/>
        </w:rPr>
        <w:t xml:space="preserve">discuss what could be done better </w:t>
      </w:r>
      <w:r w:rsidR="00F13D66">
        <w:rPr>
          <w:rFonts w:ascii="Times New Roman" w:eastAsia="Times New Roman" w:hAnsi="Times New Roman" w:cs="Times New Roman"/>
          <w:sz w:val="24"/>
          <w:szCs w:val="24"/>
          <w:lang w:eastAsia="en-GB"/>
        </w:rPr>
        <w:t xml:space="preserve">in future </w:t>
      </w:r>
      <w:r w:rsidR="00682083" w:rsidRPr="00A204B0">
        <w:rPr>
          <w:rFonts w:ascii="Times New Roman" w:eastAsia="Times New Roman" w:hAnsi="Times New Roman" w:cs="Times New Roman"/>
          <w:sz w:val="24"/>
          <w:szCs w:val="24"/>
          <w:lang w:eastAsia="en-GB"/>
        </w:rPr>
        <w:t xml:space="preserve">in </w:t>
      </w:r>
      <w:r w:rsidR="00F13D66">
        <w:rPr>
          <w:rFonts w:ascii="Times New Roman" w:eastAsia="Times New Roman" w:hAnsi="Times New Roman" w:cs="Times New Roman"/>
          <w:sz w:val="24"/>
          <w:szCs w:val="24"/>
          <w:lang w:eastAsia="en-GB"/>
        </w:rPr>
        <w:t xml:space="preserve">countries or regions seeking </w:t>
      </w:r>
      <w:r w:rsidR="00682083" w:rsidRPr="00A204B0">
        <w:rPr>
          <w:rFonts w:ascii="Times New Roman" w:eastAsia="Times New Roman" w:hAnsi="Times New Roman" w:cs="Times New Roman"/>
          <w:color w:val="000000"/>
          <w:sz w:val="24"/>
          <w:szCs w:val="24"/>
          <w:lang w:eastAsia="en-GB"/>
        </w:rPr>
        <w:t xml:space="preserve">to </w:t>
      </w:r>
      <w:r w:rsidR="00F13D66">
        <w:rPr>
          <w:rFonts w:ascii="Times New Roman" w:eastAsia="Times New Roman" w:hAnsi="Times New Roman" w:cs="Times New Roman"/>
          <w:color w:val="000000"/>
          <w:sz w:val="24"/>
          <w:szCs w:val="24"/>
          <w:lang w:eastAsia="en-GB"/>
        </w:rPr>
        <w:t>develop</w:t>
      </w:r>
      <w:r w:rsidR="00F13D66" w:rsidRPr="00A204B0">
        <w:rPr>
          <w:rFonts w:ascii="Times New Roman" w:eastAsia="Times New Roman" w:hAnsi="Times New Roman" w:cs="Times New Roman"/>
          <w:color w:val="000000"/>
          <w:sz w:val="24"/>
          <w:szCs w:val="24"/>
          <w:lang w:eastAsia="en-GB"/>
        </w:rPr>
        <w:t xml:space="preserve"> </w:t>
      </w:r>
      <w:r w:rsidR="00682083" w:rsidRPr="00A204B0">
        <w:rPr>
          <w:rFonts w:ascii="Times New Roman" w:eastAsia="Times New Roman" w:hAnsi="Times New Roman" w:cs="Times New Roman"/>
          <w:color w:val="000000"/>
          <w:sz w:val="24"/>
          <w:szCs w:val="24"/>
          <w:lang w:eastAsia="en-GB"/>
        </w:rPr>
        <w:t>data- and research-intensive health systems.</w:t>
      </w:r>
    </w:p>
    <w:p w14:paraId="256948FE" w14:textId="77777777" w:rsidR="00733CA0" w:rsidRPr="00BD2D2E" w:rsidRDefault="00733CA0" w:rsidP="00BD2D2E">
      <w:pPr>
        <w:spacing w:after="0" w:line="240" w:lineRule="auto"/>
        <w:rPr>
          <w:rFonts w:ascii="Times New Roman" w:eastAsia="Times New Roman" w:hAnsi="Times New Roman" w:cs="Times New Roman"/>
          <w:color w:val="000000"/>
          <w:sz w:val="24"/>
          <w:szCs w:val="24"/>
          <w:lang w:eastAsia="en-GB"/>
        </w:rPr>
      </w:pPr>
    </w:p>
    <w:p w14:paraId="7BAC6418" w14:textId="15A2E38F" w:rsidR="000A1E35" w:rsidRPr="00BD2D2E" w:rsidRDefault="008E1594" w:rsidP="00BD2D2E">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14:paraId="6583CFAB" w14:textId="56D4B240" w:rsidR="00682083" w:rsidRDefault="00032A90" w:rsidP="00BD2D2E">
      <w:pPr>
        <w:spacing w:after="0" w:line="240" w:lineRule="auto"/>
        <w:rPr>
          <w:rFonts w:ascii="Times New Roman" w:eastAsia="Times New Roman" w:hAnsi="Times New Roman" w:cs="Times New Roman"/>
          <w:color w:val="000000"/>
          <w:sz w:val="24"/>
          <w:szCs w:val="24"/>
          <w:lang w:eastAsia="en-GB"/>
        </w:rPr>
      </w:pPr>
      <w:r w:rsidRPr="00A204B0">
        <w:rPr>
          <w:rFonts w:ascii="Times New Roman" w:hAnsi="Times New Roman" w:cs="Times New Roman"/>
          <w:color w:val="000000"/>
          <w:sz w:val="24"/>
          <w:szCs w:val="24"/>
        </w:rPr>
        <w:t xml:space="preserve">Recent English initiatives sought major expansion </w:t>
      </w:r>
      <w:r w:rsidR="001200ED" w:rsidRPr="00A204B0">
        <w:rPr>
          <w:rFonts w:ascii="Times New Roman" w:hAnsi="Times New Roman" w:cs="Times New Roman"/>
          <w:color w:val="000000"/>
          <w:sz w:val="24"/>
          <w:szCs w:val="24"/>
        </w:rPr>
        <w:t>of</w:t>
      </w:r>
      <w:r w:rsidRPr="00A204B0">
        <w:rPr>
          <w:rFonts w:ascii="Times New Roman" w:hAnsi="Times New Roman" w:cs="Times New Roman"/>
          <w:color w:val="000000"/>
          <w:sz w:val="24"/>
          <w:szCs w:val="24"/>
        </w:rPr>
        <w:t xml:space="preserve"> the aggregation </w:t>
      </w:r>
      <w:r w:rsidR="00C93057" w:rsidRPr="00A204B0">
        <w:rPr>
          <w:rFonts w:ascii="Times New Roman" w:hAnsi="Times New Roman" w:cs="Times New Roman"/>
          <w:color w:val="000000"/>
          <w:sz w:val="24"/>
          <w:szCs w:val="24"/>
        </w:rPr>
        <w:t xml:space="preserve">and accessibility of </w:t>
      </w:r>
      <w:r w:rsidR="00A664F5" w:rsidRPr="00A204B0">
        <w:rPr>
          <w:rFonts w:ascii="Times New Roman" w:hAnsi="Times New Roman" w:cs="Times New Roman"/>
          <w:color w:val="000000"/>
          <w:sz w:val="24"/>
          <w:szCs w:val="24"/>
        </w:rPr>
        <w:t xml:space="preserve">routinely collected </w:t>
      </w:r>
      <w:r w:rsidR="00C93057" w:rsidRPr="00A204B0">
        <w:rPr>
          <w:rFonts w:ascii="Times New Roman" w:hAnsi="Times New Roman" w:cs="Times New Roman"/>
          <w:color w:val="000000"/>
          <w:sz w:val="24"/>
          <w:szCs w:val="24"/>
        </w:rPr>
        <w:t>health</w:t>
      </w:r>
      <w:r w:rsidR="007342B8">
        <w:rPr>
          <w:rFonts w:ascii="Times New Roman" w:hAnsi="Times New Roman" w:cs="Times New Roman"/>
          <w:color w:val="000000"/>
          <w:sz w:val="24"/>
          <w:szCs w:val="24"/>
        </w:rPr>
        <w:t>care and related</w:t>
      </w:r>
      <w:r w:rsidR="00C93057" w:rsidRPr="00A204B0">
        <w:rPr>
          <w:rFonts w:ascii="Times New Roman" w:hAnsi="Times New Roman" w:cs="Times New Roman"/>
          <w:color w:val="000000"/>
          <w:sz w:val="24"/>
          <w:szCs w:val="24"/>
        </w:rPr>
        <w:t xml:space="preserve"> records</w:t>
      </w:r>
      <w:r w:rsidR="00822CFD">
        <w:rPr>
          <w:rFonts w:ascii="Times New Roman" w:hAnsi="Times New Roman" w:cs="Times New Roman"/>
          <w:color w:val="000000"/>
          <w:sz w:val="24"/>
          <w:szCs w:val="24"/>
        </w:rPr>
        <w:t xml:space="preserve">, sometimes </w:t>
      </w:r>
      <w:r w:rsidR="00F13D66">
        <w:rPr>
          <w:rFonts w:ascii="Times New Roman" w:hAnsi="Times New Roman" w:cs="Times New Roman"/>
          <w:color w:val="000000"/>
          <w:sz w:val="24"/>
          <w:szCs w:val="24"/>
        </w:rPr>
        <w:t xml:space="preserve">loosely </w:t>
      </w:r>
      <w:r w:rsidR="00822CFD">
        <w:rPr>
          <w:rFonts w:ascii="Times New Roman" w:hAnsi="Times New Roman" w:cs="Times New Roman"/>
          <w:color w:val="000000"/>
          <w:sz w:val="24"/>
          <w:szCs w:val="24"/>
        </w:rPr>
        <w:t xml:space="preserve">referred to </w:t>
      </w:r>
      <w:r w:rsidR="00F13D66">
        <w:rPr>
          <w:rFonts w:ascii="Times New Roman" w:hAnsi="Times New Roman" w:cs="Times New Roman"/>
          <w:color w:val="000000"/>
          <w:sz w:val="24"/>
          <w:szCs w:val="24"/>
        </w:rPr>
        <w:t xml:space="preserve">as </w:t>
      </w:r>
      <w:r w:rsidR="00822CFD">
        <w:rPr>
          <w:rFonts w:ascii="Times New Roman" w:hAnsi="Times New Roman" w:cs="Times New Roman"/>
          <w:color w:val="000000"/>
          <w:sz w:val="24"/>
          <w:szCs w:val="24"/>
        </w:rPr>
        <w:t>“big data”.</w:t>
      </w:r>
      <w:r w:rsidR="00C93057" w:rsidRPr="00A204B0">
        <w:rPr>
          <w:rFonts w:ascii="Times New Roman" w:hAnsi="Times New Roman" w:cs="Times New Roman"/>
          <w:color w:val="000000"/>
          <w:sz w:val="24"/>
          <w:szCs w:val="24"/>
        </w:rPr>
        <w:t xml:space="preserve"> One </w:t>
      </w:r>
      <w:r w:rsidR="007342B8">
        <w:rPr>
          <w:rFonts w:ascii="Times New Roman" w:hAnsi="Times New Roman" w:cs="Times New Roman"/>
          <w:color w:val="000000"/>
          <w:sz w:val="24"/>
          <w:szCs w:val="24"/>
        </w:rPr>
        <w:t xml:space="preserve">such </w:t>
      </w:r>
      <w:r w:rsidR="00C93057" w:rsidRPr="00A204B0">
        <w:rPr>
          <w:rFonts w:ascii="Times New Roman" w:hAnsi="Times New Roman" w:cs="Times New Roman"/>
          <w:color w:val="000000"/>
          <w:sz w:val="24"/>
          <w:szCs w:val="24"/>
        </w:rPr>
        <w:t>initiative</w:t>
      </w:r>
      <w:r w:rsidR="007342B8">
        <w:rPr>
          <w:rFonts w:ascii="Times New Roman" w:hAnsi="Times New Roman" w:cs="Times New Roman"/>
          <w:color w:val="000000"/>
          <w:sz w:val="24"/>
          <w:szCs w:val="24"/>
        </w:rPr>
        <w:t xml:space="preserve">, </w:t>
      </w:r>
      <w:r w:rsidR="00C93057" w:rsidRPr="00A204B0">
        <w:rPr>
          <w:rFonts w:ascii="Times New Roman" w:hAnsi="Times New Roman" w:cs="Times New Roman"/>
          <w:i/>
          <w:color w:val="000000"/>
          <w:sz w:val="24"/>
          <w:szCs w:val="24"/>
        </w:rPr>
        <w:t>care.data</w:t>
      </w:r>
      <w:r w:rsidRPr="00A204B0">
        <w:rPr>
          <w:rFonts w:ascii="Times New Roman" w:hAnsi="Times New Roman" w:cs="Times New Roman"/>
          <w:i/>
          <w:color w:val="000000"/>
          <w:sz w:val="24"/>
          <w:szCs w:val="24"/>
        </w:rPr>
        <w:t>,</w:t>
      </w:r>
      <w:r w:rsidR="00C93057" w:rsidRPr="00A204B0">
        <w:rPr>
          <w:rFonts w:ascii="Times New Roman" w:hAnsi="Times New Roman" w:cs="Times New Roman"/>
          <w:color w:val="000000"/>
          <w:sz w:val="24"/>
          <w:szCs w:val="24"/>
        </w:rPr>
        <w:t xml:space="preserve"> was </w:t>
      </w:r>
      <w:r w:rsidR="007342B8">
        <w:rPr>
          <w:rFonts w:ascii="Times New Roman" w:hAnsi="Times New Roman" w:cs="Times New Roman"/>
          <w:color w:val="000000"/>
          <w:sz w:val="24"/>
          <w:szCs w:val="24"/>
        </w:rPr>
        <w:t xml:space="preserve">set </w:t>
      </w:r>
      <w:r w:rsidR="006F29E3" w:rsidRPr="00A204B0">
        <w:rPr>
          <w:rFonts w:ascii="Times New Roman" w:eastAsia="Times New Roman" w:hAnsi="Times New Roman" w:cs="Times New Roman"/>
          <w:color w:val="242424"/>
          <w:sz w:val="24"/>
          <w:szCs w:val="24"/>
          <w:lang w:eastAsia="en-GB"/>
        </w:rPr>
        <w:t xml:space="preserve">to </w:t>
      </w:r>
      <w:r w:rsidR="00EE6D44">
        <w:rPr>
          <w:rFonts w:ascii="Times New Roman" w:eastAsia="Times New Roman" w:hAnsi="Times New Roman" w:cs="Times New Roman"/>
          <w:color w:val="242424"/>
          <w:sz w:val="24"/>
          <w:szCs w:val="24"/>
          <w:lang w:eastAsia="en-GB"/>
        </w:rPr>
        <w:t xml:space="preserve">link and </w:t>
      </w:r>
      <w:r w:rsidR="006A032B">
        <w:rPr>
          <w:rFonts w:ascii="Times New Roman" w:eastAsia="Times New Roman" w:hAnsi="Times New Roman" w:cs="Times New Roman"/>
          <w:color w:val="242424"/>
          <w:sz w:val="24"/>
          <w:szCs w:val="24"/>
          <w:lang w:eastAsia="en-GB"/>
        </w:rPr>
        <w:t xml:space="preserve">provide access to </w:t>
      </w:r>
      <w:r w:rsidR="006F29E3" w:rsidRPr="00A204B0">
        <w:rPr>
          <w:rFonts w:ascii="Times New Roman" w:eastAsia="Times New Roman" w:hAnsi="Times New Roman" w:cs="Times New Roman"/>
          <w:color w:val="242424"/>
          <w:sz w:val="24"/>
          <w:szCs w:val="24"/>
          <w:lang w:eastAsia="en-GB"/>
        </w:rPr>
        <w:t xml:space="preserve">health </w:t>
      </w:r>
      <w:r w:rsidR="006A032B">
        <w:rPr>
          <w:rFonts w:ascii="Times New Roman" w:eastAsia="Times New Roman" w:hAnsi="Times New Roman" w:cs="Times New Roman"/>
          <w:color w:val="242424"/>
          <w:sz w:val="24"/>
          <w:szCs w:val="24"/>
          <w:lang w:eastAsia="en-GB"/>
        </w:rPr>
        <w:t xml:space="preserve">and </w:t>
      </w:r>
      <w:r w:rsidR="006F29E3" w:rsidRPr="00A204B0">
        <w:rPr>
          <w:rFonts w:ascii="Times New Roman" w:eastAsia="Times New Roman" w:hAnsi="Times New Roman" w:cs="Times New Roman"/>
          <w:color w:val="242424"/>
          <w:sz w:val="24"/>
          <w:szCs w:val="24"/>
          <w:lang w:eastAsia="en-GB"/>
        </w:rPr>
        <w:t>social care information from different settings</w:t>
      </w:r>
      <w:r w:rsidR="00FE6F68">
        <w:rPr>
          <w:rFonts w:ascii="Times New Roman" w:eastAsia="Times New Roman" w:hAnsi="Times New Roman" w:cs="Times New Roman"/>
          <w:color w:val="242424"/>
          <w:sz w:val="24"/>
          <w:szCs w:val="24"/>
          <w:lang w:eastAsia="en-GB"/>
        </w:rPr>
        <w:t>,</w:t>
      </w:r>
      <w:r w:rsidR="006F29E3" w:rsidRPr="00A204B0">
        <w:rPr>
          <w:rFonts w:ascii="Times New Roman" w:eastAsia="Times New Roman" w:hAnsi="Times New Roman" w:cs="Times New Roman"/>
          <w:color w:val="242424"/>
          <w:sz w:val="24"/>
          <w:szCs w:val="24"/>
          <w:lang w:eastAsia="en-GB"/>
        </w:rPr>
        <w:t xml:space="preserve"> </w:t>
      </w:r>
      <w:r w:rsidR="00434FA5">
        <w:rPr>
          <w:rFonts w:ascii="Times New Roman" w:eastAsia="Times New Roman" w:hAnsi="Times New Roman" w:cs="Times New Roman"/>
          <w:color w:val="242424"/>
          <w:sz w:val="24"/>
          <w:szCs w:val="24"/>
          <w:lang w:eastAsia="en-GB"/>
        </w:rPr>
        <w:t>including primary care</w:t>
      </w:r>
      <w:r w:rsidR="00FE6F68">
        <w:rPr>
          <w:rFonts w:ascii="Times New Roman" w:eastAsia="Times New Roman" w:hAnsi="Times New Roman" w:cs="Times New Roman"/>
          <w:color w:val="242424"/>
          <w:sz w:val="24"/>
          <w:szCs w:val="24"/>
          <w:lang w:eastAsia="en-GB"/>
        </w:rPr>
        <w:t>,</w:t>
      </w:r>
      <w:r w:rsidR="00434FA5">
        <w:rPr>
          <w:rFonts w:ascii="Times New Roman" w:eastAsia="Times New Roman" w:hAnsi="Times New Roman" w:cs="Times New Roman"/>
          <w:color w:val="242424"/>
          <w:sz w:val="24"/>
          <w:szCs w:val="24"/>
          <w:lang w:eastAsia="en-GB"/>
        </w:rPr>
        <w:t xml:space="preserve"> in order to facilitate </w:t>
      </w:r>
      <w:r w:rsidR="00FE6F68">
        <w:rPr>
          <w:rFonts w:ascii="Times New Roman" w:eastAsia="Times New Roman" w:hAnsi="Times New Roman" w:cs="Times New Roman"/>
          <w:color w:val="242424"/>
          <w:sz w:val="24"/>
          <w:szCs w:val="24"/>
          <w:lang w:eastAsia="en-GB"/>
        </w:rPr>
        <w:t>the</w:t>
      </w:r>
      <w:r w:rsidR="00434FA5">
        <w:rPr>
          <w:rFonts w:ascii="Times New Roman" w:eastAsia="Times New Roman" w:hAnsi="Times New Roman" w:cs="Times New Roman"/>
          <w:color w:val="242424"/>
          <w:sz w:val="24"/>
          <w:szCs w:val="24"/>
          <w:lang w:eastAsia="en-GB"/>
        </w:rPr>
        <w:t xml:space="preserve"> planning and </w:t>
      </w:r>
      <w:r w:rsidR="00FE6F68">
        <w:rPr>
          <w:rFonts w:ascii="Times New Roman" w:eastAsia="Times New Roman" w:hAnsi="Times New Roman" w:cs="Times New Roman"/>
          <w:color w:val="242424"/>
          <w:sz w:val="24"/>
          <w:szCs w:val="24"/>
          <w:lang w:eastAsia="en-GB"/>
        </w:rPr>
        <w:t>provision</w:t>
      </w:r>
      <w:r w:rsidR="00434FA5">
        <w:rPr>
          <w:rFonts w:ascii="Times New Roman" w:eastAsia="Times New Roman" w:hAnsi="Times New Roman" w:cs="Times New Roman"/>
          <w:color w:val="242424"/>
          <w:sz w:val="24"/>
          <w:szCs w:val="24"/>
          <w:lang w:eastAsia="en-GB"/>
        </w:rPr>
        <w:t xml:space="preserve"> of healthcare, and </w:t>
      </w:r>
      <w:r w:rsidR="00FE6F68">
        <w:rPr>
          <w:rFonts w:ascii="Times New Roman" w:eastAsia="Times New Roman" w:hAnsi="Times New Roman" w:cs="Times New Roman"/>
          <w:color w:val="242424"/>
          <w:sz w:val="24"/>
          <w:szCs w:val="24"/>
          <w:lang w:eastAsia="en-GB"/>
        </w:rPr>
        <w:t xml:space="preserve">to advance </w:t>
      </w:r>
      <w:r w:rsidR="008308A5">
        <w:rPr>
          <w:rFonts w:ascii="Times New Roman" w:eastAsia="Times New Roman" w:hAnsi="Times New Roman" w:cs="Times New Roman"/>
          <w:color w:val="242424"/>
          <w:sz w:val="24"/>
          <w:szCs w:val="24"/>
          <w:lang w:eastAsia="en-GB"/>
        </w:rPr>
        <w:t>health science</w:t>
      </w:r>
      <w:r w:rsidR="00AF5BF5">
        <w:rPr>
          <w:rFonts w:ascii="Times New Roman" w:eastAsia="Times New Roman" w:hAnsi="Times New Roman" w:cs="Times New Roman"/>
          <w:color w:val="242424"/>
          <w:sz w:val="24"/>
          <w:szCs w:val="24"/>
          <w:lang w:eastAsia="en-GB"/>
        </w:rPr>
        <w:t xml:space="preserve"> </w:t>
      </w:r>
      <w:r w:rsidR="008F460B">
        <w:rPr>
          <w:rFonts w:ascii="Times New Roman" w:eastAsia="Times New Roman" w:hAnsi="Times New Roman" w:cs="Times New Roman"/>
          <w:color w:val="242424"/>
          <w:sz w:val="24"/>
          <w:szCs w:val="24"/>
          <w:lang w:eastAsia="en-GB"/>
        </w:rPr>
        <w:fldChar w:fldCharType="begin" w:fldLock="1"/>
      </w:r>
      <w:r w:rsidR="00EA70CE">
        <w:rPr>
          <w:rFonts w:ascii="Times New Roman" w:eastAsia="Times New Roman" w:hAnsi="Times New Roman" w:cs="Times New Roman"/>
          <w:color w:val="242424"/>
          <w:sz w:val="24"/>
          <w:szCs w:val="24"/>
          <w:lang w:eastAsia="en-GB"/>
        </w:rPr>
        <w:instrText>ADDIN CSL_CITATION { "citationID" : "g292dgbdl", "citationItems" : [ { "id" : "ITEM-1", "itemData" : { "URL" : "https://www.england.nhs.uk/ourwork/tsd/care-data/", "author" : [ { "dropping-particle" : "", "family" : "NHS England", "given" : "", "non-dropping-particle" : "", "parse-names" : false, "suffix" : "" } ], "id" : "ITEM-1", "issued" : { "date-parts" : [ [ "0" ] ] }, "title" : "NHS England \u00bb The care.data programme \u2013 collecting information for the health of the nation", "type" : "webpage" }, "uri" : [ "http://zotero.org/users/17430/items/FUKMFSFQ" ], "uris" : [ "http://zotero.org/users/17430/items/FUKMFSFQ", "http://www.mendeley.com/documents/?uuid=426ab238-82ce-44af-a690-1a07526925ed" ] } ], "mendeley" : { "formattedCitation" : "[1]", "plainTextFormattedCitation" : "[1]", "previouslyFormattedCitation" : "[1]" }, "properties" : { "formattedCitation" : "(1)", "noteIndex" : 0, "plainCitation" : "(1)" }, "schema" : "https://github.com/citation-style-language/schema/raw/master/csl-citation.json" }</w:instrText>
      </w:r>
      <w:r w:rsidR="008F460B">
        <w:rPr>
          <w:rFonts w:ascii="Times New Roman" w:eastAsia="Times New Roman" w:hAnsi="Times New Roman" w:cs="Times New Roman"/>
          <w:color w:val="242424"/>
          <w:sz w:val="24"/>
          <w:szCs w:val="24"/>
          <w:lang w:eastAsia="en-GB"/>
        </w:rPr>
        <w:fldChar w:fldCharType="separate"/>
      </w:r>
      <w:r w:rsidR="00742C3E" w:rsidRPr="00742C3E">
        <w:rPr>
          <w:rFonts w:ascii="Times New Roman" w:eastAsia="Times New Roman" w:hAnsi="Times New Roman" w:cs="Times New Roman"/>
          <w:noProof/>
          <w:color w:val="242424"/>
          <w:sz w:val="24"/>
          <w:szCs w:val="24"/>
          <w:lang w:eastAsia="en-GB"/>
        </w:rPr>
        <w:t>[1]</w:t>
      </w:r>
      <w:r w:rsidR="008F460B">
        <w:rPr>
          <w:rFonts w:ascii="Times New Roman" w:eastAsia="Times New Roman" w:hAnsi="Times New Roman" w:cs="Times New Roman"/>
          <w:color w:val="242424"/>
          <w:sz w:val="24"/>
          <w:szCs w:val="24"/>
          <w:lang w:eastAsia="en-GB"/>
        </w:rPr>
        <w:fldChar w:fldCharType="end"/>
      </w:r>
      <w:r w:rsidR="00C93057" w:rsidRPr="00A204B0">
        <w:rPr>
          <w:rFonts w:ascii="Times New Roman" w:eastAsia="Times New Roman" w:hAnsi="Times New Roman" w:cs="Times New Roman"/>
          <w:color w:val="242424"/>
          <w:sz w:val="24"/>
          <w:szCs w:val="24"/>
          <w:lang w:eastAsia="en-GB"/>
        </w:rPr>
        <w:t>. Data were to be extracted from all primary care practices in England</w:t>
      </w:r>
      <w:r w:rsidR="00DA6D19" w:rsidRPr="00A204B0">
        <w:rPr>
          <w:rFonts w:ascii="Times New Roman" w:eastAsia="Times New Roman" w:hAnsi="Times New Roman" w:cs="Times New Roman"/>
          <w:color w:val="242424"/>
          <w:sz w:val="24"/>
          <w:szCs w:val="24"/>
          <w:lang w:eastAsia="en-GB"/>
        </w:rPr>
        <w:t xml:space="preserve">. </w:t>
      </w:r>
      <w:r w:rsidR="006F29E3" w:rsidRPr="00A204B0">
        <w:rPr>
          <w:rFonts w:ascii="Times New Roman" w:eastAsia="Times New Roman" w:hAnsi="Times New Roman" w:cs="Times New Roman"/>
          <w:color w:val="242424"/>
          <w:sz w:val="24"/>
          <w:szCs w:val="24"/>
          <w:lang w:eastAsia="en-GB"/>
        </w:rPr>
        <w:t>A related initiative</w:t>
      </w:r>
      <w:r w:rsidR="007342B8">
        <w:rPr>
          <w:rFonts w:ascii="Times New Roman" w:eastAsia="Times New Roman" w:hAnsi="Times New Roman" w:cs="Times New Roman"/>
          <w:color w:val="242424"/>
          <w:sz w:val="24"/>
          <w:szCs w:val="24"/>
          <w:lang w:eastAsia="en-GB"/>
        </w:rPr>
        <w:t xml:space="preserve">, </w:t>
      </w:r>
      <w:r w:rsidR="006F29E3" w:rsidRPr="00A204B0">
        <w:rPr>
          <w:rFonts w:ascii="Times New Roman" w:eastAsia="Times New Roman" w:hAnsi="Times New Roman" w:cs="Times New Roman"/>
          <w:color w:val="242424"/>
          <w:sz w:val="24"/>
          <w:szCs w:val="24"/>
          <w:lang w:eastAsia="en-GB"/>
        </w:rPr>
        <w:t>the Clinical Practice Research Datalink</w:t>
      </w:r>
      <w:r w:rsidR="00447752" w:rsidRPr="00A204B0">
        <w:rPr>
          <w:rFonts w:ascii="Times New Roman" w:eastAsia="Times New Roman" w:hAnsi="Times New Roman" w:cs="Times New Roman"/>
          <w:color w:val="242424"/>
          <w:sz w:val="24"/>
          <w:szCs w:val="24"/>
          <w:lang w:eastAsia="en-GB"/>
        </w:rPr>
        <w:t xml:space="preserve"> (CPRD)</w:t>
      </w:r>
      <w:r w:rsidR="00E60D75" w:rsidRPr="00A204B0">
        <w:rPr>
          <w:rFonts w:ascii="Times New Roman" w:eastAsia="Times New Roman" w:hAnsi="Times New Roman" w:cs="Times New Roman"/>
          <w:color w:val="242424"/>
          <w:sz w:val="24"/>
          <w:szCs w:val="24"/>
          <w:lang w:eastAsia="en-GB"/>
        </w:rPr>
        <w:t xml:space="preserve">, </w:t>
      </w:r>
      <w:r w:rsidR="00502DEC">
        <w:rPr>
          <w:rFonts w:ascii="Times New Roman" w:eastAsia="Times New Roman" w:hAnsi="Times New Roman" w:cs="Times New Roman"/>
          <w:color w:val="242424"/>
          <w:sz w:val="24"/>
          <w:szCs w:val="24"/>
          <w:lang w:eastAsia="en-GB"/>
        </w:rPr>
        <w:t>evolved from</w:t>
      </w:r>
      <w:r w:rsidR="00E60D75" w:rsidRPr="00A204B0">
        <w:rPr>
          <w:rFonts w:ascii="Times New Roman" w:eastAsia="Times New Roman" w:hAnsi="Times New Roman" w:cs="Times New Roman"/>
          <w:color w:val="242424"/>
          <w:sz w:val="24"/>
          <w:szCs w:val="24"/>
          <w:lang w:eastAsia="en-GB"/>
        </w:rPr>
        <w:t xml:space="preserve"> the General Practice Research Database</w:t>
      </w:r>
      <w:r w:rsidR="007342B8">
        <w:rPr>
          <w:rFonts w:ascii="Times New Roman" w:eastAsia="Times New Roman" w:hAnsi="Times New Roman" w:cs="Times New Roman"/>
          <w:color w:val="242424"/>
          <w:sz w:val="24"/>
          <w:szCs w:val="24"/>
          <w:lang w:eastAsia="en-GB"/>
        </w:rPr>
        <w:t xml:space="preserve"> (GPRD)</w:t>
      </w:r>
      <w:r w:rsidR="003C2D7F" w:rsidRPr="00A204B0">
        <w:rPr>
          <w:rFonts w:ascii="Times New Roman" w:eastAsia="Times New Roman" w:hAnsi="Times New Roman" w:cs="Times New Roman"/>
          <w:color w:val="242424"/>
          <w:sz w:val="24"/>
          <w:szCs w:val="24"/>
          <w:lang w:eastAsia="en-GB"/>
        </w:rPr>
        <w:t xml:space="preserve">. </w:t>
      </w:r>
      <w:r w:rsidR="009767B2" w:rsidRPr="00A204B0">
        <w:rPr>
          <w:rFonts w:ascii="Times New Roman" w:eastAsia="Times New Roman" w:hAnsi="Times New Roman" w:cs="Times New Roman"/>
          <w:color w:val="242424"/>
          <w:sz w:val="24"/>
          <w:szCs w:val="24"/>
          <w:lang w:eastAsia="en-GB"/>
        </w:rPr>
        <w:t xml:space="preserve">CPRD </w:t>
      </w:r>
      <w:r w:rsidR="006F29E3" w:rsidRPr="00A204B0">
        <w:rPr>
          <w:rFonts w:ascii="Times New Roman" w:eastAsia="Times New Roman" w:hAnsi="Times New Roman" w:cs="Times New Roman"/>
          <w:color w:val="242424"/>
          <w:sz w:val="24"/>
          <w:szCs w:val="24"/>
          <w:lang w:eastAsia="en-GB"/>
        </w:rPr>
        <w:t xml:space="preserve">was </w:t>
      </w:r>
      <w:r w:rsidR="007342B8">
        <w:rPr>
          <w:rFonts w:ascii="Times New Roman" w:eastAsia="Times New Roman" w:hAnsi="Times New Roman" w:cs="Times New Roman"/>
          <w:color w:val="242424"/>
          <w:sz w:val="24"/>
          <w:szCs w:val="24"/>
          <w:lang w:eastAsia="en-GB"/>
        </w:rPr>
        <w:t>intended to build on GPRD by linking</w:t>
      </w:r>
      <w:r w:rsidR="00CA5BB6" w:rsidRPr="00A204B0">
        <w:rPr>
          <w:rFonts w:ascii="Times New Roman" w:eastAsia="Times New Roman" w:hAnsi="Times New Roman" w:cs="Times New Roman"/>
          <w:color w:val="242424"/>
          <w:sz w:val="24"/>
          <w:szCs w:val="24"/>
          <w:lang w:eastAsia="en-GB"/>
        </w:rPr>
        <w:t xml:space="preserve"> </w:t>
      </w:r>
      <w:r w:rsidR="001200ED" w:rsidRPr="00A204B0">
        <w:rPr>
          <w:rFonts w:ascii="Times New Roman" w:eastAsia="Times New Roman" w:hAnsi="Times New Roman" w:cs="Times New Roman"/>
          <w:color w:val="242424"/>
          <w:sz w:val="24"/>
          <w:szCs w:val="24"/>
          <w:lang w:eastAsia="en-GB"/>
        </w:rPr>
        <w:t xml:space="preserve">patients’ </w:t>
      </w:r>
      <w:r w:rsidR="00CA5BB6" w:rsidRPr="00A204B0">
        <w:rPr>
          <w:rFonts w:ascii="Times New Roman" w:eastAsia="Times New Roman" w:hAnsi="Times New Roman" w:cs="Times New Roman"/>
          <w:color w:val="242424"/>
          <w:sz w:val="24"/>
          <w:szCs w:val="24"/>
          <w:lang w:eastAsia="en-GB"/>
        </w:rPr>
        <w:t>primary care records</w:t>
      </w:r>
      <w:r w:rsidR="006F29E3" w:rsidRPr="00A204B0">
        <w:rPr>
          <w:rFonts w:ascii="Times New Roman" w:eastAsia="Times New Roman" w:hAnsi="Times New Roman" w:cs="Times New Roman"/>
          <w:color w:val="242424"/>
          <w:sz w:val="24"/>
          <w:szCs w:val="24"/>
          <w:lang w:eastAsia="en-GB"/>
        </w:rPr>
        <w:t xml:space="preserve"> to hospital data</w:t>
      </w:r>
      <w:r w:rsidR="00B43FD3">
        <w:rPr>
          <w:rFonts w:ascii="Times New Roman" w:eastAsia="Times New Roman" w:hAnsi="Times New Roman" w:cs="Times New Roman"/>
          <w:color w:val="242424"/>
          <w:sz w:val="24"/>
          <w:szCs w:val="24"/>
          <w:lang w:eastAsia="en-GB"/>
        </w:rPr>
        <w:t>,</w:t>
      </w:r>
      <w:r w:rsidR="006F29E3" w:rsidRPr="00A204B0">
        <w:rPr>
          <w:rFonts w:ascii="Times New Roman" w:eastAsia="Times New Roman" w:hAnsi="Times New Roman" w:cs="Times New Roman"/>
          <w:color w:val="242424"/>
          <w:sz w:val="24"/>
          <w:szCs w:val="24"/>
          <w:lang w:eastAsia="en-GB"/>
        </w:rPr>
        <w:t xml:space="preserve"> </w:t>
      </w:r>
      <w:r w:rsidR="001200ED" w:rsidRPr="00A204B0">
        <w:rPr>
          <w:rFonts w:ascii="Times New Roman" w:eastAsia="Times New Roman" w:hAnsi="Times New Roman" w:cs="Times New Roman"/>
          <w:color w:val="242424"/>
          <w:sz w:val="24"/>
          <w:szCs w:val="24"/>
          <w:lang w:eastAsia="en-GB"/>
        </w:rPr>
        <w:t xml:space="preserve">around 50 </w:t>
      </w:r>
      <w:r w:rsidR="006F29E3" w:rsidRPr="00A204B0">
        <w:rPr>
          <w:rFonts w:ascii="Times New Roman" w:eastAsia="Times New Roman" w:hAnsi="Times New Roman" w:cs="Times New Roman"/>
          <w:color w:val="242424"/>
          <w:sz w:val="24"/>
          <w:szCs w:val="24"/>
          <w:lang w:eastAsia="en-GB"/>
        </w:rPr>
        <w:t>disease registries</w:t>
      </w:r>
      <w:r w:rsidR="00F71673" w:rsidRPr="00A204B0">
        <w:rPr>
          <w:rFonts w:ascii="Times New Roman" w:eastAsia="Times New Roman" w:hAnsi="Times New Roman" w:cs="Times New Roman"/>
          <w:color w:val="242424"/>
          <w:sz w:val="24"/>
          <w:szCs w:val="24"/>
          <w:lang w:eastAsia="en-GB"/>
        </w:rPr>
        <w:t xml:space="preserve"> </w:t>
      </w:r>
      <w:r w:rsidR="001200ED" w:rsidRPr="00A204B0">
        <w:rPr>
          <w:rFonts w:ascii="Times New Roman" w:eastAsia="Times New Roman" w:hAnsi="Times New Roman" w:cs="Times New Roman"/>
          <w:color w:val="242424"/>
          <w:sz w:val="24"/>
          <w:szCs w:val="24"/>
          <w:lang w:eastAsia="en-GB"/>
        </w:rPr>
        <w:t>and clinical audits</w:t>
      </w:r>
      <w:r w:rsidR="00B43FD3">
        <w:rPr>
          <w:rFonts w:ascii="Times New Roman" w:eastAsia="Times New Roman" w:hAnsi="Times New Roman" w:cs="Times New Roman"/>
          <w:color w:val="242424"/>
          <w:sz w:val="24"/>
          <w:szCs w:val="24"/>
          <w:lang w:eastAsia="en-GB"/>
        </w:rPr>
        <w:t>,</w:t>
      </w:r>
      <w:r w:rsidR="001200ED" w:rsidRPr="00A204B0">
        <w:rPr>
          <w:rFonts w:ascii="Times New Roman" w:eastAsia="Times New Roman" w:hAnsi="Times New Roman" w:cs="Times New Roman"/>
          <w:color w:val="242424"/>
          <w:sz w:val="24"/>
          <w:szCs w:val="24"/>
          <w:lang w:eastAsia="en-GB"/>
        </w:rPr>
        <w:t xml:space="preserve"> </w:t>
      </w:r>
      <w:r w:rsidR="00B73DA5" w:rsidRPr="00A204B0">
        <w:rPr>
          <w:rFonts w:ascii="Times New Roman" w:eastAsia="Times New Roman" w:hAnsi="Times New Roman" w:cs="Times New Roman"/>
          <w:color w:val="242424"/>
          <w:sz w:val="24"/>
          <w:szCs w:val="24"/>
          <w:lang w:eastAsia="en-GB"/>
        </w:rPr>
        <w:t>UK</w:t>
      </w:r>
      <w:r w:rsidR="009767B2" w:rsidRPr="00A204B0">
        <w:rPr>
          <w:rFonts w:ascii="Times New Roman" w:eastAsia="Times New Roman" w:hAnsi="Times New Roman" w:cs="Times New Roman"/>
          <w:color w:val="242424"/>
          <w:sz w:val="24"/>
          <w:szCs w:val="24"/>
          <w:lang w:eastAsia="en-GB"/>
        </w:rPr>
        <w:t xml:space="preserve"> </w:t>
      </w:r>
      <w:r w:rsidR="00EE6B93" w:rsidRPr="00A204B0">
        <w:rPr>
          <w:rFonts w:ascii="Times New Roman" w:eastAsia="Times New Roman" w:hAnsi="Times New Roman" w:cs="Times New Roman"/>
          <w:color w:val="242424"/>
          <w:sz w:val="24"/>
          <w:szCs w:val="24"/>
          <w:lang w:eastAsia="en-GB"/>
        </w:rPr>
        <w:t>B</w:t>
      </w:r>
      <w:r w:rsidR="009767B2" w:rsidRPr="00A204B0">
        <w:rPr>
          <w:rFonts w:ascii="Times New Roman" w:eastAsia="Times New Roman" w:hAnsi="Times New Roman" w:cs="Times New Roman"/>
          <w:color w:val="242424"/>
          <w:sz w:val="24"/>
          <w:szCs w:val="24"/>
          <w:lang w:eastAsia="en-GB"/>
        </w:rPr>
        <w:t>iobank</w:t>
      </w:r>
      <w:r w:rsidR="00D007E7" w:rsidRPr="00A204B0">
        <w:rPr>
          <w:rFonts w:ascii="Times New Roman" w:eastAsia="Times New Roman" w:hAnsi="Times New Roman" w:cs="Times New Roman"/>
          <w:color w:val="242424"/>
          <w:sz w:val="24"/>
          <w:szCs w:val="24"/>
          <w:lang w:eastAsia="en-GB"/>
        </w:rPr>
        <w:t xml:space="preserve"> with genetic information</w:t>
      </w:r>
      <w:r w:rsidR="0002696D">
        <w:rPr>
          <w:rFonts w:ascii="Times New Roman" w:eastAsia="Times New Roman" w:hAnsi="Times New Roman" w:cs="Times New Roman"/>
          <w:color w:val="242424"/>
          <w:sz w:val="24"/>
          <w:szCs w:val="24"/>
          <w:lang w:eastAsia="en-GB"/>
        </w:rPr>
        <w:t xml:space="preserve">, </w:t>
      </w:r>
      <w:r w:rsidR="006F29E3" w:rsidRPr="00A204B0">
        <w:rPr>
          <w:rFonts w:ascii="Times New Roman" w:eastAsia="Times New Roman" w:hAnsi="Times New Roman" w:cs="Times New Roman"/>
          <w:color w:val="242424"/>
          <w:sz w:val="24"/>
          <w:szCs w:val="24"/>
          <w:lang w:eastAsia="en-GB"/>
        </w:rPr>
        <w:t xml:space="preserve">and </w:t>
      </w:r>
      <w:r w:rsidR="00B966F3">
        <w:rPr>
          <w:rFonts w:ascii="Times New Roman" w:eastAsia="Times New Roman" w:hAnsi="Times New Roman" w:cs="Times New Roman"/>
          <w:color w:val="242424"/>
          <w:sz w:val="24"/>
          <w:szCs w:val="24"/>
          <w:lang w:eastAsia="en-GB"/>
        </w:rPr>
        <w:t xml:space="preserve">even </w:t>
      </w:r>
      <w:r w:rsidR="006F29E3" w:rsidRPr="00A204B0">
        <w:rPr>
          <w:rFonts w:ascii="Times New Roman" w:eastAsia="Times New Roman" w:hAnsi="Times New Roman" w:cs="Times New Roman"/>
          <w:color w:val="242424"/>
          <w:sz w:val="24"/>
          <w:szCs w:val="24"/>
          <w:lang w:eastAsia="en-GB"/>
        </w:rPr>
        <w:t>the loyalty cards of a</w:t>
      </w:r>
      <w:r w:rsidR="00D007E7" w:rsidRPr="00A204B0">
        <w:rPr>
          <w:rFonts w:ascii="Times New Roman" w:eastAsia="Times New Roman" w:hAnsi="Times New Roman" w:cs="Times New Roman"/>
          <w:color w:val="242424"/>
          <w:sz w:val="24"/>
          <w:szCs w:val="24"/>
          <w:lang w:eastAsia="en-GB"/>
        </w:rPr>
        <w:t xml:space="preserve"> large supermarket chain</w:t>
      </w:r>
      <w:r w:rsidR="00B966F3">
        <w:rPr>
          <w:rFonts w:ascii="Times New Roman" w:eastAsia="Times New Roman" w:hAnsi="Times New Roman" w:cs="Times New Roman"/>
          <w:color w:val="242424"/>
          <w:sz w:val="24"/>
          <w:szCs w:val="24"/>
          <w:lang w:eastAsia="en-GB"/>
        </w:rPr>
        <w:t>, creating a</w:t>
      </w:r>
      <w:r w:rsidR="00502DEC">
        <w:rPr>
          <w:rFonts w:ascii="Times New Roman" w:eastAsia="Times New Roman" w:hAnsi="Times New Roman" w:cs="Times New Roman"/>
          <w:color w:val="242424"/>
          <w:sz w:val="24"/>
          <w:szCs w:val="24"/>
          <w:lang w:eastAsia="en-GB"/>
        </w:rPr>
        <w:t>n integrated</w:t>
      </w:r>
      <w:r w:rsidR="00B966F3">
        <w:rPr>
          <w:rFonts w:ascii="Times New Roman" w:eastAsia="Times New Roman" w:hAnsi="Times New Roman" w:cs="Times New Roman"/>
          <w:color w:val="242424"/>
          <w:sz w:val="24"/>
          <w:szCs w:val="24"/>
          <w:lang w:eastAsia="en-GB"/>
        </w:rPr>
        <w:t xml:space="preserve"> data repository and </w:t>
      </w:r>
      <w:r w:rsidR="00502DEC">
        <w:rPr>
          <w:rFonts w:ascii="Times New Roman" w:eastAsia="Times New Roman" w:hAnsi="Times New Roman" w:cs="Times New Roman"/>
          <w:color w:val="242424"/>
          <w:sz w:val="24"/>
          <w:szCs w:val="24"/>
          <w:lang w:eastAsia="en-GB"/>
        </w:rPr>
        <w:t>linked</w:t>
      </w:r>
      <w:r w:rsidR="00B966F3">
        <w:rPr>
          <w:rFonts w:ascii="Times New Roman" w:eastAsia="Times New Roman" w:hAnsi="Times New Roman" w:cs="Times New Roman"/>
          <w:color w:val="242424"/>
          <w:sz w:val="24"/>
          <w:szCs w:val="24"/>
          <w:lang w:eastAsia="en-GB"/>
        </w:rPr>
        <w:t xml:space="preserve"> </w:t>
      </w:r>
      <w:r w:rsidR="00B966F3" w:rsidRPr="00B90D78">
        <w:rPr>
          <w:rFonts w:ascii="Times New Roman" w:eastAsia="Times New Roman" w:hAnsi="Times New Roman" w:cs="Times New Roman"/>
          <w:color w:val="242424"/>
          <w:sz w:val="24"/>
          <w:szCs w:val="24"/>
          <w:lang w:eastAsia="en-GB"/>
        </w:rPr>
        <w:t xml:space="preserve">services </w:t>
      </w:r>
      <w:r w:rsidR="000210C4">
        <w:rPr>
          <w:rFonts w:ascii="Times New Roman" w:eastAsia="Times New Roman" w:hAnsi="Times New Roman" w:cs="Times New Roman"/>
          <w:color w:val="242424"/>
          <w:sz w:val="24"/>
          <w:szCs w:val="24"/>
          <w:lang w:eastAsia="en-GB"/>
        </w:rPr>
        <w:t xml:space="preserve">for all of England </w:t>
      </w:r>
      <w:r w:rsidR="00B966F3">
        <w:rPr>
          <w:rFonts w:ascii="Times New Roman" w:eastAsia="Times New Roman" w:hAnsi="Times New Roman" w:cs="Times New Roman"/>
          <w:color w:val="242424"/>
          <w:sz w:val="24"/>
          <w:szCs w:val="24"/>
          <w:lang w:eastAsia="en-GB"/>
        </w:rPr>
        <w:t xml:space="preserve">that could be sold </w:t>
      </w:r>
      <w:r w:rsidR="00B966F3" w:rsidRPr="00B90D78">
        <w:rPr>
          <w:rFonts w:ascii="Times New Roman" w:eastAsia="Times New Roman" w:hAnsi="Times New Roman" w:cs="Times New Roman"/>
          <w:color w:val="242424"/>
          <w:sz w:val="24"/>
          <w:szCs w:val="24"/>
          <w:lang w:eastAsia="en-GB"/>
        </w:rPr>
        <w:t>to universities</w:t>
      </w:r>
      <w:r w:rsidR="00B966F3">
        <w:rPr>
          <w:rFonts w:ascii="Times New Roman" w:eastAsia="Times New Roman" w:hAnsi="Times New Roman" w:cs="Times New Roman"/>
          <w:color w:val="242424"/>
          <w:sz w:val="24"/>
          <w:szCs w:val="24"/>
          <w:lang w:eastAsia="en-GB"/>
        </w:rPr>
        <w:t xml:space="preserve">, </w:t>
      </w:r>
      <w:r w:rsidR="00B966F3" w:rsidRPr="00B90D78">
        <w:rPr>
          <w:rFonts w:ascii="Times New Roman" w:eastAsia="Times New Roman" w:hAnsi="Times New Roman" w:cs="Times New Roman"/>
          <w:color w:val="242424"/>
          <w:sz w:val="24"/>
          <w:szCs w:val="24"/>
          <w:lang w:eastAsia="en-GB"/>
        </w:rPr>
        <w:t xml:space="preserve">pharmaceutical companies </w:t>
      </w:r>
      <w:r w:rsidR="00B966F3">
        <w:rPr>
          <w:rFonts w:ascii="Times New Roman" w:eastAsia="Times New Roman" w:hAnsi="Times New Roman" w:cs="Times New Roman"/>
          <w:color w:val="242424"/>
          <w:sz w:val="24"/>
          <w:szCs w:val="24"/>
          <w:lang w:eastAsia="en-GB"/>
        </w:rPr>
        <w:t>and non-healthcare industries</w:t>
      </w:r>
      <w:r w:rsidR="00BD2D2E">
        <w:rPr>
          <w:rFonts w:ascii="Times New Roman" w:eastAsia="Times New Roman" w:hAnsi="Times New Roman" w:cs="Times New Roman"/>
          <w:color w:val="242424"/>
          <w:sz w:val="24"/>
          <w:szCs w:val="24"/>
          <w:lang w:eastAsia="en-GB"/>
        </w:rPr>
        <w:t>.</w:t>
      </w:r>
      <w:r w:rsidR="00BD2D2E">
        <w:rPr>
          <w:rFonts w:ascii="Times New Roman" w:hAnsi="Times New Roman" w:cs="Times New Roman"/>
          <w:sz w:val="24"/>
          <w:szCs w:val="24"/>
          <w:shd w:val="clear" w:color="auto" w:fill="FFFFFF"/>
        </w:rPr>
        <w:t xml:space="preserve"> H</w:t>
      </w:r>
      <w:r w:rsidR="00290B12" w:rsidRPr="00977DD0">
        <w:rPr>
          <w:rFonts w:ascii="Times New Roman" w:hAnsi="Times New Roman" w:cs="Times New Roman"/>
          <w:sz w:val="24"/>
          <w:szCs w:val="24"/>
          <w:shd w:val="clear" w:color="auto" w:fill="FFFFFF"/>
        </w:rPr>
        <w:t>owever,</w:t>
      </w:r>
      <w:r w:rsidR="006257B4">
        <w:rPr>
          <w:rFonts w:ascii="Times New Roman" w:hAnsi="Times New Roman" w:cs="Times New Roman"/>
          <w:sz w:val="24"/>
          <w:szCs w:val="24"/>
          <w:shd w:val="clear" w:color="auto" w:fill="FFFFFF"/>
        </w:rPr>
        <w:t xml:space="preserve"> t</w:t>
      </w:r>
      <w:r w:rsidR="00B966F3" w:rsidRPr="00977DD0">
        <w:rPr>
          <w:rFonts w:ascii="Times New Roman" w:hAnsi="Times New Roman" w:cs="Times New Roman"/>
          <w:sz w:val="24"/>
          <w:szCs w:val="24"/>
          <w:shd w:val="clear" w:color="auto" w:fill="FFFFFF"/>
        </w:rPr>
        <w:t>hese initiatives have stalled.</w:t>
      </w:r>
    </w:p>
    <w:p w14:paraId="702BED47" w14:textId="74D4F03F" w:rsidR="00F713F6" w:rsidRDefault="00F713F6" w:rsidP="00BD2D2E">
      <w:pPr>
        <w:spacing w:after="0" w:line="240" w:lineRule="auto"/>
        <w:rPr>
          <w:rFonts w:ascii="Times New Roman" w:hAnsi="Times New Roman" w:cs="Times New Roman"/>
          <w:color w:val="000000"/>
          <w:sz w:val="24"/>
          <w:szCs w:val="24"/>
        </w:rPr>
      </w:pPr>
    </w:p>
    <w:p w14:paraId="32434121" w14:textId="60AAE139" w:rsidR="008D5619" w:rsidRPr="00644E18" w:rsidRDefault="008D5619" w:rsidP="00BD2D2E">
      <w:pPr>
        <w:spacing w:after="0" w:line="240" w:lineRule="auto"/>
        <w:rPr>
          <w:rFonts w:ascii="Times New Roman" w:hAnsi="Times New Roman" w:cs="Times New Roman"/>
          <w:b/>
          <w:color w:val="000000"/>
          <w:sz w:val="24"/>
          <w:szCs w:val="24"/>
        </w:rPr>
      </w:pPr>
      <w:r w:rsidRPr="00644E18">
        <w:rPr>
          <w:rFonts w:ascii="Times New Roman" w:hAnsi="Times New Roman" w:cs="Times New Roman"/>
          <w:b/>
          <w:color w:val="000000"/>
          <w:sz w:val="24"/>
          <w:szCs w:val="24"/>
        </w:rPr>
        <w:t xml:space="preserve">Why </w:t>
      </w:r>
      <w:r w:rsidR="00D14061">
        <w:rPr>
          <w:rFonts w:ascii="Times New Roman" w:hAnsi="Times New Roman" w:cs="Times New Roman"/>
          <w:b/>
          <w:color w:val="000000"/>
          <w:sz w:val="24"/>
          <w:szCs w:val="24"/>
        </w:rPr>
        <w:t xml:space="preserve">have </w:t>
      </w:r>
      <w:r w:rsidR="0024531E">
        <w:rPr>
          <w:rFonts w:ascii="Times New Roman" w:hAnsi="Times New Roman" w:cs="Times New Roman"/>
          <w:b/>
          <w:color w:val="000000"/>
          <w:sz w:val="24"/>
          <w:szCs w:val="24"/>
        </w:rPr>
        <w:t>English</w:t>
      </w:r>
      <w:r w:rsidR="00D14061">
        <w:rPr>
          <w:rFonts w:ascii="Times New Roman" w:hAnsi="Times New Roman" w:cs="Times New Roman"/>
          <w:b/>
          <w:color w:val="000000"/>
          <w:sz w:val="24"/>
          <w:szCs w:val="24"/>
        </w:rPr>
        <w:t xml:space="preserve"> health big data initiatives not worked</w:t>
      </w:r>
      <w:r w:rsidRPr="00644E18">
        <w:rPr>
          <w:rFonts w:ascii="Times New Roman" w:hAnsi="Times New Roman" w:cs="Times New Roman"/>
          <w:b/>
          <w:color w:val="000000"/>
          <w:sz w:val="24"/>
          <w:szCs w:val="24"/>
        </w:rPr>
        <w:t>?</w:t>
      </w:r>
    </w:p>
    <w:p w14:paraId="5117A68D" w14:textId="6E174B32" w:rsidR="00C647C2" w:rsidRDefault="00EE5CF4" w:rsidP="00A93E92">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n-GB"/>
        </w:rPr>
        <w:t>Key elements for success of big health data projects include</w:t>
      </w:r>
      <w:r w:rsidR="006A032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public </w:t>
      </w:r>
      <w:r w:rsidRPr="00A204B0">
        <w:rPr>
          <w:rFonts w:ascii="Times New Roman" w:eastAsia="Times New Roman" w:hAnsi="Times New Roman" w:cs="Times New Roman"/>
          <w:color w:val="000000"/>
          <w:sz w:val="24"/>
          <w:szCs w:val="24"/>
          <w:lang w:eastAsia="en-GB"/>
        </w:rPr>
        <w:t>confidence that records are held securely and anonymised appropriately</w:t>
      </w:r>
      <w:r>
        <w:rPr>
          <w:rFonts w:ascii="Times New Roman" w:eastAsia="Times New Roman" w:hAnsi="Times New Roman" w:cs="Times New Roman"/>
          <w:color w:val="000000"/>
          <w:sz w:val="24"/>
          <w:szCs w:val="24"/>
          <w:lang w:eastAsia="en-GB"/>
        </w:rPr>
        <w:t xml:space="preserve"> (i.e. information security)</w:t>
      </w:r>
      <w:r w:rsidRPr="00A204B0">
        <w:rPr>
          <w:rFonts w:ascii="Times New Roman" w:eastAsia="Times New Roman" w:hAnsi="Times New Roman" w:cs="Times New Roman"/>
          <w:color w:val="000000"/>
          <w:sz w:val="24"/>
          <w:szCs w:val="24"/>
          <w:lang w:eastAsia="en-GB"/>
        </w:rPr>
        <w:t xml:space="preserve"> </w:t>
      </w:r>
      <w:r w:rsidRPr="00627F22">
        <w:rPr>
          <w:rFonts w:ascii="Times New Roman" w:eastAsia="Times New Roman" w:hAnsi="Times New Roman" w:cs="Times New Roman"/>
          <w:color w:val="000000"/>
          <w:sz w:val="24"/>
          <w:szCs w:val="24"/>
          <w:lang w:eastAsia="en-GB"/>
        </w:rPr>
        <w:fldChar w:fldCharType="begin" w:fldLock="1"/>
      </w:r>
      <w:r w:rsidR="00076C37">
        <w:rPr>
          <w:rFonts w:ascii="Times New Roman" w:eastAsia="Times New Roman" w:hAnsi="Times New Roman" w:cs="Times New Roman"/>
          <w:color w:val="000000"/>
          <w:sz w:val="24"/>
          <w:szCs w:val="24"/>
          <w:lang w:eastAsia="en-GB"/>
        </w:rPr>
        <w:instrText>ADDIN CSL_CITATION { "citationID" : "JHjvu5XO", "citationItems" : [ { "id" : "ITEM-1", "itemData" : { "DOI" : "10.1136/medethics-2014-102374", "ISSN" : "1473-4257", "PMID" : "25617016", "abstract" : "In this article we draw on the concept of a social licence to explain public concern at the introduction of care.data, a recent English initiative designed to extract data from primary care medical records for commissioning and other purposes, including research. The concept of a social licence describes how the expectations of society regarding some activities may go beyond compliance with the requirements of formal regulation; those who do not fulfil the conditions for the social licence (even if formally compliant) may experience ongoing challenge and contestation. Previous work suggests that people's cooperation with specific research studies depends on their perceptions that their participation is voluntary and is governed by values of reciprocity, non-exploitation and service of the public good. When these conditions are not seen to obtain, threats to the social licence for research may emerge. We propose that care.data failed to adequately secure a social licence because of: (i) defects in the warrants of trust provided for care.data, (ii) the implied rupture in the traditional role, expectations and duties of general practitioners, and (iii) uncertainty about the status of care.data as a public good. The concept of a social licence may be useful in explaining the specifics of care.data, and also in reinforcing the more general lesson for policy-makers that legal authority does not necessarily command social legitimacy.", "author" : [ { "dropping-particle" : "", "family" : "Carter", "given" : "Pam", "non-dropping-particle" : "", "parse-names" : false, "suffix" : "" }, { "dropping-particle" : "", "family" : "Laurie", "given" : "Graeme T", "non-dropping-particle" : "", "parse-names" : false, "suffix" : "" }, { "dropping-particle" : "", "family" : "Dixon-Woods", "given" : "Mary", "non-dropping-particle" : "", "parse-names" : false, "suffix" : "" } ], "container-title" : "Journal of medical ethics", "id" : "ITEM-1", "issue" : "5", "issued" : { "date-parts" : [ [ "2015", "5" ] ] }, "page" : "404-9", "title" : "The social licence for research: why care.data ran into trouble.", "type" : "article-journal", "volume" : "41" }, "uri" : [ "http://www.mendeley.com/documents/?uuid=41a6ab9a-5d67-4ae9-8799-5d9131f173ee" ], "uris" : [ "http://www.mendeley.com/documents/?uuid=41a6ab9a-5d67-4ae9-8799-5d9131f173ee" ] } ], "mendeley" : { "formattedCitation" : "[2]", "plainTextFormattedCitation" : "[2]", "previouslyFormattedCitation" : "[2]" }, "properties" : { "formattedCitation" : "(4)", "noteIndex" : 0, "plainCitation" : "(4)" }, "schema" : "https://github.com/citation-style-language/schema/raw/master/csl-citation.json" }</w:instrText>
      </w:r>
      <w:r w:rsidRPr="00627F22">
        <w:rPr>
          <w:rFonts w:ascii="Times New Roman" w:eastAsia="Times New Roman" w:hAnsi="Times New Roman" w:cs="Times New Roman"/>
          <w:color w:val="000000"/>
          <w:sz w:val="24"/>
          <w:szCs w:val="24"/>
          <w:lang w:eastAsia="en-GB"/>
        </w:rPr>
        <w:fldChar w:fldCharType="separate"/>
      </w:r>
      <w:r w:rsidR="00A62379" w:rsidRPr="00A62379">
        <w:rPr>
          <w:rFonts w:ascii="Times New Roman" w:eastAsia="Times New Roman" w:hAnsi="Times New Roman" w:cs="Times New Roman"/>
          <w:noProof/>
          <w:color w:val="000000"/>
          <w:sz w:val="24"/>
          <w:szCs w:val="24"/>
          <w:lang w:eastAsia="en-GB"/>
        </w:rPr>
        <w:t>[2]</w:t>
      </w:r>
      <w:r w:rsidRPr="00627F22">
        <w:rPr>
          <w:rFonts w:ascii="Times New Roman" w:eastAsia="Times New Roman" w:hAnsi="Times New Roman" w:cs="Times New Roman"/>
          <w:color w:val="000000"/>
          <w:sz w:val="24"/>
          <w:szCs w:val="24"/>
          <w:lang w:eastAsia="en-GB"/>
        </w:rPr>
        <w:fldChar w:fldCharType="end"/>
      </w:r>
      <w:r w:rsidR="006A032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public awareness of and </w:t>
      </w:r>
      <w:r w:rsidRPr="00076C37">
        <w:rPr>
          <w:rFonts w:ascii="Times New Roman" w:eastAsia="Times New Roman" w:hAnsi="Times New Roman" w:cs="Times New Roman"/>
          <w:color w:val="000000"/>
          <w:sz w:val="24"/>
          <w:szCs w:val="24"/>
          <w:lang w:eastAsia="en-GB"/>
        </w:rPr>
        <w:t xml:space="preserve">engagement with how their personal data have been, or might be, used (i.e. citizen-visible data uses) </w:t>
      </w:r>
      <w:r w:rsidRPr="00C647C2">
        <w:rPr>
          <w:rFonts w:ascii="Times New Roman" w:eastAsia="Times New Roman" w:hAnsi="Times New Roman" w:cs="Times New Roman"/>
          <w:color w:val="000000"/>
          <w:sz w:val="24"/>
          <w:szCs w:val="24"/>
          <w:lang w:eastAsia="en-GB"/>
        </w:rPr>
        <w:fldChar w:fldCharType="begin" w:fldLock="1"/>
      </w:r>
      <w:r w:rsidR="00076C37">
        <w:rPr>
          <w:rFonts w:ascii="Times New Roman" w:eastAsia="Times New Roman" w:hAnsi="Times New Roman" w:cs="Times New Roman"/>
          <w:color w:val="000000"/>
          <w:sz w:val="24"/>
          <w:szCs w:val="24"/>
          <w:lang w:eastAsia="en-GB"/>
        </w:rPr>
        <w:instrText>ADDIN CSL_CITATION { "citationID" : "uWKyUwlB", "citationItems" : [ { "id" : "ITEM-1", "itemData" : { "DOI" : "10.1136/medethics-2014-102374", "ISSN" : "1473-4257", "PMID" : "25617016", "abstract" : "In this article we draw on the concept of a social licence to explain public concern at the introduction of care.data, a recent English initiative designed to extract data from primary care medical records for commissioning and other purposes, including research. The concept of a social licence describes how the expectations of society regarding some activities may go beyond compliance with the requirements of formal regulation; those who do not fulfil the conditions for the social licence (even if formally compliant) may experience ongoing challenge and contestation. Previous work suggests that people's cooperation with specific research studies depends on their perceptions that their participation is voluntary and is governed by values of reciprocity, non-exploitation and service of the public good. When these conditions are not seen to obtain, threats to the social licence for research may emerge. We propose that care.data failed to adequately secure a social licence because of: (i) defects in the warrants of trust provided for care.data, (ii) the implied rupture in the traditional role, expectations and duties of general practitioners, and (iii) uncertainty about the status of care.data as a public good. The concept of a social licence may be useful in explaining the specifics of care.data, and also in reinforcing the more general lesson for policy-makers that legal authority does not necessarily command social legitimacy.", "author" : [ { "dropping-particle" : "", "family" : "Carter", "given" : "Pam", "non-dropping-particle" : "", "parse-names" : false, "suffix" : "" }, { "dropping-particle" : "", "family" : "Laurie", "given" : "Graeme T", "non-dropping-particle" : "", "parse-names" : false, "suffix" : "" }, { "dropping-particle" : "", "family" : "Dixon-Woods", "given" : "Mary", "non-dropping-particle" : "", "parse-names" : false, "suffix" : "" } ], "container-title" : "Journal of medical ethics", "id" : "ITEM-1", "issue" : "5", "issued" : { "date-parts" : [ [ "2015", "5" ] ] }, "page" : "404-9", "title" : "The social licence for research: why care.data ran into trouble.", "type" : "article-journal", "volume" : "41" }, "uri" : [ "http://www.mendeley.com/documents/?uuid=41a6ab9a-5d67-4ae9-8799-5d9131f173ee" ], "uris" : [ "http://www.mendeley.com/documents/?uuid=41a6ab9a-5d67-4ae9-8799-5d9131f173ee" ] } ], "mendeley" : { "formattedCitation" : "[2]", "plainTextFormattedCitation" : "[2]", "previouslyFormattedCitation" : "[2]" }, "properties" : { "formattedCitation" : "(4)", "noteIndex" : 0, "plainCitation" : "(4)" }, "schema" : "https://github.com/citation-style-language/schema/raw/master/csl-citation.json" }</w:instrText>
      </w:r>
      <w:r w:rsidRPr="00C647C2">
        <w:rPr>
          <w:rFonts w:ascii="Times New Roman" w:eastAsia="Times New Roman" w:hAnsi="Times New Roman" w:cs="Times New Roman"/>
          <w:color w:val="000000"/>
          <w:sz w:val="24"/>
          <w:szCs w:val="24"/>
          <w:lang w:eastAsia="en-GB"/>
        </w:rPr>
        <w:fldChar w:fldCharType="separate"/>
      </w:r>
      <w:r w:rsidR="00A62379" w:rsidRPr="00076C37">
        <w:rPr>
          <w:rFonts w:ascii="Times New Roman" w:eastAsia="Times New Roman" w:hAnsi="Times New Roman" w:cs="Times New Roman"/>
          <w:noProof/>
          <w:color w:val="000000"/>
          <w:sz w:val="24"/>
          <w:szCs w:val="24"/>
          <w:lang w:eastAsia="en-GB"/>
        </w:rPr>
        <w:t>[2]</w:t>
      </w:r>
      <w:r w:rsidRPr="00C647C2">
        <w:rPr>
          <w:rFonts w:ascii="Times New Roman" w:eastAsia="Times New Roman" w:hAnsi="Times New Roman" w:cs="Times New Roman"/>
          <w:color w:val="000000"/>
          <w:sz w:val="24"/>
          <w:szCs w:val="24"/>
          <w:lang w:eastAsia="en-GB"/>
        </w:rPr>
        <w:fldChar w:fldCharType="end"/>
      </w:r>
      <w:r w:rsidR="006A032B">
        <w:rPr>
          <w:rFonts w:ascii="Times New Roman" w:eastAsia="Times New Roman" w:hAnsi="Times New Roman" w:cs="Times New Roman"/>
          <w:color w:val="000000"/>
          <w:sz w:val="24"/>
          <w:szCs w:val="24"/>
          <w:lang w:eastAsia="en-GB"/>
        </w:rPr>
        <w:t>;</w:t>
      </w:r>
      <w:r w:rsidRPr="00076C37">
        <w:rPr>
          <w:rFonts w:ascii="Times New Roman" w:eastAsia="Times New Roman" w:hAnsi="Times New Roman" w:cs="Times New Roman"/>
          <w:color w:val="000000"/>
          <w:sz w:val="24"/>
          <w:szCs w:val="24"/>
          <w:lang w:eastAsia="en-GB"/>
        </w:rPr>
        <w:t xml:space="preserve"> and </w:t>
      </w:r>
      <w:r w:rsidR="006A032B">
        <w:rPr>
          <w:rFonts w:ascii="Times New Roman" w:eastAsia="Times New Roman" w:hAnsi="Times New Roman" w:cs="Times New Roman"/>
          <w:color w:val="000000"/>
          <w:sz w:val="24"/>
          <w:szCs w:val="24"/>
          <w:lang w:eastAsia="en-GB"/>
        </w:rPr>
        <w:t xml:space="preserve">high quality </w:t>
      </w:r>
      <w:r w:rsidRPr="00076C37">
        <w:rPr>
          <w:rFonts w:ascii="Times New Roman" w:eastAsia="Times New Roman" w:hAnsi="Times New Roman" w:cs="Times New Roman"/>
          <w:color w:val="000000"/>
          <w:sz w:val="24"/>
          <w:szCs w:val="24"/>
          <w:lang w:eastAsia="en-GB"/>
        </w:rPr>
        <w:t>science with the data.</w:t>
      </w:r>
      <w:r w:rsidR="00076C37" w:rsidRPr="00644E18">
        <w:rPr>
          <w:rFonts w:ascii="Times New Roman" w:hAnsi="Times New Roman" w:cs="Times New Roman"/>
          <w:sz w:val="24"/>
          <w:szCs w:val="24"/>
        </w:rPr>
        <w:t xml:space="preserve"> An a</w:t>
      </w:r>
      <w:r w:rsidR="00076C37" w:rsidRPr="00076C37">
        <w:rPr>
          <w:rFonts w:ascii="Times New Roman" w:eastAsia="Times New Roman" w:hAnsi="Times New Roman" w:cs="Times New Roman"/>
          <w:color w:val="000000"/>
          <w:sz w:val="24"/>
          <w:szCs w:val="24"/>
          <w:lang w:eastAsia="en-GB"/>
        </w:rPr>
        <w:t>nalysis of opinions expressed on Twitter</w:t>
      </w:r>
      <w:r w:rsidR="00076C37">
        <w:rPr>
          <w:rFonts w:ascii="Times New Roman" w:eastAsia="Times New Roman" w:hAnsi="Times New Roman" w:cs="Times New Roman"/>
          <w:color w:val="000000"/>
          <w:sz w:val="24"/>
          <w:szCs w:val="24"/>
          <w:lang w:eastAsia="en-GB"/>
        </w:rPr>
        <w:t xml:space="preserve"> reported concerns </w:t>
      </w:r>
      <w:r w:rsidR="006A032B">
        <w:rPr>
          <w:rFonts w:ascii="Times New Roman" w:eastAsia="Times New Roman" w:hAnsi="Times New Roman" w:cs="Times New Roman"/>
          <w:color w:val="000000"/>
          <w:sz w:val="24"/>
          <w:szCs w:val="24"/>
          <w:lang w:eastAsia="en-GB"/>
        </w:rPr>
        <w:t>about:</w:t>
      </w:r>
      <w:r w:rsidR="00076C37">
        <w:rPr>
          <w:rFonts w:ascii="Times New Roman" w:eastAsia="Times New Roman" w:hAnsi="Times New Roman" w:cs="Times New Roman"/>
          <w:color w:val="000000"/>
          <w:sz w:val="24"/>
          <w:szCs w:val="24"/>
          <w:lang w:eastAsia="en-GB"/>
        </w:rPr>
        <w:t xml:space="preserve"> </w:t>
      </w:r>
      <w:r w:rsidR="00076C37" w:rsidRPr="00644E18">
        <w:rPr>
          <w:rFonts w:ascii="Times New Roman" w:eastAsia="Times New Roman" w:hAnsi="Times New Roman" w:cs="Times New Roman"/>
          <w:color w:val="000000"/>
          <w:sz w:val="24"/>
          <w:szCs w:val="24"/>
          <w:lang w:eastAsia="en-GB"/>
        </w:rPr>
        <w:t>informed consent and the default 'opt-in'</w:t>
      </w:r>
      <w:r w:rsidR="006A032B">
        <w:rPr>
          <w:rFonts w:ascii="Times New Roman" w:eastAsia="Times New Roman" w:hAnsi="Times New Roman" w:cs="Times New Roman"/>
          <w:color w:val="000000"/>
          <w:sz w:val="24"/>
          <w:szCs w:val="24"/>
          <w:lang w:eastAsia="en-GB"/>
        </w:rPr>
        <w:t xml:space="preserve">; </w:t>
      </w:r>
      <w:r w:rsidR="00076C37" w:rsidRPr="00644E18">
        <w:rPr>
          <w:rFonts w:ascii="Times New Roman" w:eastAsia="Times New Roman" w:hAnsi="Times New Roman" w:cs="Times New Roman"/>
          <w:color w:val="000000"/>
          <w:sz w:val="24"/>
          <w:szCs w:val="24"/>
          <w:lang w:eastAsia="en-GB"/>
        </w:rPr>
        <w:t>trust</w:t>
      </w:r>
      <w:r w:rsidR="006A032B">
        <w:rPr>
          <w:rFonts w:ascii="Times New Roman" w:eastAsia="Times New Roman" w:hAnsi="Times New Roman" w:cs="Times New Roman"/>
          <w:color w:val="000000"/>
          <w:sz w:val="24"/>
          <w:szCs w:val="24"/>
          <w:lang w:eastAsia="en-GB"/>
        </w:rPr>
        <w:t>;</w:t>
      </w:r>
      <w:r w:rsidR="00076C37" w:rsidRPr="00644E18">
        <w:rPr>
          <w:rFonts w:ascii="Times New Roman" w:eastAsia="Times New Roman" w:hAnsi="Times New Roman" w:cs="Times New Roman"/>
          <w:color w:val="000000"/>
          <w:sz w:val="24"/>
          <w:szCs w:val="24"/>
          <w:lang w:eastAsia="en-GB"/>
        </w:rPr>
        <w:t xml:space="preserve"> privacy and</w:t>
      </w:r>
      <w:r w:rsidR="006A032B">
        <w:rPr>
          <w:rFonts w:ascii="Times New Roman" w:eastAsia="Times New Roman" w:hAnsi="Times New Roman" w:cs="Times New Roman"/>
          <w:color w:val="000000"/>
          <w:sz w:val="24"/>
          <w:szCs w:val="24"/>
          <w:lang w:eastAsia="en-GB"/>
        </w:rPr>
        <w:t xml:space="preserve"> </w:t>
      </w:r>
      <w:r w:rsidR="00076C37" w:rsidRPr="00644E18">
        <w:rPr>
          <w:rFonts w:ascii="Times New Roman" w:eastAsia="Times New Roman" w:hAnsi="Times New Roman" w:cs="Times New Roman"/>
          <w:color w:val="000000"/>
          <w:sz w:val="24"/>
          <w:szCs w:val="24"/>
          <w:lang w:eastAsia="en-GB"/>
        </w:rPr>
        <w:t>data</w:t>
      </w:r>
      <w:r w:rsidR="006A032B">
        <w:rPr>
          <w:rFonts w:ascii="Times New Roman" w:eastAsia="Times New Roman" w:hAnsi="Times New Roman" w:cs="Times New Roman"/>
          <w:color w:val="000000"/>
          <w:sz w:val="24"/>
          <w:szCs w:val="24"/>
          <w:lang w:eastAsia="en-GB"/>
        </w:rPr>
        <w:t xml:space="preserve"> </w:t>
      </w:r>
      <w:r w:rsidR="00076C37" w:rsidRPr="00644E18">
        <w:rPr>
          <w:rFonts w:ascii="Times New Roman" w:eastAsia="Times New Roman" w:hAnsi="Times New Roman" w:cs="Times New Roman"/>
          <w:color w:val="000000"/>
          <w:sz w:val="24"/>
          <w:szCs w:val="24"/>
          <w:lang w:eastAsia="en-GB"/>
        </w:rPr>
        <w:t>security</w:t>
      </w:r>
      <w:r w:rsidR="006A032B">
        <w:rPr>
          <w:rFonts w:ascii="Times New Roman" w:eastAsia="Times New Roman" w:hAnsi="Times New Roman" w:cs="Times New Roman"/>
          <w:color w:val="000000"/>
          <w:sz w:val="24"/>
          <w:szCs w:val="24"/>
          <w:lang w:eastAsia="en-GB"/>
        </w:rPr>
        <w:t xml:space="preserve">; the </w:t>
      </w:r>
      <w:r w:rsidR="00076C37" w:rsidRPr="00644E18">
        <w:rPr>
          <w:rFonts w:ascii="Times New Roman" w:eastAsia="Times New Roman" w:hAnsi="Times New Roman" w:cs="Times New Roman"/>
          <w:color w:val="000000"/>
          <w:sz w:val="24"/>
          <w:szCs w:val="24"/>
          <w:lang w:eastAsia="en-GB"/>
        </w:rPr>
        <w:t>involvement of private companies</w:t>
      </w:r>
      <w:r w:rsidR="006A032B">
        <w:rPr>
          <w:rFonts w:ascii="Times New Roman" w:eastAsia="Times New Roman" w:hAnsi="Times New Roman" w:cs="Times New Roman"/>
          <w:color w:val="000000"/>
          <w:sz w:val="24"/>
          <w:szCs w:val="24"/>
          <w:lang w:eastAsia="en-GB"/>
        </w:rPr>
        <w:t>;</w:t>
      </w:r>
      <w:r w:rsidR="00076C37" w:rsidRPr="00644E18">
        <w:rPr>
          <w:rFonts w:ascii="Times New Roman" w:eastAsia="Times New Roman" w:hAnsi="Times New Roman" w:cs="Times New Roman"/>
          <w:color w:val="000000"/>
          <w:sz w:val="24"/>
          <w:szCs w:val="24"/>
          <w:lang w:eastAsia="en-GB"/>
        </w:rPr>
        <w:t xml:space="preserve"> legal issues</w:t>
      </w:r>
      <w:r w:rsidR="006A032B">
        <w:rPr>
          <w:rFonts w:ascii="Times New Roman" w:eastAsia="Times New Roman" w:hAnsi="Times New Roman" w:cs="Times New Roman"/>
          <w:color w:val="000000"/>
          <w:sz w:val="24"/>
          <w:szCs w:val="24"/>
          <w:lang w:eastAsia="en-GB"/>
        </w:rPr>
        <w:t>;</w:t>
      </w:r>
      <w:r w:rsidR="00076C37" w:rsidRPr="00644E18">
        <w:rPr>
          <w:rFonts w:ascii="Times New Roman" w:eastAsia="Times New Roman" w:hAnsi="Times New Roman" w:cs="Times New Roman"/>
          <w:color w:val="000000"/>
          <w:sz w:val="24"/>
          <w:szCs w:val="24"/>
          <w:lang w:eastAsia="en-GB"/>
        </w:rPr>
        <w:t xml:space="preserve"> GPs' concerns</w:t>
      </w:r>
      <w:r w:rsidR="006A032B">
        <w:rPr>
          <w:rFonts w:ascii="Times New Roman" w:eastAsia="Times New Roman" w:hAnsi="Times New Roman" w:cs="Times New Roman"/>
          <w:color w:val="000000"/>
          <w:sz w:val="24"/>
          <w:szCs w:val="24"/>
          <w:lang w:eastAsia="en-GB"/>
        </w:rPr>
        <w:t>;</w:t>
      </w:r>
      <w:r w:rsidR="00076C37" w:rsidRPr="00644E18">
        <w:rPr>
          <w:rFonts w:ascii="Times New Roman" w:eastAsia="Times New Roman" w:hAnsi="Times New Roman" w:cs="Times New Roman"/>
          <w:color w:val="000000"/>
          <w:sz w:val="24"/>
          <w:szCs w:val="24"/>
          <w:lang w:eastAsia="en-GB"/>
        </w:rPr>
        <w:t xml:space="preserve"> </w:t>
      </w:r>
      <w:r w:rsidR="006A032B">
        <w:rPr>
          <w:rFonts w:ascii="Times New Roman" w:eastAsia="Times New Roman" w:hAnsi="Times New Roman" w:cs="Times New Roman"/>
          <w:color w:val="000000"/>
          <w:sz w:val="24"/>
          <w:szCs w:val="24"/>
          <w:lang w:eastAsia="en-GB"/>
        </w:rPr>
        <w:t xml:space="preserve">and </w:t>
      </w:r>
      <w:r w:rsidR="00076C37" w:rsidRPr="00644E18">
        <w:rPr>
          <w:rFonts w:ascii="Times New Roman" w:eastAsia="Times New Roman" w:hAnsi="Times New Roman" w:cs="Times New Roman"/>
          <w:color w:val="000000"/>
          <w:sz w:val="24"/>
          <w:szCs w:val="24"/>
          <w:lang w:eastAsia="en-GB"/>
        </w:rPr>
        <w:t>communication failur</w:t>
      </w:r>
      <w:r w:rsidR="00076C37">
        <w:rPr>
          <w:rFonts w:ascii="Times New Roman" w:eastAsia="Times New Roman" w:hAnsi="Times New Roman" w:cs="Times New Roman"/>
          <w:color w:val="000000"/>
          <w:sz w:val="24"/>
          <w:szCs w:val="24"/>
          <w:lang w:eastAsia="en-GB"/>
        </w:rPr>
        <w:t>e</w:t>
      </w:r>
      <w:r w:rsidR="006A032B">
        <w:rPr>
          <w:rFonts w:ascii="Times New Roman" w:eastAsia="Times New Roman" w:hAnsi="Times New Roman" w:cs="Times New Roman"/>
          <w:color w:val="000000"/>
          <w:sz w:val="24"/>
          <w:szCs w:val="24"/>
          <w:lang w:eastAsia="en-GB"/>
        </w:rPr>
        <w:t>s</w:t>
      </w:r>
      <w:r w:rsidR="00076C37">
        <w:rPr>
          <w:rFonts w:ascii="Times New Roman" w:eastAsia="Times New Roman" w:hAnsi="Times New Roman" w:cs="Times New Roman"/>
          <w:color w:val="000000"/>
          <w:sz w:val="24"/>
          <w:szCs w:val="24"/>
          <w:lang w:eastAsia="en-GB"/>
        </w:rPr>
        <w:t xml:space="preserve"> </w:t>
      </w:r>
      <w:r w:rsidR="006A032B">
        <w:rPr>
          <w:rFonts w:ascii="Times New Roman" w:eastAsia="Times New Roman" w:hAnsi="Times New Roman" w:cs="Times New Roman"/>
          <w:color w:val="000000"/>
          <w:sz w:val="24"/>
          <w:szCs w:val="24"/>
          <w:lang w:eastAsia="en-GB"/>
        </w:rPr>
        <w:t xml:space="preserve">resulting in </w:t>
      </w:r>
      <w:r w:rsidR="00076C37">
        <w:rPr>
          <w:rFonts w:ascii="Times New Roman" w:eastAsia="Times New Roman" w:hAnsi="Times New Roman" w:cs="Times New Roman"/>
          <w:color w:val="000000"/>
          <w:sz w:val="24"/>
          <w:szCs w:val="24"/>
          <w:lang w:eastAsia="en-GB"/>
        </w:rPr>
        <w:t xml:space="preserve">confusion about </w:t>
      </w:r>
      <w:r w:rsidR="00076C37" w:rsidRPr="00644E18">
        <w:rPr>
          <w:rFonts w:ascii="Times New Roman" w:eastAsia="Times New Roman" w:hAnsi="Times New Roman" w:cs="Times New Roman"/>
          <w:i/>
          <w:color w:val="000000"/>
          <w:sz w:val="24"/>
          <w:szCs w:val="24"/>
          <w:lang w:eastAsia="en-GB"/>
        </w:rPr>
        <w:t>care.data</w:t>
      </w:r>
      <w:r w:rsidR="00076C37">
        <w:rPr>
          <w:rFonts w:ascii="Times New Roman" w:eastAsia="Times New Roman" w:hAnsi="Times New Roman" w:cs="Times New Roman"/>
          <w:color w:val="000000"/>
          <w:sz w:val="24"/>
          <w:szCs w:val="24"/>
          <w:lang w:eastAsia="en-GB"/>
        </w:rPr>
        <w:t xml:space="preserve"> </w:t>
      </w:r>
      <w:r w:rsidR="00076C37">
        <w:rPr>
          <w:rFonts w:ascii="Times New Roman" w:eastAsia="Times New Roman" w:hAnsi="Times New Roman" w:cs="Times New Roman"/>
          <w:color w:val="000000"/>
          <w:sz w:val="24"/>
          <w:szCs w:val="24"/>
          <w:lang w:eastAsia="en-GB"/>
        </w:rPr>
        <w:fldChar w:fldCharType="begin" w:fldLock="1"/>
      </w:r>
      <w:r w:rsidR="00EA114B">
        <w:rPr>
          <w:rFonts w:ascii="Times New Roman" w:eastAsia="Times New Roman" w:hAnsi="Times New Roman" w:cs="Times New Roman"/>
          <w:color w:val="000000"/>
          <w:sz w:val="24"/>
          <w:szCs w:val="24"/>
          <w:lang w:eastAsia="en-GB"/>
        </w:rPr>
        <w:instrText>ADDIN CSL_CITATION { "citationItems" : [ { "id" : "ITEM-1", "itemData" : { "DOI" : "10.1186/s12889-015-2180-9", "ISSN" : "1471-2458", "PMID" : "26329489", "abstract" : "BACKGROUND: Large, integrated datasets can be used to improve the identification and management of health conditions. However, big data initiatives are controversial because of risks to privacy. In 2014, NHS England launched a public awareness campaign about the care.data project, whereby data from patients' medical records would be regularly uploaded to a central database. Details of the project sparked intense debate across a number of platforms, including social media sites such as Twitter. Twitter is increasingly being used to educate and inform patients and care providers, and as a source of data for health services research. The aim of the study was to identify and describe the range of opinions expressed about care.data on Twitter for the period during which a delay to this project was announced, and provide insight into the strengths and flaws of the project.\n\nMETHODS: Tweets with the hashtag #caredata were collected using the NCapture tool for NVivo. Methods of qualitative data analysis were used to identify emerging themes. Tweets were coded and analysed in-depth within and across themes.\n\nRESULTS: The dataset consisted of 9895 tweets, captured over 18 days during February and March 2014. Retweets (6118, 62%) and spam (240, 2%) were excluded. The remaining 3537 tweets were posted by 904 contributors, and coded into one or more of 50 sub-themes, which were organised into 9 key themes. These were: informed consent and the default 'opt-in', trust, privacy and data security, involvement of private companies, legal issues and GPs' concerns, communication failure and confusion about care.data, delayed implementation, patient-centeredness, and potential of care.data and the ideal model of implementation.\n\nCONCLUSIONS: Various concerns were raised about care.data that appeared to be shared by those both for and against the project. Qualitatively analysing tweets enabled us to identify a range of concerns about care.data and how these might be overcome, for example, by increasing the involvement of stakeholders and those with expert knowledge. Our findings also highlight the risks of not considering public opinion, such as the potential for patient safety failures resulting from a lack of trust in the healthcare system. However, caution is advised if using Twitter as a stand-alone data source, as contributors may lie more heavily on one side of a debate than another. A mixed-methods approach would have enabled us to complement this data with a more rep\u2026", "author" : [ { "dropping-particle" : "", "family" : "Hays", "given" : "Rebecca", "non-dropping-particle" : "", "parse-names" : false, "suffix" : "" }, { "dropping-particle" : "", "family" : "Daker-White", "given" : "Gavin", "non-dropping-particle" : "", "parse-names" : false, "suffix" : "" } ], "container-title" : "BMC public health", "id" : "ITEM-1", "issued" : { "date-parts" : [ [ "2015", "1" ] ] }, "page" : "838", "title" : "The care.data consensus? A qualitative analysis of opinions expressed on Twitter.", "type" : "article-journal", "volume" : "15" }, "uris" : [ "http://www.mendeley.com/documents/?uuid=0f377f7e-7cec-45e0-aa9f-22519c6795dd" ] } ], "mendeley" : { "formattedCitation" : "[3]", "plainTextFormattedCitation" : "[3]", "previouslyFormattedCitation" : "[3]" }, "properties" : { "noteIndex" : 0 }, "schema" : "https://github.com/citation-style-language/schema/raw/master/csl-citation.json" }</w:instrText>
      </w:r>
      <w:r w:rsidR="00076C37">
        <w:rPr>
          <w:rFonts w:ascii="Times New Roman" w:eastAsia="Times New Roman" w:hAnsi="Times New Roman" w:cs="Times New Roman"/>
          <w:color w:val="000000"/>
          <w:sz w:val="24"/>
          <w:szCs w:val="24"/>
          <w:lang w:eastAsia="en-GB"/>
        </w:rPr>
        <w:fldChar w:fldCharType="separate"/>
      </w:r>
      <w:r w:rsidR="00076C37" w:rsidRPr="00076C37">
        <w:rPr>
          <w:rFonts w:ascii="Times New Roman" w:eastAsia="Times New Roman" w:hAnsi="Times New Roman" w:cs="Times New Roman"/>
          <w:noProof/>
          <w:color w:val="000000"/>
          <w:sz w:val="24"/>
          <w:szCs w:val="24"/>
          <w:lang w:eastAsia="en-GB"/>
        </w:rPr>
        <w:t>[3]</w:t>
      </w:r>
      <w:r w:rsidR="00076C37">
        <w:rPr>
          <w:rFonts w:ascii="Times New Roman" w:eastAsia="Times New Roman" w:hAnsi="Times New Roman" w:cs="Times New Roman"/>
          <w:color w:val="000000"/>
          <w:sz w:val="24"/>
          <w:szCs w:val="24"/>
          <w:lang w:eastAsia="en-GB"/>
        </w:rPr>
        <w:fldChar w:fldCharType="end"/>
      </w:r>
      <w:r w:rsidR="00076C37">
        <w:rPr>
          <w:rFonts w:ascii="Times New Roman" w:eastAsia="Times New Roman" w:hAnsi="Times New Roman" w:cs="Times New Roman"/>
          <w:color w:val="000000"/>
          <w:sz w:val="24"/>
          <w:szCs w:val="24"/>
          <w:lang w:eastAsia="en-GB"/>
        </w:rPr>
        <w:t xml:space="preserve">. </w:t>
      </w:r>
      <w:r w:rsidR="00076C37">
        <w:rPr>
          <w:rFonts w:ascii="Times New Roman" w:hAnsi="Times New Roman" w:cs="Times New Roman"/>
          <w:sz w:val="24"/>
          <w:szCs w:val="24"/>
          <w:shd w:val="clear" w:color="auto" w:fill="FFFFFF"/>
        </w:rPr>
        <w:t>T</w:t>
      </w:r>
      <w:r w:rsidR="00076C37" w:rsidRPr="00977DD0">
        <w:rPr>
          <w:rFonts w:ascii="Times New Roman" w:hAnsi="Times New Roman" w:cs="Times New Roman"/>
          <w:sz w:val="24"/>
          <w:szCs w:val="24"/>
          <w:shd w:val="clear" w:color="auto" w:fill="FFFFFF"/>
        </w:rPr>
        <w:t xml:space="preserve">he </w:t>
      </w:r>
      <w:r w:rsidR="00076C37">
        <w:rPr>
          <w:rFonts w:ascii="Times New Roman" w:hAnsi="Times New Roman" w:cs="Times New Roman"/>
          <w:sz w:val="24"/>
          <w:szCs w:val="24"/>
          <w:shd w:val="clear" w:color="auto" w:fill="FFFFFF"/>
        </w:rPr>
        <w:t xml:space="preserve">public information campaign </w:t>
      </w:r>
      <w:r w:rsidR="00EF6A4F">
        <w:rPr>
          <w:rFonts w:ascii="Times New Roman" w:hAnsi="Times New Roman" w:cs="Times New Roman"/>
          <w:sz w:val="24"/>
          <w:szCs w:val="24"/>
          <w:shd w:val="clear" w:color="auto" w:fill="FFFFFF"/>
        </w:rPr>
        <w:t>and the inform</w:t>
      </w:r>
      <w:r w:rsidR="0024531E">
        <w:rPr>
          <w:rFonts w:ascii="Times New Roman" w:hAnsi="Times New Roman" w:cs="Times New Roman"/>
          <w:sz w:val="24"/>
          <w:szCs w:val="24"/>
          <w:shd w:val="clear" w:color="auto" w:fill="FFFFFF"/>
        </w:rPr>
        <w:t xml:space="preserve">ation leaflets </w:t>
      </w:r>
      <w:r w:rsidR="00076C37">
        <w:rPr>
          <w:rFonts w:ascii="Times New Roman" w:hAnsi="Times New Roman" w:cs="Times New Roman"/>
          <w:sz w:val="24"/>
          <w:szCs w:val="24"/>
          <w:shd w:val="clear" w:color="auto" w:fill="FFFFFF"/>
        </w:rPr>
        <w:t xml:space="preserve">of </w:t>
      </w:r>
      <w:r w:rsidR="00076C37" w:rsidRPr="00300A57">
        <w:rPr>
          <w:rFonts w:ascii="Times New Roman" w:hAnsi="Times New Roman" w:cs="Times New Roman"/>
          <w:i/>
          <w:sz w:val="24"/>
          <w:szCs w:val="24"/>
          <w:shd w:val="clear" w:color="auto" w:fill="FFFFFF"/>
        </w:rPr>
        <w:t>care.data</w:t>
      </w:r>
      <w:r w:rsidR="00076C37">
        <w:rPr>
          <w:rFonts w:ascii="Times New Roman" w:hAnsi="Times New Roman" w:cs="Times New Roman"/>
          <w:sz w:val="24"/>
          <w:szCs w:val="24"/>
          <w:shd w:val="clear" w:color="auto" w:fill="FFFFFF"/>
        </w:rPr>
        <w:t xml:space="preserve"> gave no clarity on how the system would work, including the opt-out arrangements and the sharing of personal information with commercial organisations </w:t>
      </w:r>
      <w:r w:rsidR="00076C37">
        <w:rPr>
          <w:rFonts w:ascii="Times New Roman" w:hAnsi="Times New Roman" w:cs="Times New Roman"/>
          <w:sz w:val="24"/>
          <w:szCs w:val="24"/>
          <w:shd w:val="clear" w:color="auto" w:fill="FFFFFF"/>
        </w:rPr>
        <w:fldChar w:fldCharType="begin" w:fldLock="1"/>
      </w:r>
      <w:r w:rsidR="00EC22EF">
        <w:rPr>
          <w:rFonts w:ascii="Times New Roman" w:hAnsi="Times New Roman" w:cs="Times New Roman"/>
          <w:sz w:val="24"/>
          <w:szCs w:val="24"/>
          <w:shd w:val="clear" w:color="auto" w:fill="FFFFFF"/>
        </w:rPr>
        <w:instrText>ADDIN CSL_CITATION { "citationID" : "cqgjol4uk", "citationItems" : [ { "id" : "ITEM-1", "itemData" : { "ISSN" : "0261-3077", "abstract" : "Ben Goldacre: Medical data has huge power to do good, but it presents risks too. When leaked, it cannot be unleaked. When lost, public trust cannot be easily regained", "author" : [ { "dropping-particle" : "", "family" : "Goldacre", "given" : "Ben", "non-dropping-particle" : "", "parse-names" : false, "suffix" : "" } ], "container-title" : "The Guardian", "id" : "ITEM-1", "issued" : { "date-parts" : [ [ "2014", "2" ] ] }, "language" : "en-GB", "title" : "Care.data is in chaos. It breaks my heart", "type" : "article-newspaper" }, "uri" : [ "http://zotero.org/users/17430/items/MTPW7BRE" ], "uris" : [ "http://zotero.org/users/17430/items/MTPW7BRE", "http://www.mendeley.com/documents/?uuid=68e92ede-68d7-4306-ac6d-e63e86eccb65" ] }, { "id" : "ITEM-2", "itemData" : { "ISSN" : "0261-3077", "abstract" : "Ben Goldacre: Care.data, the grand project to make the medical records of the UK population available for scientific and commercial use, is not inherently evil \u2013 far from it \u2013 but its execution has been badly bungled. Here's how the government can regain our trust", "author" : [ { "dropping-particle" : "", "family" : "Goldacre", "given" : "Ben", "non-dropping-particle" : "", "parse-names" : false, "suffix" : "" } ], "container-title" : "The Guardian", "id" : "ITEM-2", "issued" : { "date-parts" : [ [ "2014", "2" ] ] }, "language" : "en-GB", "title" : "The NHS plan to share our medical data can save lives \u2013 but must be done right", "type" : "article-newspaper" }, "uri" : [ "http://zotero.org/users/17430/items/HHHK5MAK" ], "uris" : [ "http://zotero.org/users/17430/items/HHHK5MAK", "http://www.mendeley.com/documents/?uuid=f07719d6-0043-4176-97d7-2200edeea710" ] } ], "mendeley" : { "formattedCitation" : "[4,5]", "plainTextFormattedCitation" : "[4,5]", "previouslyFormattedCitation" : "[4,5]" }, "properties" : { "formattedCitation" : "(2,3)", "noteIndex" : 0, "plainCitation" : "(2,3)" }, "schema" : "https://github.com/citation-style-language/schema/raw/master/csl-citation.json" }</w:instrText>
      </w:r>
      <w:r w:rsidR="00076C37">
        <w:rPr>
          <w:rFonts w:ascii="Times New Roman" w:hAnsi="Times New Roman" w:cs="Times New Roman"/>
          <w:sz w:val="24"/>
          <w:szCs w:val="24"/>
          <w:shd w:val="clear" w:color="auto" w:fill="FFFFFF"/>
        </w:rPr>
        <w:fldChar w:fldCharType="separate"/>
      </w:r>
      <w:r w:rsidR="00EA114B" w:rsidRPr="00EA114B">
        <w:rPr>
          <w:rFonts w:ascii="Times New Roman" w:hAnsi="Times New Roman" w:cs="Times New Roman"/>
          <w:noProof/>
          <w:sz w:val="24"/>
          <w:szCs w:val="24"/>
          <w:shd w:val="clear" w:color="auto" w:fill="FFFFFF"/>
        </w:rPr>
        <w:t>[4,5]</w:t>
      </w:r>
      <w:r w:rsidR="00076C37">
        <w:rPr>
          <w:rFonts w:ascii="Times New Roman" w:hAnsi="Times New Roman" w:cs="Times New Roman"/>
          <w:sz w:val="24"/>
          <w:szCs w:val="24"/>
          <w:shd w:val="clear" w:color="auto" w:fill="FFFFFF"/>
        </w:rPr>
        <w:fldChar w:fldCharType="end"/>
      </w:r>
      <w:r w:rsidR="00076C37">
        <w:rPr>
          <w:rFonts w:ascii="Times New Roman" w:hAnsi="Times New Roman" w:cs="Times New Roman"/>
          <w:sz w:val="24"/>
          <w:szCs w:val="24"/>
          <w:shd w:val="clear" w:color="auto" w:fill="FFFFFF"/>
        </w:rPr>
        <w:t>.</w:t>
      </w:r>
      <w:r w:rsidR="001F6627">
        <w:rPr>
          <w:rFonts w:ascii="Times New Roman" w:hAnsi="Times New Roman" w:cs="Times New Roman"/>
          <w:sz w:val="24"/>
          <w:szCs w:val="24"/>
          <w:shd w:val="clear" w:color="auto" w:fill="FFFFFF"/>
        </w:rPr>
        <w:t xml:space="preserve"> </w:t>
      </w:r>
      <w:r w:rsidR="008F7363">
        <w:rPr>
          <w:rFonts w:ascii="Times New Roman" w:eastAsia="Times New Roman" w:hAnsi="Times New Roman" w:cs="Times New Roman"/>
          <w:color w:val="000000"/>
          <w:kern w:val="36"/>
          <w:sz w:val="24"/>
          <w:szCs w:val="24"/>
          <w:lang w:eastAsia="en-GB"/>
        </w:rPr>
        <w:t>F</w:t>
      </w:r>
      <w:r w:rsidR="008F7363" w:rsidRPr="00A204B0">
        <w:rPr>
          <w:rFonts w:ascii="Times New Roman" w:eastAsia="Times New Roman" w:hAnsi="Times New Roman" w:cs="Times New Roman"/>
          <w:color w:val="000000"/>
          <w:kern w:val="36"/>
          <w:sz w:val="24"/>
          <w:szCs w:val="24"/>
          <w:lang w:eastAsia="en-GB"/>
        </w:rPr>
        <w:t xml:space="preserve">ailure to </w:t>
      </w:r>
      <w:r w:rsidR="008F7363" w:rsidRPr="00A204B0">
        <w:rPr>
          <w:rFonts w:ascii="Times New Roman" w:hAnsi="Times New Roman" w:cs="Times New Roman"/>
          <w:color w:val="000000"/>
          <w:sz w:val="24"/>
          <w:szCs w:val="24"/>
        </w:rPr>
        <w:t xml:space="preserve">earn the trust and confidence of patients, citizens and healthcare professionals in the use of big data </w:t>
      </w:r>
      <w:r w:rsidR="008F7363">
        <w:rPr>
          <w:rFonts w:ascii="Times New Roman" w:hAnsi="Times New Roman" w:cs="Times New Roman"/>
          <w:color w:val="000000"/>
          <w:sz w:val="24"/>
          <w:szCs w:val="24"/>
        </w:rPr>
        <w:t xml:space="preserve">was a key failing of </w:t>
      </w:r>
      <w:r w:rsidR="008F7363" w:rsidRPr="00BD2D2E">
        <w:rPr>
          <w:rFonts w:ascii="Times New Roman" w:hAnsi="Times New Roman" w:cs="Times New Roman"/>
          <w:i/>
          <w:color w:val="000000"/>
          <w:sz w:val="24"/>
          <w:szCs w:val="24"/>
        </w:rPr>
        <w:t>care.data</w:t>
      </w:r>
      <w:r w:rsidR="008F7363">
        <w:rPr>
          <w:rFonts w:ascii="Times New Roman" w:hAnsi="Times New Roman" w:cs="Times New Roman"/>
          <w:color w:val="000000"/>
          <w:sz w:val="24"/>
          <w:szCs w:val="24"/>
        </w:rPr>
        <w:t xml:space="preserve"> </w:t>
      </w:r>
      <w:r w:rsidR="008F7363" w:rsidRPr="00627F22">
        <w:rPr>
          <w:rFonts w:ascii="Times New Roman" w:hAnsi="Times New Roman" w:cs="Times New Roman"/>
          <w:color w:val="000000"/>
          <w:sz w:val="24"/>
          <w:szCs w:val="24"/>
        </w:rPr>
        <w:fldChar w:fldCharType="begin" w:fldLock="1"/>
      </w:r>
      <w:r w:rsidR="008F7363">
        <w:rPr>
          <w:rFonts w:ascii="Times New Roman" w:hAnsi="Times New Roman" w:cs="Times New Roman"/>
          <w:color w:val="000000"/>
          <w:sz w:val="24"/>
          <w:szCs w:val="24"/>
        </w:rPr>
        <w:instrText>ADDIN CSL_CITATION { "citationID" : "4GGtc69J", "citationItems" : [ { "id" : "ITEM-1", "itemData" : { "DOI" : "10.1136/medethics-2014-102374", "ISSN" : "1473-4257", "PMID" : "25617016", "abstract" : "In this article we draw on the concept of a social licence to explain public concern at the introduction of care.data, a recent English initiative designed to extract data from primary care medical records for commissioning and other purposes, including research. The concept of a social licence describes how the expectations of society regarding some activities may go beyond compliance with the requirements of formal regulation; those who do not fulfil the conditions for the social licence (even if formally compliant) may experience ongoing challenge and contestation. Previous work suggests that people's cooperation with specific research studies depends on their perceptions that their participation is voluntary and is governed by values of reciprocity, non-exploitation and service of the public good. When these conditions are not seen to obtain, threats to the social licence for research may emerge. We propose that care.data failed to adequately secure a social licence because of: (i) defects in the warrants of trust provided for care.data, (ii) the implied rupture in the traditional role, expectations and duties of general practitioners, and (iii) uncertainty about the status of care.data as a public good. The concept of a social licence may be useful in explaining the specifics of care.data, and also in reinforcing the more general lesson for policy-makers that legal authority does not necessarily command social legitimacy.", "author" : [ { "dropping-particle" : "", "family" : "Carter", "given" : "Pam", "non-dropping-particle" : "", "parse-names" : false, "suffix" : "" }, { "dropping-particle" : "", "family" : "Laurie", "given" : "Graeme T", "non-dropping-particle" : "", "parse-names" : false, "suffix" : "" }, { "dropping-particle" : "", "family" : "Dixon-Woods", "given" : "Mary", "non-dropping-particle" : "", "parse-names" : false, "suffix" : "" } ], "container-title" : "Journal of medical ethics", "id" : "ITEM-1", "issue" : "5", "issued" : { "date-parts" : [ [ "2015", "5" ] ] }, "page" : "404-9", "title" : "The social licence for research: why care.data ran into trouble.", "type" : "article-journal", "volume" : "41" }, "uri" : [ "http://www.mendeley.com/documents/?uuid=41a6ab9a-5d67-4ae9-8799-5d9131f173ee" ], "uris" : [ "http://www.mendeley.com/documents/?uuid=41a6ab9a-5d67-4ae9-8799-5d9131f173ee" ] } ], "mendeley" : { "formattedCitation" : "[2]", "plainTextFormattedCitation" : "[2]", "previouslyFormattedCitation" : "[2]" }, "properties" : { "formattedCitation" : "(4)", "noteIndex" : 0, "plainCitation" : "(4)" }, "schema" : "https://github.com/citation-style-language/schema/raw/master/csl-citation.json" }</w:instrText>
      </w:r>
      <w:r w:rsidR="008F7363" w:rsidRPr="00627F22">
        <w:rPr>
          <w:rFonts w:ascii="Times New Roman" w:hAnsi="Times New Roman" w:cs="Times New Roman"/>
          <w:color w:val="000000"/>
          <w:sz w:val="24"/>
          <w:szCs w:val="24"/>
        </w:rPr>
        <w:fldChar w:fldCharType="separate"/>
      </w:r>
      <w:r w:rsidR="008F7363" w:rsidRPr="00A62379">
        <w:rPr>
          <w:rFonts w:ascii="Times New Roman" w:hAnsi="Times New Roman" w:cs="Times New Roman"/>
          <w:noProof/>
          <w:color w:val="000000"/>
          <w:sz w:val="24"/>
          <w:szCs w:val="24"/>
        </w:rPr>
        <w:t>[2]</w:t>
      </w:r>
      <w:r w:rsidR="008F7363" w:rsidRPr="00627F22">
        <w:rPr>
          <w:rFonts w:ascii="Times New Roman" w:hAnsi="Times New Roman" w:cs="Times New Roman"/>
          <w:color w:val="000000"/>
          <w:sz w:val="24"/>
          <w:szCs w:val="24"/>
        </w:rPr>
        <w:fldChar w:fldCharType="end"/>
      </w:r>
      <w:r w:rsidR="008F7363" w:rsidRPr="00A204B0">
        <w:rPr>
          <w:rFonts w:ascii="Times New Roman" w:hAnsi="Times New Roman" w:cs="Times New Roman"/>
          <w:color w:val="000000"/>
          <w:sz w:val="24"/>
          <w:szCs w:val="24"/>
        </w:rPr>
        <w:t xml:space="preserve">. </w:t>
      </w:r>
      <w:r w:rsidR="00C647C2">
        <w:rPr>
          <w:rFonts w:ascii="Times New Roman" w:hAnsi="Times New Roman" w:cs="Times New Roman"/>
          <w:color w:val="000000"/>
          <w:sz w:val="24"/>
          <w:szCs w:val="24"/>
        </w:rPr>
        <w:t xml:space="preserve">The leaflet on </w:t>
      </w:r>
      <w:r w:rsidR="00C647C2" w:rsidRPr="00BD2D2E">
        <w:rPr>
          <w:rFonts w:ascii="Times New Roman" w:hAnsi="Times New Roman" w:cs="Times New Roman"/>
          <w:i/>
          <w:color w:val="000000"/>
          <w:sz w:val="24"/>
          <w:szCs w:val="24"/>
        </w:rPr>
        <w:t>care.data</w:t>
      </w:r>
      <w:r w:rsidR="00C647C2">
        <w:rPr>
          <w:rFonts w:ascii="Times New Roman" w:hAnsi="Times New Roman" w:cs="Times New Roman"/>
          <w:color w:val="000000"/>
          <w:sz w:val="24"/>
          <w:szCs w:val="24"/>
        </w:rPr>
        <w:t xml:space="preserve"> delivered to every household in England did not mention research benefits.</w:t>
      </w:r>
    </w:p>
    <w:p w14:paraId="009A1085" w14:textId="77777777" w:rsidR="00C647C2" w:rsidRDefault="00C647C2" w:rsidP="00A93E92">
      <w:pPr>
        <w:spacing w:after="0" w:line="240" w:lineRule="auto"/>
        <w:rPr>
          <w:rFonts w:ascii="Times New Roman" w:hAnsi="Times New Roman" w:cs="Times New Roman"/>
          <w:color w:val="000000"/>
          <w:sz w:val="24"/>
          <w:szCs w:val="24"/>
        </w:rPr>
      </w:pPr>
    </w:p>
    <w:p w14:paraId="65D916DB" w14:textId="29A243F7" w:rsidR="00C827E2" w:rsidRDefault="00842A75" w:rsidP="00404D27">
      <w:pPr>
        <w:pStyle w:val="CommentText"/>
        <w:rPr>
          <w:rFonts w:ascii="Times New Roman" w:hAnsi="Times New Roman" w:cs="Times New Roman"/>
          <w:color w:val="000000"/>
        </w:rPr>
      </w:pPr>
      <w:r>
        <w:rPr>
          <w:rFonts w:ascii="Times New Roman" w:hAnsi="Times New Roman" w:cs="Times New Roman"/>
          <w:color w:val="000000"/>
        </w:rPr>
        <w:t>A recent literature review found that m</w:t>
      </w:r>
      <w:r w:rsidRPr="00A070AA">
        <w:rPr>
          <w:rFonts w:ascii="Times New Roman" w:hAnsi="Times New Roman" w:cs="Times New Roman"/>
          <w:color w:val="000000"/>
        </w:rPr>
        <w:t xml:space="preserve">embers of the public often have </w:t>
      </w:r>
      <w:r w:rsidR="006A032B">
        <w:rPr>
          <w:rFonts w:ascii="Times New Roman" w:hAnsi="Times New Roman" w:cs="Times New Roman"/>
          <w:color w:val="000000"/>
        </w:rPr>
        <w:t xml:space="preserve">little </w:t>
      </w:r>
      <w:r w:rsidRPr="00A070AA">
        <w:rPr>
          <w:rFonts w:ascii="Times New Roman" w:hAnsi="Times New Roman" w:cs="Times New Roman"/>
          <w:color w:val="000000"/>
        </w:rPr>
        <w:t>awareness of the ways in which patient</w:t>
      </w:r>
      <w:r>
        <w:rPr>
          <w:rFonts w:ascii="Times New Roman" w:hAnsi="Times New Roman" w:cs="Times New Roman"/>
          <w:color w:val="000000"/>
        </w:rPr>
        <w:t xml:space="preserve"> </w:t>
      </w:r>
      <w:r w:rsidRPr="00A070AA">
        <w:rPr>
          <w:rFonts w:ascii="Times New Roman" w:hAnsi="Times New Roman" w:cs="Times New Roman"/>
          <w:color w:val="000000"/>
        </w:rPr>
        <w:t xml:space="preserve">information is currently used and </w:t>
      </w:r>
      <w:r w:rsidR="00AB3F3B">
        <w:rPr>
          <w:rFonts w:ascii="Times New Roman" w:hAnsi="Times New Roman" w:cs="Times New Roman"/>
          <w:color w:val="000000"/>
        </w:rPr>
        <w:t xml:space="preserve">to </w:t>
      </w:r>
      <w:r w:rsidRPr="00A070AA">
        <w:rPr>
          <w:rFonts w:ascii="Times New Roman" w:hAnsi="Times New Roman" w:cs="Times New Roman"/>
          <w:color w:val="000000"/>
        </w:rPr>
        <w:t>who</w:t>
      </w:r>
      <w:r w:rsidR="00AB3F3B">
        <w:rPr>
          <w:rFonts w:ascii="Times New Roman" w:hAnsi="Times New Roman" w:cs="Times New Roman"/>
          <w:color w:val="000000"/>
        </w:rPr>
        <w:t>m</w:t>
      </w:r>
      <w:r w:rsidRPr="00A070AA">
        <w:rPr>
          <w:rFonts w:ascii="Times New Roman" w:hAnsi="Times New Roman" w:cs="Times New Roman"/>
          <w:color w:val="000000"/>
        </w:rPr>
        <w:t xml:space="preserve"> it is available</w:t>
      </w:r>
      <w:r>
        <w:rPr>
          <w:rFonts w:ascii="Times New Roman" w:hAnsi="Times New Roman" w:cs="Times New Roman"/>
          <w:color w:val="000000"/>
        </w:rPr>
        <w:t xml:space="preserve"> </w:t>
      </w:r>
      <w:r>
        <w:rPr>
          <w:rFonts w:ascii="Times New Roman" w:hAnsi="Times New Roman" w:cs="Times New Roman"/>
          <w:color w:val="000000"/>
        </w:rPr>
        <w:fldChar w:fldCharType="begin" w:fldLock="1"/>
      </w:r>
      <w:r w:rsidR="00C827E2">
        <w:rPr>
          <w:rFonts w:ascii="Times New Roman" w:hAnsi="Times New Roman" w:cs="Times New Roman"/>
          <w:color w:val="000000"/>
        </w:rPr>
        <w:instrText>ADDIN CSL_CITATION { "citationItems" : [ { "id" : "ITEM-1", "itemData" : { "URL" : "http://www.gmc-uk.org/Review_of_Public_and_Professional_attitudes_towards_confidentiality_of_Healthcare_data.pdf_62449249.pdf", "accessed" : { "date-parts" : [ [ "2016", "2", "18" ] ] }, "author" : [ { "dropping-particle" : "", "family" : "General Medical Council", "given" : "", "non-dropping-particle" : "", "parse-names" : false, "suffix" : "" } ], "id" : "ITEM-1", "issued" : { "date-parts" : [ [ "0" ] ] }, "title" : "Review of public and professional attitudes towards confidentiality of healthcare data", "type" : "webpage" }, "uris" : [ "http://www.mendeley.com/documents/?uuid=f44c0e1f-483b-43c6-a11f-d78402675f5f" ] } ], "mendeley" : { "formattedCitation" : "[6]", "plainTextFormattedCitation" : "[6]", "previouslyFormattedCitation" : "[6]" }, "properties" : { "noteIndex" : 0 }, "schema" : "https://github.com/citation-style-language/schema/raw/master/csl-citation.json" }</w:instrText>
      </w:r>
      <w:r>
        <w:rPr>
          <w:rFonts w:ascii="Times New Roman" w:hAnsi="Times New Roman" w:cs="Times New Roman"/>
          <w:color w:val="000000"/>
        </w:rPr>
        <w:fldChar w:fldCharType="separate"/>
      </w:r>
      <w:r w:rsidR="00FC0D9F" w:rsidRPr="00FC0D9F">
        <w:rPr>
          <w:rFonts w:ascii="Times New Roman" w:hAnsi="Times New Roman" w:cs="Times New Roman"/>
          <w:noProof/>
          <w:color w:val="000000"/>
        </w:rPr>
        <w:t>[6]</w:t>
      </w:r>
      <w:r>
        <w:rPr>
          <w:rFonts w:ascii="Times New Roman" w:hAnsi="Times New Roman" w:cs="Times New Roman"/>
          <w:color w:val="000000"/>
        </w:rPr>
        <w:fldChar w:fldCharType="end"/>
      </w:r>
      <w:r>
        <w:rPr>
          <w:rFonts w:ascii="Times New Roman" w:hAnsi="Times New Roman" w:cs="Times New Roman"/>
          <w:color w:val="000000"/>
        </w:rPr>
        <w:t>. But</w:t>
      </w:r>
      <w:r w:rsidR="00C647C2">
        <w:rPr>
          <w:rFonts w:ascii="Times New Roman" w:hAnsi="Times New Roman" w:cs="Times New Roman"/>
          <w:color w:val="000000"/>
        </w:rPr>
        <w:t xml:space="preserve"> </w:t>
      </w:r>
      <w:r>
        <w:rPr>
          <w:rFonts w:ascii="Times New Roman" w:hAnsi="Times New Roman" w:cs="Times New Roman"/>
          <w:color w:val="000000"/>
        </w:rPr>
        <w:t xml:space="preserve">focus groups found that </w:t>
      </w:r>
      <w:r w:rsidR="008F7363" w:rsidRPr="00A204B0">
        <w:rPr>
          <w:rFonts w:ascii="Times New Roman" w:hAnsi="Times New Roman" w:cs="Times New Roman"/>
          <w:color w:val="000000"/>
        </w:rPr>
        <w:t xml:space="preserve">participants become more accepting of big health data uses after being given more information </w:t>
      </w:r>
      <w:r w:rsidR="008F7363" w:rsidRPr="00627F22">
        <w:rPr>
          <w:rFonts w:ascii="Times New Roman" w:hAnsi="Times New Roman" w:cs="Times New Roman"/>
          <w:color w:val="000000"/>
        </w:rPr>
        <w:fldChar w:fldCharType="begin" w:fldLock="1"/>
      </w:r>
      <w:r w:rsidR="00C827E2">
        <w:rPr>
          <w:rFonts w:ascii="Times New Roman" w:hAnsi="Times New Roman" w:cs="Times New Roman"/>
          <w:color w:val="000000"/>
        </w:rPr>
        <w:instrText>ADDIN CSL_CITATION { "citationID" : "zjtibm4G", "citationItems" : [ { "id" : "ITEM-1", "itemData" : { "DOI" : "10.1186/1471-2288-13-72", "ISSN" : "1471-2288", "PMID" : "23734773", "abstract" : "BACKGROUND: Opt-in consent is usually required for research, but is known to introduce selection bias. This is a particular problem for large scale epidemiological studies using only pre-collected health data. Most previous studies have shown that members of the public value opt-in consent and can perceive research without consent as an invasion of privacy. Past research has suggested that people are generally unaware of research processes and existing safeguards, and that education may increase the acceptability of research without prior informed consent, but this recommendation has not been formally evaluated. Our objectives were to determine the range of public opinion about the use of existing medical data for research and to explore views about consent to a secondary review of medical records for research. We also investigated the effect of the provision of detailed information about the potential effect of selection bias on public acceptability of the use of data for research.\n\nMETHODS: We carried out a systematic review of existing literature on public attitudes to secondary use of existing health records identified by searching PubMed (1966-present), Embase (1974-present) and reference lists of identified studies to provide a general overview, followed by a qualitative focus group study with 19 older men recruited from rural and suburban primary care practices in the UK to explore key issues in detail.\n\nRESULTS: The systematic review identified twenty-seven relevant papers and the findings suggested that males and older people were more likely to consent to a review of their medical data. Many studies noted participants' lack of knowledge about research processes and existing safeguards and this was reflected in the focus groups. Focus group participants became more accepting of the use of pre-collected medical data without consent after being given information about selection bias and research processes. All participants were keen to contribute to NHS-related research but some were concerned about data-sharing for commercial gain and the potential misuse of information.\n\nCONCLUSIONS: Increasing public education about research and specific targeted information provision could promote trust in research processes and safeguards, which in turn could increase the acceptability of research without specific consent where the need for consent would lead to biased findings and impede research necessary to improve public health.", "author" : [ { "dropping-particle" : "", "family" : "Hill", "given" : "Elizabeth M", "non-dropping-particle" : "", "parse-names" : false, "suffix" : "" }, { "dropping-particle" : "", "family" : "Turner", "given" : "Emma L", "non-dropping-particle" : "", "parse-names" : false, "suffix" : "" }, { "dropping-particle" : "", "family" : "Martin", "given" : "Richard M", "non-dropping-particle" : "", "parse-names" : false, "suffix" : "" }, { "dropping-particle" : "", "family" : "Donovan", "given" : "Jenny L", "non-dropping-particle" : "", "parse-names" : false, "suffix" : "" } ], "container-title" : "BMC medical research methodology", "id" : "ITEM-1", "issued" : { "date-parts" : [ [ "2013", "1" ] ] }, "page" : "72", "title" : "\"Let's get the best quality research we can\": public awareness and acceptance of consent to use existing data in health research: a systematic review and qualitative study.", "type" : "article-journal", "volume" : "13" }, "uri" : [ "http://www.mendeley.com/documents/?uuid=285949ec-6ca6-4b94-8d2d-736b3d5a3cf1" ], "uris" : [ "http://www.mendeley.com/documents/?uuid=285949ec-6ca6-4b94-8d2d-736b3d5a3cf1" ] } ], "mendeley" : { "formattedCitation" : "[7]", "plainTextFormattedCitation" : "[7]", "previouslyFormattedCitation" : "[7]" }, "properties" : { "formattedCitation" : "(19)", "noteIndex" : 0, "plainCitation" : "(19)" }, "schema" : "https://github.com/citation-style-language/schema/raw/master/csl-citation.json" }</w:instrText>
      </w:r>
      <w:r w:rsidR="008F7363" w:rsidRPr="00627F22">
        <w:rPr>
          <w:rFonts w:ascii="Times New Roman" w:hAnsi="Times New Roman" w:cs="Times New Roman"/>
          <w:color w:val="000000"/>
        </w:rPr>
        <w:fldChar w:fldCharType="separate"/>
      </w:r>
      <w:r w:rsidR="00FC0D9F" w:rsidRPr="00FC0D9F">
        <w:rPr>
          <w:rFonts w:ascii="Times New Roman" w:hAnsi="Times New Roman" w:cs="Times New Roman"/>
          <w:noProof/>
          <w:color w:val="000000"/>
        </w:rPr>
        <w:t>[7]</w:t>
      </w:r>
      <w:r w:rsidR="008F7363" w:rsidRPr="00627F22">
        <w:rPr>
          <w:rFonts w:ascii="Times New Roman" w:hAnsi="Times New Roman" w:cs="Times New Roman"/>
          <w:color w:val="000000"/>
        </w:rPr>
        <w:fldChar w:fldCharType="end"/>
      </w:r>
      <w:r w:rsidR="008F7363" w:rsidRPr="00A204B0">
        <w:rPr>
          <w:rFonts w:ascii="Times New Roman" w:hAnsi="Times New Roman" w:cs="Times New Roman"/>
          <w:color w:val="000000"/>
        </w:rPr>
        <w:t xml:space="preserve">. </w:t>
      </w:r>
      <w:r w:rsidR="008F7363">
        <w:rPr>
          <w:rFonts w:ascii="Times New Roman" w:hAnsi="Times New Roman" w:cs="Times New Roman"/>
          <w:color w:val="000000"/>
        </w:rPr>
        <w:t>It is clear that p</w:t>
      </w:r>
      <w:r w:rsidR="008F7363" w:rsidRPr="00A204B0">
        <w:rPr>
          <w:rFonts w:ascii="Times New Roman" w:hAnsi="Times New Roman" w:cs="Times New Roman"/>
          <w:color w:val="000000"/>
        </w:rPr>
        <w:t xml:space="preserve">ublic </w:t>
      </w:r>
      <w:r w:rsidR="008F7363">
        <w:rPr>
          <w:rFonts w:ascii="Times New Roman" w:hAnsi="Times New Roman" w:cs="Times New Roman"/>
          <w:color w:val="000000"/>
        </w:rPr>
        <w:t>involvement in bettering uses of health data is crucial</w:t>
      </w:r>
      <w:r w:rsidR="008F7363" w:rsidRPr="00A204B0">
        <w:rPr>
          <w:rFonts w:ascii="Times New Roman" w:hAnsi="Times New Roman" w:cs="Times New Roman"/>
          <w:color w:val="000000"/>
        </w:rPr>
        <w:t xml:space="preserve">. </w:t>
      </w:r>
      <w:r w:rsidR="008F7363">
        <w:rPr>
          <w:rFonts w:ascii="Times New Roman" w:hAnsi="Times New Roman" w:cs="Times New Roman"/>
          <w:color w:val="000000"/>
        </w:rPr>
        <w:t xml:space="preserve">Unfortunately, so far, efforts here have been piecemeal. There are research-led activities via </w:t>
      </w:r>
      <w:r w:rsidR="008F7363" w:rsidRPr="00A204B0">
        <w:rPr>
          <w:rFonts w:ascii="Times New Roman" w:hAnsi="Times New Roman" w:cs="Times New Roman"/>
          <w:color w:val="000000"/>
        </w:rPr>
        <w:t xml:space="preserve">social media </w:t>
      </w:r>
      <w:r w:rsidR="008F7363">
        <w:rPr>
          <w:rFonts w:ascii="Times New Roman" w:hAnsi="Times New Roman" w:cs="Times New Roman"/>
          <w:color w:val="000000"/>
        </w:rPr>
        <w:t xml:space="preserve">(such as </w:t>
      </w:r>
      <w:r w:rsidR="008F7363" w:rsidRPr="00A204B0">
        <w:rPr>
          <w:rFonts w:ascii="Times New Roman" w:hAnsi="Times New Roman" w:cs="Times New Roman"/>
          <w:color w:val="000000"/>
        </w:rPr>
        <w:t>the #datasaveslives campaign</w:t>
      </w:r>
      <w:r w:rsidR="00404D27">
        <w:rPr>
          <w:rFonts w:ascii="Times New Roman" w:hAnsi="Times New Roman" w:cs="Times New Roman"/>
          <w:color w:val="000000"/>
        </w:rPr>
        <w:t xml:space="preserve"> [</w:t>
      </w:r>
      <w:hyperlink r:id="rId8" w:history="1">
        <w:r w:rsidR="00404D27" w:rsidRPr="003C3887">
          <w:rPr>
            <w:rStyle w:val="Hyperlink"/>
          </w:rPr>
          <w:t>http://www.datasaveslives.eu/</w:t>
        </w:r>
      </w:hyperlink>
      <w:r w:rsidR="00404D27">
        <w:rPr>
          <w:rFonts w:ascii="Times New Roman" w:hAnsi="Times New Roman" w:cs="Times New Roman"/>
          <w:color w:val="000000"/>
        </w:rPr>
        <w:t>]</w:t>
      </w:r>
      <w:r w:rsidR="008F7363">
        <w:rPr>
          <w:rFonts w:ascii="Times New Roman" w:hAnsi="Times New Roman" w:cs="Times New Roman"/>
          <w:color w:val="000000"/>
        </w:rPr>
        <w:t>), and ad-hoc media briefings by academics. Overall, however, this important area has received very little investment.</w:t>
      </w:r>
    </w:p>
    <w:p w14:paraId="5E24A8E8" w14:textId="77777777" w:rsidR="008F7363" w:rsidRPr="00644E18" w:rsidRDefault="008F7363" w:rsidP="00A93E92">
      <w:pPr>
        <w:spacing w:after="0" w:line="240" w:lineRule="auto"/>
        <w:rPr>
          <w:rFonts w:ascii="Times New Roman" w:eastAsia="Times New Roman" w:hAnsi="Times New Roman" w:cs="Times New Roman"/>
          <w:color w:val="000000"/>
          <w:sz w:val="24"/>
          <w:szCs w:val="24"/>
          <w:lang w:eastAsia="en-GB"/>
        </w:rPr>
      </w:pPr>
    </w:p>
    <w:p w14:paraId="7F7A9495" w14:textId="22341959" w:rsidR="001F6627" w:rsidRDefault="000210C4">
      <w:pPr>
        <w:spacing w:after="0" w:line="240" w:lineRule="auto"/>
        <w:rPr>
          <w:rFonts w:ascii="Times New Roman" w:hAnsi="Times New Roman" w:cs="Times New Roman"/>
          <w:sz w:val="24"/>
          <w:szCs w:val="24"/>
          <w:shd w:val="clear" w:color="auto" w:fill="FFFFFF"/>
        </w:rPr>
      </w:pPr>
      <w:r w:rsidRPr="00644E18">
        <w:rPr>
          <w:rFonts w:ascii="Times New Roman" w:eastAsia="Times New Roman" w:hAnsi="Times New Roman" w:cs="Times New Roman"/>
          <w:color w:val="000000"/>
          <w:sz w:val="24"/>
          <w:szCs w:val="24"/>
          <w:lang w:eastAsia="en-GB"/>
        </w:rPr>
        <w:t>Res</w:t>
      </w:r>
      <w:r>
        <w:rPr>
          <w:rFonts w:ascii="Times New Roman" w:eastAsia="Times New Roman" w:hAnsi="Times New Roman" w:cs="Times New Roman"/>
          <w:color w:val="000000"/>
          <w:sz w:val="24"/>
          <w:szCs w:val="24"/>
          <w:lang w:eastAsia="en-GB"/>
        </w:rPr>
        <w:t>e</w:t>
      </w:r>
      <w:r w:rsidRPr="00644E18">
        <w:rPr>
          <w:rFonts w:ascii="Times New Roman" w:eastAsia="Times New Roman" w:hAnsi="Times New Roman" w:cs="Times New Roman"/>
          <w:color w:val="000000"/>
          <w:sz w:val="24"/>
          <w:szCs w:val="24"/>
          <w:lang w:eastAsia="en-GB"/>
        </w:rPr>
        <w:t xml:space="preserve">arch access </w:t>
      </w:r>
      <w:r>
        <w:rPr>
          <w:rFonts w:ascii="Times New Roman" w:eastAsia="Times New Roman" w:hAnsi="Times New Roman" w:cs="Times New Roman"/>
          <w:color w:val="000000"/>
          <w:sz w:val="24"/>
          <w:szCs w:val="24"/>
          <w:lang w:eastAsia="en-GB"/>
        </w:rPr>
        <w:t xml:space="preserve">in England </w:t>
      </w:r>
      <w:r w:rsidRPr="00644E18">
        <w:rPr>
          <w:rFonts w:ascii="Times New Roman" w:eastAsia="Times New Roman" w:hAnsi="Times New Roman" w:cs="Times New Roman"/>
          <w:color w:val="000000"/>
          <w:sz w:val="24"/>
          <w:szCs w:val="24"/>
          <w:lang w:eastAsia="en-GB"/>
        </w:rPr>
        <w:t xml:space="preserve">to </w:t>
      </w:r>
      <w:r>
        <w:rPr>
          <w:rFonts w:ascii="Times New Roman" w:eastAsia="Times New Roman" w:hAnsi="Times New Roman" w:cs="Times New Roman"/>
          <w:color w:val="000000"/>
          <w:sz w:val="24"/>
          <w:szCs w:val="24"/>
          <w:lang w:eastAsia="en-GB"/>
        </w:rPr>
        <w:t>large-scale healthcare data (such as CPRD) are currently based on</w:t>
      </w:r>
      <w:r w:rsidR="008F7363" w:rsidRPr="000210C4">
        <w:rPr>
          <w:rFonts w:ascii="Times New Roman" w:eastAsia="Times New Roman" w:hAnsi="Times New Roman" w:cs="Times New Roman"/>
          <w:color w:val="000000"/>
          <w:sz w:val="24"/>
          <w:szCs w:val="24"/>
          <w:lang w:eastAsia="en-GB"/>
        </w:rPr>
        <w:t xml:space="preserve"> centralised national approaches </w:t>
      </w:r>
      <w:r>
        <w:rPr>
          <w:rFonts w:ascii="Times New Roman" w:eastAsia="Times New Roman" w:hAnsi="Times New Roman" w:cs="Times New Roman"/>
          <w:color w:val="000000"/>
          <w:sz w:val="24"/>
          <w:szCs w:val="24"/>
          <w:lang w:eastAsia="en-GB"/>
        </w:rPr>
        <w:t xml:space="preserve">in which </w:t>
      </w:r>
      <w:r w:rsidR="008F7363" w:rsidRPr="000210C4">
        <w:rPr>
          <w:rFonts w:ascii="Times New Roman" w:eastAsia="Times New Roman" w:hAnsi="Times New Roman" w:cs="Times New Roman"/>
          <w:color w:val="000000"/>
          <w:sz w:val="24"/>
          <w:szCs w:val="24"/>
          <w:lang w:eastAsia="en-GB"/>
        </w:rPr>
        <w:t xml:space="preserve">with copies of </w:t>
      </w:r>
      <w:r w:rsidR="008F7363">
        <w:rPr>
          <w:rFonts w:ascii="Times New Roman" w:eastAsia="Times New Roman" w:hAnsi="Times New Roman" w:cs="Times New Roman"/>
          <w:color w:val="000000"/>
          <w:sz w:val="24"/>
          <w:szCs w:val="24"/>
          <w:lang w:eastAsia="en-GB"/>
        </w:rPr>
        <w:t xml:space="preserve">data </w:t>
      </w:r>
      <w:r>
        <w:rPr>
          <w:rFonts w:ascii="Times New Roman" w:eastAsia="Times New Roman" w:hAnsi="Times New Roman" w:cs="Times New Roman"/>
          <w:color w:val="000000"/>
          <w:sz w:val="24"/>
          <w:szCs w:val="24"/>
          <w:lang w:eastAsia="en-GB"/>
        </w:rPr>
        <w:t xml:space="preserve">are </w:t>
      </w:r>
      <w:r w:rsidR="008F7363">
        <w:rPr>
          <w:rFonts w:ascii="Times New Roman" w:eastAsia="Times New Roman" w:hAnsi="Times New Roman" w:cs="Times New Roman"/>
          <w:color w:val="000000"/>
          <w:sz w:val="24"/>
          <w:szCs w:val="24"/>
          <w:lang w:eastAsia="en-GB"/>
        </w:rPr>
        <w:t xml:space="preserve">distributed </w:t>
      </w:r>
      <w:r w:rsidR="008729C0">
        <w:rPr>
          <w:rFonts w:ascii="Times New Roman" w:eastAsia="Times New Roman" w:hAnsi="Times New Roman" w:cs="Times New Roman"/>
          <w:color w:val="000000"/>
          <w:sz w:val="24"/>
          <w:szCs w:val="24"/>
          <w:lang w:eastAsia="en-GB"/>
        </w:rPr>
        <w:t>to local computers of</w:t>
      </w:r>
      <w:r w:rsidR="008F7363" w:rsidRPr="00A204B0">
        <w:rPr>
          <w:rFonts w:ascii="Times New Roman" w:eastAsia="Times New Roman" w:hAnsi="Times New Roman" w:cs="Times New Roman"/>
          <w:color w:val="000000"/>
          <w:sz w:val="24"/>
          <w:szCs w:val="24"/>
          <w:lang w:eastAsia="en-GB"/>
        </w:rPr>
        <w:t xml:space="preserve"> researchers</w:t>
      </w:r>
      <w:r w:rsidR="00C42C09">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The disadvantage of this is that</w:t>
      </w:r>
      <w:r w:rsidR="008F7363">
        <w:rPr>
          <w:rFonts w:ascii="Times New Roman" w:eastAsia="Times New Roman" w:hAnsi="Times New Roman" w:cs="Times New Roman"/>
          <w:color w:val="000000"/>
          <w:sz w:val="24"/>
          <w:szCs w:val="24"/>
          <w:lang w:eastAsia="en-GB"/>
        </w:rPr>
        <w:t xml:space="preserve"> the </w:t>
      </w:r>
      <w:r w:rsidR="008F7363" w:rsidRPr="00A204B0">
        <w:rPr>
          <w:rFonts w:ascii="Times New Roman" w:eastAsia="Times New Roman" w:hAnsi="Times New Roman" w:cs="Times New Roman"/>
          <w:color w:val="000000"/>
          <w:sz w:val="24"/>
          <w:szCs w:val="24"/>
          <w:lang w:eastAsia="en-GB"/>
        </w:rPr>
        <w:t>uses of the data are not easily audited or controlled</w:t>
      </w:r>
      <w:r w:rsidR="008F7363">
        <w:rPr>
          <w:rFonts w:ascii="Times New Roman" w:eastAsia="Times New Roman" w:hAnsi="Times New Roman" w:cs="Times New Roman"/>
          <w:color w:val="000000"/>
          <w:sz w:val="24"/>
          <w:szCs w:val="24"/>
          <w:lang w:eastAsia="en-GB"/>
        </w:rPr>
        <w:t xml:space="preserve"> and </w:t>
      </w:r>
      <w:r>
        <w:rPr>
          <w:rFonts w:ascii="Times New Roman" w:eastAsia="Times New Roman" w:hAnsi="Times New Roman" w:cs="Times New Roman"/>
          <w:color w:val="000000"/>
          <w:sz w:val="24"/>
          <w:szCs w:val="24"/>
          <w:lang w:eastAsia="en-GB"/>
        </w:rPr>
        <w:t xml:space="preserve">there is </w:t>
      </w:r>
      <w:r w:rsidR="008F7363">
        <w:rPr>
          <w:rFonts w:ascii="Times New Roman" w:eastAsia="Times New Roman" w:hAnsi="Times New Roman" w:cs="Times New Roman"/>
          <w:color w:val="000000"/>
          <w:sz w:val="24"/>
          <w:szCs w:val="24"/>
          <w:lang w:eastAsia="en-GB"/>
        </w:rPr>
        <w:t xml:space="preserve">limited transparency in data uses. </w:t>
      </w:r>
      <w:r>
        <w:rPr>
          <w:rFonts w:ascii="Times New Roman" w:eastAsia="Times New Roman" w:hAnsi="Times New Roman" w:cs="Times New Roman"/>
          <w:color w:val="000000"/>
          <w:sz w:val="24"/>
          <w:szCs w:val="24"/>
          <w:lang w:eastAsia="en-GB"/>
        </w:rPr>
        <w:t xml:space="preserve">It </w:t>
      </w:r>
      <w:r w:rsidR="00A50908">
        <w:rPr>
          <w:rFonts w:ascii="Times New Roman" w:eastAsia="Times New Roman" w:hAnsi="Times New Roman" w:cs="Times New Roman"/>
          <w:color w:val="000000"/>
          <w:sz w:val="24"/>
          <w:szCs w:val="24"/>
          <w:lang w:eastAsia="en-GB"/>
        </w:rPr>
        <w:t xml:space="preserve">has created stories in the public domain of </w:t>
      </w:r>
      <w:r w:rsidR="00A50908" w:rsidRPr="00A50908">
        <w:rPr>
          <w:rFonts w:ascii="Times New Roman" w:eastAsia="Times New Roman" w:hAnsi="Times New Roman" w:cs="Times New Roman"/>
          <w:color w:val="000000"/>
          <w:sz w:val="24"/>
          <w:szCs w:val="24"/>
          <w:lang w:eastAsia="en-GB"/>
        </w:rPr>
        <w:t>data mismanagement</w:t>
      </w:r>
      <w:r w:rsidR="00A50908">
        <w:rPr>
          <w:rFonts w:ascii="Times New Roman" w:eastAsia="Times New Roman" w:hAnsi="Times New Roman" w:cs="Times New Roman"/>
          <w:color w:val="000000"/>
          <w:sz w:val="24"/>
          <w:szCs w:val="24"/>
          <w:lang w:eastAsia="en-GB"/>
        </w:rPr>
        <w:t>. A</w:t>
      </w:r>
      <w:r w:rsidR="008F7363">
        <w:rPr>
          <w:rFonts w:ascii="Times New Roman" w:eastAsia="Times New Roman" w:hAnsi="Times New Roman" w:cs="Times New Roman"/>
          <w:color w:val="000000"/>
          <w:sz w:val="24"/>
          <w:szCs w:val="24"/>
          <w:lang w:eastAsia="en-GB"/>
        </w:rPr>
        <w:t xml:space="preserve"> recent review of </w:t>
      </w:r>
      <w:r w:rsidR="00A50908">
        <w:rPr>
          <w:rFonts w:ascii="Times New Roman" w:eastAsia="Times New Roman" w:hAnsi="Times New Roman" w:cs="Times New Roman"/>
          <w:color w:val="000000"/>
          <w:sz w:val="24"/>
          <w:szCs w:val="24"/>
          <w:lang w:eastAsia="en-GB"/>
        </w:rPr>
        <w:t xml:space="preserve">historic </w:t>
      </w:r>
      <w:r w:rsidR="008F7363">
        <w:rPr>
          <w:rFonts w:ascii="Times New Roman" w:eastAsia="Times New Roman" w:hAnsi="Times New Roman" w:cs="Times New Roman"/>
          <w:color w:val="000000"/>
          <w:sz w:val="24"/>
          <w:szCs w:val="24"/>
          <w:lang w:eastAsia="en-GB"/>
        </w:rPr>
        <w:t xml:space="preserve">releases of health care data by the government </w:t>
      </w:r>
      <w:r w:rsidR="008F7363">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"citationItems" : [ { "id" : "ITEM-1", "itemData" : { "URL" : "https://www.gov.uk/government/uploads/system/uploads/attachment_data/file/367788/Sir_Nick_Partridge_s_summary_of_the_review.pdf", "accessed" : { "date-parts" : [ [ "2016", "2", "18" ] ] }, "id" : "ITEM-1", "issued" : { "date-parts" : [ [ "0" ] ] }, "title" : "Review of data releases by the NHS Information Centre", "type" : "webpage" }, "uris" : [ "http://www.mendeley.com/documents/?uuid=c8c412d6-cf78-41d1-b579-a78aca03d3ff" ] } ], "mendeley" : { "formattedCitation" : "[8]", "plainTextFormattedCitation" : "[8]", "previouslyFormattedCitation" : "[8]" }, "properties" : { "noteIndex" : 0 }, "schema" : "https://github.com/citation-style-language/schema/raw/master/csl-citation.json" }</w:instrText>
      </w:r>
      <w:r w:rsidR="008F7363">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[8]</w:t>
      </w:r>
      <w:r w:rsidR="008F7363">
        <w:rPr>
          <w:rFonts w:ascii="Times New Roman" w:eastAsia="Times New Roman" w:hAnsi="Times New Roman" w:cs="Times New Roman"/>
          <w:color w:val="000000"/>
          <w:sz w:val="24"/>
          <w:szCs w:val="24"/>
          <w:lang w:eastAsia="en-GB"/>
        </w:rPr>
        <w:fldChar w:fldCharType="end"/>
      </w:r>
      <w:r w:rsidR="008F7363">
        <w:rPr>
          <w:rFonts w:ascii="Times New Roman" w:eastAsia="Times New Roman" w:hAnsi="Times New Roman" w:cs="Times New Roman"/>
          <w:color w:val="000000"/>
          <w:sz w:val="24"/>
          <w:szCs w:val="24"/>
          <w:lang w:eastAsia="en-GB"/>
        </w:rPr>
        <w:t xml:space="preserve"> triggered newspaper headlines such as “</w:t>
      </w:r>
      <w:r w:rsidR="008F7363" w:rsidRPr="00300A57">
        <w:rPr>
          <w:rFonts w:ascii="Times New Roman" w:eastAsia="Times New Roman" w:hAnsi="Times New Roman" w:cs="Times New Roman"/>
          <w:i/>
          <w:color w:val="000000"/>
          <w:sz w:val="24"/>
          <w:szCs w:val="24"/>
          <w:lang w:eastAsia="en-GB"/>
        </w:rPr>
        <w:t>Millions of patient records were sold to insurance firms who used it to set their critical illness premiums in a series of 'unacceptable lapses</w:t>
      </w:r>
      <w:r w:rsidR="008F7363">
        <w:rPr>
          <w:rFonts w:ascii="Times New Roman" w:eastAsia="Times New Roman" w:hAnsi="Times New Roman" w:cs="Times New Roman"/>
          <w:i/>
          <w:color w:val="000000"/>
          <w:sz w:val="24"/>
          <w:szCs w:val="24"/>
          <w:lang w:eastAsia="en-GB"/>
        </w:rPr>
        <w:t>”.</w:t>
      </w:r>
      <w:r w:rsidR="008F7363" w:rsidRPr="00644E18">
        <w:rPr>
          <w:rFonts w:ascii="Times New Roman" w:eastAsia="Times New Roman" w:hAnsi="Times New Roman" w:cs="Times New Roman"/>
          <w:color w:val="000000"/>
          <w:sz w:val="24"/>
          <w:szCs w:val="24"/>
          <w:lang w:eastAsia="en-GB"/>
        </w:rPr>
        <w:t xml:space="preserve"> </w:t>
      </w:r>
      <w:r w:rsidR="001F6627">
        <w:rPr>
          <w:rFonts w:ascii="Times New Roman" w:eastAsia="Times New Roman" w:hAnsi="Times New Roman" w:cs="Times New Roman"/>
          <w:color w:val="000000"/>
          <w:sz w:val="24"/>
          <w:szCs w:val="24"/>
          <w:lang w:eastAsia="en-GB"/>
        </w:rPr>
        <w:t xml:space="preserve">Concerns have also been expressed that </w:t>
      </w:r>
      <w:r w:rsidR="001F6627" w:rsidRPr="001F6627">
        <w:rPr>
          <w:rFonts w:ascii="Times New Roman" w:eastAsia="Times New Roman" w:hAnsi="Times New Roman" w:cs="Times New Roman"/>
          <w:color w:val="000000"/>
          <w:sz w:val="24"/>
          <w:szCs w:val="24"/>
          <w:lang w:eastAsia="en-GB"/>
        </w:rPr>
        <w:t xml:space="preserve">data </w:t>
      </w:r>
      <w:r w:rsidR="001F6627">
        <w:rPr>
          <w:rFonts w:ascii="Times New Roman" w:eastAsia="Times New Roman" w:hAnsi="Times New Roman" w:cs="Times New Roman"/>
          <w:color w:val="000000"/>
          <w:sz w:val="24"/>
          <w:szCs w:val="24"/>
          <w:lang w:eastAsia="en-GB"/>
        </w:rPr>
        <w:t xml:space="preserve">had been </w:t>
      </w:r>
      <w:r w:rsidR="006A032B">
        <w:rPr>
          <w:rFonts w:ascii="Times New Roman" w:eastAsia="Times New Roman" w:hAnsi="Times New Roman" w:cs="Times New Roman"/>
          <w:color w:val="000000"/>
          <w:sz w:val="24"/>
          <w:szCs w:val="24"/>
          <w:lang w:eastAsia="en-GB"/>
        </w:rPr>
        <w:t>up</w:t>
      </w:r>
      <w:r w:rsidR="001F6627" w:rsidRPr="001F6627">
        <w:rPr>
          <w:rFonts w:ascii="Times New Roman" w:eastAsia="Times New Roman" w:hAnsi="Times New Roman" w:cs="Times New Roman"/>
          <w:color w:val="000000"/>
          <w:sz w:val="24"/>
          <w:szCs w:val="24"/>
          <w:lang w:eastAsia="en-GB"/>
        </w:rPr>
        <w:t>loaded to the Google cloud for more powerful analytic</w:t>
      </w:r>
      <w:r w:rsidR="006A032B">
        <w:rPr>
          <w:rFonts w:ascii="Times New Roman" w:eastAsia="Times New Roman" w:hAnsi="Times New Roman" w:cs="Times New Roman"/>
          <w:color w:val="000000"/>
          <w:sz w:val="24"/>
          <w:szCs w:val="24"/>
          <w:lang w:eastAsia="en-GB"/>
        </w:rPr>
        <w:t xml:space="preserve">s, which </w:t>
      </w:r>
      <w:r w:rsidR="001F6627">
        <w:rPr>
          <w:rFonts w:ascii="Times New Roman" w:eastAsia="Times New Roman" w:hAnsi="Times New Roman" w:cs="Times New Roman"/>
          <w:color w:val="000000"/>
          <w:sz w:val="24"/>
          <w:szCs w:val="24"/>
          <w:lang w:eastAsia="en-GB"/>
        </w:rPr>
        <w:t xml:space="preserve">was </w:t>
      </w:r>
      <w:r w:rsidR="006A032B">
        <w:rPr>
          <w:rFonts w:ascii="Times New Roman" w:eastAsia="Times New Roman" w:hAnsi="Times New Roman" w:cs="Times New Roman"/>
          <w:color w:val="000000"/>
          <w:sz w:val="24"/>
          <w:szCs w:val="24"/>
          <w:lang w:eastAsia="en-GB"/>
        </w:rPr>
        <w:t xml:space="preserve">seen to compromise </w:t>
      </w:r>
      <w:r w:rsidR="001F6627" w:rsidRPr="001F6627">
        <w:rPr>
          <w:rFonts w:ascii="Times New Roman" w:hAnsi="Times New Roman" w:cs="Times New Roman"/>
          <w:sz w:val="24"/>
          <w:szCs w:val="24"/>
          <w:shd w:val="clear" w:color="auto" w:fill="FFFFFF"/>
        </w:rPr>
        <w:t xml:space="preserve">UK and EU </w:t>
      </w:r>
      <w:r w:rsidR="006A032B">
        <w:rPr>
          <w:rFonts w:ascii="Times New Roman" w:hAnsi="Times New Roman" w:cs="Times New Roman"/>
          <w:sz w:val="24"/>
          <w:szCs w:val="24"/>
          <w:shd w:val="clear" w:color="auto" w:fill="FFFFFF"/>
        </w:rPr>
        <w:t>d</w:t>
      </w:r>
      <w:r w:rsidR="001F6627" w:rsidRPr="001F6627">
        <w:rPr>
          <w:rFonts w:ascii="Times New Roman" w:hAnsi="Times New Roman" w:cs="Times New Roman"/>
          <w:sz w:val="24"/>
          <w:szCs w:val="24"/>
          <w:shd w:val="clear" w:color="auto" w:fill="FFFFFF"/>
        </w:rPr>
        <w:t xml:space="preserve">ata </w:t>
      </w:r>
      <w:r w:rsidR="006A032B">
        <w:rPr>
          <w:rFonts w:ascii="Times New Roman" w:hAnsi="Times New Roman" w:cs="Times New Roman"/>
          <w:sz w:val="24"/>
          <w:szCs w:val="24"/>
          <w:shd w:val="clear" w:color="auto" w:fill="FFFFFF"/>
        </w:rPr>
        <w:t>p</w:t>
      </w:r>
      <w:r w:rsidR="001F6627" w:rsidRPr="001F6627">
        <w:rPr>
          <w:rFonts w:ascii="Times New Roman" w:hAnsi="Times New Roman" w:cs="Times New Roman"/>
          <w:sz w:val="24"/>
          <w:szCs w:val="24"/>
          <w:shd w:val="clear" w:color="auto" w:fill="FFFFFF"/>
        </w:rPr>
        <w:t>rotection</w:t>
      </w:r>
      <w:r w:rsidR="001F6627">
        <w:rPr>
          <w:rFonts w:ascii="Times New Roman" w:hAnsi="Times New Roman" w:cs="Times New Roman"/>
          <w:sz w:val="24"/>
          <w:szCs w:val="24"/>
          <w:shd w:val="clear" w:color="auto" w:fill="FFFFFF"/>
        </w:rPr>
        <w:t>.</w:t>
      </w:r>
    </w:p>
    <w:p w14:paraId="1F51EC58" w14:textId="77777777" w:rsidR="001F6627" w:rsidRDefault="001F6627" w:rsidP="00A93E92">
      <w:pPr>
        <w:spacing w:after="0" w:line="240" w:lineRule="auto"/>
        <w:rPr>
          <w:rFonts w:ascii="Times New Roman" w:eastAsia="Times New Roman" w:hAnsi="Times New Roman" w:cs="Times New Roman"/>
          <w:color w:val="000000"/>
          <w:sz w:val="24"/>
          <w:szCs w:val="24"/>
          <w:lang w:eastAsia="en-GB"/>
        </w:rPr>
      </w:pPr>
    </w:p>
    <w:p w14:paraId="7C8E2323" w14:textId="244C392B" w:rsidR="00EE5CF4" w:rsidRDefault="00176D7F" w:rsidP="00A93E92">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Credible science</w:t>
      </w:r>
      <w:r w:rsidR="00EE5CF4">
        <w:rPr>
          <w:rFonts w:ascii="Times New Roman" w:eastAsia="Times New Roman" w:hAnsi="Times New Roman" w:cs="Times New Roman"/>
          <w:color w:val="000000"/>
          <w:sz w:val="24"/>
          <w:szCs w:val="24"/>
          <w:lang w:eastAsia="en-GB"/>
        </w:rPr>
        <w:t xml:space="preserve"> is another key foundation for meaningful public engagement. </w:t>
      </w:r>
      <w:r w:rsidR="00556A1F" w:rsidRPr="00A204B0">
        <w:rPr>
          <w:rFonts w:ascii="Times New Roman" w:eastAsia="Times New Roman" w:hAnsi="Times New Roman" w:cs="Times New Roman"/>
          <w:color w:val="000000"/>
          <w:sz w:val="24"/>
          <w:szCs w:val="24"/>
          <w:lang w:eastAsia="en-GB"/>
        </w:rPr>
        <w:t xml:space="preserve">The need to replicate findings across heterogeneous populations and settings is </w:t>
      </w:r>
      <w:r w:rsidR="00556A1F">
        <w:rPr>
          <w:rFonts w:ascii="Times New Roman" w:eastAsia="Times New Roman" w:hAnsi="Times New Roman" w:cs="Times New Roman"/>
          <w:color w:val="000000"/>
          <w:sz w:val="24"/>
          <w:szCs w:val="24"/>
          <w:lang w:eastAsia="en-GB"/>
        </w:rPr>
        <w:t xml:space="preserve">well recognised </w:t>
      </w:r>
      <w:r w:rsidR="00556A1F">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"Uv8QkCdJ", "citationItems" : [ { "id" : "ITEM-1", "itemData" : { "DOI" : "10.1093/ije/dyq063", "ISSN" : "1464-3685", "PMID" : "20439481", "abstract" : "BACKGROUND: Meta-analysis of individual participant time-to-event data from multiple prospective epidemiological studies enables detailed investigation of exposure-risk relationships, but involves a number of analytical challenges.\n\nMETHODS: This article describes statistical approaches adopted in the Emerging Risk Factors Collaboration, in which primary data from more than 1 million participants in more than 100 prospective studies have been collated to enable detailed analyses of various risk markers in relation to incident cardiovascular disease outcomes.\n\nRESULTS: Analyses have been principally based on Cox proportional hazards regression models stratified by sex, undertaken in each study separately. Estimates of exposure-risk relationships, initially unadjusted and then adjusted for several confounders, have been combined over studies using meta-analysis. Methods for assessing the shape of exposure-risk associations and the proportional hazards assumption have been developed. Estimates of interactions have also been combined using meta-analysis, keeping separate within- and between-study information. Regression dilution bias caused by measurement error and within-person variation in exposures and confounders has been addressed through the analysis of repeat measurements to estimate corrected regression coefficients. These methods are exemplified by analysis of plasma fibrinogen and risk of coronary heart disease, and Stata code is made available.\n\nCONCLUSION: Increasing numbers of meta-analyses of individual participant data from observational data are being conducted to enhance the statistical power and detail of epidemiological studies. The statistical methods developed here can be used to address the needs of such analyses.", "author" : [ { "dropping-particle" : "", "family" : "Thompson", "given" : "Simon", "non-dropping-particle" : "", "parse-names" : false, "suffix" : "" }, { "dropping-particle" : "", "family" : "Kaptoge", "given" : "Stephen", "non-dropping-particle" : "", "parse-names" : false, "suffix" : "" }, { "dropping-particle" : "", "family" : "White", "given" : "Ian", "non-dropping-particle" : "", "parse-names" : false, "suffix" : "" }, { "dropping-particle" : "", "family" : "Wood", "given" : "Angela", "non-dropping-particle" : "", "parse-names" : false, "suffix" : "" }, { "dropping-particle" : "", "family" : "Perry", "given" : "Philip", "non-dropping-particle" : "", "parse-names" : false, "suffix" : "" }, { "dropping-particle" : "", "family" : "Danesh", "given" : "John", "non-dropping-particle" : "", "parse-names" : false, "suffix" : "" } ], "container-title" : "International journal of epidemiology", "id" : "ITEM-1", "issue" : "5", "issued" : { "date-parts" : [ [ "2010", "10" ] ] }, "page" : "1345-59", "title" : "Statistical methods for the time-to-event analysis of individual participant data from multiple epidemiological studies.", "type" : "article-journal", "volume" : "39" }, "uri" : [ "http://www.mendeley.com/documents/?uuid=60c8474a-d9fe-46d4-94ae-1462347d5d5d" ], "uris" : [ "http://www.mendeley.com/documents/?uuid=60c8474a-d9fe-46d4-94ae-1462347d5d5d" ] } ], "mendeley" : { "formattedCitation" : "[9]", "plainTextFormattedCitation" : "[9]", "previouslyFormattedCitation" : "[9]" }, "properties" : { "formattedCitation" : "(12)", "noteIndex" : 0, "plainCitation" : "(12)" }, "schema" : "https://github.com/citation-style-language/schema/raw/master/csl-citation.json" }</w:instrText>
      </w:r>
      <w:r w:rsidR="00556A1F">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[9]</w:t>
      </w:r>
      <w:r w:rsidR="00556A1F">
        <w:rPr>
          <w:rFonts w:ascii="Times New Roman" w:eastAsia="Times New Roman" w:hAnsi="Times New Roman" w:cs="Times New Roman"/>
          <w:color w:val="000000"/>
          <w:sz w:val="24"/>
          <w:szCs w:val="24"/>
          <w:lang w:eastAsia="en-GB"/>
        </w:rPr>
        <w:fldChar w:fldCharType="end"/>
      </w:r>
      <w:r w:rsidR="00556A1F" w:rsidRPr="00A204B0">
        <w:rPr>
          <w:rFonts w:ascii="Times New Roman" w:eastAsia="Times New Roman" w:hAnsi="Times New Roman" w:cs="Times New Roman"/>
          <w:color w:val="000000"/>
          <w:sz w:val="24"/>
          <w:szCs w:val="24"/>
          <w:lang w:eastAsia="en-GB"/>
        </w:rPr>
        <w:t>. The medical literature is plagued with specious findings, often made from observational studies using routine healthcare data</w:t>
      </w:r>
      <w:r w:rsidR="00556A1F">
        <w:rPr>
          <w:rFonts w:ascii="Times New Roman" w:eastAsia="Times New Roman" w:hAnsi="Times New Roman" w:cs="Times New Roman"/>
          <w:color w:val="000000"/>
          <w:sz w:val="24"/>
          <w:szCs w:val="24"/>
          <w:lang w:eastAsia="en-GB"/>
        </w:rPr>
        <w:t xml:space="preserve"> </w:t>
      </w:r>
      <w:r w:rsidR="00556A1F">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"idn5hOcl", "citationItems" : [ { "id" : "ITEM-1", "itemData" : { "DOI" : "10.1371/journal.pmed.0020124", "ISBN" : "3540239081", "ISSN" : "15491676", "PMID" : "16060722", "abstract" : "There is increasing concern that most current published research findings are false. The probability that a research claim is true may depend on study power and bias, the number of other studies on the same question, and, importantly, the ratio of true to no relationships among the relationships probed in each scientific field. In this framework, a research finding is less likely to be true when the studies conducted in a field are smaller; when effect sizes are smaller; when there is a greater number and lesser preselection of tested relationships; where there is greater flexibility in designs, definitions, outcomes, and analytical modes; when there is greater financial and other interest and prejudice; and when more teams are involved in a scientific field in chase of statistical significance. Simulations show that for most study designs and settings, it is more likely for a research claim to be false than true. Moreover, for many current scientific fields, claimed research findings may often be simply accurate measures of the prevailing bias. In this essay, I discuss the implications of these problems for the conduct and interpretation of research.", "author" : [ { "dropping-particle" : "", "family" : "Ioannidis", "given" : "John P A", "non-dropping-particle" : "", "parse-names" : false, "suffix" : "" } ], "chapter-number" : "532", "collection-title" : "WISICT '04", "container-title" : "PLoS Medicine", "editor" : [ { "dropping-particle" : "", "family" : "Jantsch", "given" : "Wolfgang", "non-dropping-particle" : "", "parse-names" : false, "suffix" : "" }, { "dropping-particle" : "", "family" : "Schaffler", "given" : "Friedrich", "non-dropping-particle" : "", "parse-names" : false, "suffix" : "" } ], "id" : "ITEM-1", "issue" : "6", "issued" : { "date-parts" : [ [ "2005" ] ] }, "page" : "e124", "publisher" : "Public Library of Science", "title" : "Why most published research findings are false.", "type" : "article-journal", "volume" : "4" }, "uri" : [ "http://www.mendeley.com/documents/?uuid=3bbe4146-ad96-4e49-82c3-db025def81db" ], "uris" : [ "http://www.mendeley.com/documents/?uuid=3bbe4146-ad96-4e49-82c3-db025def81db" ] } ], "mendeley" : { "formattedCitation" : "[10]", "plainTextFormattedCitation" : "[10]", "previouslyFormattedCitation" : "[10]" }, "properties" : { "formattedCitation" : "(13)", "noteIndex" : 0, "plainCitation" : "(13)" }, "schema" : "https://github.com/citation-style-language/schema/raw/master/csl-citation.json" }</w:instrText>
      </w:r>
      <w:r w:rsidR="00556A1F">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[10]</w:t>
      </w:r>
      <w:r w:rsidR="00556A1F">
        <w:rPr>
          <w:rFonts w:ascii="Times New Roman" w:eastAsia="Times New Roman" w:hAnsi="Times New Roman" w:cs="Times New Roman"/>
          <w:color w:val="000000"/>
          <w:sz w:val="24"/>
          <w:szCs w:val="24"/>
          <w:lang w:eastAsia="en-GB"/>
        </w:rPr>
        <w:fldChar w:fldCharType="end"/>
      </w:r>
      <w:r w:rsidR="00556A1F" w:rsidRPr="00A204B0">
        <w:rPr>
          <w:rFonts w:ascii="Times New Roman" w:eastAsia="Times New Roman" w:hAnsi="Times New Roman" w:cs="Times New Roman"/>
          <w:color w:val="000000"/>
          <w:sz w:val="24"/>
          <w:szCs w:val="24"/>
          <w:lang w:eastAsia="en-GB"/>
        </w:rPr>
        <w:t>, even reaching opposite conclusions with the same data sources</w:t>
      </w:r>
      <w:r w:rsidR="00556A1F">
        <w:rPr>
          <w:rFonts w:ascii="Times New Roman" w:eastAsia="Times New Roman" w:hAnsi="Times New Roman" w:cs="Times New Roman"/>
          <w:color w:val="000000"/>
          <w:sz w:val="24"/>
          <w:szCs w:val="24"/>
          <w:lang w:eastAsia="en-GB"/>
        </w:rPr>
        <w:t>. An</w:t>
      </w:r>
      <w:r w:rsidR="00556A1F" w:rsidRPr="00A204B0">
        <w:rPr>
          <w:rFonts w:ascii="Times New Roman" w:eastAsia="Times New Roman" w:hAnsi="Times New Roman" w:cs="Times New Roman"/>
          <w:color w:val="000000"/>
          <w:sz w:val="24"/>
          <w:szCs w:val="24"/>
          <w:lang w:eastAsia="en-GB"/>
        </w:rPr>
        <w:t xml:space="preserve"> example is the cancer effects of different diabetes medications </w:t>
      </w:r>
      <w:r w:rsidR="00556A1F" w:rsidRPr="00627F22">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"dfK4kS4Y", "citationItems" : [ { "id" : "ITEM-1", "itemData" : { "DOI" : "10.1007/s00125-009-1440-6", "ISSN" : "1432-0428", "PMID" : "19572116", "abstract" : "AIMS/HYPOTHESIS: The risk of developing a range of solid tumours is increased in type 2 diabetes, and may be influenced by glucose-lowering therapies. We examined the risk of development of solid tumours in relation to treatment with oral agents, human insulin and insulin analogues.\n\nMETHODS: This was a retrospective cohort study of people treated in UK general practices. Those included in the analysis developed diabetes &gt;40 years of age, and started treatment with oral agents or insulin after 2000. A total of 62,809 patients were divided into four groups according to whether they received monotherapy with metformin or sulfonylurea, combined therapy (metformin plus sulfonylurea), or insulin. Insulin users were grouped according to treatment with insulin glargine, long-acting human insulin, biphasic analogue and human biphasic insulin. The outcome measures were progression to any solid tumour, or cancer of the breast, colon, pancreas or prostate. Confounding factors were accounted for using Cox proportional hazards models.\n\nRESULTS: Metformin monotherapy carried the lowest risk of cancer. In comparison, the adjusted HR was 1.08 (95% CI 0.96-1.21) for metformin plus sulfonylurea, 1.36 (95% CI 1.19-1.54) for sulfonylurea monotherapy, and 1.42 (95% CI 1.27-1.60) for insulin-based regimens. Adding metformin to insulin reduced progression to cancer (HR 0.54, 95% CI 0.43-0.66). The risk for those on basal human insulin alone vs insulin glargine alone was 1.24 (95% CI 0.90-1.70). Compared with metformin, insulin therapy increased the risk of colorectal (HR 1.69, 95% CI 1.23-2.33) or pancreatic cancer (HR 4.63, 95% CI 2.64-8.10), but did not influence the risk of breast or prostate cancer. Sulfonylureas were associated with a similar pattern of risk as insulin.\n\nCONCLUSIONS/INTERPRETATION: Those on insulin or insulin secretagogues were more likely to develop solid cancers than those on metformin, and combination with metformin abolished most of this excess risk. Metformin use was associated with lower risk of cancer of the colon or pancreas, but did not affect the risk of breast or prostate cancer. Use of insulin analogues was not associated with increased cancer risk as compared with human insulin.", "author" : [ { "dropping-particle" : "", "family" : "Currie", "given" : "C J", "non-dropping-particle" : "", "parse-names" : false, "suffix" : "" }, { "dropping-particle" : "", "family" : "Poole", "given" : "C D", "non-dropping-particle" : "", "parse-names" : false, "suffix" : "" }, { "dropping-particle" : "", "family" : "Gale", "given" : "E a M", "non-dropping-particle" : "", "parse-names" : false, "suffix" : "" } ], "container-title" : "Diabetologia", "id" : "ITEM-1", "issue" : "9", "issued" : { "date-parts" : [ [ "2009", "9" ] ] }, "page" : "1766-77", "title" : "The influence of glucose-lowering therapies on cancer risk in type 2 diabetes.", "type" : "article-journal", "volume" : "52" }, "uri" : [ "http://www.mendeley.com/documents/?uuid=8896c8d1-cd2a-4b19-8aa8-31a500112cac" ], "uris" : [ "http://www.mendeley.com/documents/?uuid=8896c8d1-cd2a-4b19-8aa8-31a500112cac" ] }, { "id" : "ITEM-2", "itemData" : { "DOI" : "10.1007/s00125-011-2390-3", "ISSN" : "1432-0428", "PMID" : "22127412", "abstract" : "INTRODUCTION: Recent studies suggesting an increased cancer risk with glucose-lowering agents have received widespread publicity. The objectives of this study were to evaluate the comparability in underlying cancer risk and patterns of cancer risk over time with different glucose-lowering agents.\n\nMETHODS: The General Practice Research Database (GPRD) was used to identify cohorts of new users. Cancer outcomes were obtained from the GPRD, Hospital Episode Statistics and cancer registries. Relative rates of cancer comparing different glucose-lowering agents were estimated using Poisson regression.\n\nRESULTS: A total of 206,940 patients was identified. There was no difference in cancer risk and quartile for HbA(1c) value. There were differences in cancer incidence in the first 6 months after starting treatment (adjusted relative rate of 0.83 [95% CI 0.70, 0.99] with thiazolidinediones, 1.34 [95% CI 1.19, 1.51] with sulfonylureas and 1.79 [95% CI 1.53, 2.10] with insulin, compared with metformin). Insulin users had decreasing cancer incidence over time (adjusted relative rate of 0.58 [95% CI 0.50, 0.68] during months 6-24, relative rate of 0.50 [95% CI 0.42, 0.59] during months 25-60 and relative rate of 0.48 [95% CI 0.40, 0.59] during months 60+) compared with months 0-6 after starting insulin. Similar patterns were found with sulfonylureas and metformin. There were no increases over time with insulin glargine (A21Gly, B31Arg, B32Arg human insulin; relative rate of 0.70 [95% CI 0.52, 0.95], 0.77 [95% CI 0.56, 1.07] and 0.60 [95% CI 0.36, 1.02], respectively, for 6-24, 25-60 and &gt;60 months).\n\nCONCLUSIONS: These findings do not provide evidence of either beneficial or adverse effects of glucose-lowering agents on cancer risk and are consistent with changes in diabetes treatment in the few months prior to the diagnosis of cancer.", "author" : [ { "dropping-particle" : "", "family" : "Staa", "given" : "T P", "non-dropping-particle" : "van", "parse-names" : false, "suffix" : "" }, { "dropping-particle" : "", "family" : "Patel", "given" : "D", "non-dropping-particle" : "", "parse-names" : false, "suffix" : "" }, { "dropping-particle" : "", "family" : "Gallagher", "given" : "A M", "non-dropping-particle" : "", "parse-names" : false, "suffix" : "" }, { "dropping-particle" : "", "family" : "Bruin", "given" : "M L", "non-dropping-particle" : "de", "parse-names" : false, "suffix" : "" } ], "container-title" : "Diabetologia", "id" : "ITEM-2", "issue" : "3", "issued" : { "date-parts" : [ [ "2012", "3" ] ] }, "page" : "654-65", "title" : "Glucose-lowering agents and the patterns of risk for cancer: a study with the General Practice Research Database and secondary care data.", "type" : "article-journal", "volume" : "55" }, "uri" : [ "http://www.mendeley.com/documents/?uuid=4d6427e6-28f2-4795-8dc0-debf2015fc44" ], "uris" : [ "http://www.mendeley.com/documents/?uuid=4d6427e6-28f2-4795-8dc0-debf2015fc44" ] } ], "mendeley" : { "formattedCitation" : "[11,12]", "plainTextFormattedCitation" : "[11,12]", "previouslyFormattedCitation" : "[11,12]" }, "properties" : { "formattedCitation" : "(14,15)", "noteIndex" : 0, "plainCitation" : "(14,15)" }, "schema" : "https://github.com/citation-style-language/schema/raw/master/csl-citation.json" }</w:instrText>
      </w:r>
      <w:r w:rsidR="00556A1F" w:rsidRPr="00627F22">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[11,12]</w:t>
      </w:r>
      <w:r w:rsidR="00556A1F" w:rsidRPr="00627F22">
        <w:rPr>
          <w:rFonts w:ascii="Times New Roman" w:eastAsia="Times New Roman" w:hAnsi="Times New Roman" w:cs="Times New Roman"/>
          <w:color w:val="000000"/>
          <w:sz w:val="24"/>
          <w:szCs w:val="24"/>
          <w:lang w:eastAsia="en-GB"/>
        </w:rPr>
        <w:fldChar w:fldCharType="end"/>
      </w:r>
      <w:r w:rsidR="00556A1F" w:rsidRPr="00A204B0">
        <w:rPr>
          <w:rFonts w:ascii="Times New Roman" w:eastAsia="Times New Roman" w:hAnsi="Times New Roman" w:cs="Times New Roman"/>
          <w:color w:val="000000"/>
          <w:sz w:val="24"/>
          <w:szCs w:val="24"/>
          <w:lang w:eastAsia="en-GB"/>
        </w:rPr>
        <w:t xml:space="preserve">. </w:t>
      </w:r>
      <w:r w:rsidR="00076C37">
        <w:rPr>
          <w:rFonts w:ascii="Times New Roman" w:eastAsia="Times New Roman" w:hAnsi="Times New Roman" w:cs="Times New Roman"/>
          <w:color w:val="000000"/>
          <w:sz w:val="24"/>
          <w:szCs w:val="24"/>
          <w:lang w:eastAsia="en-GB"/>
        </w:rPr>
        <w:t>P</w:t>
      </w:r>
      <w:r w:rsidR="00556A1F">
        <w:rPr>
          <w:rFonts w:ascii="Times New Roman" w:eastAsia="Times New Roman" w:hAnsi="Times New Roman" w:cs="Times New Roman"/>
          <w:color w:val="000000"/>
          <w:sz w:val="24"/>
          <w:szCs w:val="24"/>
          <w:lang w:eastAsia="en-GB"/>
        </w:rPr>
        <w:t xml:space="preserve">articular </w:t>
      </w:r>
      <w:r w:rsidR="00556A1F" w:rsidRPr="00A204B0">
        <w:rPr>
          <w:rFonts w:ascii="Times New Roman" w:eastAsia="Times New Roman" w:hAnsi="Times New Roman" w:cs="Times New Roman"/>
          <w:color w:val="000000"/>
          <w:sz w:val="24"/>
          <w:szCs w:val="24"/>
          <w:lang w:eastAsia="en-GB"/>
        </w:rPr>
        <w:t>barrier to replication ha</w:t>
      </w:r>
      <w:r w:rsidR="00076C37">
        <w:rPr>
          <w:rFonts w:ascii="Times New Roman" w:eastAsia="Times New Roman" w:hAnsi="Times New Roman" w:cs="Times New Roman"/>
          <w:color w:val="000000"/>
          <w:sz w:val="24"/>
          <w:szCs w:val="24"/>
          <w:lang w:eastAsia="en-GB"/>
        </w:rPr>
        <w:t>s</w:t>
      </w:r>
      <w:r w:rsidR="00556A1F" w:rsidRPr="00A204B0">
        <w:rPr>
          <w:rFonts w:ascii="Times New Roman" w:eastAsia="Times New Roman" w:hAnsi="Times New Roman" w:cs="Times New Roman"/>
          <w:color w:val="000000"/>
          <w:sz w:val="24"/>
          <w:szCs w:val="24"/>
          <w:lang w:eastAsia="en-GB"/>
        </w:rPr>
        <w:t xml:space="preserve"> been the lack of publication of algorithms and clinical code lists alongside manuscripts.</w:t>
      </w:r>
    </w:p>
    <w:p w14:paraId="53765E06" w14:textId="77777777" w:rsidR="008D5619" w:rsidRDefault="008D5619" w:rsidP="00BD2D2E">
      <w:pPr>
        <w:spacing w:after="0" w:line="240" w:lineRule="auto"/>
        <w:rPr>
          <w:rFonts w:ascii="Times New Roman" w:hAnsi="Times New Roman" w:cs="Times New Roman"/>
          <w:color w:val="000000"/>
          <w:sz w:val="24"/>
          <w:szCs w:val="24"/>
        </w:rPr>
      </w:pPr>
    </w:p>
    <w:p w14:paraId="7CF906C6" w14:textId="5CCFCE93" w:rsidR="00FE044C" w:rsidRDefault="00FE044C" w:rsidP="00BD2D2E">
      <w:pPr>
        <w:spacing w:after="0" w:line="240" w:lineRule="auto"/>
        <w:rPr>
          <w:rFonts w:ascii="Times New Roman" w:hAnsi="Times New Roman" w:cs="Times New Roman"/>
          <w:color w:val="000000"/>
          <w:sz w:val="24"/>
          <w:szCs w:val="24"/>
        </w:rPr>
      </w:pPr>
      <w:r w:rsidRPr="00FE044C">
        <w:rPr>
          <w:rFonts w:ascii="Times New Roman" w:hAnsi="Times New Roman" w:cs="Times New Roman"/>
          <w:color w:val="000000"/>
          <w:sz w:val="24"/>
          <w:szCs w:val="24"/>
        </w:rPr>
        <w:t>Basic anonymisation of information (i.e. removal of obvious identifiable information such as names and addresses) has been widely used to address public concerns with research uses of personal data. However, the challenge with linking different sources of information (</w:t>
      </w:r>
      <w:r>
        <w:rPr>
          <w:rFonts w:ascii="Times New Roman" w:hAnsi="Times New Roman" w:cs="Times New Roman"/>
          <w:color w:val="000000"/>
          <w:sz w:val="24"/>
          <w:szCs w:val="24"/>
        </w:rPr>
        <w:t xml:space="preserve">such </w:t>
      </w:r>
      <w:r w:rsidRPr="00FE044C">
        <w:rPr>
          <w:rFonts w:ascii="Times New Roman" w:hAnsi="Times New Roman" w:cs="Times New Roman"/>
          <w:color w:val="000000"/>
          <w:sz w:val="24"/>
          <w:szCs w:val="24"/>
        </w:rPr>
        <w:t xml:space="preserve">as with </w:t>
      </w:r>
      <w:r w:rsidRPr="00A246F0">
        <w:rPr>
          <w:rFonts w:ascii="Times New Roman" w:hAnsi="Times New Roman" w:cs="Times New Roman"/>
          <w:i/>
          <w:color w:val="000000"/>
          <w:sz w:val="24"/>
          <w:szCs w:val="24"/>
        </w:rPr>
        <w:t>care.data</w:t>
      </w:r>
      <w:r w:rsidRPr="00FE044C">
        <w:rPr>
          <w:rFonts w:ascii="Times New Roman" w:hAnsi="Times New Roman" w:cs="Times New Roman"/>
          <w:color w:val="000000"/>
          <w:sz w:val="24"/>
          <w:szCs w:val="24"/>
        </w:rPr>
        <w:t xml:space="preserve"> or CPRD) is the granular nature of the data, increasing the </w:t>
      </w:r>
      <w:r>
        <w:rPr>
          <w:rFonts w:ascii="Times New Roman" w:hAnsi="Times New Roman" w:cs="Times New Roman"/>
          <w:color w:val="000000"/>
          <w:sz w:val="24"/>
          <w:szCs w:val="24"/>
        </w:rPr>
        <w:t>risk</w:t>
      </w:r>
      <w:r w:rsidRPr="00FE044C">
        <w:rPr>
          <w:rFonts w:ascii="Times New Roman" w:hAnsi="Times New Roman" w:cs="Times New Roman"/>
          <w:color w:val="000000"/>
          <w:sz w:val="24"/>
          <w:szCs w:val="24"/>
        </w:rPr>
        <w:t xml:space="preserve"> of deductive disclosure (in which an individual can be identified </w:t>
      </w:r>
      <w:r>
        <w:rPr>
          <w:rFonts w:ascii="Times New Roman" w:hAnsi="Times New Roman" w:cs="Times New Roman"/>
          <w:color w:val="000000"/>
          <w:sz w:val="24"/>
          <w:szCs w:val="24"/>
        </w:rPr>
        <w:t>indirectly through data analysis</w:t>
      </w:r>
      <w:r w:rsidRPr="00FE044C">
        <w:rPr>
          <w:rFonts w:ascii="Times New Roman" w:hAnsi="Times New Roman" w:cs="Times New Roman"/>
          <w:color w:val="000000"/>
          <w:sz w:val="24"/>
          <w:szCs w:val="24"/>
        </w:rPr>
        <w:t>).</w:t>
      </w:r>
    </w:p>
    <w:p w14:paraId="4A2E3514" w14:textId="77777777" w:rsidR="004F1B7F" w:rsidRDefault="004F1B7F" w:rsidP="00BD2D2E">
      <w:pPr>
        <w:spacing w:after="0" w:line="240" w:lineRule="auto"/>
        <w:rPr>
          <w:rFonts w:ascii="Times New Roman" w:hAnsi="Times New Roman" w:cs="Times New Roman"/>
          <w:color w:val="000000"/>
          <w:sz w:val="24"/>
          <w:szCs w:val="24"/>
        </w:rPr>
      </w:pPr>
    </w:p>
    <w:p w14:paraId="7F01FA2C" w14:textId="2F615A8D" w:rsidR="008D5619" w:rsidRPr="00644E18" w:rsidRDefault="008D5619" w:rsidP="00BD2D2E">
      <w:pPr>
        <w:spacing w:after="0" w:line="240" w:lineRule="auto"/>
        <w:rPr>
          <w:rFonts w:ascii="Times New Roman" w:hAnsi="Times New Roman" w:cs="Times New Roman"/>
          <w:b/>
          <w:color w:val="000000"/>
          <w:sz w:val="24"/>
          <w:szCs w:val="24"/>
        </w:rPr>
      </w:pPr>
      <w:r w:rsidRPr="00644E18">
        <w:rPr>
          <w:rFonts w:ascii="Times New Roman" w:hAnsi="Times New Roman" w:cs="Times New Roman"/>
          <w:b/>
          <w:color w:val="000000"/>
          <w:sz w:val="24"/>
          <w:szCs w:val="24"/>
        </w:rPr>
        <w:t>What has worked elsewhere</w:t>
      </w:r>
      <w:r w:rsidR="008F015B">
        <w:rPr>
          <w:rFonts w:ascii="Times New Roman" w:hAnsi="Times New Roman" w:cs="Times New Roman"/>
          <w:b/>
          <w:color w:val="000000"/>
          <w:sz w:val="24"/>
          <w:szCs w:val="24"/>
        </w:rPr>
        <w:t>?</w:t>
      </w:r>
    </w:p>
    <w:p w14:paraId="1D3D0AE9" w14:textId="68CC1852" w:rsidR="004F1B7F" w:rsidRDefault="001E0EC8" w:rsidP="006C191D">
      <w:pPr>
        <w:spacing w:after="0" w:line="240" w:lineRule="auto"/>
        <w:rPr>
          <w:rFonts w:ascii="Times New Roman" w:hAnsi="Times New Roman" w:cs="Times New Roman"/>
          <w:color w:val="000000"/>
          <w:sz w:val="24"/>
          <w:szCs w:val="24"/>
        </w:rPr>
      </w:pPr>
      <w:r w:rsidRPr="001E0EC8">
        <w:rPr>
          <w:rFonts w:ascii="Times New Roman" w:hAnsi="Times New Roman" w:cs="Times New Roman"/>
          <w:color w:val="000000"/>
          <w:sz w:val="24"/>
          <w:szCs w:val="24"/>
        </w:rPr>
        <w:t xml:space="preserve">The Welsh Secure Anonymous Information Linkage System (SAIL) is a single safe haven (i.e. researchers go to the data rather the data to them) of a large number of datasets and a </w:t>
      </w:r>
      <w:r w:rsidR="005C45A6">
        <w:rPr>
          <w:rFonts w:ascii="Times New Roman" w:hAnsi="Times New Roman" w:cs="Times New Roman"/>
          <w:color w:val="000000"/>
          <w:sz w:val="24"/>
          <w:szCs w:val="24"/>
        </w:rPr>
        <w:t xml:space="preserve">platform </w:t>
      </w:r>
      <w:r w:rsidRPr="001E0EC8">
        <w:rPr>
          <w:rFonts w:ascii="Times New Roman" w:hAnsi="Times New Roman" w:cs="Times New Roman"/>
          <w:color w:val="000000"/>
          <w:sz w:val="24"/>
          <w:szCs w:val="24"/>
        </w:rPr>
        <w:t>for sharing knowledge about using the data (e.g. data dictionaries). It operates a remote access system providing secure data access for approved users and data analysis</w:t>
      </w:r>
      <w:r>
        <w:rPr>
          <w:rFonts w:ascii="Times New Roman" w:hAnsi="Times New Roman" w:cs="Times New Roman"/>
          <w:color w:val="000000"/>
          <w:sz w:val="24"/>
          <w:szCs w:val="24"/>
        </w:rPr>
        <w:t xml:space="preserve"> </w:t>
      </w:r>
      <w:r w:rsidR="005C45A6">
        <w:rPr>
          <w:rFonts w:ascii="Times New Roman" w:hAnsi="Times New Roman" w:cs="Times New Roman"/>
          <w:color w:val="000000"/>
          <w:sz w:val="24"/>
          <w:szCs w:val="24"/>
        </w:rPr>
        <w:t xml:space="preserve">tools </w:t>
      </w:r>
      <w:r w:rsidR="004527F1">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"DOI" : "10.1016/j.jbi.2014.01.003", "ISSN" : "1532-0480", "PMID" : "24440148", "abstract" : "With the current expansion of data linkage research, the challenge is to find the balance between preserving the privacy of person-level data whilst making these data accessible for use to their full potential. We describe a privacy-protecting safe haven and secure remote access system, referred to as the Secure Anonymised Information Linkage (SAIL) Gateway. The Gateway provides data users with a familiar Windows interface and their usual toolsets to access approved anonymously-linked datasets for research and evaluation. We outline the principles and operating model of the Gateway, the features provided to users within the secure environment, and how we are approaching the challenges of making data safely accessible to increasing numbers of research users. The Gateway represents a powerful analytical environment and has been designed to be scalable and adaptable to meet the needs of the rapidly growing data linkage community.", "author" : [ { "dropping-particle" : "", "family" : "Jones", "given" : "Kerina H", "non-dropping-particle" : "", "parse-names" : false, "suffix" : "" }, { "dropping-particle" : "V", "family" : "Ford", "given" : "David", "non-dropping-particle" : "", "parse-names" : false, "suffix" : "" }, { "dropping-particle" : "", "family" : "Jones", "given" : "Chris", "non-dropping-particle" : "", "parse-names" : false, "suffix" : "" }, { "dropping-particle" : "", "family" : "Dsilva", "given" : "Rohan", "non-dropping-particle" : "", "parse-names" : false, "suffix" : "" }, { "dropping-particle" : "", "family" : "Thompson", "given" : "Simon", "non-dropping-particle" : "", "parse-names" : false, "suffix" : "" }, { "dropping-particle" : "", "family" : "Brooks", "given" : "Caroline J", "non-dropping-particle" : "", "parse-names" : false, "suffix" : "" }, { "dropping-particle" : "", "family" : "Heaven", "given" : "Martin L", "non-dropping-particle" : "", "parse-names" : false, "suffix" : "" }, { "dropping-particle" : "", "family" : "Thayer", "given" : "Daniel S", "non-dropping-particle" : "", "parse-names" : false, "suffix" : "" }, { "dropping-particle" : "", "family" : "McNerney", "given" : "Cynthia L", "non-dropping-particle" : "", "parse-names" : false, "suffix" : "" }, { "dropping-particle" : "", "family" : "Lyons", "given" : "Ronan A", "non-dropping-particle" : "", "parse-names" : false, "suffix" : "" } ], "container-title" : "Journal of biomedical informatics", "id" : "ITEM-1", "issued" : { "date-parts" : [ [ "2014", "8", "1" ] ] }, "language" : "English", "page" : "196-204", "publisher" : "Elsevier", "title" : "A case study of the Secure Anonymous Information Linkage (SAIL) Gateway: a privacy-protecting remote access system for health-related research and evaluation.", "type" : "article-journal", "volume" : "50" }, "uris" : [ "http://www.mendeley.com/documents/?uuid=c3b75cc6-500e-403f-866d-bab87ef34672" ] } ], "mendeley" : { "formattedCitation" : "[13]", "plainTextFormattedCitation" : "[13]", "previouslyFormattedCitation" : "[13]" }, "properties" : { "noteIndex" : 0 }, "schema" : "https://github.com/citation-style-language/schema/raw/master/csl-citation.json" }</w:instrText>
      </w:r>
      <w:r w:rsidR="004527F1">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[13]</w:t>
      </w:r>
      <w:r w:rsidR="004527F1">
        <w:rPr>
          <w:rFonts w:ascii="Times New Roman" w:hAnsi="Times New Roman" w:cs="Times New Roman"/>
          <w:color w:val="000000"/>
          <w:sz w:val="24"/>
          <w:szCs w:val="24"/>
        </w:rPr>
        <w:fldChar w:fldCharType="end"/>
      </w:r>
      <w:r w:rsidR="004527F1">
        <w:rPr>
          <w:rFonts w:ascii="Times New Roman" w:hAnsi="Times New Roman" w:cs="Times New Roman"/>
          <w:color w:val="000000"/>
          <w:sz w:val="24"/>
          <w:szCs w:val="24"/>
        </w:rPr>
        <w:t xml:space="preserve">. </w:t>
      </w:r>
      <w:r w:rsidRPr="001E0EC8">
        <w:rPr>
          <w:rFonts w:ascii="Times New Roman" w:hAnsi="Times New Roman" w:cs="Times New Roman"/>
          <w:color w:val="000000"/>
          <w:sz w:val="24"/>
          <w:szCs w:val="24"/>
        </w:rPr>
        <w:t xml:space="preserve">The Scottish Health Informatics Programme (SHIP) </w:t>
      </w:r>
      <w:r w:rsidR="005C45A6">
        <w:rPr>
          <w:rFonts w:ascii="Times New Roman" w:hAnsi="Times New Roman" w:cs="Times New Roman"/>
          <w:color w:val="000000"/>
          <w:sz w:val="24"/>
          <w:szCs w:val="24"/>
        </w:rPr>
        <w:t xml:space="preserve">also </w:t>
      </w:r>
      <w:r w:rsidRPr="001E0EC8">
        <w:rPr>
          <w:rFonts w:ascii="Times New Roman" w:hAnsi="Times New Roman" w:cs="Times New Roman"/>
          <w:color w:val="000000"/>
          <w:sz w:val="24"/>
          <w:szCs w:val="24"/>
        </w:rPr>
        <w:t xml:space="preserve">developed ways for researchers to manage and analyse electronic patient records, and associated linked data. SHIP ran a </w:t>
      </w:r>
      <w:r w:rsidR="005C45A6">
        <w:rPr>
          <w:rFonts w:ascii="Times New Roman" w:hAnsi="Times New Roman" w:cs="Times New Roman"/>
          <w:color w:val="000000"/>
          <w:sz w:val="24"/>
          <w:szCs w:val="24"/>
        </w:rPr>
        <w:t>substantial</w:t>
      </w:r>
      <w:r w:rsidRPr="001E0EC8">
        <w:rPr>
          <w:rFonts w:ascii="Times New Roman" w:hAnsi="Times New Roman" w:cs="Times New Roman"/>
          <w:color w:val="000000"/>
          <w:sz w:val="24"/>
          <w:szCs w:val="24"/>
        </w:rPr>
        <w:t xml:space="preserve"> public engagement programme aimed at understanding the publics’ preferences, interests and concerns relating to the sharing of health data for research and their acceptance and attitudes towards the aims of the programme</w:t>
      </w:r>
      <w:r w:rsidR="00C23F15">
        <w:rPr>
          <w:rFonts w:ascii="Times New Roman" w:hAnsi="Times New Roman" w:cs="Times New Roman"/>
          <w:color w:val="000000"/>
          <w:sz w:val="24"/>
          <w:szCs w:val="24"/>
        </w:rPr>
        <w:t xml:space="preserve"> </w:t>
      </w:r>
      <w:r w:rsidR="004F1B7F">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"URL" : "http://www.scot-ship.ac.uk/sites/default/files/Reports/SHIP_BLUEPRINT_DOCUMENT_final_100712.pdf", "accessed" : { "date-parts" : [ [ "2016", "2", "18" ] ] }, "id" : "ITEM-1", "issued" : { "date-parts" : [ [ "0" ] ] }, "title" : "Scottish Health Informatics Programme", "type" : "webpage" }, "uris" : [ "http://www.mendeley.com/documents/?uuid=7cf68848-8f20-41ff-9b25-5a60b4783ba9" ] } ], "mendeley" : { "formattedCitation" : "[14]", "plainTextFormattedCitation" : "[14]", "previouslyFormattedCitation" : "[14]" }, "properties" : { "noteIndex" : 0 }, "schema" : "https://github.com/citation-style-language/schema/raw/master/csl-citation.json" }</w:instrText>
      </w:r>
      <w:r w:rsidR="004F1B7F">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[14]</w:t>
      </w:r>
      <w:r w:rsidR="004F1B7F">
        <w:rPr>
          <w:rFonts w:ascii="Times New Roman" w:hAnsi="Times New Roman" w:cs="Times New Roman"/>
          <w:color w:val="000000"/>
          <w:sz w:val="24"/>
          <w:szCs w:val="24"/>
        </w:rPr>
        <w:fldChar w:fldCharType="end"/>
      </w:r>
      <w:r w:rsidR="004F1B7F">
        <w:rPr>
          <w:rFonts w:ascii="Times New Roman" w:hAnsi="Times New Roman" w:cs="Times New Roman"/>
          <w:color w:val="000000"/>
          <w:sz w:val="24"/>
          <w:szCs w:val="24"/>
        </w:rPr>
        <w:t>.</w:t>
      </w:r>
      <w:r w:rsidR="006C191D">
        <w:rPr>
          <w:rFonts w:ascii="Times New Roman" w:hAnsi="Times New Roman" w:cs="Times New Roman"/>
          <w:color w:val="000000"/>
          <w:sz w:val="24"/>
          <w:szCs w:val="24"/>
        </w:rPr>
        <w:t xml:space="preserve"> </w:t>
      </w:r>
      <w:r w:rsidRPr="001E0EC8">
        <w:rPr>
          <w:rFonts w:ascii="Times New Roman" w:hAnsi="Times New Roman" w:cs="Times New Roman"/>
          <w:color w:val="000000"/>
          <w:sz w:val="24"/>
          <w:szCs w:val="24"/>
        </w:rPr>
        <w:t>The Canadian Network for Observational Drug Effect Studies (CNODES) uses a system of sending analysis queries to local data repositories across the country with the results combined centrally in a meta-analysis</w:t>
      </w:r>
      <w:r w:rsidR="0029638A">
        <w:rPr>
          <w:rFonts w:ascii="Times New Roman" w:hAnsi="Times New Roman" w:cs="Times New Roman"/>
          <w:color w:val="000000"/>
          <w:sz w:val="24"/>
          <w:szCs w:val="24"/>
        </w:rPr>
        <w:t xml:space="preserve"> </w:t>
      </w:r>
      <w:r w:rsidR="0029638A">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"ISSN" : "1911-2092", "PMID" : "23687528", "abstract" : "Although administrative health care databases have long been used to evaluate adverse drug effects, responses to drug safety signals have been slow and uncoordinated. We describe the establishment of the Canadian Network for Observational Drug Effect Studies (CNODES), a collaborating centre of the Drug Safety and Effectiveness Network (DSEN). CNODES is a distributed network of investigators and linked databases in British Columbia, Alberta, Saskatchewan, Manitoba, Ontario, Quebec and Nova Scotia. Principles of operation are as follows: (1) research questions are prioritized by the coordinating office of DSEN; (2) the linked data stay within the provinces; (3)\u2009for each question, a study team formulates a detailed protocol enabling consistent analyses in each province; (4) analyses are \"blind\" to results obtained elsewhere; (5) protocol deviations are permitted for technical reasons only; (6)\u2009analyses using multivariable methods are lodged centrally with a methods team, which is responsible for combining the results to provide a summary estimate of effect. These procedures are designed to achieve high internal validity of risk estimates and to eliminate the possibility of selective reporting of analyses or outcomes. The value of a coordinated multi-provincial approach is illustrated by projects studying acute renal injury with high-potency statins, community-acquired pneumonia with proton pump inhibitors, and hyperglycemic emergencies with antipsychotic drugs. CNODES is an academically based distributed network of Canadian researchers and data centres with a commitment to rapid and sophisticated analysis of emerging drug safety signals in study populations totalling over 40 million.", "author" : [ { "dropping-particle" : "", "family" : "Suissa", "given" : "Samy", "non-dropping-particle" : "", "parse-names" : false, "suffix" : "" }, { "dropping-particle" : "", "family" : "Henry", "given" : "David", "non-dropping-particle" : "", "parse-names" : false, "suffix" : "" }, { "dropping-particle" : "", "family" : "Caetano", "given" : "Patricia", "non-dropping-particle" : "", "parse-names" : false, "suffix" : "" }, { "dropping-particle" : "", "family" : "Dormuth", "given" : "Colin R", "non-dropping-particle" : "", "parse-names" : false, "suffix" : "" }, { "dropping-particle" : "", "family" : "Ernst", "given" : "Pierre", "non-dropping-particle" : "", "parse-names" : false, "suffix" : "" }, { "dropping-particle" : "", "family" : "Hemmelgarn", "given" : "Brenda", "non-dropping-particle" : "", "parse-names" : false, "suffix" : "" }, { "dropping-particle" : "", "family" : "Lelorier", "given" : "Jacques", "non-dropping-particle" : "", "parse-names" : false, "suffix" : "" }, { "dropping-particle" : "", "family" : "Levy", "given" : "Adrian", "non-dropping-particle" : "", "parse-names" : false, "suffix" : "" }, { "dropping-particle" : "", "family" : "Martens", "given" : "Patricia J", "non-dropping-particle" : "", "parse-names" : false, "suffix" : "" }, { "dropping-particle" : "", "family" : "Paterson", "given" : "J Michael", "non-dropping-particle" : "", "parse-names" : false, "suffix" : "" }, { "dropping-particle" : "", "family" : "Platt", "given" : "Robert W", "non-dropping-particle" : "", "parse-names" : false, "suffix" : "" }, { "dropping-particle" : "", "family" : "Sketris", "given" : "Ingrid", "non-dropping-particle" : "", "parse-names" : false, "suffix" : "" }, { "dropping-particle" : "", "family" : "Teare", "given" : "Gary", "non-dropping-particle" : "", "parse-names" : false, "suffix" : "" } ], "container-title" : "Open medicine : a peer-reviewed, independent, open-access journal", "id" : "ITEM-1", "issue" : "4", "issued" : { "date-parts" : [ [ "2012", "1" ] ] }, "page" : "e134-40", "title" : "CNODES: the Canadian Network for Observational Drug Effect Studies.", "type" : "article-journal", "volume" : "6" }, "uris" : [ "http://www.mendeley.com/documents/?uuid=a1f4a39c-ae96-4fe1-889a-011e4cee2ee1" ] } ], "mendeley" : { "formattedCitation" : "[15]", "plainTextFormattedCitation" : "[15]", "previouslyFormattedCitation" : "[15]" }, "properties" : { "noteIndex" : 0 }, "schema" : "https://github.com/citation-style-language/schema/raw/master/csl-citation.json" }</w:instrText>
      </w:r>
      <w:r w:rsidR="0029638A">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[15]</w:t>
      </w:r>
      <w:r w:rsidR="0029638A">
        <w:rPr>
          <w:rFonts w:ascii="Times New Roman" w:hAnsi="Times New Roman" w:cs="Times New Roman"/>
          <w:color w:val="000000"/>
          <w:sz w:val="24"/>
          <w:szCs w:val="24"/>
        </w:rPr>
        <w:fldChar w:fldCharType="end"/>
      </w:r>
      <w:r w:rsidR="0029638A">
        <w:rPr>
          <w:rFonts w:ascii="Times New Roman" w:hAnsi="Times New Roman" w:cs="Times New Roman"/>
          <w:color w:val="000000"/>
          <w:sz w:val="24"/>
          <w:szCs w:val="24"/>
        </w:rPr>
        <w:t>.</w:t>
      </w:r>
      <w:r w:rsidR="006C191D">
        <w:rPr>
          <w:rFonts w:ascii="Times New Roman" w:hAnsi="Times New Roman" w:cs="Times New Roman"/>
          <w:color w:val="000000"/>
          <w:sz w:val="24"/>
          <w:szCs w:val="24"/>
        </w:rPr>
        <w:t xml:space="preserve"> </w:t>
      </w:r>
      <w:r w:rsidRPr="001E0EC8">
        <w:rPr>
          <w:rFonts w:ascii="Times New Roman" w:hAnsi="Times New Roman" w:cs="Times New Roman"/>
          <w:color w:val="000000"/>
          <w:sz w:val="24"/>
          <w:szCs w:val="24"/>
        </w:rPr>
        <w:t>A large US data source, Mini-Sentinel, collates healthcare data from around 100 million individuals and which also uses distributed queries</w:t>
      </w:r>
      <w:r w:rsidRPr="001E0EC8" w:rsidDel="001E0EC8">
        <w:rPr>
          <w:rFonts w:ascii="Times New Roman" w:hAnsi="Times New Roman" w:cs="Times New Roman"/>
          <w:color w:val="000000"/>
          <w:sz w:val="24"/>
          <w:szCs w:val="24"/>
        </w:rPr>
        <w:t xml:space="preserve"> </w:t>
      </w:r>
      <w:r w:rsidR="0029638A">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"DOI" : "10.1002/pds.2343", "ISSN" : "1099-1557", "PMID" : "22262586", "abstract" : "The Mini-Sentinel is a pilot program that is developing methods, tools, resources, policies, and procedures to facilitate the use of routinely collected electronic healthcare data to perform active surveillance of the safety of marketed medical products, including drugs, biologics, and medical devices. The U.S. Food and Drug Administration (FDA) initiated the program in 2009 as part of its Sentinel Initiative, in response to a Congressional mandate in the FDA Amendments Act of 2007. After two years, Mini-Sentinel includes 31 academic and private organizations. It has developed policies, procedures, and technical specifications for developing and operating a secure distributed data system comprised of separate data sets that conform to a common data model covering enrollment, demographics, encounters, diagnoses, procedures, and ambulatory dispensing of prescription drugs. The distributed data sets currently include administrative and claims data from 2000 to 2011 for over 300 million person-years, 2.4 billion encounters, 38 million inpatient hospitalizations, and 2.9 billion dispensings. Selected laboratory results and vital signs data recorded after 2005 are also available. There is an active data quality assessment and characterization program, and eligibility for medical care and pharmacy benefits is known. Systematic reviews of the literature have assessed the ability of administrative data to identify health outcomes of interest, and procedures have been developed and tested to obtain, abstract, and adjudicate full-text medical records to validate coded diagnoses. Mini-Sentinel has also created a taxonomy of study designs and analytical approaches for many commonly occurring situations, and it is developing new statistical and epidemiologic methods to address certain gaps in analytic capabilities. Assessments are performed by distributing computer programs that are executed locally by each data partner. The system is in active use by FDA, with the majority of assessments performed using customizable, reusable queries (programs). Prospective and retrospective assessments that use customized protocols are conducted as well. To date, several hundred unique programs have been distributed and executed. Current activities include active surveillance of several drugs and vaccines, expansion of the population, enhancement of the common data model to include additional types of data from electronic health records and registries, development of new methodolog\u2026", "author" : [ { "dropping-particle" : "", "family" : "Platt", "given" : "Richard", "non-dropping-particle" : "", "parse-names" : false, "suffix" : "" }, { "dropping-particle" : "", "family" : "Carnahan", "given" : "Ryan M", "non-dropping-particle" : "", "parse-names" : false, "suffix" : "" }, { "dropping-particle" : "", "family" : "Brown", "given" : "Jeffrey S", "non-dropping-particle" : "", "parse-names" : false, "suffix" : "" }, { "dropping-particle" : "", "family" : "Chrischilles", "given" : "Elizabeth", "non-dropping-particle" : "", "parse-names" : false, "suffix" : "" }, { "dropping-particle" : "", "family" : "Curtis", "given" : "Lesley H", "non-dropping-particle" : "", "parse-names" : false, "suffix" : "" }, { "dropping-particle" : "", "family" : "Hennessy", "given" : "Sean", "non-dropping-particle" : "", "parse-names" : false, "suffix" : "" }, { "dropping-particle" : "", "family" : "Nelson", "given" : "Jennifer C", "non-dropping-particle" : "", "parse-names" : false, "suffix" : "" }, { "dropping-particle" : "", "family" : "Racoosin", "given" : "Judith A", "non-dropping-particle" : "", "parse-names" : false, "suffix" : "" }, { "dropping-particle" : "", "family" : "Robb", "given" : "Melissa", "non-dropping-particle" : "", "parse-names" : false, "suffix" : "" }, { "dropping-particle" : "", "family" : "Schneeweiss", "given" : "Sebastian", "non-dropping-particle" : "", "parse-names" : false, "suffix" : "" }, { "dropping-particle" : "", "family" : "Toh", "given" : "Sengwee", "non-dropping-particle" : "", "parse-names" : false, "suffix" : "" }, { "dropping-particle" : "", "family" : "Weiner", "given" : "Mark G", "non-dropping-particle" : "", "parse-names" : false, "suffix" : "" } ], "container-title" : "Pharmacoepidemiology and drug safety", "id" : "ITEM-1", "issued" : { "date-parts" : [ [ "2012", "1" ] ] }, "page" : "1-8", "title" : "The U.S. Food and Drug Administration's Mini-Sentinel program: status and direction.", "type" : "article-journal", "volume" : "21 Suppl 1" }, "uris" : [ "http://www.mendeley.com/documents/?uuid=9b7dc737-1902-470b-be0d-0b28b9bbcbb4" ] } ], "mendeley" : { "formattedCitation" : "[16]", "plainTextFormattedCitation" : "[16]", "previouslyFormattedCitation" : "[16]" }, "properties" : { "noteIndex" : 0 }, "schema" : "https://github.com/citation-style-language/schema/raw/master/csl-citation.json" }</w:instrText>
      </w:r>
      <w:r w:rsidR="0029638A">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[16]</w:t>
      </w:r>
      <w:r w:rsidR="0029638A">
        <w:rPr>
          <w:rFonts w:ascii="Times New Roman" w:hAnsi="Times New Roman" w:cs="Times New Roman"/>
          <w:color w:val="000000"/>
          <w:sz w:val="24"/>
          <w:szCs w:val="24"/>
        </w:rPr>
        <w:fldChar w:fldCharType="end"/>
      </w:r>
      <w:r w:rsidR="000C7534">
        <w:rPr>
          <w:rFonts w:ascii="Times New Roman" w:hAnsi="Times New Roman" w:cs="Times New Roman"/>
          <w:color w:val="000000"/>
          <w:sz w:val="24"/>
          <w:szCs w:val="24"/>
        </w:rPr>
        <w:t>, and PCORnet (</w:t>
      </w:r>
      <w:hyperlink r:id="rId9" w:history="1">
        <w:r w:rsidR="000C7534" w:rsidRPr="00B902B4">
          <w:rPr>
            <w:rStyle w:val="Hyperlink"/>
            <w:rFonts w:ascii="Times New Roman" w:hAnsi="Times New Roman" w:cs="Times New Roman"/>
            <w:sz w:val="24"/>
            <w:szCs w:val="24"/>
          </w:rPr>
          <w:t>www.pcornet.org</w:t>
        </w:r>
      </w:hyperlink>
      <w:r w:rsidR="000C7534">
        <w:rPr>
          <w:rFonts w:ascii="Times New Roman" w:hAnsi="Times New Roman" w:cs="Times New Roman"/>
          <w:color w:val="000000"/>
          <w:sz w:val="24"/>
          <w:szCs w:val="24"/>
        </w:rPr>
        <w:t xml:space="preserve">) marks a ramping up of US </w:t>
      </w:r>
      <w:r w:rsidR="000C7534">
        <w:rPr>
          <w:rFonts w:ascii="Times New Roman" w:hAnsi="Times New Roman" w:cs="Times New Roman"/>
          <w:color w:val="000000"/>
          <w:sz w:val="24"/>
          <w:szCs w:val="24"/>
        </w:rPr>
        <w:lastRenderedPageBreak/>
        <w:t>investment in this area</w:t>
      </w:r>
      <w:r w:rsidR="004F1B7F">
        <w:rPr>
          <w:rFonts w:ascii="Times New Roman" w:hAnsi="Times New Roman" w:cs="Times New Roman"/>
          <w:color w:val="000000"/>
          <w:sz w:val="24"/>
          <w:szCs w:val="24"/>
        </w:rPr>
        <w:t xml:space="preserve">. </w:t>
      </w:r>
      <w:r w:rsidRPr="001E0EC8">
        <w:rPr>
          <w:rFonts w:ascii="Times New Roman" w:hAnsi="Times New Roman" w:cs="Times New Roman"/>
          <w:color w:val="000000"/>
          <w:sz w:val="24"/>
          <w:szCs w:val="24"/>
        </w:rPr>
        <w:t>The Nordic countries routinely extend their health data linkage to income and educational attainment records</w:t>
      </w:r>
      <w:r w:rsidR="004F1B7F">
        <w:rPr>
          <w:rFonts w:ascii="Times New Roman" w:hAnsi="Times New Roman" w:cs="Times New Roman"/>
          <w:color w:val="000000"/>
          <w:sz w:val="24"/>
          <w:szCs w:val="24"/>
        </w:rPr>
        <w:t xml:space="preserve"> </w:t>
      </w:r>
      <w:r w:rsidR="004F1B7F">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"DOI" : "10.1111/j.1742-7843.2009.00494.x", "ISSN" : "1742-7843", "PMID" : "19961477", "abstract" : "The Nordic countries have a long tradition of registry-based epidemiological research. Many population-based health registries were established in the 1960s, with use of unique personal identifiers facilitating linkage between registries. In recent years, each country has established a national database to track prescription drugs dispensed to individuals in ambulatory care. The objectives were to present an overview of the prescription databases established in the Nordic countries, as well as to elaborate on their unique potential for record linkage and cross-national comparison of drug utilization. Five Nordic countries collect drug exposure data based on drugs dispensed at pharmacies and have the potential to link these data to health outcomes. The databases together cover 25 million inhabitants (Denmark: 5.5 million; Finland: 5.3 million; Iceland: 0.3 million; Norway: 4.8 million; and Sweden: 9.2 million). In 2007, the registries encompassed 17 million prescription drug users (68% of the total population). We provide examples of how these databases have been used for descriptive drug utilization studies and analytical pharmacoepidemiological studies linking drug exposure to other health registries. Comparisons are facilitated by many similarities among the databases, including data source, content, coverage and methods used for drug utilization studies and record linkage. There are, however, some differences in coding systems and validity, as well as in some access and technical issues. To perform cross-national pharmacoepidemiological studies, resources, networks and time are needed, as well as methods for pooling data. Interpretation of results needs to account for inter-country heterogeneity and the possibility of spurious relationships. The Nordic countries have a unique potential for collaborative high-quality cross-national pharmacoepidemiological studies with large populations. This research may assist in resolving safety issues of international interest, thus minimizing the risk of either over-reacting on possible signals or underestimating drug safety issues.", "author" : [ { "dropping-particle" : "", "family" : "Furu", "given" : "Kari", "non-dropping-particle" : "", "parse-names" : false, "suffix" : "" }, { "dropping-particle" : "", "family" : "Wettermark", "given" : "Bj\u00f6rn", "non-dropping-particle" : "", "parse-names" : false, "suffix" : "" }, { "dropping-particle" : "", "family" : "Andersen", "given" : "Morten", "non-dropping-particle" : "", "parse-names" : false, "suffix" : "" }, { "dropping-particle" : "", "family" : "Martikainen", "given" : "Jaana E", "non-dropping-particle" : "", "parse-names" : false, "suffix" : "" }, { "dropping-particle" : "", "family" : "Almarsdottir", "given" : "Anna Birna", "non-dropping-particle" : "", "parse-names" : false, "suffix" : "" }, { "dropping-particle" : "", "family" : "S\u00f8rensen", "given" : "Henrik Toft", "non-dropping-particle" : "", "parse-names" : false, "suffix" : "" } ], "container-title" : "Basic &amp; clinical pharmacology &amp; toxicology", "id" : "ITEM-1", "issue" : "2", "issued" : { "date-parts" : [ [ "2010", "2" ] ] }, "page" : "86-94", "title" : "The Nordic countries as a cohort for pharmacoepidemiological research.", "type" : "article-journal", "volume" : "106" }, "uris" : [ "http://www.mendeley.com/documents/?uuid=ff4d28b5-263e-4fbb-b4f0-96596f9a4673" ] } ], "mendeley" : { "formattedCitation" : "[17]", "plainTextFormattedCitation" : "[17]", "previouslyFormattedCitation" : "[17]" }, "properties" : { "noteIndex" : 0 }, "schema" : "https://github.com/citation-style-language/schema/raw/master/csl-citation.json" }</w:instrText>
      </w:r>
      <w:r w:rsidR="004F1B7F">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[17]</w:t>
      </w:r>
      <w:r w:rsidR="004F1B7F">
        <w:rPr>
          <w:rFonts w:ascii="Times New Roman" w:hAnsi="Times New Roman" w:cs="Times New Roman"/>
          <w:color w:val="000000"/>
          <w:sz w:val="24"/>
          <w:szCs w:val="24"/>
        </w:rPr>
        <w:fldChar w:fldCharType="end"/>
      </w:r>
      <w:r w:rsidR="004F1B7F">
        <w:rPr>
          <w:rFonts w:ascii="Times New Roman" w:hAnsi="Times New Roman" w:cs="Times New Roman"/>
          <w:color w:val="000000"/>
          <w:sz w:val="24"/>
          <w:szCs w:val="24"/>
        </w:rPr>
        <w:t>.</w:t>
      </w:r>
    </w:p>
    <w:p w14:paraId="3F48A71E" w14:textId="2F9C70A6" w:rsidR="006C191D" w:rsidRDefault="006C191D" w:rsidP="006C191D">
      <w:pPr>
        <w:spacing w:after="0" w:line="240" w:lineRule="auto"/>
        <w:rPr>
          <w:rFonts w:ascii="Times New Roman" w:hAnsi="Times New Roman" w:cs="Times New Roman"/>
          <w:color w:val="000000"/>
          <w:sz w:val="24"/>
          <w:szCs w:val="24"/>
        </w:rPr>
      </w:pPr>
    </w:p>
    <w:p w14:paraId="34D5D3EE" w14:textId="07F96D82" w:rsidR="008D5619" w:rsidRPr="00644E18" w:rsidRDefault="00375761" w:rsidP="00BD2D2E">
      <w:pPr>
        <w:spacing w:after="0" w:line="240" w:lineRule="auto"/>
        <w:rPr>
          <w:rFonts w:ascii="Times New Roman" w:hAnsi="Times New Roman" w:cs="Times New Roman"/>
          <w:b/>
          <w:color w:val="000000"/>
          <w:sz w:val="24"/>
          <w:szCs w:val="24"/>
        </w:rPr>
      </w:pPr>
      <w:r w:rsidRPr="00644E18">
        <w:rPr>
          <w:rFonts w:ascii="Times New Roman" w:hAnsi="Times New Roman" w:cs="Times New Roman"/>
          <w:b/>
          <w:color w:val="000000"/>
          <w:sz w:val="24"/>
          <w:szCs w:val="24"/>
        </w:rPr>
        <w:t>What should we do now?</w:t>
      </w:r>
    </w:p>
    <w:p w14:paraId="33897565" w14:textId="1A8CD1BB" w:rsidR="007C4025" w:rsidRDefault="0024531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Public c</w:t>
      </w:r>
      <w:r w:rsidRPr="00A204B0">
        <w:rPr>
          <w:rFonts w:ascii="Times New Roman" w:eastAsia="Times New Roman" w:hAnsi="Times New Roman" w:cs="Times New Roman"/>
          <w:color w:val="000000"/>
          <w:sz w:val="24"/>
          <w:szCs w:val="24"/>
          <w:lang w:eastAsia="en-GB"/>
        </w:rPr>
        <w:t xml:space="preserve">onfidence </w:t>
      </w:r>
      <w:r>
        <w:rPr>
          <w:rFonts w:ascii="Times New Roman" w:eastAsia="Times New Roman" w:hAnsi="Times New Roman" w:cs="Times New Roman"/>
          <w:color w:val="000000"/>
          <w:sz w:val="24"/>
          <w:szCs w:val="24"/>
          <w:lang w:eastAsia="en-GB"/>
        </w:rPr>
        <w:t xml:space="preserve">and transparency in the information security is pivotal. </w:t>
      </w:r>
      <w:r w:rsidRPr="00A204B0">
        <w:rPr>
          <w:rFonts w:ascii="Times New Roman" w:eastAsia="Times New Roman" w:hAnsi="Times New Roman" w:cs="Times New Roman"/>
          <w:color w:val="000000"/>
          <w:sz w:val="24"/>
          <w:szCs w:val="24"/>
          <w:lang w:eastAsia="en-GB"/>
        </w:rPr>
        <w:t>A workshop</w:t>
      </w:r>
      <w:r>
        <w:rPr>
          <w:rFonts w:ascii="Times New Roman" w:eastAsia="Times New Roman" w:hAnsi="Times New Roman" w:cs="Times New Roman"/>
          <w:color w:val="000000"/>
          <w:sz w:val="24"/>
          <w:szCs w:val="24"/>
          <w:lang w:eastAsia="en-GB"/>
        </w:rPr>
        <w:t xml:space="preserve"> </w:t>
      </w:r>
      <w:r w:rsidRPr="00A204B0">
        <w:rPr>
          <w:rFonts w:ascii="Times New Roman" w:eastAsia="Times New Roman" w:hAnsi="Times New Roman" w:cs="Times New Roman"/>
          <w:color w:val="000000"/>
          <w:sz w:val="24"/>
          <w:szCs w:val="24"/>
          <w:lang w:eastAsia="en-GB"/>
        </w:rPr>
        <w:t xml:space="preserve">organised by the Academy of Medical Sciences (among others) proposed that </w:t>
      </w:r>
      <w:r>
        <w:rPr>
          <w:rFonts w:ascii="Times New Roman" w:eastAsia="Times New Roman" w:hAnsi="Times New Roman" w:cs="Times New Roman"/>
          <w:color w:val="000000"/>
          <w:sz w:val="24"/>
          <w:szCs w:val="24"/>
          <w:lang w:eastAsia="en-GB"/>
        </w:rPr>
        <w:t xml:space="preserve">sensitive </w:t>
      </w:r>
      <w:r w:rsidRPr="00A204B0">
        <w:rPr>
          <w:rFonts w:ascii="Times New Roman" w:eastAsia="Times New Roman" w:hAnsi="Times New Roman" w:cs="Times New Roman"/>
          <w:color w:val="000000"/>
          <w:sz w:val="24"/>
          <w:szCs w:val="24"/>
          <w:lang w:eastAsia="en-GB"/>
        </w:rPr>
        <w:t>data should be stored and analysed in safe havens</w:t>
      </w:r>
      <w:r w:rsidR="006C191D">
        <w:rPr>
          <w:rFonts w:ascii="Times New Roman" w:eastAsia="Times New Roman" w:hAnsi="Times New Roman" w:cs="Times New Roman"/>
          <w:color w:val="000000"/>
          <w:sz w:val="24"/>
          <w:szCs w:val="24"/>
          <w:lang w:eastAsia="en-GB"/>
        </w:rPr>
        <w:t>.</w:t>
      </w:r>
      <w:r w:rsidRPr="00A204B0">
        <w:rPr>
          <w:rFonts w:ascii="Times New Roman" w:eastAsia="Times New Roman" w:hAnsi="Times New Roman" w:cs="Times New Roman"/>
          <w:color w:val="000000"/>
          <w:sz w:val="24"/>
          <w:szCs w:val="24"/>
          <w:lang w:eastAsia="en-GB"/>
        </w:rPr>
        <w:t xml:space="preserve"> Data security risks can then be managed better by segregating sensitive data, controlling data access and monitoring data uses</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"28sajba2c7", "citationItems" : [ { "id" : "ITEM-1", "itemData" : { "author" : [ { "dropping-particle" : "", "family" : "Academy of Medical Sciences", "given" : "", "non-dropping-particle" : "", "parse-names" : false, "suffix" : "" } ], "id" : "ITEM-1", "issued" : { "date-parts" : [ [ "2014" ] ] }, "title" : "Data in Safe Havens | Academy of Medical Sciences", "type" : "webpage" }, "uri" : [ "http://zotero.org/users/17430/items/9EXVNT4F" ], "uris" : [ "http://zotero.org/users/17430/items/9EXVNT4F", "http://www.mendeley.com/documents/?uuid=bf574b8f-38f7-453b-9ff0-92204dae3570" ] } ], "mendeley" : { "formattedCitation" : "[18]", "plainTextFormattedCitation" : "[18]", "previouslyFormattedCitation" : "[18]" }, "properties" : { "formattedCitation" : "(5)", "noteIndex" : 0, "plainCitation" : "(5)" }, "schema" : "https://github.com/citation-style-language/schema/raw/master/csl-citation.json"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[18]</w:t>
      </w:r>
      <w:r>
        <w:rPr>
          <w:rFonts w:ascii="Times New Roman" w:eastAsia="Times New Roman" w:hAnsi="Times New Roman" w:cs="Times New Roman"/>
          <w:color w:val="000000"/>
          <w:sz w:val="24"/>
          <w:szCs w:val="24"/>
          <w:lang w:eastAsia="en-GB"/>
        </w:rPr>
        <w:fldChar w:fldCharType="end"/>
      </w:r>
      <w:r w:rsidRPr="00A204B0">
        <w:rPr>
          <w:rFonts w:ascii="Times New Roman" w:eastAsia="Times New Roman" w:hAnsi="Times New Roman" w:cs="Times New Roman"/>
          <w:color w:val="000000"/>
          <w:sz w:val="24"/>
          <w:szCs w:val="24"/>
          <w:lang w:eastAsia="en-GB"/>
        </w:rPr>
        <w:t xml:space="preserve">. </w:t>
      </w:r>
      <w:r w:rsidR="00127049" w:rsidRPr="00127049">
        <w:rPr>
          <w:rFonts w:ascii="Times New Roman" w:eastAsia="Times New Roman" w:hAnsi="Times New Roman" w:cs="Times New Roman"/>
          <w:color w:val="000000"/>
          <w:sz w:val="24"/>
          <w:szCs w:val="24"/>
          <w:lang w:eastAsia="en-GB"/>
        </w:rPr>
        <w:t>In order for safe havens to operate efficiently (at low cost and rapid responsiveness) they will need to combine different uses of the same data in an economy of scale. But they also need to engage with their communities over data uses. If the population covered is too large to be considered a natural community then interacting with citizens over using their personal data for the public good might be difficult, as it is often easier for a citizen to relate to people from their region than outside</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"citationItems" : [ { "id" : "ITEM-1", "itemData" : { "author" : [ { "dropping-particle" : "", "family" : "Ainsworth", "given" : "John", "non-dropping-particle" : "", "parse-names" : false, "suffix" : "" }, { "dropping-particle" : "", "family" : "Buchan", "given" : "Iain", "non-dropping-particle" : "", "parse-names" : false, "suffix" : "" } ], "container-title" : "Methods of Information in Medicine", "id" : "ITEM-1", "issued" : { "date-parts" : [ [ "2015" ] ] }, "title" : "Combining Health Data Uses to Ignite Health System Learning", "type" : "article-journal", "volume" : "in press" }, "uris" : [ "http://www.mendeley.com/documents/?uuid=0349ca37-702d-488f-a381-ccd276659a26" ] } ], "mendeley" : { "formattedCitation" : "[19]", "plainTextFormattedCitation" : "[19]", "previouslyFormattedCitation" : "[19]" }, "properties" : { "noteIndex" : 0 }, "schema" : "https://github.com/citation-style-language/schema/raw/master/csl-citation.json"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[19]</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r w:rsidR="00D562B8">
        <w:rPr>
          <w:rFonts w:ascii="Times New Roman" w:eastAsia="Times New Roman" w:hAnsi="Times New Roman" w:cs="Times New Roman"/>
          <w:color w:val="000000"/>
          <w:sz w:val="24"/>
          <w:szCs w:val="24"/>
          <w:lang w:eastAsia="en-GB"/>
        </w:rPr>
        <w:t xml:space="preserve"> </w:t>
      </w:r>
      <w:r w:rsidR="00D562B8" w:rsidRPr="00A204B0">
        <w:rPr>
          <w:rFonts w:ascii="Times New Roman" w:eastAsia="Times New Roman" w:hAnsi="Times New Roman" w:cs="Times New Roman"/>
          <w:color w:val="000000"/>
          <w:sz w:val="24"/>
          <w:szCs w:val="24"/>
          <w:lang w:eastAsia="en-GB"/>
        </w:rPr>
        <w:t>Over the past decade</w:t>
      </w:r>
      <w:r w:rsidR="00D562B8">
        <w:rPr>
          <w:rFonts w:ascii="Times New Roman" w:eastAsia="Times New Roman" w:hAnsi="Times New Roman" w:cs="Times New Roman"/>
          <w:color w:val="000000"/>
          <w:sz w:val="24"/>
          <w:szCs w:val="24"/>
          <w:lang w:eastAsia="en-GB"/>
        </w:rPr>
        <w:t>,</w:t>
      </w:r>
      <w:r w:rsidR="00D562B8" w:rsidRPr="00A204B0">
        <w:rPr>
          <w:rFonts w:ascii="Times New Roman" w:eastAsia="Times New Roman" w:hAnsi="Times New Roman" w:cs="Times New Roman"/>
          <w:color w:val="000000"/>
          <w:sz w:val="24"/>
          <w:szCs w:val="24"/>
          <w:lang w:eastAsia="en-GB"/>
        </w:rPr>
        <w:t xml:space="preserve"> progress has been made toward automating</w:t>
      </w:r>
      <w:r w:rsidR="00D562B8">
        <w:rPr>
          <w:rFonts w:ascii="Times New Roman" w:eastAsia="Times New Roman" w:hAnsi="Times New Roman" w:cs="Times New Roman"/>
          <w:color w:val="000000"/>
          <w:sz w:val="24"/>
          <w:szCs w:val="24"/>
          <w:lang w:eastAsia="en-GB"/>
        </w:rPr>
        <w:t xml:space="preserve"> more</w:t>
      </w:r>
      <w:r w:rsidR="00D562B8" w:rsidRPr="00A204B0">
        <w:rPr>
          <w:rFonts w:ascii="Times New Roman" w:eastAsia="Times New Roman" w:hAnsi="Times New Roman" w:cs="Times New Roman"/>
          <w:color w:val="000000"/>
          <w:sz w:val="24"/>
          <w:szCs w:val="24"/>
          <w:lang w:eastAsia="en-GB"/>
        </w:rPr>
        <w:t xml:space="preserve"> </w:t>
      </w:r>
      <w:r w:rsidR="00D562B8" w:rsidRPr="00400778">
        <w:rPr>
          <w:rFonts w:ascii="Times New Roman" w:eastAsia="Times New Roman" w:hAnsi="Times New Roman" w:cs="Times New Roman"/>
          <w:i/>
          <w:color w:val="000000"/>
          <w:sz w:val="24"/>
          <w:szCs w:val="24"/>
          <w:lang w:eastAsia="en-GB"/>
        </w:rPr>
        <w:t>distributed</w:t>
      </w:r>
      <w:r w:rsidR="00D562B8" w:rsidRPr="00A204B0">
        <w:rPr>
          <w:rFonts w:ascii="Times New Roman" w:eastAsia="Times New Roman" w:hAnsi="Times New Roman" w:cs="Times New Roman"/>
          <w:color w:val="000000"/>
          <w:sz w:val="24"/>
          <w:szCs w:val="24"/>
          <w:lang w:eastAsia="en-GB"/>
        </w:rPr>
        <w:t xml:space="preserve"> analysis with individual-level data and federated datasets </w:t>
      </w:r>
      <w:r w:rsidR="00D562B8" w:rsidRPr="00627F22">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"citationID" : "1Jm4hbjs", "citationItems" : [ { "id" : "ITEM-1", "itemData" : { "DOI" : "10.1561/2200000016", "ISSN" : "1935-8237", "author" : [ { "dropping-particle" : "", "family" : "Boyd", "given" : "Stephen", "non-dropping-particle" : "", "parse-names" : false, "suffix" : "" } ], "container-title" : "Foundations and Trends\u00ae in Machine Learning", "id" : "ITEM-1", "issue" : "1", "issued" : { "date-parts" : [ [ "2010", "1", "1" ] ] }, "page" : "1-122", "publisher" : "Now Publishers Inc.", "title" : "Distributed Optimization and Statistical Learning via the Alternating Direction Method of Multipliers", "type" : "article-journal", "volume" : "3" }, "uri" : [ "http://www.mendeley.com/documents/?uuid=5c27b1fb-9571-4c87-a0a5-4ac2a8fc72e3" ], "uris" : [ "http://www.mendeley.com/documents/?uuid=5c27b1fb-9571-4c87-a0a5-4ac2a8fc72e3" ] } ], "mendeley" : { "formattedCitation" : "[20]", "plainTextFormattedCitation" : "[20]", "previouslyFormattedCitation" : "[20]" }, "properties" : { "formattedCitation" : "(7)", "noteIndex" : 0, "plainCitation" : "(7)" }, "schema" : "https://github.com/citation-style-language/schema/raw/master/csl-citation.json" }</w:instrText>
      </w:r>
      <w:r w:rsidR="00D562B8" w:rsidRPr="00627F22">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[20]</w:t>
      </w:r>
      <w:r w:rsidR="00D562B8" w:rsidRPr="00627F22">
        <w:rPr>
          <w:rFonts w:ascii="Times New Roman" w:hAnsi="Times New Roman" w:cs="Times New Roman"/>
          <w:color w:val="000000"/>
          <w:sz w:val="24"/>
          <w:szCs w:val="24"/>
        </w:rPr>
        <w:fldChar w:fldCharType="end"/>
      </w:r>
      <w:r w:rsidR="00D562B8" w:rsidRPr="00A204B0">
        <w:rPr>
          <w:rFonts w:ascii="Times New Roman" w:hAnsi="Times New Roman" w:cs="Times New Roman"/>
          <w:color w:val="000000"/>
          <w:sz w:val="24"/>
          <w:szCs w:val="24"/>
        </w:rPr>
        <w:t>.</w:t>
      </w:r>
      <w:r w:rsidR="00127049">
        <w:rPr>
          <w:rStyle w:val="apple-converted-space"/>
          <w:rFonts w:ascii="Times New Roman" w:hAnsi="Times New Roman" w:cs="Times New Roman"/>
          <w:color w:val="000000"/>
          <w:sz w:val="20"/>
          <w:szCs w:val="20"/>
        </w:rPr>
        <w:t xml:space="preserve"> </w:t>
      </w:r>
      <w:r w:rsidR="00D562B8" w:rsidRPr="00A204B0">
        <w:rPr>
          <w:rFonts w:ascii="Times New Roman" w:eastAsia="Times New Roman" w:hAnsi="Times New Roman" w:cs="Times New Roman"/>
          <w:color w:val="000000"/>
          <w:sz w:val="24"/>
          <w:szCs w:val="24"/>
          <w:lang w:eastAsia="en-GB"/>
        </w:rPr>
        <w:t xml:space="preserve">With </w:t>
      </w:r>
      <w:r w:rsidR="00394944">
        <w:rPr>
          <w:rFonts w:ascii="Times New Roman" w:eastAsia="Times New Roman" w:hAnsi="Times New Roman" w:cs="Times New Roman"/>
          <w:color w:val="000000"/>
          <w:sz w:val="24"/>
          <w:szCs w:val="24"/>
          <w:lang w:eastAsia="en-GB"/>
        </w:rPr>
        <w:t xml:space="preserve">distributed </w:t>
      </w:r>
      <w:r w:rsidR="00D562B8" w:rsidRPr="00A204B0">
        <w:rPr>
          <w:rFonts w:ascii="Times New Roman" w:eastAsia="Times New Roman" w:hAnsi="Times New Roman" w:cs="Times New Roman"/>
          <w:color w:val="000000"/>
          <w:sz w:val="24"/>
          <w:szCs w:val="24"/>
          <w:lang w:eastAsia="en-GB"/>
        </w:rPr>
        <w:t>approaches individual-level data are analysed locally</w:t>
      </w:r>
      <w:r w:rsidR="00D562B8">
        <w:rPr>
          <w:rFonts w:ascii="Times New Roman" w:eastAsia="Times New Roman" w:hAnsi="Times New Roman" w:cs="Times New Roman"/>
          <w:color w:val="000000"/>
          <w:sz w:val="24"/>
          <w:szCs w:val="24"/>
          <w:lang w:eastAsia="en-GB"/>
        </w:rPr>
        <w:t xml:space="preserve"> and</w:t>
      </w:r>
      <w:r w:rsidR="00D562B8" w:rsidRPr="00A204B0">
        <w:rPr>
          <w:rFonts w:ascii="Times New Roman" w:eastAsia="Times New Roman" w:hAnsi="Times New Roman" w:cs="Times New Roman"/>
          <w:color w:val="000000"/>
          <w:sz w:val="24"/>
          <w:szCs w:val="24"/>
          <w:lang w:eastAsia="en-GB"/>
        </w:rPr>
        <w:t xml:space="preserve"> </w:t>
      </w:r>
      <w:r w:rsidR="00D562B8">
        <w:rPr>
          <w:rFonts w:ascii="Times New Roman" w:eastAsia="Times New Roman" w:hAnsi="Times New Roman" w:cs="Times New Roman"/>
          <w:color w:val="000000"/>
          <w:sz w:val="24"/>
          <w:szCs w:val="24"/>
          <w:lang w:eastAsia="en-GB"/>
        </w:rPr>
        <w:t xml:space="preserve">only </w:t>
      </w:r>
      <w:r w:rsidR="00D562B8" w:rsidRPr="00A204B0">
        <w:rPr>
          <w:rFonts w:ascii="Times New Roman" w:eastAsia="Times New Roman" w:hAnsi="Times New Roman" w:cs="Times New Roman"/>
          <w:color w:val="000000"/>
          <w:sz w:val="24"/>
          <w:szCs w:val="24"/>
          <w:lang w:eastAsia="en-GB"/>
        </w:rPr>
        <w:t xml:space="preserve">summary results or intermediate statistics </w:t>
      </w:r>
      <w:r w:rsidR="00D562B8">
        <w:rPr>
          <w:rFonts w:ascii="Times New Roman" w:eastAsia="Times New Roman" w:hAnsi="Times New Roman" w:cs="Times New Roman"/>
          <w:color w:val="000000"/>
          <w:sz w:val="24"/>
          <w:szCs w:val="24"/>
          <w:lang w:eastAsia="en-GB"/>
        </w:rPr>
        <w:t xml:space="preserve">are </w:t>
      </w:r>
      <w:r w:rsidR="00D562B8" w:rsidRPr="00A204B0">
        <w:rPr>
          <w:rFonts w:ascii="Times New Roman" w:eastAsia="Times New Roman" w:hAnsi="Times New Roman" w:cs="Times New Roman"/>
          <w:color w:val="000000"/>
          <w:sz w:val="24"/>
          <w:szCs w:val="24"/>
          <w:lang w:eastAsia="en-GB"/>
        </w:rPr>
        <w:t xml:space="preserve">shared. </w:t>
      </w:r>
      <w:r w:rsidR="00394944">
        <w:rPr>
          <w:rFonts w:ascii="Times New Roman" w:eastAsia="Times New Roman" w:hAnsi="Times New Roman" w:cs="Times New Roman"/>
          <w:color w:val="000000"/>
          <w:sz w:val="24"/>
          <w:szCs w:val="24"/>
          <w:lang w:eastAsia="en-GB"/>
        </w:rPr>
        <w:t>D</w:t>
      </w:r>
      <w:r w:rsidR="00394944" w:rsidRPr="00394944">
        <w:rPr>
          <w:rFonts w:ascii="Times New Roman" w:eastAsia="Times New Roman" w:hAnsi="Times New Roman" w:cs="Times New Roman"/>
          <w:color w:val="000000"/>
          <w:sz w:val="24"/>
          <w:szCs w:val="24"/>
          <w:lang w:eastAsia="en-GB"/>
        </w:rPr>
        <w:t xml:space="preserve">ifferent </w:t>
      </w:r>
      <w:r w:rsidR="00394944">
        <w:rPr>
          <w:rFonts w:ascii="Times New Roman" w:eastAsia="Times New Roman" w:hAnsi="Times New Roman" w:cs="Times New Roman"/>
          <w:color w:val="000000"/>
          <w:sz w:val="24"/>
          <w:szCs w:val="24"/>
          <w:lang w:eastAsia="en-GB"/>
        </w:rPr>
        <w:t xml:space="preserve">computational </w:t>
      </w:r>
      <w:r w:rsidR="00394944" w:rsidRPr="00394944">
        <w:rPr>
          <w:rFonts w:ascii="Times New Roman" w:eastAsia="Times New Roman" w:hAnsi="Times New Roman" w:cs="Times New Roman"/>
          <w:color w:val="000000"/>
          <w:sz w:val="24"/>
          <w:szCs w:val="24"/>
          <w:lang w:eastAsia="en-GB"/>
        </w:rPr>
        <w:t>models for distributed analys</w:t>
      </w:r>
      <w:r w:rsidR="00394944">
        <w:rPr>
          <w:rFonts w:ascii="Times New Roman" w:eastAsia="Times New Roman" w:hAnsi="Times New Roman" w:cs="Times New Roman"/>
          <w:color w:val="000000"/>
          <w:sz w:val="24"/>
          <w:szCs w:val="24"/>
          <w:lang w:eastAsia="en-GB"/>
        </w:rPr>
        <w:t>es are being developed</w:t>
      </w:r>
      <w:r w:rsidR="00394944" w:rsidRPr="00394944">
        <w:rPr>
          <w:rFonts w:ascii="Times New Roman" w:eastAsia="Times New Roman" w:hAnsi="Times New Roman" w:cs="Times New Roman"/>
          <w:color w:val="000000"/>
          <w:sz w:val="24"/>
          <w:szCs w:val="24"/>
          <w:lang w:eastAsia="en-GB"/>
        </w:rPr>
        <w:t>, such as meta-analysis of individual node results, distributed secure-multiparty computation platforms, or distributed queries</w:t>
      </w:r>
      <w:r w:rsidR="00394944">
        <w:rPr>
          <w:rFonts w:ascii="Times New Roman" w:eastAsia="Times New Roman" w:hAnsi="Times New Roman" w:cs="Times New Roman"/>
          <w:color w:val="000000"/>
          <w:sz w:val="24"/>
          <w:szCs w:val="24"/>
          <w:lang w:eastAsia="en-GB"/>
        </w:rPr>
        <w:t xml:space="preserve">. </w:t>
      </w:r>
      <w:r w:rsidR="007C4025">
        <w:rPr>
          <w:rFonts w:ascii="Times New Roman" w:eastAsia="Times New Roman" w:hAnsi="Times New Roman" w:cs="Times New Roman"/>
          <w:color w:val="000000"/>
          <w:sz w:val="24"/>
          <w:szCs w:val="24"/>
          <w:lang w:eastAsia="en-GB"/>
        </w:rPr>
        <w:t>An example of a federation o</w:t>
      </w:r>
      <w:r w:rsidRPr="00A204B0">
        <w:rPr>
          <w:rFonts w:ascii="Times New Roman" w:eastAsia="Times New Roman" w:hAnsi="Times New Roman" w:cs="Times New Roman"/>
          <w:color w:val="000000"/>
          <w:sz w:val="24"/>
          <w:szCs w:val="24"/>
          <w:lang w:eastAsia="en-GB"/>
        </w:rPr>
        <w:t>f local safe havens</w:t>
      </w:r>
      <w:r>
        <w:rPr>
          <w:rFonts w:ascii="Times New Roman" w:eastAsia="Times New Roman" w:hAnsi="Times New Roman" w:cs="Times New Roman"/>
          <w:color w:val="000000"/>
          <w:sz w:val="24"/>
          <w:szCs w:val="24"/>
          <w:lang w:eastAsia="en-GB"/>
        </w:rPr>
        <w:t>, known as Arks,</w:t>
      </w:r>
      <w:r w:rsidRPr="00A204B0">
        <w:rPr>
          <w:rFonts w:ascii="Times New Roman" w:eastAsia="Times New Roman" w:hAnsi="Times New Roman" w:cs="Times New Roman"/>
          <w:color w:val="000000"/>
          <w:sz w:val="24"/>
          <w:szCs w:val="24"/>
          <w:lang w:eastAsia="en-GB"/>
        </w:rPr>
        <w:t xml:space="preserve"> is </w:t>
      </w:r>
      <w:r w:rsidR="007C4025">
        <w:rPr>
          <w:rFonts w:ascii="Times New Roman" w:eastAsia="Times New Roman" w:hAnsi="Times New Roman" w:cs="Times New Roman"/>
          <w:color w:val="000000"/>
          <w:sz w:val="24"/>
          <w:szCs w:val="24"/>
          <w:lang w:eastAsia="en-GB"/>
        </w:rPr>
        <w:t>being developed</w:t>
      </w:r>
      <w:r w:rsidRPr="00A204B0">
        <w:rPr>
          <w:rFonts w:ascii="Times New Roman" w:eastAsia="Times New Roman" w:hAnsi="Times New Roman" w:cs="Times New Roman"/>
          <w:color w:val="000000"/>
          <w:sz w:val="24"/>
          <w:szCs w:val="24"/>
          <w:lang w:eastAsia="en-GB"/>
        </w:rPr>
        <w:t>, linked to the Connected Health Cities pilots in North England</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"1majvp7l07", "citationItems" : [ { "id" : "ITEM-1", "itemData" : { "abstract" : "The Budget speech in full.", "author" : [ { "dropping-particle" : "", "family" : "UK Govt", "given" : "", "non-dropping-particle" : "", "parse-names" : false, "suffix" : "" } ], "id" : "ITEM-1", "issued" : { "date-parts" : [ [ "2015" ] ] }, "title" : "Chancellor George Osborne's Budget 2015 speech - Speeches - GOV.UK", "type" : "webpage" }, "uri" : [ "http://zotero.org/users/17430/items/QG8M23R6" ], "uris" : [ "http://zotero.org/users/17430/items/QG8M23R6", "http://www.mendeley.com/documents/?uuid=c1021726-2468-4831-8727-349a94cf9507" ] } ], "mendeley" : { "formattedCitation" : "[21]", "plainTextFormattedCitation" : "[21]", "previouslyFormattedCitation" : "[21]" }, "properties" : { "formattedCitation" : "(6)", "noteIndex" : 0, "plainCitation" : "(6)" }, "schema" : "https://github.com/citation-style-language/schema/raw/master/csl-citation.json" }</w:instrText>
      </w:r>
      <w:r>
        <w:rPr>
          <w:rFonts w:ascii="Times New Roman" w:eastAsia="Times New Roman" w:hAnsi="Times New Roman" w:cs="Times New Roman"/>
          <w:color w:val="000000"/>
          <w:sz w:val="24"/>
          <w:szCs w:val="24"/>
          <w:lang w:eastAsia="en-GB"/>
        </w:rPr>
        <w:fldChar w:fldCharType="separate"/>
      </w:r>
      <w:r w:rsidR="00EA70CE" w:rsidRPr="00EA70CE">
        <w:rPr>
          <w:rFonts w:ascii="Times New Roman" w:eastAsia="Times New Roman" w:hAnsi="Times New Roman" w:cs="Times New Roman"/>
          <w:noProof/>
          <w:color w:val="000000"/>
          <w:sz w:val="24"/>
          <w:szCs w:val="24"/>
          <w:lang w:eastAsia="en-GB"/>
        </w:rPr>
        <w:t>[21]</w:t>
      </w:r>
      <w:r>
        <w:rPr>
          <w:rFonts w:ascii="Times New Roman" w:eastAsia="Times New Roman" w:hAnsi="Times New Roman" w:cs="Times New Roman"/>
          <w:color w:val="000000"/>
          <w:sz w:val="24"/>
          <w:szCs w:val="24"/>
          <w:lang w:eastAsia="en-GB"/>
        </w:rPr>
        <w:fldChar w:fldCharType="end"/>
      </w:r>
      <w:r w:rsidRPr="00A204B0">
        <w:rPr>
          <w:rFonts w:ascii="Times New Roman" w:eastAsia="Times New Roman" w:hAnsi="Times New Roman" w:cs="Times New Roman"/>
          <w:color w:val="000000"/>
          <w:sz w:val="24"/>
          <w:szCs w:val="24"/>
          <w:lang w:eastAsia="en-GB"/>
        </w:rPr>
        <w:t xml:space="preserve">. </w:t>
      </w:r>
      <w:r w:rsidR="007C4025" w:rsidRPr="00A204B0">
        <w:rPr>
          <w:rFonts w:ascii="Times New Roman" w:eastAsia="Times New Roman" w:hAnsi="Times New Roman" w:cs="Times New Roman"/>
          <w:color w:val="000000"/>
          <w:sz w:val="24"/>
          <w:szCs w:val="24"/>
          <w:lang w:eastAsia="en-GB"/>
        </w:rPr>
        <w:t xml:space="preserve">The ultimate solution, however, must combine new technologies with clear accountability, transparent operations and public trust. </w:t>
      </w:r>
      <w:r w:rsidR="007C4025">
        <w:rPr>
          <w:rFonts w:ascii="Times New Roman" w:eastAsia="Times New Roman" w:hAnsi="Times New Roman" w:cs="Times New Roman"/>
          <w:color w:val="000000"/>
          <w:sz w:val="24"/>
          <w:szCs w:val="24"/>
          <w:lang w:eastAsia="en-GB"/>
        </w:rPr>
        <w:t>In addition</w:t>
      </w:r>
      <w:r w:rsidR="007C4025" w:rsidRPr="00A204B0">
        <w:rPr>
          <w:rFonts w:ascii="Times New Roman" w:eastAsia="Times New Roman" w:hAnsi="Times New Roman" w:cs="Times New Roman"/>
          <w:color w:val="000000"/>
          <w:sz w:val="24"/>
          <w:szCs w:val="24"/>
          <w:lang w:eastAsia="en-GB"/>
        </w:rPr>
        <w:t xml:space="preserve">, data </w:t>
      </w:r>
      <w:r w:rsidR="007C4025">
        <w:rPr>
          <w:rFonts w:ascii="Times New Roman" w:eastAsia="Times New Roman" w:hAnsi="Times New Roman" w:cs="Times New Roman"/>
          <w:color w:val="000000"/>
          <w:sz w:val="24"/>
          <w:szCs w:val="24"/>
          <w:lang w:eastAsia="en-GB"/>
        </w:rPr>
        <w:t>stewardship</w:t>
      </w:r>
      <w:r w:rsidR="007C4025" w:rsidRPr="00A204B0">
        <w:rPr>
          <w:rFonts w:ascii="Times New Roman" w:eastAsia="Times New Roman" w:hAnsi="Times New Roman" w:cs="Times New Roman"/>
          <w:color w:val="000000"/>
          <w:sz w:val="24"/>
          <w:szCs w:val="24"/>
          <w:lang w:eastAsia="en-GB"/>
        </w:rPr>
        <w:t xml:space="preserve"> is not just about physical </w:t>
      </w:r>
      <w:r w:rsidR="007C4025">
        <w:rPr>
          <w:rFonts w:ascii="Times New Roman" w:eastAsia="Times New Roman" w:hAnsi="Times New Roman" w:cs="Times New Roman"/>
          <w:color w:val="000000"/>
          <w:sz w:val="24"/>
          <w:szCs w:val="24"/>
          <w:lang w:eastAsia="en-GB"/>
        </w:rPr>
        <w:t>and digital security: st</w:t>
      </w:r>
      <w:r w:rsidR="007C4025" w:rsidRPr="00A204B0">
        <w:rPr>
          <w:rFonts w:ascii="Times New Roman" w:hAnsi="Times New Roman" w:cs="Times New Roman"/>
          <w:sz w:val="24"/>
          <w:szCs w:val="24"/>
        </w:rPr>
        <w:t>aff training</w:t>
      </w:r>
      <w:r w:rsidR="007C4025">
        <w:rPr>
          <w:rFonts w:ascii="Times New Roman" w:hAnsi="Times New Roman" w:cs="Times New Roman"/>
          <w:sz w:val="24"/>
          <w:szCs w:val="24"/>
        </w:rPr>
        <w:t xml:space="preserve">, </w:t>
      </w:r>
      <w:r w:rsidR="007C4025" w:rsidRPr="00A204B0">
        <w:rPr>
          <w:rFonts w:ascii="Times New Roman" w:hAnsi="Times New Roman" w:cs="Times New Roman"/>
          <w:sz w:val="24"/>
          <w:szCs w:val="24"/>
        </w:rPr>
        <w:t xml:space="preserve">standard </w:t>
      </w:r>
      <w:r w:rsidR="007C4025">
        <w:rPr>
          <w:rFonts w:ascii="Times New Roman" w:hAnsi="Times New Roman" w:cs="Times New Roman"/>
          <w:sz w:val="24"/>
          <w:szCs w:val="24"/>
        </w:rPr>
        <w:t xml:space="preserve">operating </w:t>
      </w:r>
      <w:r w:rsidR="007C4025" w:rsidRPr="00A204B0">
        <w:rPr>
          <w:rFonts w:ascii="Times New Roman" w:hAnsi="Times New Roman" w:cs="Times New Roman"/>
          <w:sz w:val="24"/>
          <w:szCs w:val="24"/>
        </w:rPr>
        <w:t>procedures</w:t>
      </w:r>
      <w:r w:rsidR="007C4025">
        <w:rPr>
          <w:rFonts w:ascii="Times New Roman" w:hAnsi="Times New Roman" w:cs="Times New Roman"/>
          <w:sz w:val="24"/>
          <w:szCs w:val="24"/>
        </w:rPr>
        <w:t xml:space="preserve">, and the </w:t>
      </w:r>
      <w:r w:rsidR="007C4025" w:rsidRPr="00A204B0">
        <w:rPr>
          <w:rFonts w:ascii="Times New Roman" w:hAnsi="Times New Roman" w:cs="Times New Roman"/>
          <w:sz w:val="24"/>
          <w:szCs w:val="24"/>
        </w:rPr>
        <w:t xml:space="preserve">skills and attitudes of staff are </w:t>
      </w:r>
      <w:r w:rsidR="007C4025">
        <w:rPr>
          <w:rFonts w:ascii="Times New Roman" w:hAnsi="Times New Roman" w:cs="Times New Roman"/>
          <w:sz w:val="24"/>
          <w:szCs w:val="24"/>
        </w:rPr>
        <w:t xml:space="preserve">also </w:t>
      </w:r>
      <w:r w:rsidR="007C4025" w:rsidRPr="00A204B0">
        <w:rPr>
          <w:rFonts w:ascii="Times New Roman" w:hAnsi="Times New Roman" w:cs="Times New Roman"/>
          <w:sz w:val="24"/>
          <w:szCs w:val="24"/>
        </w:rPr>
        <w:t xml:space="preserve">important </w:t>
      </w:r>
      <w:r w:rsidR="007C4025" w:rsidRPr="00627F22">
        <w:rPr>
          <w:rFonts w:ascii="Times New Roman" w:hAnsi="Times New Roman" w:cs="Times New Roman"/>
          <w:sz w:val="24"/>
          <w:szCs w:val="24"/>
        </w:rPr>
        <w:fldChar w:fldCharType="begin" w:fldLock="1"/>
      </w:r>
      <w:r w:rsidR="00404D27">
        <w:rPr>
          <w:rFonts w:ascii="Times New Roman" w:hAnsi="Times New Roman" w:cs="Times New Roman"/>
          <w:sz w:val="24"/>
          <w:szCs w:val="24"/>
        </w:rPr>
        <w:instrText>ADDIN CSL_CITATION { "citationID" : "7Cwgyv7L", "citationItems" : [ { "id" : "ITEM-1", "itemData" : { "DOI" : "10.1002/pds.2170", "ISSN" : "1099-1557", "PMID" : "21714035", "abstract" : "PURPOSE: Issues surrounding data security and privacy are of great importance when handling sensitive health-related data for research. The emphasis in the past has been on balancing the risks to individuals with the benefit to society of the use of databases for research. However, a new way of looking at such issues is that by optimising procedures and policies regarding security and privacy of data to the extent that there is no appreciable risk to the privacy of individuals, we can create a 'win-win' situation in which everyone benefits, and pharmacoepidemiological research can flourish with public support. We discuss holistic measures, involving both information technology and people, taken to improve the security and privacy of data storage.\n\nMETHODS: After an internal review, we commissioned an external audit by an independent consultant with a view to optimising our data storage and handling procedures.\n\nRESULTS: Improvements to our policies and procedures were implemented as a result of the audit.\n\nCONCLUSIONS: By optimising our storage of data, we hope to inspire public confidence and hence cooperation with the use of health care data in research.", "author" : [ { "dropping-particle" : "", "family" : "Mackenzie", "given" : "Isla S", "non-dropping-particle" : "", "parse-names" : false, "suffix" : "" }, { "dropping-particle" : "", "family" : "Mantay", "given" : "Brian J", "non-dropping-particle" : "", "parse-names" : false, "suffix" : "" }, { "dropping-particle" : "", "family" : "McDonnell", "given" : "Patrick G", "non-dropping-particle" : "", "parse-names" : false, "suffix" : "" }, { "dropping-particle" : "", "family" : "Wei", "given" : "Li", "non-dropping-particle" : "", "parse-names" : false, "suffix" : "" }, { "dropping-particle" : "", "family" : "MacDonald", "given" : "Thomas M", "non-dropping-particle" : "", "parse-names" : false, "suffix" : "" } ], "container-title" : "Pharmacoepidemiology and drug safety", "id" : "ITEM-1", "issue" : "8", "issued" : { "date-parts" : [ [ "2011", "8" ] ] }, "page" : "885-93", "title" : "Managing security and privacy concerns over data storage in healthcare research.", "type" : "article-journal", "volume" : "20" }, "uri" : [ "http://www.mendeley.com/documents/?uuid=d60f01e9-6e68-4b9f-aaad-f9c1222a478f" ], "uris" : [ "http://www.mendeley.com/documents/?uuid=d60f01e9-6e68-4b9f-aaad-f9c1222a478f" ] } ], "mendeley" : { "formattedCitation" : "[22]", "plainTextFormattedCitation" : "[22]", "previouslyFormattedCitation" : "[22]" }, "properties" : { "formattedCitation" : "(8)", "noteIndex" : 0, "plainCitation" : "(8)" }, "schema" : "https://github.com/citation-style-language/schema/raw/master/csl-citation.json" }</w:instrText>
      </w:r>
      <w:r w:rsidR="007C4025" w:rsidRPr="00627F22">
        <w:rPr>
          <w:rFonts w:ascii="Times New Roman" w:hAnsi="Times New Roman" w:cs="Times New Roman"/>
          <w:sz w:val="24"/>
          <w:szCs w:val="24"/>
        </w:rPr>
        <w:fldChar w:fldCharType="separate"/>
      </w:r>
      <w:r w:rsidR="00EA70CE" w:rsidRPr="00EA70CE">
        <w:rPr>
          <w:rFonts w:ascii="Times New Roman" w:hAnsi="Times New Roman" w:cs="Times New Roman"/>
          <w:noProof/>
          <w:sz w:val="24"/>
          <w:szCs w:val="24"/>
        </w:rPr>
        <w:t>[22]</w:t>
      </w:r>
      <w:r w:rsidR="007C4025" w:rsidRPr="00627F22">
        <w:rPr>
          <w:rFonts w:ascii="Times New Roman" w:hAnsi="Times New Roman" w:cs="Times New Roman"/>
          <w:sz w:val="24"/>
          <w:szCs w:val="24"/>
        </w:rPr>
        <w:fldChar w:fldCharType="end"/>
      </w:r>
      <w:r w:rsidR="007C4025" w:rsidRPr="00A204B0">
        <w:rPr>
          <w:rFonts w:ascii="Times New Roman" w:hAnsi="Times New Roman" w:cs="Times New Roman"/>
          <w:sz w:val="24"/>
          <w:szCs w:val="24"/>
        </w:rPr>
        <w:t xml:space="preserve">. This combination of </w:t>
      </w:r>
      <w:r w:rsidR="007C4025">
        <w:rPr>
          <w:rFonts w:ascii="Times New Roman" w:hAnsi="Times New Roman" w:cs="Times New Roman"/>
          <w:sz w:val="24"/>
          <w:szCs w:val="24"/>
        </w:rPr>
        <w:t>data protection</w:t>
      </w:r>
      <w:r w:rsidR="007C4025" w:rsidRPr="00A204B0">
        <w:rPr>
          <w:rFonts w:ascii="Times New Roman" w:hAnsi="Times New Roman" w:cs="Times New Roman"/>
          <w:sz w:val="24"/>
          <w:szCs w:val="24"/>
        </w:rPr>
        <w:t xml:space="preserve"> (safe havens) and culture of best practice not only underpins a ‘trustworthy research environment’ but also a ‘learning health system’</w:t>
      </w:r>
      <w:r w:rsidR="007C4025">
        <w:rPr>
          <w:rFonts w:ascii="Times New Roman" w:hAnsi="Times New Roman" w:cs="Times New Roman"/>
          <w:sz w:val="24"/>
          <w:szCs w:val="24"/>
        </w:rPr>
        <w:t xml:space="preserve"> </w:t>
      </w:r>
      <w:r w:rsidR="007C4025">
        <w:rPr>
          <w:rFonts w:ascii="Times New Roman" w:hAnsi="Times New Roman" w:cs="Times New Roman"/>
          <w:sz w:val="24"/>
          <w:szCs w:val="24"/>
        </w:rPr>
        <w:fldChar w:fldCharType="begin" w:fldLock="1"/>
      </w:r>
      <w:r w:rsidR="00404D27">
        <w:rPr>
          <w:rFonts w:ascii="Times New Roman" w:hAnsi="Times New Roman" w:cs="Times New Roman"/>
          <w:sz w:val="24"/>
          <w:szCs w:val="24"/>
        </w:rPr>
        <w:instrText>ADDIN CSL_CITATION { "citationItems" : [ { "id" : "ITEM-1", "itemData" : { "author" : [ { "dropping-particle" : "", "family" : "Ainsworth", "given" : "John", "non-dropping-particle" : "", "parse-names" : false, "suffix" : "" }, { "dropping-particle" : "", "family" : "Buchan", "given" : "Iain", "non-dropping-particle" : "", "parse-names" : false, "suffix" : "" } ], "container-title" : "Social Informatics and Telecommunications Engineering", "id" : "ITEM-1", "issue" : "16", "issued" : { "date-parts" : [ [ "2009" ] ] }, "page" : "205-216", "title" : "eLabs and Work Objects: Toward Digital Health Economies. Lecture Notes of the Institute for Computer Sciences", "type" : "article-journal" }, "uris" : [ "http://www.mendeley.com/documents/?uuid=bf37acc0-4da0-47ec-87fe-72b9d027a6f6" ] }, { "id" : "ITEM-2", "itemData" : { "DOI" : "10.1136/amiajnl-2014-002977", "ISSN" : "1527-974X", "PMID" : "25342177", "abstract" : "OBJECTIVE: The capability to share data, and harness its potential to generate knowledge rapidly and inform decisions, can have transformative effects that improve health. The infrastructure to achieve this goal at scale--marrying technology, process, and policy--is commonly referred to as the Learning Health System (LHS). Achieving an LHS raises numerous scientific challenges.\n\nMATERIALS AND METHODS: The National Science Foundation convened an invitational workshop to identify the fundamental scientific and engineering research challenges to achieving a national-scale LHS. The workshop was planned by a 12-member committee and ultimately engaged 45 prominent researchers spanning multiple disciplines over 2\u2005days in Washington, DC on 11-12 April 2013.\n\nRESULTS: The workshop participants collectively identified 106 research questions organized around four system-level requirements that a high-functioning LHS must satisfy. The workshop participants also identified a new cross-disciplinary integrative science of cyber-social ecosystems that will be required to address these challenges.\n\nCONCLUSIONS: The intellectual merit and potential broad impacts of the innovations that will be driven by investments in an LHS are of great potential significance. The specific research questions that emerged from the workshop, alongside the potential for diverse communities to assemble to address them through a 'new science of learning systems', create an important agenda for informatics and related disciplines.", "author" : [ { "dropping-particle" : "", "family" : "Friedman", "given" : "Charles", "non-dropping-particle" : "", "parse-names" : false, "suffix" : "" }, { "dropping-particle" : "", "family" : "Rubin", "given" : "Joshua", "non-dropping-particle" : "", "parse-names" : false, "suffix" : "" }, { "dropping-particle" : "", "family" : "Brown", "given" : "Jeffrey", "non-dropping-particle" : "", "parse-names" : false, "suffix" : "" }, { "dropping-particle" : "", "family" : "Buntin", "given" : "Melinda", "non-dropping-particle" : "", "parse-names" : false, "suffix" : "" }, { "dropping-particle" : "", "family" : "Corn", "given" : "Milton", "non-dropping-particle" : "", "parse-names" : false, "suffix" : "" }, { "dropping-particle" : "", "family" : "Etheredge", "given" : "Lynn", "non-dropping-particle" : "", "parse-names" : false, "suffix" : "" }, { "dropping-particle" : "", "family" : "Gunter", "given" : "Carl", "non-dropping-particle" : "", "parse-names" : false, "suffix" : "" }, { "dropping-particle" : "", "family" : "Musen", "given" : "Mark", "non-dropping-particle" : "", "parse-names" : false, "suffix" : "" }, { "dropping-particle" : "", "family" : "Platt", "given" : "Richard", "non-dropping-particle" : "", "parse-names" : false, "suffix" : "" }, { "dropping-particle" : "", "family" : "Stead", "given" : "William", "non-dropping-particle" : "", "parse-names" : false, "suffix" : "" }, { "dropping-particle" : "", "family" : "Sullivan", "given" : "Kevin", "non-dropping-particle" : "", "parse-names" : false, "suffix" : "" }, { "dropping-particle" : "", "family" : "Houweling", "given" : "Douglas", "non-dropping-particle" : "Van", "parse-names" : false, "suffix" : "" } ], "container-title" : "Journal of the American Medical Informatics Association : JAMIA", "id" : "ITEM-2", "issue" : "1", "issued" : { "date-parts" : [ [ "2015", "1" ] ] }, "page" : "43-50", "title" : "Toward a science of learning systems: a research agenda for the high-functioning Learning Health System.", "type" : "article-journal", "volume" : "22" }, "uris" : [ "http://www.mendeley.com/documents/?uuid=cb065252-9479-41b0-ad6d-8beb188c744c" ] } ], "mendeley" : { "formattedCitation" : "[23,24]", "plainTextFormattedCitation" : "[23,24]", "previouslyFormattedCitation" : "[23,24]" }, "properties" : { "noteIndex" : 0 }, "schema" : "https://github.com/citation-style-language/schema/raw/master/csl-citation.json" }</w:instrText>
      </w:r>
      <w:r w:rsidR="007C4025">
        <w:rPr>
          <w:rFonts w:ascii="Times New Roman" w:hAnsi="Times New Roman" w:cs="Times New Roman"/>
          <w:sz w:val="24"/>
          <w:szCs w:val="24"/>
        </w:rPr>
        <w:fldChar w:fldCharType="separate"/>
      </w:r>
      <w:r w:rsidR="00EA70CE" w:rsidRPr="00EA70CE">
        <w:rPr>
          <w:rFonts w:ascii="Times New Roman" w:hAnsi="Times New Roman" w:cs="Times New Roman"/>
          <w:noProof/>
          <w:sz w:val="24"/>
          <w:szCs w:val="24"/>
        </w:rPr>
        <w:t>[23,24]</w:t>
      </w:r>
      <w:r w:rsidR="007C4025">
        <w:rPr>
          <w:rFonts w:ascii="Times New Roman" w:hAnsi="Times New Roman" w:cs="Times New Roman"/>
          <w:sz w:val="24"/>
          <w:szCs w:val="24"/>
        </w:rPr>
        <w:fldChar w:fldCharType="end"/>
      </w:r>
      <w:r w:rsidR="00EA114B">
        <w:rPr>
          <w:rFonts w:ascii="Times New Roman" w:hAnsi="Times New Roman" w:cs="Times New Roman"/>
          <w:sz w:val="24"/>
          <w:szCs w:val="24"/>
        </w:rPr>
        <w:t xml:space="preserve">. </w:t>
      </w:r>
      <w:r w:rsidR="002F3C94">
        <w:rPr>
          <w:rFonts w:ascii="Times New Roman" w:hAnsi="Times New Roman" w:cs="Times New Roman"/>
          <w:sz w:val="24"/>
          <w:szCs w:val="24"/>
        </w:rPr>
        <w:t>But m</w:t>
      </w:r>
      <w:r w:rsidR="00EA114B">
        <w:rPr>
          <w:rFonts w:ascii="Times New Roman" w:hAnsi="Times New Roman" w:cs="Times New Roman"/>
          <w:sz w:val="24"/>
          <w:szCs w:val="24"/>
        </w:rPr>
        <w:t xml:space="preserve">any </w:t>
      </w:r>
      <w:r w:rsidR="00EA114B" w:rsidRPr="00EA114B">
        <w:rPr>
          <w:rFonts w:ascii="Times New Roman" w:hAnsi="Times New Roman" w:cs="Times New Roman"/>
          <w:sz w:val="24"/>
          <w:szCs w:val="24"/>
        </w:rPr>
        <w:t>researchers much prefer to download data rather than access them through safe havens</w:t>
      </w:r>
      <w:r w:rsidR="00EA114B">
        <w:rPr>
          <w:rFonts w:ascii="Times New Roman" w:hAnsi="Times New Roman" w:cs="Times New Roman"/>
          <w:sz w:val="24"/>
          <w:szCs w:val="24"/>
        </w:rPr>
        <w:t xml:space="preserve"> </w:t>
      </w:r>
      <w:r w:rsidR="00EA114B">
        <w:rPr>
          <w:rFonts w:ascii="Times New Roman" w:hAnsi="Times New Roman" w:cs="Times New Roman"/>
          <w:sz w:val="24"/>
          <w:szCs w:val="24"/>
        </w:rPr>
        <w:fldChar w:fldCharType="begin" w:fldLock="1"/>
      </w:r>
      <w:r w:rsidR="00404D27">
        <w:rPr>
          <w:rFonts w:ascii="Times New Roman" w:hAnsi="Times New Roman" w:cs="Times New Roman"/>
          <w:sz w:val="24"/>
          <w:szCs w:val="24"/>
        </w:rPr>
        <w:instrText>ADDIN CSL_CITATION { "citationItems" : [ { "id" : "ITEM-1", "itemData" : { "URL" : "http://www.wellcome.ac.uk/stellent/groups/corporatesite/@policy_communications/documents/web_document/wtp056925.pdf", "accessed" : { "date-parts" : [ [ "2016", "2", "18" ] ] }, "author" : [ { "dropping-particle" : "", "family" : "Wellcome Trust", "given" : "", "non-dropping-particle" : "", "parse-names" : false, "suffix" : "" } ], "id" : "ITEM-1", "issued" : { "date-parts" : [ [ "2014" ] ] }, "title" : "Enhancing Discoverability of Public Health and Epidemiology Research Data", "type" : "webpage" }, "uris" : [ "http://www.mendeley.com/documents/?uuid=f54708a0-3e12-4f29-b910-35e6b87f4e2f" ] } ], "mendeley" : { "formattedCitation" : "[25]", "plainTextFormattedCitation" : "[25]", "previouslyFormattedCitation" : "[25]" }, "properties" : { "noteIndex" : 0 }, "schema" : "https://github.com/citation-style-language/schema/raw/master/csl-citation.json" }</w:instrText>
      </w:r>
      <w:r w:rsidR="00EA114B">
        <w:rPr>
          <w:rFonts w:ascii="Times New Roman" w:hAnsi="Times New Roman" w:cs="Times New Roman"/>
          <w:sz w:val="24"/>
          <w:szCs w:val="24"/>
        </w:rPr>
        <w:fldChar w:fldCharType="separate"/>
      </w:r>
      <w:r w:rsidR="00EA70CE" w:rsidRPr="00EA70CE">
        <w:rPr>
          <w:rFonts w:ascii="Times New Roman" w:hAnsi="Times New Roman" w:cs="Times New Roman"/>
          <w:noProof/>
          <w:sz w:val="24"/>
          <w:szCs w:val="24"/>
        </w:rPr>
        <w:t>[25]</w:t>
      </w:r>
      <w:r w:rsidR="00EA114B">
        <w:rPr>
          <w:rFonts w:ascii="Times New Roman" w:hAnsi="Times New Roman" w:cs="Times New Roman"/>
          <w:sz w:val="24"/>
          <w:szCs w:val="24"/>
        </w:rPr>
        <w:fldChar w:fldCharType="end"/>
      </w:r>
      <w:r w:rsidR="00EA114B">
        <w:rPr>
          <w:rFonts w:ascii="Times New Roman" w:hAnsi="Times New Roman" w:cs="Times New Roman"/>
          <w:sz w:val="24"/>
          <w:szCs w:val="24"/>
        </w:rPr>
        <w:t xml:space="preserve">. </w:t>
      </w:r>
      <w:r w:rsidR="002F3C94">
        <w:rPr>
          <w:rFonts w:ascii="Times New Roman" w:hAnsi="Times New Roman" w:cs="Times New Roman"/>
          <w:sz w:val="24"/>
          <w:szCs w:val="24"/>
        </w:rPr>
        <w:t xml:space="preserve">But this approach of data handling in many local systems may pose challenges to both data security and transparency in use </w:t>
      </w:r>
      <w:r w:rsidR="002F3C94">
        <w:rPr>
          <w:rFonts w:ascii="Times New Roman" w:eastAsia="Times New Roman" w:hAnsi="Times New Roman" w:cs="Times New Roman"/>
          <w:color w:val="000000"/>
          <w:sz w:val="24"/>
          <w:szCs w:val="24"/>
          <w:lang w:eastAsia="en-GB"/>
        </w:rPr>
        <w:t xml:space="preserve">as </w:t>
      </w:r>
      <w:r w:rsidR="002F3C94" w:rsidRPr="00A204B0">
        <w:rPr>
          <w:rFonts w:ascii="Times New Roman" w:eastAsia="Times New Roman" w:hAnsi="Times New Roman" w:cs="Times New Roman"/>
          <w:color w:val="000000"/>
          <w:sz w:val="24"/>
          <w:szCs w:val="24"/>
          <w:lang w:eastAsia="en-GB"/>
        </w:rPr>
        <w:t>the data are not easily audited or controlled</w:t>
      </w:r>
      <w:r w:rsidR="002F3C94">
        <w:rPr>
          <w:rFonts w:ascii="Times New Roman" w:eastAsia="Times New Roman" w:hAnsi="Times New Roman" w:cs="Times New Roman"/>
          <w:color w:val="000000"/>
          <w:sz w:val="24"/>
          <w:szCs w:val="24"/>
          <w:lang w:eastAsia="en-GB"/>
        </w:rPr>
        <w:t>.</w:t>
      </w:r>
    </w:p>
    <w:p w14:paraId="7B7D4601" w14:textId="77777777" w:rsidR="0024531E" w:rsidRDefault="0024531E" w:rsidP="00556A1F">
      <w:pPr>
        <w:spacing w:after="0" w:line="240" w:lineRule="auto"/>
        <w:rPr>
          <w:rFonts w:ascii="Times New Roman" w:eastAsia="Times New Roman" w:hAnsi="Times New Roman" w:cs="Times New Roman"/>
          <w:color w:val="000000"/>
          <w:sz w:val="24"/>
          <w:szCs w:val="24"/>
          <w:lang w:eastAsia="en-GB"/>
        </w:rPr>
      </w:pPr>
    </w:p>
    <w:p w14:paraId="101486D5" w14:textId="45B1BF7B" w:rsidR="00F82345" w:rsidRPr="00A204B0" w:rsidRDefault="002F3C94">
      <w:pPr>
        <w:spacing w:after="0" w:line="240" w:lineRule="auto"/>
        <w:rPr>
          <w:rFonts w:ascii="Times New Roman" w:hAnsi="Times New Roman" w:cs="Times New Roman"/>
          <w:color w:val="000000"/>
          <w:sz w:val="24"/>
          <w:szCs w:val="24"/>
        </w:rPr>
      </w:pPr>
      <w:r>
        <w:rPr>
          <w:rFonts w:ascii="Times New Roman" w:hAnsi="Times New Roman" w:cs="Times New Roman"/>
          <w:sz w:val="24"/>
          <w:szCs w:val="24"/>
          <w:shd w:val="clear" w:color="auto" w:fill="FFFFFF"/>
        </w:rPr>
        <w:t>Transparency and c</w:t>
      </w:r>
      <w:r w:rsidR="00F82345" w:rsidRPr="00644E18">
        <w:rPr>
          <w:rFonts w:ascii="Times New Roman" w:hAnsi="Times New Roman" w:cs="Times New Roman"/>
          <w:sz w:val="24"/>
          <w:szCs w:val="24"/>
          <w:shd w:val="clear" w:color="auto" w:fill="FFFFFF"/>
        </w:rPr>
        <w:t>itizen-visible data use</w:t>
      </w:r>
      <w:r w:rsidR="00F82345">
        <w:rPr>
          <w:rFonts w:ascii="Times New Roman" w:hAnsi="Times New Roman" w:cs="Times New Roman"/>
          <w:sz w:val="24"/>
          <w:szCs w:val="24"/>
          <w:shd w:val="clear" w:color="auto" w:fill="FFFFFF"/>
        </w:rPr>
        <w:t xml:space="preserve">s are another ingredient for public trust </w:t>
      </w:r>
      <w:r w:rsidR="00F82345" w:rsidRPr="00627F22">
        <w:rPr>
          <w:rFonts w:ascii="Times New Roman" w:eastAsia="Times New Roman" w:hAnsi="Times New Roman" w:cs="Times New Roman"/>
          <w:color w:val="000000"/>
          <w:sz w:val="24"/>
          <w:szCs w:val="24"/>
          <w:lang w:eastAsia="en-GB"/>
        </w:rPr>
        <w:fldChar w:fldCharType="begin" w:fldLock="1"/>
      </w:r>
      <w:r w:rsidR="00F82345">
        <w:rPr>
          <w:rFonts w:ascii="Times New Roman" w:eastAsia="Times New Roman" w:hAnsi="Times New Roman" w:cs="Times New Roman"/>
          <w:color w:val="000000"/>
          <w:sz w:val="24"/>
          <w:szCs w:val="24"/>
          <w:lang w:eastAsia="en-GB"/>
        </w:rPr>
        <w:instrText>ADDIN CSL_CITATION { "citationID" : "uWKyUwlB", "citationItems" : [ { "id" : "ITEM-1", "itemData" : { "DOI" : "10.1136/medethics-2014-102374", "ISSN" : "1473-4257", "PMID" : "25617016", "abstract" : "In this article we draw on the concept of a social licence to explain public concern at the introduction of care.data, a recent English initiative designed to extract data from primary care medical records for commissioning and other purposes, including research. The concept of a social licence describes how the expectations of society regarding some activities may go beyond compliance with the requirements of formal regulation; those who do not fulfil the conditions for the social licence (even if formally compliant) may experience ongoing challenge and contestation. Previous work suggests that people's cooperation with specific research studies depends on their perceptions that their participation is voluntary and is governed by values of reciprocity, non-exploitation and service of the public good. When these conditions are not seen to obtain, threats to the social licence for research may emerge. We propose that care.data failed to adequately secure a social licence because of: (i) defects in the warrants of trust provided for care.data, (ii) the implied rupture in the traditional role, expectations and duties of general practitioners, and (iii) uncertainty about the status of care.data as a public good. The concept of a social licence may be useful in explaining the specifics of care.data, and also in reinforcing the more general lesson for policy-makers that legal authority does not necessarily command social legitimacy.", "author" : [ { "dropping-particle" : "", "family" : "Carter", "given" : "Pam", "non-dropping-particle" : "", "parse-names" : false, "suffix" : "" }, { "dropping-particle" : "", "family" : "Laurie", "given" : "Graeme T", "non-dropping-particle" : "", "parse-names" : false, "suffix" : "" }, { "dropping-particle" : "", "family" : "Dixon-Woods", "given" : "Mary", "non-dropping-particle" : "", "parse-names" : false, "suffix" : "" } ], "container-title" : "Journal of medical ethics", "id" : "ITEM-1", "issue" : "5", "issued" : { "date-parts" : [ [ "2015", "5" ] ] }, "page" : "404-9", "title" : "The social licence for research: why care.data ran into trouble.", "type" : "article-journal", "volume" : "41" }, "uri" : [ "http://www.mendeley.com/documents/?uuid=41a6ab9a-5d67-4ae9-8799-5d9131f173ee" ], "uris" : [ "http://www.mendeley.com/documents/?uuid=41a6ab9a-5d67-4ae9-8799-5d9131f173ee" ] } ], "mendeley" : { "formattedCitation" : "[2]", "plainTextFormattedCitation" : "[2]", "previouslyFormattedCitation" : "[2]" }, "properties" : { "formattedCitation" : "(4)", "noteIndex" : 0, "plainCitation" : "(4)" }, "schema" : "https://github.com/citation-style-language/schema/raw/master/csl-citation.json" }</w:instrText>
      </w:r>
      <w:r w:rsidR="00F82345" w:rsidRPr="00627F22">
        <w:rPr>
          <w:rFonts w:ascii="Times New Roman" w:eastAsia="Times New Roman" w:hAnsi="Times New Roman" w:cs="Times New Roman"/>
          <w:color w:val="000000"/>
          <w:sz w:val="24"/>
          <w:szCs w:val="24"/>
          <w:lang w:eastAsia="en-GB"/>
        </w:rPr>
        <w:fldChar w:fldCharType="separate"/>
      </w:r>
      <w:r w:rsidR="00F82345" w:rsidRPr="00A62379">
        <w:rPr>
          <w:rFonts w:ascii="Times New Roman" w:eastAsia="Times New Roman" w:hAnsi="Times New Roman" w:cs="Times New Roman"/>
          <w:noProof/>
          <w:color w:val="000000"/>
          <w:sz w:val="24"/>
          <w:szCs w:val="24"/>
          <w:lang w:eastAsia="en-GB"/>
        </w:rPr>
        <w:t>[2]</w:t>
      </w:r>
      <w:r w:rsidR="00F82345" w:rsidRPr="00627F22">
        <w:rPr>
          <w:rFonts w:ascii="Times New Roman" w:eastAsia="Times New Roman" w:hAnsi="Times New Roman" w:cs="Times New Roman"/>
          <w:color w:val="000000"/>
          <w:sz w:val="24"/>
          <w:szCs w:val="24"/>
          <w:lang w:eastAsia="en-GB"/>
        </w:rPr>
        <w:fldChar w:fldCharType="end"/>
      </w:r>
      <w:r w:rsidR="00F82345" w:rsidRPr="00A204B0">
        <w:rPr>
          <w:rFonts w:ascii="Times New Roman" w:eastAsia="Times New Roman" w:hAnsi="Times New Roman" w:cs="Times New Roman"/>
          <w:color w:val="000000"/>
          <w:sz w:val="24"/>
          <w:szCs w:val="24"/>
          <w:lang w:eastAsia="en-GB"/>
        </w:rPr>
        <w:t xml:space="preserve">. </w:t>
      </w:r>
      <w:r w:rsidR="00F82345">
        <w:rPr>
          <w:rFonts w:ascii="Times New Roman" w:eastAsia="Times New Roman" w:hAnsi="Times New Roman" w:cs="Times New Roman"/>
          <w:color w:val="000000"/>
          <w:sz w:val="24"/>
          <w:szCs w:val="24"/>
          <w:lang w:eastAsia="en-GB"/>
        </w:rPr>
        <w:t xml:space="preserve">One approach could be to document for each individual </w:t>
      </w:r>
      <w:r w:rsidR="00F82345" w:rsidRPr="00A204B0">
        <w:rPr>
          <w:rFonts w:ascii="Times New Roman" w:eastAsia="Times New Roman" w:hAnsi="Times New Roman" w:cs="Times New Roman"/>
          <w:color w:val="000000"/>
          <w:sz w:val="24"/>
          <w:szCs w:val="24"/>
          <w:lang w:eastAsia="en-GB"/>
        </w:rPr>
        <w:t>where and how their data have be</w:t>
      </w:r>
      <w:r w:rsidR="00F82345">
        <w:rPr>
          <w:rFonts w:ascii="Times New Roman" w:eastAsia="Times New Roman" w:hAnsi="Times New Roman" w:cs="Times New Roman"/>
          <w:color w:val="000000"/>
          <w:sz w:val="24"/>
          <w:szCs w:val="24"/>
          <w:lang w:eastAsia="en-GB"/>
        </w:rPr>
        <w:t xml:space="preserve">en used. </w:t>
      </w:r>
      <w:r w:rsidR="00F82345" w:rsidRPr="00A204B0">
        <w:rPr>
          <w:rFonts w:ascii="Times New Roman" w:eastAsia="Times New Roman" w:hAnsi="Times New Roman" w:cs="Times New Roman"/>
          <w:color w:val="000000"/>
          <w:sz w:val="24"/>
          <w:szCs w:val="24"/>
          <w:lang w:eastAsia="en-GB"/>
        </w:rPr>
        <w:t>Administering this is likely to be challenging</w:t>
      </w:r>
      <w:r w:rsidR="00F82345">
        <w:rPr>
          <w:rFonts w:ascii="Times New Roman" w:eastAsia="Times New Roman" w:hAnsi="Times New Roman" w:cs="Times New Roman"/>
          <w:color w:val="000000"/>
          <w:sz w:val="24"/>
          <w:szCs w:val="24"/>
          <w:lang w:eastAsia="en-GB"/>
        </w:rPr>
        <w:t xml:space="preserve"> from a communications perspective</w:t>
      </w:r>
      <w:r w:rsidR="00F82345" w:rsidRPr="00A204B0">
        <w:rPr>
          <w:rFonts w:ascii="Times New Roman" w:eastAsia="Times New Roman" w:hAnsi="Times New Roman" w:cs="Times New Roman"/>
          <w:color w:val="000000"/>
          <w:sz w:val="24"/>
          <w:szCs w:val="24"/>
          <w:lang w:eastAsia="en-GB"/>
        </w:rPr>
        <w:t xml:space="preserve">, for example explaining to a non-affected person why they were included (as a control) in a study of schizophrenia. </w:t>
      </w:r>
      <w:r w:rsidR="006567A4" w:rsidRPr="006567A4">
        <w:rPr>
          <w:rFonts w:ascii="Times New Roman" w:eastAsia="Times New Roman" w:hAnsi="Times New Roman" w:cs="Times New Roman"/>
          <w:color w:val="000000"/>
          <w:sz w:val="24"/>
          <w:szCs w:val="24"/>
          <w:lang w:eastAsia="en-GB"/>
        </w:rPr>
        <w:t xml:space="preserve">A more complex approach is dynamic consent, linking audit to granular opt-out, where people can see which organisations have accessed their data, get information on data-analyses such as research findings, and change their consent preferences for specific uses over time </w:t>
      </w:r>
      <w:r w:rsidR="00F82345" w:rsidRPr="00627F22">
        <w:rPr>
          <w:rFonts w:ascii="Times New Roman" w:hAnsi="Times New Roman" w:cs="Times New Roman"/>
          <w:color w:val="000000" w:themeColor="text1"/>
          <w:sz w:val="24"/>
          <w:szCs w:val="24"/>
        </w:rPr>
        <w:fldChar w:fldCharType="begin" w:fldLock="1"/>
      </w:r>
      <w:r w:rsidR="00404D27">
        <w:rPr>
          <w:rFonts w:ascii="Times New Roman" w:hAnsi="Times New Roman" w:cs="Times New Roman"/>
          <w:color w:val="000000" w:themeColor="text1"/>
          <w:sz w:val="24"/>
          <w:szCs w:val="24"/>
        </w:rPr>
        <w:instrText>ADDIN CSL_CITATION { "citationID" : "4UBS1Ox1", "citationItems" : [ { "id" : "ITEM-1", "itemData" : { "DOI" : "10.2196/medinform.3525", "ISSN" : "2291-9694", "PMID" : "25586934", "abstract" : "With one million people treated every 36 hours, routinely collected UK National Health Service (NHS) health data has huge potential for medical research. Advances in data acquisition from electronic patient records (EPRs) means such data are increasingly digital and can be anonymised for research purposes. NHS England's care.data initiative recently sought to increase the amount and availability of such data. However, controversy and uncertainty following the care.data public awareness campaign led to a delay in rollout, indicating that the success of EPR data for medical research may be threatened by a loss of patient and public trust. The sharing of sensitive health care data can only be done through maintaining such trust in a constantly evolving ethicolegal and political landscape. We propose that a dynamic consent model, whereby patients can electronically control consent through time and receive information about the uses of their data, provides a transparent, flexible, and user-friendly means to maintain public trust. This could leverage the huge potential of the EPR for medical research and, ultimately, patient and societal benefit.", "author" : [ { "dropping-particle" : "", "family" : "Williams", "given" : "Hawys", "non-dropping-particle" : "", "parse-names" : false, "suffix" : "" }, { "dropping-particle" : "", "family" : "Spencer", "given" : "Karen", "non-dropping-particle" : "", "parse-names" : false, "suffix" : "" }, { "dropping-particle" : "", "family" : "Sanders", "given" : "Caroline", "non-dropping-particle" : "", "parse-names" : false, "suffix" : "" }, { "dropping-particle" : "", "family" : "Lund", "given" : "David", "non-dropping-particle" : "", "parse-names" : false, "suffix" : "" }, { "dropping-particle" : "", "family" : "Whitley", "given" : "Edgar A", "non-dropping-particle" : "", "parse-names" : false, "suffix" : "" }, { "dropping-particle" : "", "family" : "Kaye", "given" : "Jane", "non-dropping-particle" : "", "parse-names" : false, "suffix" : "" }, { "dropping-particle" : "", "family" : "Dixon", "given" : "William G", "non-dropping-particle" : "", "parse-names" : false, "suffix" : "" } ], "container-title" : "JMIR medical informatics", "id" : "ITEM-1", "issue" : "1", "issued" : { "date-parts" : [ [ "2015", "1" ] ] }, "page" : "e3", "title" : "Dynamic consent: a possible solution to improve patient confidence and trust in how electronic patient records are used in medical research.", "type" : "article-journal", "volume" : "3" }, "uri" : [ "http://www.mendeley.com/documents/?uuid=c7445430-9986-439e-a181-f0391d98e392" ], "uris" : [ "http://www.mendeley.com/documents/?uuid=c7445430-9986-439e-a181-f0391d98e392" ] } ], "mendeley" : { "formattedCitation" : "[26]", "plainTextFormattedCitation" : "[26]", "previouslyFormattedCitation" : "[26]" }, "properties" : { "formattedCitation" : "(11)", "noteIndex" : 0, "plainCitation" : "(11)" }, "schema" : "https://github.com/citation-style-language/schema/raw/master/csl-citation.json" }</w:instrText>
      </w:r>
      <w:r w:rsidR="00F82345" w:rsidRPr="00627F22">
        <w:rPr>
          <w:rFonts w:ascii="Times New Roman" w:hAnsi="Times New Roman" w:cs="Times New Roman"/>
          <w:color w:val="000000" w:themeColor="text1"/>
          <w:sz w:val="24"/>
          <w:szCs w:val="24"/>
        </w:rPr>
        <w:fldChar w:fldCharType="separate"/>
      </w:r>
      <w:r w:rsidR="00EA70CE" w:rsidRPr="00EA70CE">
        <w:rPr>
          <w:rFonts w:ascii="Times New Roman" w:hAnsi="Times New Roman" w:cs="Times New Roman"/>
          <w:noProof/>
          <w:color w:val="000000" w:themeColor="text1"/>
          <w:sz w:val="24"/>
          <w:szCs w:val="24"/>
        </w:rPr>
        <w:t>[26]</w:t>
      </w:r>
      <w:r w:rsidR="00F82345" w:rsidRPr="00627F22">
        <w:rPr>
          <w:rFonts w:ascii="Times New Roman" w:hAnsi="Times New Roman" w:cs="Times New Roman"/>
          <w:color w:val="000000" w:themeColor="text1"/>
          <w:sz w:val="24"/>
          <w:szCs w:val="24"/>
        </w:rPr>
        <w:fldChar w:fldCharType="end"/>
      </w:r>
      <w:r w:rsidR="006567A4" w:rsidRPr="006567A4">
        <w:t xml:space="preserve"> </w:t>
      </w:r>
      <w:r w:rsidR="006567A4" w:rsidRPr="006567A4">
        <w:rPr>
          <w:rFonts w:ascii="Times New Roman" w:hAnsi="Times New Roman" w:cs="Times New Roman"/>
          <w:color w:val="000000" w:themeColor="text1"/>
          <w:sz w:val="24"/>
          <w:szCs w:val="24"/>
        </w:rPr>
        <w:t>– uses such as research into adverse drug-outcomes or audits of clinical services.</w:t>
      </w:r>
      <w:r w:rsidR="006C5050">
        <w:rPr>
          <w:rFonts w:ascii="Times New Roman" w:hAnsi="Times New Roman" w:cs="Times New Roman"/>
          <w:color w:val="000000" w:themeColor="text1"/>
          <w:sz w:val="24"/>
          <w:szCs w:val="24"/>
        </w:rPr>
        <w:t xml:space="preserve"> Prototypes for this </w:t>
      </w:r>
      <w:r w:rsidR="00EC22EF">
        <w:rPr>
          <w:rFonts w:ascii="Times New Roman" w:hAnsi="Times New Roman" w:cs="Times New Roman"/>
          <w:color w:val="000000" w:themeColor="text1"/>
          <w:sz w:val="24"/>
          <w:szCs w:val="24"/>
        </w:rPr>
        <w:t>are being</w:t>
      </w:r>
      <w:r w:rsidR="006C5050">
        <w:rPr>
          <w:rFonts w:ascii="Times New Roman" w:hAnsi="Times New Roman" w:cs="Times New Roman"/>
          <w:color w:val="000000" w:themeColor="text1"/>
          <w:sz w:val="24"/>
          <w:szCs w:val="24"/>
        </w:rPr>
        <w:t xml:space="preserve"> developed</w:t>
      </w:r>
      <w:r w:rsidR="00EC22EF">
        <w:rPr>
          <w:rFonts w:ascii="Times New Roman" w:hAnsi="Times New Roman" w:cs="Times New Roman"/>
          <w:color w:val="000000" w:themeColor="text1"/>
          <w:sz w:val="24"/>
          <w:szCs w:val="24"/>
        </w:rPr>
        <w:t xml:space="preserve"> </w:t>
      </w:r>
      <w:r w:rsidR="00EC22EF">
        <w:rPr>
          <w:rFonts w:ascii="Times New Roman" w:hAnsi="Times New Roman" w:cs="Times New Roman"/>
          <w:color w:val="000000" w:themeColor="text1"/>
          <w:sz w:val="24"/>
          <w:szCs w:val="24"/>
        </w:rPr>
        <w:fldChar w:fldCharType="begin" w:fldLock="1"/>
      </w:r>
      <w:r w:rsidR="00404D27">
        <w:rPr>
          <w:rFonts w:ascii="Times New Roman" w:hAnsi="Times New Roman" w:cs="Times New Roman"/>
          <w:color w:val="000000" w:themeColor="text1"/>
          <w:sz w:val="24"/>
          <w:szCs w:val="24"/>
        </w:rPr>
        <w:instrText>ADDIN CSL_CITATION { "citationItems" : [ { "id" : "ITEM-1", "itemData" : { "URL" : "http://www.hpl.hp.com/breweb/encoreproject/index.html", "accessed" : { "date-parts" : [ [ "2016", "2", "18" ] ] }, "id" : "ITEM-1", "issued" : { "date-parts" : [ [ "0" ] ] }, "title" : "EnCoRe - Ensuring Consent and Revocation", "type" : "webpage" }, "uris" : [ "http://www.mendeley.com/documents/?uuid=cadf772d-31f6-4323-8a6a-9a9afe6a6444" ] } ], "mendeley" : { "formattedCitation" : "[27]", "plainTextFormattedCitation" : "[27]", "previouslyFormattedCitation" : "[27]" }, "properties" : { "noteIndex" : 0 }, "schema" : "https://github.com/citation-style-language/schema/raw/master/csl-citation.json" }</w:instrText>
      </w:r>
      <w:r w:rsidR="00EC22EF">
        <w:rPr>
          <w:rFonts w:ascii="Times New Roman" w:hAnsi="Times New Roman" w:cs="Times New Roman"/>
          <w:color w:val="000000" w:themeColor="text1"/>
          <w:sz w:val="24"/>
          <w:szCs w:val="24"/>
        </w:rPr>
        <w:fldChar w:fldCharType="separate"/>
      </w:r>
      <w:r w:rsidR="00EA70CE" w:rsidRPr="00EA70CE">
        <w:rPr>
          <w:rFonts w:ascii="Times New Roman" w:hAnsi="Times New Roman" w:cs="Times New Roman"/>
          <w:noProof/>
          <w:color w:val="000000" w:themeColor="text1"/>
          <w:sz w:val="24"/>
          <w:szCs w:val="24"/>
        </w:rPr>
        <w:t>[27]</w:t>
      </w:r>
      <w:r w:rsidR="00EC22EF">
        <w:rPr>
          <w:rFonts w:ascii="Times New Roman" w:hAnsi="Times New Roman" w:cs="Times New Roman"/>
          <w:color w:val="000000" w:themeColor="text1"/>
          <w:sz w:val="24"/>
          <w:szCs w:val="24"/>
        </w:rPr>
        <w:fldChar w:fldCharType="end"/>
      </w:r>
      <w:r w:rsidR="006C5050" w:rsidRPr="00A204B0">
        <w:rPr>
          <w:rFonts w:ascii="Times New Roman" w:hAnsi="Times New Roman" w:cs="Times New Roman"/>
          <w:color w:val="000000" w:themeColor="text1"/>
          <w:sz w:val="24"/>
          <w:szCs w:val="24"/>
        </w:rPr>
        <w:t>.</w:t>
      </w:r>
      <w:r w:rsidR="006C5050">
        <w:rPr>
          <w:rFonts w:ascii="Times New Roman" w:hAnsi="Times New Roman" w:cs="Times New Roman"/>
          <w:color w:val="000000" w:themeColor="text1"/>
          <w:sz w:val="24"/>
          <w:szCs w:val="24"/>
        </w:rPr>
        <w:t xml:space="preserve"> The concept of dynamic consent views </w:t>
      </w:r>
      <w:r w:rsidR="00F82345" w:rsidRPr="00A204B0">
        <w:rPr>
          <w:rFonts w:ascii="Times New Roman" w:eastAsia="Times New Roman" w:hAnsi="Times New Roman" w:cs="Times New Roman"/>
          <w:color w:val="000000"/>
          <w:sz w:val="24"/>
          <w:szCs w:val="24"/>
          <w:lang w:eastAsia="en-GB"/>
        </w:rPr>
        <w:t xml:space="preserve">sees public acceptability of data sharing </w:t>
      </w:r>
      <w:r w:rsidR="00F82345">
        <w:rPr>
          <w:rFonts w:ascii="Times New Roman" w:eastAsia="Times New Roman" w:hAnsi="Times New Roman" w:cs="Times New Roman"/>
          <w:color w:val="000000"/>
          <w:sz w:val="24"/>
          <w:szCs w:val="24"/>
          <w:lang w:eastAsia="en-GB"/>
        </w:rPr>
        <w:t>as varying</w:t>
      </w:r>
      <w:r w:rsidR="00F82345" w:rsidRPr="00A204B0">
        <w:rPr>
          <w:rFonts w:ascii="Times New Roman" w:eastAsia="Times New Roman" w:hAnsi="Times New Roman" w:cs="Times New Roman"/>
          <w:color w:val="000000"/>
          <w:sz w:val="24"/>
          <w:szCs w:val="24"/>
          <w:lang w:eastAsia="en-GB"/>
        </w:rPr>
        <w:t xml:space="preserve"> with the types of use. </w:t>
      </w:r>
      <w:r w:rsidR="00246711">
        <w:rPr>
          <w:rFonts w:ascii="Times New Roman" w:eastAsia="Times New Roman" w:hAnsi="Times New Roman" w:cs="Times New Roman"/>
          <w:color w:val="000000"/>
          <w:sz w:val="24"/>
          <w:szCs w:val="24"/>
          <w:lang w:eastAsia="en-GB"/>
        </w:rPr>
        <w:t>T</w:t>
      </w:r>
      <w:r w:rsidR="00F82345">
        <w:rPr>
          <w:rFonts w:ascii="Times New Roman" w:eastAsia="Times New Roman" w:hAnsi="Times New Roman" w:cs="Times New Roman"/>
          <w:color w:val="000000"/>
          <w:sz w:val="24"/>
          <w:szCs w:val="24"/>
          <w:lang w:eastAsia="en-GB"/>
        </w:rPr>
        <w:t>here may be a range of public views on such re-use and decisions at a national level may struggle to reflect polarised opinions among individuals, either excluding uses which many find acceptable, or imposing ‘all or nothing’ choices around opt-out on individuals who are happy with the bulk of data uses, but sufficiently concerned about a small minority of uses that they consider opting out of all data sharing.</w:t>
      </w:r>
    </w:p>
    <w:p w14:paraId="7E8555EB" w14:textId="77777777" w:rsidR="00F82345" w:rsidRDefault="00F82345" w:rsidP="00F82345">
      <w:pPr>
        <w:spacing w:after="0" w:line="240" w:lineRule="auto"/>
        <w:rPr>
          <w:rFonts w:ascii="Times New Roman" w:hAnsi="Times New Roman" w:cs="Times New Roman"/>
          <w:sz w:val="24"/>
          <w:szCs w:val="24"/>
        </w:rPr>
      </w:pPr>
    </w:p>
    <w:p w14:paraId="0915B9B9" w14:textId="00B4E541" w:rsidR="008F7363" w:rsidRDefault="008F7363" w:rsidP="008F736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P</w:t>
      </w:r>
      <w:r w:rsidRPr="00A204B0">
        <w:rPr>
          <w:rFonts w:ascii="Times New Roman" w:hAnsi="Times New Roman" w:cs="Times New Roman"/>
          <w:color w:val="000000"/>
          <w:sz w:val="24"/>
          <w:szCs w:val="24"/>
        </w:rPr>
        <w:t xml:space="preserve">ublic involvement is key to </w:t>
      </w:r>
      <w:r>
        <w:rPr>
          <w:rFonts w:ascii="Times New Roman" w:hAnsi="Times New Roman" w:cs="Times New Roman"/>
          <w:color w:val="000000"/>
          <w:sz w:val="24"/>
          <w:szCs w:val="24"/>
        </w:rPr>
        <w:t xml:space="preserve">the success of </w:t>
      </w:r>
      <w:r w:rsidRPr="00A204B0">
        <w:rPr>
          <w:rFonts w:ascii="Times New Roman" w:hAnsi="Times New Roman" w:cs="Times New Roman"/>
          <w:color w:val="000000"/>
          <w:sz w:val="24"/>
          <w:szCs w:val="24"/>
        </w:rPr>
        <w:t>large-scale health data uses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"abstract" : "Investigating developments in the collection, linking, use and exploitation of human biological and health data.", "author" : [ { "dropping-particle" : "", "family" : "Nuffield Council on Bioethics", "given" : "", "non-dropping-particle" : "", "parse-names" : false, "suffix" : "" } ], "container-title" : "Nuffield Bioethics", "id" : "ITEM-1", "issued" : { "date-parts" : [ [ "2015" ] ] }, "title" : "The collection, linking and use of data in biomedical research and health care: ethical issues", "type" : "webpage" }, "uris" : [ "http://www.mendeley.com/documents/?uuid=0f4c67e1-8b5e-4951-a320-e9f2037563a1" ] } ], "mendeley" : { "formattedCitation" : "[28]", "plainTextFormattedCitation" : "[28]", "previouslyFormattedCitation" : "[28]" }, "properties" : { "noteIndex" : 0 }, "schema" : "https://github.com/citation-style-language/schema/raw/master/csl-citation.json" }</w:instrText>
      </w:r>
      <w:r>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[28]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00DB6CC9">
        <w:rPr>
          <w:rFonts w:ascii="Times New Roman" w:hAnsi="Times New Roman" w:cs="Times New Roman"/>
          <w:color w:val="000000"/>
          <w:sz w:val="24"/>
          <w:szCs w:val="24"/>
        </w:rPr>
        <w:t xml:space="preserve">There is a need for a resource where the public </w:t>
      </w:r>
      <w:r w:rsidR="00127049">
        <w:rPr>
          <w:rFonts w:ascii="Times New Roman" w:hAnsi="Times New Roman" w:cs="Times New Roman"/>
          <w:color w:val="000000"/>
          <w:sz w:val="24"/>
          <w:szCs w:val="24"/>
        </w:rPr>
        <w:t xml:space="preserve">can </w:t>
      </w:r>
      <w:r>
        <w:rPr>
          <w:rFonts w:ascii="Times New Roman" w:hAnsi="Times New Roman" w:cs="Times New Roman"/>
          <w:color w:val="000000"/>
          <w:sz w:val="24"/>
          <w:szCs w:val="24"/>
        </w:rPr>
        <w:t>access clear, high quality, up-to-date summaries of the scientific discoveries and healthcare improvements being made with the healthcare records in their community.</w:t>
      </w:r>
      <w:r w:rsidR="00DB6C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 believe such a resource, embedded in health systems, would improve </w:t>
      </w:r>
      <w:r>
        <w:rPr>
          <w:rFonts w:ascii="Times New Roman" w:hAnsi="Times New Roman" w:cs="Times New Roman"/>
          <w:color w:val="000000"/>
          <w:sz w:val="24"/>
          <w:szCs w:val="24"/>
        </w:rPr>
        <w:lastRenderedPageBreak/>
        <w:t>patient trust, reduce opt-outs, and reciprocate the value of data sharing by patients. It is best delivered by the academic community, in co-production with patients/citizens and staff with specialist skills in engaging and involving the public. This is a full-time labour, and such a resource will only exist if funders recognise its ethical importance and practical value.</w:t>
      </w:r>
      <w:r w:rsidR="00C827E2" w:rsidRPr="00C827E2">
        <w:rPr>
          <w:rFonts w:ascii="Times New Roman" w:hAnsi="Times New Roman" w:cs="Times New Roman"/>
          <w:color w:val="000000"/>
          <w:sz w:val="24"/>
          <w:szCs w:val="24"/>
        </w:rPr>
        <w:t xml:space="preserve"> </w:t>
      </w:r>
      <w:r w:rsidR="00127049" w:rsidRPr="00127049">
        <w:rPr>
          <w:rFonts w:ascii="Times New Roman" w:hAnsi="Times New Roman" w:cs="Times New Roman"/>
          <w:color w:val="000000"/>
          <w:sz w:val="24"/>
          <w:szCs w:val="24"/>
        </w:rPr>
        <w:t>There may also be lessons to learn from wider policy arenas where public acceptance is crucial to success. Renewable energy is one such contentious area, with apparent contradictions in public opinion; for example, the apparent general public support for renewable energy and simultaneous difficulty in implementing specific local projects</w:t>
      </w:r>
      <w:r w:rsidR="00C827E2">
        <w:rPr>
          <w:rFonts w:ascii="Times New Roman" w:hAnsi="Times New Roman" w:cs="Times New Roman"/>
          <w:color w:val="000000"/>
          <w:sz w:val="24"/>
          <w:szCs w:val="24"/>
        </w:rPr>
        <w:t xml:space="preserve"> </w:t>
      </w:r>
      <w:r w:rsidR="00C827E2">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"citationItems" : [ { "id" : "ITEM-1", "itemData" : { "DOI" : "10.1016/j.enpol.2006.12.001", "ISSN" : "03014215", "abstract" : "This paper introduces the special issue on Social Acceptance of Renewable Energy Innovation. It is a collection of best papers presented at an international research conference held in Tramelan (Switzerland) in February 2006. While there are ambitious government targets to increase the share of renewable energy in many countries, it is increasingly recognized that social acceptance may be a constraining factor in achieving this target. This is particularly apparent in the case of wind energy, which has become a subject of contested debates in several countries largely due to its visual impact on landscapes. This paper introduces three dimensions of social acceptance, namely socio-political, community and market acceptance. Factors influencing socio-political and community acceptance are increasingly recognized as being important for understanding the apparent contradictions between general public support for renewable energy innovation and the difficult realization of specific projects. The third dimension, market acceptance, has received less attention so far and provides opportunities for further research, particularly from management scholars.", "author" : [ { "dropping-particle" : "", "family" : "W\u00fcstenhagen", "given" : "Rolf", "non-dropping-particle" : "", "parse-names" : false, "suffix" : "" }, { "dropping-particle" : "", "family" : "Wolsink", "given" : "Maarten", "non-dropping-particle" : "", "parse-names" : false, "suffix" : "" }, { "dropping-particle" : "", "family" : "B\u00fcrer", "given" : "Mary Jean", "non-dropping-particle" : "", "parse-names" : false, "suffix" : "" } ], "container-title" : "Energy Policy", "id" : "ITEM-1", "issue" : "5", "issued" : { "date-parts" : [ [ "2007", "5" ] ] }, "page" : "2683-2691", "title" : "Social acceptance of renewable energy innovation: An introduction to the concept", "type" : "article-journal", "volume" : "35" }, "uris" : [ "http://www.mendeley.com/documents/?uuid=8a009308-2617-4e03-93c4-fc7536224215" ] } ], "mendeley" : { "formattedCitation" : "[29]", "plainTextFormattedCitation" : "[29]", "previouslyFormattedCitation" : "[29]" }, "properties" : { "noteIndex" : 0 }, "schema" : "https://github.com/citation-style-language/schema/raw/master/csl-citation.json" }</w:instrText>
      </w:r>
      <w:r w:rsidR="00C827E2">
        <w:rPr>
          <w:rFonts w:ascii="Times New Roman" w:hAnsi="Times New Roman" w:cs="Times New Roman"/>
          <w:color w:val="000000"/>
          <w:sz w:val="24"/>
          <w:szCs w:val="24"/>
        </w:rPr>
        <w:fldChar w:fldCharType="separate"/>
      </w:r>
      <w:r w:rsidR="00EA70CE" w:rsidRPr="00EA70CE">
        <w:rPr>
          <w:rFonts w:ascii="Times New Roman" w:hAnsi="Times New Roman" w:cs="Times New Roman"/>
          <w:noProof/>
          <w:color w:val="000000"/>
          <w:sz w:val="24"/>
          <w:szCs w:val="24"/>
        </w:rPr>
        <w:t>[29]</w:t>
      </w:r>
      <w:r w:rsidR="00C827E2">
        <w:rPr>
          <w:rFonts w:ascii="Times New Roman" w:hAnsi="Times New Roman" w:cs="Times New Roman"/>
          <w:color w:val="000000"/>
          <w:sz w:val="24"/>
          <w:szCs w:val="24"/>
        </w:rPr>
        <w:fldChar w:fldCharType="end"/>
      </w:r>
      <w:r w:rsidR="00C827E2">
        <w:rPr>
          <w:rFonts w:ascii="Times New Roman" w:hAnsi="Times New Roman" w:cs="Times New Roman"/>
          <w:color w:val="000000"/>
          <w:sz w:val="24"/>
          <w:szCs w:val="24"/>
        </w:rPr>
        <w:t xml:space="preserve">. </w:t>
      </w:r>
      <w:r w:rsidR="00127049" w:rsidRPr="00127049">
        <w:rPr>
          <w:rFonts w:ascii="Times New Roman" w:hAnsi="Times New Roman" w:cs="Times New Roman"/>
          <w:color w:val="000000"/>
          <w:sz w:val="24"/>
          <w:szCs w:val="24"/>
        </w:rPr>
        <w:t>Developing a greater understanding of the dimensions of social acceptance seems just as relevant to uses of large-scale health data as it is to renewable energy</w:t>
      </w:r>
      <w:r w:rsidR="00C827E2" w:rsidRPr="00C827E2">
        <w:rPr>
          <w:rFonts w:ascii="Times New Roman" w:hAnsi="Times New Roman" w:cs="Times New Roman"/>
          <w:color w:val="000000"/>
          <w:sz w:val="24"/>
          <w:szCs w:val="24"/>
        </w:rPr>
        <w:t>.</w:t>
      </w:r>
    </w:p>
    <w:p w14:paraId="1E3C33C4" w14:textId="30996DCA" w:rsidR="008F7363" w:rsidRDefault="008F7363" w:rsidP="00F82345">
      <w:pPr>
        <w:spacing w:after="0" w:line="240" w:lineRule="auto"/>
        <w:rPr>
          <w:rFonts w:ascii="Times New Roman" w:hAnsi="Times New Roman" w:cs="Times New Roman"/>
          <w:color w:val="000000"/>
          <w:sz w:val="24"/>
          <w:szCs w:val="24"/>
        </w:rPr>
      </w:pPr>
    </w:p>
    <w:p w14:paraId="19D45F0A" w14:textId="56DE4816" w:rsidR="006605A7" w:rsidRDefault="006605A7" w:rsidP="006605A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Public trust is likely to be more easily earned when researchers are seen to meet high scientific standards with transparency in methods and reproducibility of findings</w:t>
      </w:r>
      <w:r>
        <w:rPr>
          <w:rFonts w:ascii="Times New Roman" w:eastAsia="Times New Roman" w:hAnsi="Times New Roman" w:cs="Times New Roman"/>
          <w:color w:val="000000"/>
          <w:sz w:val="24"/>
          <w:szCs w:val="24"/>
          <w:lang w:eastAsia="en-GB"/>
        </w:rPr>
        <w:t>. T</w:t>
      </w:r>
      <w:r w:rsidRPr="00A204B0">
        <w:rPr>
          <w:rFonts w:ascii="Times New Roman" w:eastAsia="Times New Roman" w:hAnsi="Times New Roman" w:cs="Times New Roman"/>
          <w:color w:val="000000"/>
          <w:sz w:val="24"/>
          <w:szCs w:val="24"/>
          <w:lang w:eastAsia="en-GB"/>
        </w:rPr>
        <w:t xml:space="preserve">here is now increasing interest in </w:t>
      </w:r>
      <w:r w:rsidR="00ED72EF">
        <w:rPr>
          <w:rFonts w:ascii="Times New Roman" w:eastAsia="Times New Roman" w:hAnsi="Times New Roman" w:cs="Times New Roman"/>
          <w:color w:val="000000"/>
          <w:sz w:val="24"/>
          <w:szCs w:val="24"/>
          <w:lang w:eastAsia="en-GB"/>
        </w:rPr>
        <w:t>reproducibility of research</w:t>
      </w:r>
      <w:r w:rsidR="00404D27">
        <w:rPr>
          <w:rFonts w:ascii="Times New Roman" w:eastAsia="Times New Roman" w:hAnsi="Times New Roman" w:cs="Times New Roman"/>
          <w:color w:val="000000"/>
          <w:sz w:val="24"/>
          <w:szCs w:val="24"/>
          <w:lang w:eastAsia="en-GB"/>
        </w:rPr>
        <w:t xml:space="preserve"> </w:t>
      </w:r>
      <w:r w:rsidR="00404D27">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"citationItems" : [ { "id" : "ITEM-1", "itemData" : { "author" : [ { "dropping-particle" : "", "family" : "The Academy of Medical Sciences", "given" : "", "non-dropping-particle" : "", "parse-names" : false, "suffix" : "" } ], "id" : "ITEM-1", "issued" : { "date-parts" : [ [ "0" ] ] }, "title" : "Reproducibility and reliability of biomedical research: improving research practice", "type" : "paper-conference" }, "uris" : [ "http://www.mendeley.com/documents/?uuid=5421b4b2-053a-4b6e-a8f5-f503bbcbc778" ] } ], "mendeley" : { "formattedCitation" : "[30]", "plainTextFormattedCitation" : "[30]" }, "properties" : { "noteIndex" : 0 }, "schema" : "https://github.com/citation-style-language/schema/raw/master/csl-citation.json" }</w:instrText>
      </w:r>
      <w:r w:rsidR="00404D27">
        <w:rPr>
          <w:rFonts w:ascii="Times New Roman" w:eastAsia="Times New Roman" w:hAnsi="Times New Roman" w:cs="Times New Roman"/>
          <w:color w:val="000000"/>
          <w:sz w:val="24"/>
          <w:szCs w:val="24"/>
          <w:lang w:eastAsia="en-GB"/>
        </w:rPr>
        <w:fldChar w:fldCharType="separate"/>
      </w:r>
      <w:r w:rsidR="00404D27" w:rsidRPr="00404D27">
        <w:rPr>
          <w:rFonts w:ascii="Times New Roman" w:eastAsia="Times New Roman" w:hAnsi="Times New Roman" w:cs="Times New Roman"/>
          <w:noProof/>
          <w:color w:val="000000"/>
          <w:sz w:val="24"/>
          <w:szCs w:val="24"/>
          <w:lang w:eastAsia="en-GB"/>
        </w:rPr>
        <w:t>[30]</w:t>
      </w:r>
      <w:r w:rsidR="00404D27">
        <w:rPr>
          <w:rFonts w:ascii="Times New Roman" w:eastAsia="Times New Roman" w:hAnsi="Times New Roman" w:cs="Times New Roman"/>
          <w:color w:val="000000"/>
          <w:sz w:val="24"/>
          <w:szCs w:val="24"/>
          <w:lang w:eastAsia="en-GB"/>
        </w:rPr>
        <w:fldChar w:fldCharType="end"/>
      </w:r>
      <w:r w:rsidR="00ED72EF">
        <w:rPr>
          <w:rFonts w:ascii="Times New Roman" w:eastAsia="Times New Roman" w:hAnsi="Times New Roman" w:cs="Times New Roman"/>
          <w:color w:val="000000"/>
          <w:sz w:val="24"/>
          <w:szCs w:val="24"/>
          <w:lang w:eastAsia="en-GB"/>
        </w:rPr>
        <w:t xml:space="preserve"> and </w:t>
      </w:r>
      <w:r w:rsidRPr="00A204B0">
        <w:rPr>
          <w:rFonts w:ascii="Times New Roman" w:eastAsia="Times New Roman" w:hAnsi="Times New Roman" w:cs="Times New Roman"/>
          <w:color w:val="000000"/>
          <w:sz w:val="24"/>
          <w:szCs w:val="24"/>
          <w:lang w:eastAsia="en-GB"/>
        </w:rPr>
        <w:t xml:space="preserve">open access to the statistical and data management algorithms used for complex analyses </w:t>
      </w:r>
      <w:r w:rsidRPr="00627F22">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"6K6PMWdp", "citationItems" : [ { "id" : "ITEM-1", "itemData" : { "DOI" : "10.1038/520276a", "ISSN" : "1476-4687", "PMID" : "25877185", "author" : [ { "dropping-particle" : "", "family" : "Check Hayden", "given" : "Erika", "non-dropping-particle" : "", "parse-names" : false, "suffix" : "" } ], "container-title" : "Nature", "id" : "ITEM-1", "issue" : "7547", "issued" : { "date-parts" : [ [ "2015", "4", "16" ] ] }, "page" : "276-7", "title" : "Journal buoys code-review push.", "type" : "article-journal", "volume" : "520" }, "uri" : [ "http://www.mendeley.com/documents/?uuid=0b381d2b-ba68-4ff3-866e-3b257c37b719" ], "uris" : [ "http://www.mendeley.com/documents/?uuid=0b381d2b-ba68-4ff3-866e-3b257c37b719" ] } ], "mendeley" : { "formattedCitation" : "[31]", "plainTextFormattedCitation" : "[31]", "previouslyFormattedCitation" : "[30]" }, "properties" : { "formattedCitation" : "(16)", "noteIndex" : 0, "plainCitation" : "(16)" }, "schema" : "https://github.com/citation-style-language/schema/raw/master/csl-citation.json" }</w:instrText>
      </w:r>
      <w:r w:rsidRPr="00627F22">
        <w:rPr>
          <w:rFonts w:ascii="Times New Roman" w:eastAsia="Times New Roman" w:hAnsi="Times New Roman" w:cs="Times New Roman"/>
          <w:color w:val="000000"/>
          <w:sz w:val="24"/>
          <w:szCs w:val="24"/>
          <w:lang w:eastAsia="en-GB"/>
        </w:rPr>
        <w:fldChar w:fldCharType="separate"/>
      </w:r>
      <w:r w:rsidR="00404D27" w:rsidRPr="00404D27">
        <w:rPr>
          <w:rFonts w:ascii="Times New Roman" w:eastAsia="Times New Roman" w:hAnsi="Times New Roman" w:cs="Times New Roman"/>
          <w:noProof/>
          <w:color w:val="000000"/>
          <w:sz w:val="24"/>
          <w:szCs w:val="24"/>
          <w:lang w:eastAsia="en-GB"/>
        </w:rPr>
        <w:t>[31]</w:t>
      </w:r>
      <w:r w:rsidRPr="00627F22">
        <w:rPr>
          <w:rFonts w:ascii="Times New Roman" w:eastAsia="Times New Roman" w:hAnsi="Times New Roman" w:cs="Times New Roman"/>
          <w:color w:val="000000"/>
          <w:sz w:val="24"/>
          <w:szCs w:val="24"/>
          <w:lang w:eastAsia="en-GB"/>
        </w:rPr>
        <w:fldChar w:fldCharType="end"/>
      </w:r>
      <w:r w:rsidRPr="00A204B0">
        <w:rPr>
          <w:rFonts w:ascii="Times New Roman" w:eastAsia="Times New Roman" w:hAnsi="Times New Roman" w:cs="Times New Roman"/>
          <w:color w:val="000000"/>
          <w:sz w:val="24"/>
          <w:szCs w:val="24"/>
          <w:lang w:eastAsia="en-GB"/>
        </w:rPr>
        <w:t xml:space="preserve">, to improve not only the analytics but also the interpretation of results. </w:t>
      </w:r>
      <w:r>
        <w:rPr>
          <w:rFonts w:ascii="Times New Roman" w:eastAsia="Times New Roman" w:hAnsi="Times New Roman" w:cs="Times New Roman"/>
          <w:color w:val="000000"/>
          <w:sz w:val="24"/>
          <w:szCs w:val="24"/>
          <w:lang w:eastAsia="en-GB"/>
        </w:rPr>
        <w:t>One proposal is the e-</w:t>
      </w:r>
      <w:r w:rsidRPr="00A204B0">
        <w:rPr>
          <w:rFonts w:ascii="Times New Roman" w:eastAsia="Times New Roman" w:hAnsi="Times New Roman" w:cs="Times New Roman"/>
          <w:color w:val="000000"/>
          <w:sz w:val="24"/>
          <w:szCs w:val="24"/>
          <w:lang w:eastAsia="en-GB"/>
        </w:rPr>
        <w:t>lab</w:t>
      </w:r>
      <w:r>
        <w:rPr>
          <w:rFonts w:ascii="Times New Roman" w:eastAsia="Times New Roman" w:hAnsi="Times New Roman" w:cs="Times New Roman"/>
          <w:color w:val="000000"/>
          <w:sz w:val="24"/>
          <w:szCs w:val="24"/>
          <w:lang w:eastAsia="en-GB"/>
        </w:rPr>
        <w:t>,</w:t>
      </w:r>
      <w:r w:rsidRPr="00A204B0">
        <w:rPr>
          <w:rFonts w:ascii="Times New Roman" w:eastAsia="Times New Roman" w:hAnsi="Times New Roman" w:cs="Times New Roman"/>
          <w:color w:val="000000"/>
          <w:sz w:val="24"/>
          <w:szCs w:val="24"/>
          <w:lang w:eastAsia="en-GB"/>
        </w:rPr>
        <w:t xml:space="preserve"> a shared digital laboratory supporting consistent recording, description and sharing of data and statistical </w:t>
      </w:r>
      <w:r>
        <w:rPr>
          <w:rFonts w:ascii="Times New Roman" w:eastAsia="Times New Roman" w:hAnsi="Times New Roman" w:cs="Times New Roman"/>
          <w:color w:val="000000"/>
          <w:sz w:val="24"/>
          <w:szCs w:val="24"/>
          <w:lang w:eastAsia="en-GB"/>
        </w:rPr>
        <w:t>algorithms</w:t>
      </w:r>
      <w:r w:rsidRPr="00A204B0">
        <w:rPr>
          <w:rFonts w:ascii="Times New Roman" w:eastAsia="Times New Roman" w:hAnsi="Times New Roman" w:cs="Times New Roman"/>
          <w:color w:val="000000"/>
          <w:sz w:val="24"/>
          <w:szCs w:val="24"/>
          <w:lang w:eastAsia="en-GB"/>
        </w:rPr>
        <w:t xml:space="preserve">, facilitating rapid replication of findings </w:t>
      </w:r>
      <w:r w:rsidRPr="00627F22">
        <w:rPr>
          <w:rFonts w:ascii="Times New Roman" w:eastAsia="Times New Roman" w:hAnsi="Times New Roman" w:cs="Times New Roman"/>
          <w:color w:val="000000"/>
          <w:sz w:val="24"/>
          <w:szCs w:val="24"/>
          <w:lang w:eastAsia="en-GB"/>
        </w:rPr>
        <w:fldChar w:fldCharType="begin" w:fldLock="1"/>
      </w:r>
      <w:r w:rsidR="00404D27">
        <w:rPr>
          <w:rFonts w:ascii="Times New Roman" w:eastAsia="Times New Roman" w:hAnsi="Times New Roman" w:cs="Times New Roman"/>
          <w:color w:val="000000"/>
          <w:sz w:val="24"/>
          <w:szCs w:val="24"/>
          <w:lang w:eastAsia="en-GB"/>
        </w:rPr>
        <w:instrText>ADDIN CSL_CITATION { "citationID" : "IFx8REEL", "citationItems" : [ { "id" : "ITEM-1", "itemData" : { "DOI" : "10.1136/thoraxjnl-2015-206781", "ISSN" : "1468-3296", "PMID" : "25805205", "abstract" : "We created Asthma e-Lab, a secure web-based research environment to support consistent recording, description and sharing of data, computational/statistical methods and emerging findings across the five UK birth cohorts. The e-Lab serves as a data repository for our unified dataset and provides the computational resources and a scientific social network to support collaborative research. All activities are transparent, and emerging findings are shared via the e-Lab, linked to explanations of analytical methods, thus enabling knowledge transfer. eLab facilitates the iterative interdisciplinary dialogue between clinicians, statisticians, computer scientists, mathematicians, geneticists and basic scientists, capturing collective thought behind the interpretations of findings.", "author" : [ { "dropping-particle" : "", "family" : "Custovic", "given" : "Adnan", "non-dropping-particle" : "", "parse-names" : false, "suffix" : "" }, { "dropping-particle" : "", "family" : "Ainsworth", "given" : "John", "non-dropping-particle" : "", "parse-names" : false, "suffix" : "" }, { "dropping-particle" : "", "family" : "Arshad", "given" : "Hasan", "non-dropping-particle" : "", "parse-names" : false, "suffix" : "" }, { "dropping-particle" : "", "family" : "Bishop", "given" : "Christopher", "non-dropping-particle" : "", "parse-names" : false, "suffix" : "" }, { "dropping-particle" : "", "family" : "Buchan", "given" : "Iain", "non-dropping-particle" : "", "parse-names" : false, "suffix" : "" }, { "dropping-particle" : "", "family" : "Cullinan", "given" : "Paul", "non-dropping-particle" : "", "parse-names" : false, "suffix" : "" }, { "dropping-particle" : "", "family" : "Devereux", "given" : "Graham", "non-dropping-particle" : "", "parse-names" : false, "suffix" : "" }, { "dropping-particle" : "", "family" : "Henderson", "given" : "John", "non-dropping-particle" : "", "parse-names" : false, "suffix" : "" }, { "dropping-particle" : "", "family" : "Holloway", "given" : "John", "non-dropping-particle" : "", "parse-names" : false, "suffix" : "" }, { "dropping-particle" : "", "family" : "Roberts", "given" : "Graham", "non-dropping-particle" : "", "parse-names" : false, "suffix" : "" }, { "dropping-particle" : "", "family" : "Turner", "given" : "Steve", "non-dropping-particle" : "", "parse-names" : false, "suffix" : "" }, { "dropping-particle" : "", "family" : "Woodcock", "given" : "Ashley", "non-dropping-particle" : "", "parse-names" : false, "suffix" : "" }, { "dropping-particle" : "", "family" : "Simpson", "given" : "Angela", "non-dropping-particle" : "", "parse-names" : false, "suffix" : "" } ], "container-title" : "Thorax", "id" : "ITEM-1", "issue" : "8", "issued" : { "date-parts" : [ [ "2015", "3", "24" ] ] }, "page" : "799-801", "title" : "The Study Team for Early Life Asthma Research (STELAR) consortium 'Asthma e-lab': team science bringing data, methods and investigators together.", "type" : "article-journal", "volume" : "70" }, "uri" : [ "http://www.mendeley.com/documents/?uuid=7869cc7d-5d7b-430a-aa84-bf859681308c" ], "uris" : [ "http://www.mendeley.com/documents/?uuid=7869cc7d-5d7b-430a-aa84-bf859681308c" ] } ], "mendeley" : { "formattedCitation" : "[32]", "plainTextFormattedCitation" : "[32]", "previouslyFormattedCitation" : "[31]" }, "properties" : { "formattedCitation" : "(17)", "noteIndex" : 0, "plainCitation" : "(17)" }, "schema" : "https://github.com/citation-style-language/schema/raw/master/csl-citation.json" }</w:instrText>
      </w:r>
      <w:r w:rsidRPr="00627F22">
        <w:rPr>
          <w:rFonts w:ascii="Times New Roman" w:eastAsia="Times New Roman" w:hAnsi="Times New Roman" w:cs="Times New Roman"/>
          <w:color w:val="000000"/>
          <w:sz w:val="24"/>
          <w:szCs w:val="24"/>
          <w:lang w:eastAsia="en-GB"/>
        </w:rPr>
        <w:fldChar w:fldCharType="separate"/>
      </w:r>
      <w:r w:rsidR="00404D27" w:rsidRPr="00404D27">
        <w:rPr>
          <w:rFonts w:ascii="Times New Roman" w:eastAsia="Times New Roman" w:hAnsi="Times New Roman" w:cs="Times New Roman"/>
          <w:noProof/>
          <w:color w:val="000000"/>
          <w:sz w:val="24"/>
          <w:szCs w:val="24"/>
          <w:lang w:eastAsia="en-GB"/>
        </w:rPr>
        <w:t>[32]</w:t>
      </w:r>
      <w:r w:rsidRPr="00627F22">
        <w:rPr>
          <w:rFonts w:ascii="Times New Roman" w:eastAsia="Times New Roman" w:hAnsi="Times New Roman" w:cs="Times New Roman"/>
          <w:color w:val="000000"/>
          <w:sz w:val="24"/>
          <w:szCs w:val="24"/>
          <w:lang w:eastAsia="en-GB"/>
        </w:rPr>
        <w:fldChar w:fldCharType="end"/>
      </w:r>
      <w:r w:rsidRPr="00A204B0">
        <w:rPr>
          <w:rFonts w:ascii="Times New Roman" w:eastAsia="Times New Roman" w:hAnsi="Times New Roman" w:cs="Times New Roman"/>
          <w:color w:val="000000"/>
          <w:sz w:val="24"/>
          <w:szCs w:val="24"/>
          <w:lang w:eastAsia="en-GB"/>
        </w:rPr>
        <w:t xml:space="preserve">. </w:t>
      </w:r>
      <w:r w:rsidRPr="00A204B0">
        <w:rPr>
          <w:rFonts w:ascii="Times New Roman" w:hAnsi="Times New Roman" w:cs="Times New Roman"/>
          <w:color w:val="000000"/>
          <w:sz w:val="24"/>
          <w:szCs w:val="24"/>
        </w:rPr>
        <w:t>Registration of protocols and publications in registers may further strengthen the reliability and credibility of studies with big data</w:t>
      </w:r>
      <w:r>
        <w:rPr>
          <w:rFonts w:ascii="Times New Roman" w:hAnsi="Times New Roman" w:cs="Times New Roman"/>
          <w:color w:val="000000"/>
          <w:sz w:val="24"/>
          <w:szCs w:val="24"/>
        </w:rPr>
        <w:t xml:space="preserve"> </w:t>
      </w:r>
      <w:r w:rsidRPr="00627F22">
        <w:rPr>
          <w:rFonts w:ascii="Times New Roman" w:hAnsi="Times New Roman" w:cs="Times New Roman"/>
          <w:color w:val="000000"/>
          <w:sz w:val="24"/>
          <w:szCs w:val="24"/>
        </w:rPr>
        <w:fldChar w:fldCharType="begin" w:fldLock="1"/>
      </w:r>
      <w:r w:rsidR="00404D27">
        <w:rPr>
          <w:rFonts w:ascii="Times New Roman" w:hAnsi="Times New Roman" w:cs="Times New Roman"/>
          <w:color w:val="000000"/>
          <w:sz w:val="24"/>
          <w:szCs w:val="24"/>
        </w:rPr>
        <w:instrText>ADDIN CSL_CITATION { "citationID" : "qgOORqYE", "citationItems" : [ { "id" : "ITEM-1", "itemData" : { "DOI" : "10.1016/j.jclinepi.2010.04.009", "ISSN" : "1878-5921", "PMID" : "20643528", "abstract" : "OBJECTIVE: To evaluate the need for the creation of a system in which observational epidemiology studies are registered; an Observational Studies Register (OSR).\n\nSTUDY DESIGN AND SETTING: The current scientific process for observational epidemiology studies is described. Next, a parallel is made with the clinical trials area, where the creation of clinical trial registers has greatly restored and improved their credibility and reliability. Next, the advantages and disadvantages of an OSR are compared.\n\nRESULTS: The advantages of an OSR outweigh its disadvantages.\n\nCONCLUSION: The creation of an OSR, similar to the existing Clinical Trials Registers, will improve the assessment of publication bias and will provide an opportunity to compare the original study protocol with the results reported in the publication. Reliability, credibility, and transparency of observational epidemiology studies are strengthened by the creation of an OSR. We propose a structured, collaborative, and coordinated approach for observational epidemiology studies that can provide solutions for existing weaknesses and will strengthen credibility and reliability, similar to the approach currently used in clinical trials, where Clinical Trials Registers have played a key role in strengthening their scientific value.", "author" : [ { "dropping-particle" : "", "family" : "Swaen", "given" : "Gerard M H", "non-dropping-particle" : "", "parse-names" : false, "suffix" : "" }, { "dropping-particle" : "", "family" : "Carmichael", "given" : "Neil", "non-dropping-particle" : "", "parse-names" : false, "suffix" : "" }, { "dropping-particle" : "", "family" : "Doe", "given" : "John", "non-dropping-particle" : "", "parse-names" : false, "suffix" : "" } ], "container-title" : "Journal of clinical epidemiology", "id" : "ITEM-1", "issue" : "5", "issued" : { "date-parts" : [ [ "2011", "5" ] ] }, "page" : "481-6", "title" : "Strengthening the reliability and credibility of observational epidemiology studies by creating an Observational Studies Register.", "type" : "article-journal", "volume" : "64" }, "uri" : [ "http://www.mendeley.com/documents/?uuid=4f17398c-a515-4978-9dc6-7026d8a40ad0" ], "uris" : [ "http://www.mendeley.com/documents/?uuid=4f17398c-a515-4978-9dc6-7026d8a40ad0" ] } ], "mendeley" : { "formattedCitation" : "[33]", "plainTextFormattedCitation" : "[33]", "previouslyFormattedCitation" : "[32]" }, "properties" : { "formattedCitation" : "(18)", "noteIndex" : 0, "plainCitation" : "(18)" }, "schema" : "https://github.com/citation-style-language/schema/raw/master/csl-citation.json" }</w:instrText>
      </w:r>
      <w:r w:rsidRPr="00627F22">
        <w:rPr>
          <w:rFonts w:ascii="Times New Roman" w:hAnsi="Times New Roman" w:cs="Times New Roman"/>
          <w:color w:val="000000"/>
          <w:sz w:val="24"/>
          <w:szCs w:val="24"/>
        </w:rPr>
        <w:fldChar w:fldCharType="separate"/>
      </w:r>
      <w:r w:rsidR="00404D27" w:rsidRPr="00404D27">
        <w:rPr>
          <w:rFonts w:ascii="Times New Roman" w:hAnsi="Times New Roman" w:cs="Times New Roman"/>
          <w:noProof/>
          <w:color w:val="000000"/>
          <w:sz w:val="24"/>
          <w:szCs w:val="24"/>
        </w:rPr>
        <w:t>[33]</w:t>
      </w:r>
      <w:r w:rsidRPr="00627F22">
        <w:rPr>
          <w:rFonts w:ascii="Times New Roman" w:hAnsi="Times New Roman" w:cs="Times New Roman"/>
          <w:color w:val="000000"/>
          <w:sz w:val="24"/>
          <w:szCs w:val="24"/>
        </w:rPr>
        <w:fldChar w:fldCharType="end"/>
      </w:r>
      <w:r w:rsidRPr="00A204B0">
        <w:rPr>
          <w:rFonts w:ascii="Times New Roman" w:hAnsi="Times New Roman" w:cs="Times New Roman"/>
          <w:color w:val="000000"/>
          <w:sz w:val="24"/>
          <w:szCs w:val="24"/>
        </w:rPr>
        <w:t>.</w:t>
      </w:r>
    </w:p>
    <w:p w14:paraId="67E0CFDB" w14:textId="77777777" w:rsidR="00F41F40" w:rsidRDefault="00F41F40" w:rsidP="00BD2D2E">
      <w:pPr>
        <w:spacing w:after="0" w:line="240" w:lineRule="auto"/>
        <w:rPr>
          <w:rFonts w:ascii="Times New Roman" w:hAnsi="Times New Roman" w:cs="Times New Roman"/>
          <w:color w:val="000000"/>
          <w:sz w:val="24"/>
          <w:szCs w:val="24"/>
        </w:rPr>
      </w:pPr>
    </w:p>
    <w:p w14:paraId="78CBDADF" w14:textId="278B30C5" w:rsidR="00B43FD3" w:rsidRPr="00BD2D2E" w:rsidRDefault="00A20C5E" w:rsidP="00BD2D2E">
      <w:pPr>
        <w:spacing w:after="0" w:line="240" w:lineRule="auto"/>
        <w:rPr>
          <w:rFonts w:ascii="Times New Roman" w:hAnsi="Times New Roman" w:cs="Times New Roman"/>
          <w:b/>
          <w:color w:val="000000"/>
          <w:sz w:val="24"/>
          <w:szCs w:val="24"/>
        </w:rPr>
      </w:pPr>
      <w:r w:rsidRPr="00BD2D2E">
        <w:rPr>
          <w:rFonts w:ascii="Times New Roman" w:hAnsi="Times New Roman" w:cs="Times New Roman"/>
          <w:b/>
          <w:color w:val="000000"/>
          <w:sz w:val="24"/>
          <w:szCs w:val="24"/>
        </w:rPr>
        <w:t>Conclusion</w:t>
      </w:r>
    </w:p>
    <w:p w14:paraId="7A36BD9C" w14:textId="1244BADB" w:rsidR="00F14B0A" w:rsidRPr="00A204B0" w:rsidRDefault="00FA7C41" w:rsidP="00BD2D2E">
      <w:pPr>
        <w:spacing w:after="0" w:line="240" w:lineRule="auto"/>
        <w:rPr>
          <w:rFonts w:ascii="Times New Roman" w:eastAsia="Times New Roman" w:hAnsi="Times New Roman" w:cs="Times New Roman"/>
          <w:color w:val="000000"/>
          <w:kern w:val="36"/>
          <w:sz w:val="24"/>
          <w:szCs w:val="24"/>
          <w:lang w:eastAsia="en-GB"/>
        </w:rPr>
      </w:pPr>
      <w:r w:rsidRPr="00FF60BB">
        <w:rPr>
          <w:rFonts w:ascii="Times New Roman" w:eastAsia="Times New Roman" w:hAnsi="Times New Roman" w:cs="Times New Roman"/>
          <w:color w:val="000000"/>
          <w:kern w:val="36"/>
          <w:sz w:val="24"/>
          <w:szCs w:val="24"/>
          <w:lang w:eastAsia="en-GB"/>
        </w:rPr>
        <w:t xml:space="preserve">Most people would </w:t>
      </w:r>
      <w:r w:rsidRPr="00FF60BB">
        <w:rPr>
          <w:rFonts w:ascii="Times New Roman" w:eastAsia="Times New Roman" w:hAnsi="Times New Roman" w:cs="Times New Roman"/>
          <w:i/>
          <w:color w:val="000000"/>
          <w:kern w:val="36"/>
          <w:sz w:val="24"/>
          <w:szCs w:val="24"/>
          <w:lang w:eastAsia="en-GB"/>
        </w:rPr>
        <w:t>expect</w:t>
      </w:r>
      <w:r w:rsidRPr="00FF60BB">
        <w:rPr>
          <w:rFonts w:ascii="Times New Roman" w:eastAsia="Times New Roman" w:hAnsi="Times New Roman" w:cs="Times New Roman"/>
          <w:color w:val="000000"/>
          <w:kern w:val="36"/>
          <w:sz w:val="24"/>
          <w:szCs w:val="24"/>
          <w:lang w:eastAsia="en-GB"/>
        </w:rPr>
        <w:t xml:space="preserve"> a health service to </w:t>
      </w:r>
      <w:r w:rsidR="00A070AA">
        <w:rPr>
          <w:rFonts w:ascii="Times New Roman" w:eastAsia="Times New Roman" w:hAnsi="Times New Roman" w:cs="Times New Roman"/>
          <w:color w:val="000000"/>
          <w:kern w:val="36"/>
          <w:sz w:val="24"/>
          <w:szCs w:val="24"/>
          <w:lang w:eastAsia="en-GB"/>
        </w:rPr>
        <w:t xml:space="preserve">monitor </w:t>
      </w:r>
      <w:r w:rsidRPr="00FF60BB">
        <w:rPr>
          <w:rFonts w:ascii="Times New Roman" w:eastAsia="Times New Roman" w:hAnsi="Times New Roman" w:cs="Times New Roman"/>
          <w:color w:val="000000"/>
          <w:kern w:val="36"/>
          <w:sz w:val="24"/>
          <w:szCs w:val="24"/>
          <w:lang w:eastAsia="en-GB"/>
        </w:rPr>
        <w:t xml:space="preserve">clinical outcomes so that quality of care and the effects of interventions can be assessed. Such activities, by definition, need peoples’ health care data, just as running schools requires data on individual </w:t>
      </w:r>
      <w:r w:rsidR="000C7534">
        <w:rPr>
          <w:rFonts w:ascii="Times New Roman" w:eastAsia="Times New Roman" w:hAnsi="Times New Roman" w:cs="Times New Roman"/>
          <w:color w:val="000000"/>
          <w:kern w:val="36"/>
          <w:sz w:val="24"/>
          <w:szCs w:val="24"/>
          <w:lang w:eastAsia="en-GB"/>
        </w:rPr>
        <w:t>pupils</w:t>
      </w:r>
      <w:r w:rsidRPr="00FF60BB">
        <w:rPr>
          <w:rFonts w:ascii="Times New Roman" w:eastAsia="Times New Roman" w:hAnsi="Times New Roman" w:cs="Times New Roman"/>
          <w:color w:val="000000"/>
          <w:kern w:val="36"/>
          <w:sz w:val="24"/>
          <w:szCs w:val="24"/>
          <w:lang w:eastAsia="en-GB"/>
        </w:rPr>
        <w:t xml:space="preserve">. </w:t>
      </w:r>
      <w:r w:rsidR="00946E94">
        <w:rPr>
          <w:rFonts w:ascii="Times New Roman" w:hAnsi="Times New Roman" w:cs="Times New Roman"/>
          <w:color w:val="000000"/>
          <w:sz w:val="24"/>
          <w:szCs w:val="24"/>
        </w:rPr>
        <w:t>The UK has globally important health data assets</w:t>
      </w:r>
      <w:r w:rsidR="0036565F">
        <w:rPr>
          <w:rFonts w:ascii="Times New Roman" w:hAnsi="Times New Roman" w:cs="Times New Roman"/>
          <w:color w:val="000000"/>
          <w:sz w:val="24"/>
          <w:szCs w:val="24"/>
        </w:rPr>
        <w:t xml:space="preserve"> which</w:t>
      </w:r>
      <w:r w:rsidR="000C7534">
        <w:rPr>
          <w:rFonts w:ascii="Times New Roman" w:hAnsi="Times New Roman" w:cs="Times New Roman"/>
          <w:color w:val="000000"/>
          <w:sz w:val="24"/>
          <w:szCs w:val="24"/>
        </w:rPr>
        <w:t>, when analysed together,</w:t>
      </w:r>
      <w:r w:rsidR="0036565F">
        <w:rPr>
          <w:rFonts w:ascii="Times New Roman" w:hAnsi="Times New Roman" w:cs="Times New Roman"/>
          <w:color w:val="000000"/>
          <w:sz w:val="24"/>
          <w:szCs w:val="24"/>
        </w:rPr>
        <w:t xml:space="preserve"> can </w:t>
      </w:r>
      <w:r w:rsidR="000C7534">
        <w:rPr>
          <w:rFonts w:ascii="Times New Roman" w:hAnsi="Times New Roman" w:cs="Times New Roman"/>
          <w:color w:val="000000"/>
          <w:sz w:val="24"/>
          <w:szCs w:val="24"/>
        </w:rPr>
        <w:t>improve</w:t>
      </w:r>
      <w:r w:rsidR="0036565F">
        <w:rPr>
          <w:rFonts w:ascii="Times New Roman" w:hAnsi="Times New Roman" w:cs="Times New Roman"/>
          <w:color w:val="000000"/>
          <w:sz w:val="24"/>
          <w:szCs w:val="24"/>
        </w:rPr>
        <w:t xml:space="preserve"> health system</w:t>
      </w:r>
      <w:r w:rsidR="000C7534">
        <w:rPr>
          <w:rFonts w:ascii="Times New Roman" w:hAnsi="Times New Roman" w:cs="Times New Roman"/>
          <w:color w:val="000000"/>
          <w:sz w:val="24"/>
          <w:szCs w:val="24"/>
        </w:rPr>
        <w:t>s</w:t>
      </w:r>
      <w:r w:rsidR="00946E94">
        <w:rPr>
          <w:rFonts w:ascii="Times New Roman" w:hAnsi="Times New Roman" w:cs="Times New Roman"/>
          <w:color w:val="000000"/>
          <w:sz w:val="24"/>
          <w:szCs w:val="24"/>
        </w:rPr>
        <w:t>. Harnessing the</w:t>
      </w:r>
      <w:r w:rsidR="000C7534">
        <w:rPr>
          <w:rFonts w:ascii="Times New Roman" w:hAnsi="Times New Roman" w:cs="Times New Roman"/>
          <w:color w:val="000000"/>
          <w:sz w:val="24"/>
          <w:szCs w:val="24"/>
        </w:rPr>
        <w:t xml:space="preserve"> data</w:t>
      </w:r>
      <w:r w:rsidR="00946E94">
        <w:rPr>
          <w:rFonts w:ascii="Times New Roman" w:hAnsi="Times New Roman" w:cs="Times New Roman"/>
          <w:color w:val="000000"/>
          <w:sz w:val="24"/>
          <w:szCs w:val="24"/>
        </w:rPr>
        <w:t xml:space="preserve"> for patient and public benefit, however, has been set back by the flawed implementation of </w:t>
      </w:r>
      <w:r w:rsidR="00275734">
        <w:rPr>
          <w:rFonts w:ascii="Times New Roman" w:hAnsi="Times New Roman" w:cs="Times New Roman"/>
          <w:color w:val="000000"/>
          <w:sz w:val="24"/>
          <w:szCs w:val="24"/>
        </w:rPr>
        <w:t xml:space="preserve">a national </w:t>
      </w:r>
      <w:r w:rsidR="000C7534">
        <w:rPr>
          <w:rFonts w:ascii="Times New Roman" w:hAnsi="Times New Roman" w:cs="Times New Roman"/>
          <w:color w:val="000000"/>
          <w:sz w:val="24"/>
          <w:szCs w:val="24"/>
        </w:rPr>
        <w:t>‘</w:t>
      </w:r>
      <w:r w:rsidR="00946E94">
        <w:rPr>
          <w:rFonts w:ascii="Times New Roman" w:hAnsi="Times New Roman" w:cs="Times New Roman"/>
          <w:color w:val="000000"/>
          <w:sz w:val="24"/>
          <w:szCs w:val="24"/>
        </w:rPr>
        <w:t>big data</w:t>
      </w:r>
      <w:r w:rsidR="000C7534">
        <w:rPr>
          <w:rFonts w:ascii="Times New Roman" w:hAnsi="Times New Roman" w:cs="Times New Roman"/>
          <w:color w:val="000000"/>
          <w:sz w:val="24"/>
          <w:szCs w:val="24"/>
        </w:rPr>
        <w:t>’</w:t>
      </w:r>
      <w:r w:rsidR="00946E94">
        <w:rPr>
          <w:rFonts w:ascii="Times New Roman" w:hAnsi="Times New Roman" w:cs="Times New Roman"/>
          <w:color w:val="000000"/>
          <w:sz w:val="24"/>
          <w:szCs w:val="24"/>
        </w:rPr>
        <w:t xml:space="preserve"> project. </w:t>
      </w:r>
      <w:r w:rsidR="0095795E">
        <w:rPr>
          <w:rFonts w:ascii="Times New Roman" w:hAnsi="Times New Roman" w:cs="Times New Roman"/>
          <w:color w:val="000000"/>
          <w:sz w:val="24"/>
          <w:szCs w:val="24"/>
        </w:rPr>
        <w:t>This pause has revealed a bigger picture of the need for large-scale involvement of citizens in advancing the uses of their communities’ health data. The time is now for the key stakeholders in health systems to act in concert and properly resource meaningful, enduring public involvement in big health data.</w:t>
      </w:r>
      <w:r w:rsidR="007567CF">
        <w:rPr>
          <w:rFonts w:ascii="Times New Roman" w:hAnsi="Times New Roman" w:cs="Times New Roman"/>
          <w:color w:val="000000"/>
          <w:sz w:val="24"/>
          <w:szCs w:val="24"/>
        </w:rPr>
        <w:t xml:space="preserve"> Public trust can only be earned if there is</w:t>
      </w:r>
      <w:r w:rsidR="000C7534">
        <w:rPr>
          <w:rFonts w:ascii="Times New Roman" w:hAnsi="Times New Roman" w:cs="Times New Roman"/>
          <w:color w:val="000000"/>
          <w:sz w:val="24"/>
          <w:szCs w:val="24"/>
        </w:rPr>
        <w:t>:</w:t>
      </w:r>
      <w:r w:rsidR="007567CF">
        <w:rPr>
          <w:rFonts w:ascii="Times New Roman" w:hAnsi="Times New Roman" w:cs="Times New Roman"/>
          <w:color w:val="000000"/>
          <w:sz w:val="24"/>
          <w:szCs w:val="24"/>
        </w:rPr>
        <w:t xml:space="preserve"> transparency in information security</w:t>
      </w:r>
      <w:r w:rsidR="000C7534">
        <w:rPr>
          <w:rFonts w:ascii="Times New Roman" w:hAnsi="Times New Roman" w:cs="Times New Roman"/>
          <w:color w:val="000000"/>
          <w:sz w:val="24"/>
          <w:szCs w:val="24"/>
        </w:rPr>
        <w:t>;</w:t>
      </w:r>
      <w:r w:rsidR="007567CF">
        <w:rPr>
          <w:rFonts w:ascii="Times New Roman" w:hAnsi="Times New Roman" w:cs="Times New Roman"/>
          <w:color w:val="000000"/>
          <w:sz w:val="24"/>
          <w:szCs w:val="24"/>
        </w:rPr>
        <w:t xml:space="preserve"> dynamic consent </w:t>
      </w:r>
      <w:r w:rsidR="000C7534">
        <w:rPr>
          <w:rFonts w:ascii="Times New Roman" w:hAnsi="Times New Roman" w:cs="Times New Roman"/>
          <w:color w:val="000000"/>
          <w:sz w:val="24"/>
          <w:szCs w:val="24"/>
        </w:rPr>
        <w:t>with t</w:t>
      </w:r>
      <w:r w:rsidR="007567CF">
        <w:rPr>
          <w:rFonts w:ascii="Times New Roman" w:hAnsi="Times New Roman" w:cs="Times New Roman"/>
          <w:color w:val="000000"/>
          <w:sz w:val="24"/>
          <w:szCs w:val="24"/>
        </w:rPr>
        <w:t>he ability to opt-out of specific uses of data</w:t>
      </w:r>
      <w:r w:rsidR="000C7534">
        <w:rPr>
          <w:rFonts w:ascii="Times New Roman" w:hAnsi="Times New Roman" w:cs="Times New Roman"/>
          <w:color w:val="000000"/>
          <w:sz w:val="24"/>
          <w:szCs w:val="24"/>
        </w:rPr>
        <w:t xml:space="preserve">; </w:t>
      </w:r>
      <w:r w:rsidR="007567CF">
        <w:rPr>
          <w:rFonts w:ascii="Times New Roman" w:hAnsi="Times New Roman" w:cs="Times New Roman"/>
          <w:color w:val="000000"/>
          <w:sz w:val="24"/>
          <w:szCs w:val="24"/>
        </w:rPr>
        <w:t xml:space="preserve">scientific transparency and </w:t>
      </w:r>
      <w:r w:rsidR="000C7534">
        <w:rPr>
          <w:rFonts w:ascii="Times New Roman" w:hAnsi="Times New Roman" w:cs="Times New Roman"/>
          <w:color w:val="000000"/>
          <w:sz w:val="24"/>
          <w:szCs w:val="24"/>
        </w:rPr>
        <w:t>reliability;</w:t>
      </w:r>
      <w:r w:rsidR="007567CF">
        <w:rPr>
          <w:rFonts w:ascii="Times New Roman" w:hAnsi="Times New Roman" w:cs="Times New Roman"/>
          <w:color w:val="000000"/>
          <w:sz w:val="24"/>
          <w:szCs w:val="24"/>
        </w:rPr>
        <w:t xml:space="preserve"> and </w:t>
      </w:r>
      <w:r w:rsidR="007567CF" w:rsidRPr="00A246F0">
        <w:rPr>
          <w:rFonts w:ascii="Times New Roman" w:hAnsi="Times New Roman" w:cs="Times New Roman"/>
          <w:i/>
          <w:color w:val="000000"/>
          <w:sz w:val="24"/>
          <w:szCs w:val="24"/>
        </w:rPr>
        <w:t>systematic</w:t>
      </w:r>
      <w:r w:rsidR="007567CF">
        <w:rPr>
          <w:rFonts w:ascii="Times New Roman" w:hAnsi="Times New Roman" w:cs="Times New Roman"/>
          <w:color w:val="000000"/>
          <w:sz w:val="24"/>
          <w:szCs w:val="24"/>
        </w:rPr>
        <w:t xml:space="preserve"> public engagement.</w:t>
      </w:r>
    </w:p>
    <w:p w14:paraId="1C6ADC72" w14:textId="77777777" w:rsidR="00CD4480" w:rsidRDefault="00CD4480" w:rsidP="00BD2D2E">
      <w:pPr>
        <w:spacing w:after="0" w:line="240" w:lineRule="auto"/>
        <w:rPr>
          <w:rFonts w:ascii="Times New Roman" w:hAnsi="Times New Roman" w:cs="Times New Roman"/>
          <w:b/>
          <w:color w:val="000000"/>
          <w:sz w:val="24"/>
          <w:szCs w:val="24"/>
        </w:rPr>
      </w:pPr>
    </w:p>
    <w:p w14:paraId="6FE10667" w14:textId="57C614FB" w:rsidR="00251D77" w:rsidRPr="00A204B0" w:rsidRDefault="00251D77" w:rsidP="00251D7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Key Messages</w:t>
      </w:r>
    </w:p>
    <w:p w14:paraId="20DACE97" w14:textId="77777777" w:rsidR="003C5387" w:rsidRDefault="00F40770" w:rsidP="00F40770">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B</w:t>
      </w:r>
      <w:r w:rsidRPr="00A204B0">
        <w:rPr>
          <w:rFonts w:ascii="Times New Roman" w:eastAsia="Times New Roman" w:hAnsi="Times New Roman" w:cs="Times New Roman"/>
          <w:color w:val="000000"/>
          <w:sz w:val="24"/>
          <w:szCs w:val="24"/>
          <w:lang w:eastAsia="en-GB"/>
        </w:rPr>
        <w:t xml:space="preserve">ig </w:t>
      </w:r>
      <w:r>
        <w:rPr>
          <w:rFonts w:ascii="Times New Roman" w:eastAsia="Times New Roman" w:hAnsi="Times New Roman" w:cs="Times New Roman"/>
          <w:color w:val="000000"/>
          <w:sz w:val="24"/>
          <w:szCs w:val="24"/>
          <w:lang w:eastAsia="en-GB"/>
        </w:rPr>
        <w:t xml:space="preserve">health </w:t>
      </w:r>
      <w:r w:rsidRPr="00A204B0">
        <w:rPr>
          <w:rFonts w:ascii="Times New Roman" w:eastAsia="Times New Roman" w:hAnsi="Times New Roman" w:cs="Times New Roman"/>
          <w:color w:val="000000"/>
          <w:sz w:val="24"/>
          <w:szCs w:val="24"/>
          <w:lang w:eastAsia="en-GB"/>
        </w:rPr>
        <w:t>data projects can only succeed if the public has confidence that their records are held securely and anonymised appropriately</w:t>
      </w:r>
    </w:p>
    <w:p w14:paraId="3EF51D48" w14:textId="77777777" w:rsidR="003C5387" w:rsidRDefault="003C5387" w:rsidP="00F40770">
      <w:pPr>
        <w:spacing w:after="0" w:line="240" w:lineRule="auto"/>
        <w:rPr>
          <w:rFonts w:ascii="Times New Roman" w:eastAsia="Times New Roman" w:hAnsi="Times New Roman" w:cs="Times New Roman"/>
          <w:color w:val="000000"/>
          <w:sz w:val="24"/>
          <w:szCs w:val="24"/>
          <w:lang w:eastAsia="en-GB"/>
        </w:rPr>
      </w:pPr>
    </w:p>
    <w:p w14:paraId="6EE67392" w14:textId="71231079" w:rsidR="00F40770" w:rsidRDefault="003C5387" w:rsidP="00F4077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 Meaning public engagement requires a </w:t>
      </w:r>
      <w:r w:rsidR="00F40770" w:rsidRPr="00A204B0">
        <w:rPr>
          <w:rFonts w:ascii="Times New Roman" w:hAnsi="Times New Roman" w:cs="Times New Roman"/>
          <w:sz w:val="24"/>
          <w:szCs w:val="24"/>
        </w:rPr>
        <w:t>‘trustworthy research environment’</w:t>
      </w:r>
      <w:r w:rsidR="00F40770">
        <w:rPr>
          <w:rFonts w:ascii="Times New Roman" w:hAnsi="Times New Roman" w:cs="Times New Roman"/>
          <w:sz w:val="24"/>
          <w:szCs w:val="24"/>
        </w:rPr>
        <w:t xml:space="preserve"> and public transparency in data use</w:t>
      </w:r>
    </w:p>
    <w:p w14:paraId="27D3BAA8" w14:textId="77777777" w:rsidR="00CC72E6" w:rsidRDefault="00CC72E6" w:rsidP="00BD2D2E">
      <w:pPr>
        <w:spacing w:after="0" w:line="240" w:lineRule="auto"/>
        <w:rPr>
          <w:rFonts w:ascii="Times New Roman" w:hAnsi="Times New Roman" w:cs="Times New Roman"/>
          <w:b/>
          <w:color w:val="000000"/>
          <w:sz w:val="24"/>
          <w:szCs w:val="24"/>
        </w:rPr>
      </w:pPr>
    </w:p>
    <w:p w14:paraId="77434E8C" w14:textId="381314B7" w:rsidR="00F40770" w:rsidRDefault="00F40770" w:rsidP="00F40770">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3C5387">
        <w:rPr>
          <w:rFonts w:ascii="Times New Roman" w:eastAsia="Times New Roman" w:hAnsi="Times New Roman" w:cs="Times New Roman"/>
          <w:color w:val="000000"/>
          <w:sz w:val="24"/>
          <w:szCs w:val="24"/>
          <w:lang w:eastAsia="en-GB"/>
        </w:rPr>
        <w:t>It also requires c</w:t>
      </w:r>
      <w:r>
        <w:rPr>
          <w:rFonts w:ascii="Times New Roman" w:eastAsia="Times New Roman" w:hAnsi="Times New Roman" w:cs="Times New Roman"/>
          <w:color w:val="000000"/>
          <w:sz w:val="24"/>
          <w:szCs w:val="24"/>
          <w:lang w:eastAsia="en-GB"/>
        </w:rPr>
        <w:t xml:space="preserve">redible science </w:t>
      </w:r>
      <w:r w:rsidR="003C5387">
        <w:rPr>
          <w:rFonts w:ascii="Times New Roman" w:eastAsia="Times New Roman" w:hAnsi="Times New Roman" w:cs="Times New Roman"/>
          <w:color w:val="000000"/>
          <w:sz w:val="24"/>
          <w:szCs w:val="24"/>
          <w:lang w:eastAsia="en-GB"/>
        </w:rPr>
        <w:t xml:space="preserve">with </w:t>
      </w:r>
      <w:r>
        <w:rPr>
          <w:rFonts w:ascii="Times New Roman" w:eastAsia="Times New Roman" w:hAnsi="Times New Roman" w:cs="Times New Roman"/>
          <w:color w:val="000000"/>
          <w:sz w:val="24"/>
          <w:szCs w:val="24"/>
          <w:lang w:eastAsia="en-GB"/>
        </w:rPr>
        <w:t>t</w:t>
      </w:r>
      <w:r w:rsidRPr="00A204B0">
        <w:rPr>
          <w:rFonts w:ascii="Times New Roman" w:eastAsia="Times New Roman" w:hAnsi="Times New Roman" w:cs="Times New Roman"/>
          <w:color w:val="000000"/>
          <w:sz w:val="24"/>
          <w:szCs w:val="24"/>
          <w:lang w:eastAsia="en-GB"/>
        </w:rPr>
        <w:t>he need to replicate findings across heterogeneous populations and settings</w:t>
      </w:r>
      <w:r>
        <w:rPr>
          <w:rFonts w:ascii="Times New Roman" w:eastAsia="Times New Roman" w:hAnsi="Times New Roman" w:cs="Times New Roman"/>
          <w:color w:val="000000"/>
          <w:sz w:val="24"/>
          <w:szCs w:val="24"/>
          <w:lang w:eastAsia="en-GB"/>
        </w:rPr>
        <w:t xml:space="preserve"> and the need for </w:t>
      </w:r>
      <w:r w:rsidR="003C5387">
        <w:rPr>
          <w:rFonts w:ascii="Times New Roman" w:eastAsia="Times New Roman" w:hAnsi="Times New Roman" w:cs="Times New Roman"/>
          <w:color w:val="000000"/>
          <w:sz w:val="24"/>
          <w:szCs w:val="24"/>
          <w:lang w:eastAsia="en-GB"/>
        </w:rPr>
        <w:t>an</w:t>
      </w:r>
      <w:r>
        <w:rPr>
          <w:rFonts w:ascii="Times New Roman" w:eastAsia="Times New Roman" w:hAnsi="Times New Roman" w:cs="Times New Roman"/>
          <w:color w:val="000000"/>
          <w:sz w:val="24"/>
          <w:szCs w:val="24"/>
          <w:lang w:eastAsia="en-GB"/>
        </w:rPr>
        <w:t xml:space="preserve"> e-</w:t>
      </w:r>
      <w:r w:rsidRPr="00A204B0">
        <w:rPr>
          <w:rFonts w:ascii="Times New Roman" w:eastAsia="Times New Roman" w:hAnsi="Times New Roman" w:cs="Times New Roman"/>
          <w:color w:val="000000"/>
          <w:sz w:val="24"/>
          <w:szCs w:val="24"/>
          <w:lang w:eastAsia="en-GB"/>
        </w:rPr>
        <w:t>lab</w:t>
      </w:r>
      <w:r>
        <w:rPr>
          <w:rFonts w:ascii="Times New Roman" w:eastAsia="Times New Roman" w:hAnsi="Times New Roman" w:cs="Times New Roman"/>
          <w:color w:val="000000"/>
          <w:sz w:val="24"/>
          <w:szCs w:val="24"/>
          <w:lang w:eastAsia="en-GB"/>
        </w:rPr>
        <w:t>,</w:t>
      </w:r>
      <w:r w:rsidRPr="00A204B0">
        <w:rPr>
          <w:rFonts w:ascii="Times New Roman" w:eastAsia="Times New Roman" w:hAnsi="Times New Roman" w:cs="Times New Roman"/>
          <w:color w:val="000000"/>
          <w:sz w:val="24"/>
          <w:szCs w:val="24"/>
          <w:lang w:eastAsia="en-GB"/>
        </w:rPr>
        <w:t xml:space="preserve"> a shared digital laboratory supporting consistent recording, description and sharing of data and statistical </w:t>
      </w:r>
      <w:r>
        <w:rPr>
          <w:rFonts w:ascii="Times New Roman" w:eastAsia="Times New Roman" w:hAnsi="Times New Roman" w:cs="Times New Roman"/>
          <w:color w:val="000000"/>
          <w:sz w:val="24"/>
          <w:szCs w:val="24"/>
          <w:lang w:eastAsia="en-GB"/>
        </w:rPr>
        <w:t>algorithms</w:t>
      </w:r>
    </w:p>
    <w:p w14:paraId="665FA3C4" w14:textId="77777777" w:rsidR="00F40770" w:rsidRDefault="00F40770" w:rsidP="00BD2D2E">
      <w:pPr>
        <w:spacing w:after="0" w:line="240" w:lineRule="auto"/>
        <w:rPr>
          <w:rFonts w:ascii="Times New Roman" w:hAnsi="Times New Roman" w:cs="Times New Roman"/>
          <w:b/>
          <w:color w:val="000000"/>
          <w:sz w:val="24"/>
          <w:szCs w:val="24"/>
        </w:rPr>
      </w:pPr>
    </w:p>
    <w:p w14:paraId="7E1A7D9A" w14:textId="77777777" w:rsidR="00F40770" w:rsidRPr="00A204B0" w:rsidRDefault="00F40770" w:rsidP="00BD2D2E">
      <w:pPr>
        <w:spacing w:after="0" w:line="240" w:lineRule="auto"/>
        <w:rPr>
          <w:rFonts w:ascii="Times New Roman" w:hAnsi="Times New Roman" w:cs="Times New Roman"/>
          <w:b/>
          <w:color w:val="000000"/>
          <w:sz w:val="24"/>
          <w:szCs w:val="24"/>
        </w:rPr>
      </w:pPr>
    </w:p>
    <w:p w14:paraId="3E42B278" w14:textId="77777777" w:rsidR="002B6D97" w:rsidRPr="00A204B0" w:rsidRDefault="002B6D97" w:rsidP="00BD2D2E">
      <w:pPr>
        <w:spacing w:after="0" w:line="240" w:lineRule="auto"/>
        <w:rPr>
          <w:rFonts w:ascii="Times New Roman" w:hAnsi="Times New Roman" w:cs="Times New Roman"/>
          <w:b/>
          <w:color w:val="000000"/>
          <w:sz w:val="24"/>
          <w:szCs w:val="24"/>
        </w:rPr>
      </w:pPr>
      <w:r w:rsidRPr="00A204B0">
        <w:rPr>
          <w:rFonts w:ascii="Times New Roman" w:hAnsi="Times New Roman" w:cs="Times New Roman"/>
          <w:b/>
          <w:color w:val="000000"/>
          <w:sz w:val="24"/>
          <w:szCs w:val="24"/>
        </w:rPr>
        <w:t>Author Contributions</w:t>
      </w:r>
    </w:p>
    <w:p w14:paraId="70FB7813" w14:textId="1AF26C64" w:rsidR="00652147" w:rsidRDefault="00652147" w:rsidP="0065214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TvS is the guaran</w:t>
      </w:r>
      <w:r w:rsidR="008E1594">
        <w:rPr>
          <w:rFonts w:ascii="Times New Roman" w:hAnsi="Times New Roman" w:cs="Times New Roman"/>
          <w:color w:val="000000"/>
          <w:sz w:val="24"/>
          <w:szCs w:val="24"/>
        </w:rPr>
        <w:t xml:space="preserve">tor. </w:t>
      </w:r>
      <w:r w:rsidR="002B6D97" w:rsidRPr="00A204B0">
        <w:rPr>
          <w:rFonts w:ascii="Times New Roman" w:hAnsi="Times New Roman" w:cs="Times New Roman"/>
          <w:color w:val="000000"/>
          <w:sz w:val="24"/>
          <w:szCs w:val="24"/>
        </w:rPr>
        <w:t xml:space="preserve">Contributed to the writing of the manuscript: </w:t>
      </w:r>
      <w:r w:rsidR="00786150" w:rsidRPr="00A204B0">
        <w:rPr>
          <w:rFonts w:ascii="Times New Roman" w:hAnsi="Times New Roman" w:cs="Times New Roman"/>
          <w:color w:val="000000"/>
          <w:sz w:val="24"/>
          <w:szCs w:val="24"/>
        </w:rPr>
        <w:t>TvS BG</w:t>
      </w:r>
      <w:r w:rsidR="002B6D97" w:rsidRPr="00A204B0">
        <w:rPr>
          <w:rFonts w:ascii="Times New Roman" w:hAnsi="Times New Roman" w:cs="Times New Roman"/>
          <w:color w:val="000000"/>
          <w:sz w:val="24"/>
          <w:szCs w:val="24"/>
        </w:rPr>
        <w:t xml:space="preserve"> </w:t>
      </w:r>
      <w:r w:rsidR="00400778">
        <w:rPr>
          <w:rFonts w:ascii="Times New Roman" w:hAnsi="Times New Roman" w:cs="Times New Roman"/>
          <w:color w:val="000000"/>
          <w:sz w:val="24"/>
          <w:szCs w:val="24"/>
        </w:rPr>
        <w:t xml:space="preserve">IB </w:t>
      </w:r>
      <w:r w:rsidR="002B6D97" w:rsidRPr="00A204B0">
        <w:rPr>
          <w:rFonts w:ascii="Times New Roman" w:hAnsi="Times New Roman" w:cs="Times New Roman"/>
          <w:color w:val="000000"/>
          <w:sz w:val="24"/>
          <w:szCs w:val="24"/>
        </w:rPr>
        <w:t xml:space="preserve">LS. Wrote the first draft of the manuscript: TvS. Agree with the manuscript’s results and conclusions: </w:t>
      </w:r>
      <w:r w:rsidR="00786150" w:rsidRPr="00A204B0">
        <w:rPr>
          <w:rFonts w:ascii="Times New Roman" w:hAnsi="Times New Roman" w:cs="Times New Roman"/>
          <w:color w:val="000000"/>
          <w:sz w:val="24"/>
          <w:szCs w:val="24"/>
        </w:rPr>
        <w:t xml:space="preserve">TvS BG </w:t>
      </w:r>
      <w:r w:rsidR="00400778">
        <w:rPr>
          <w:rFonts w:ascii="Times New Roman" w:hAnsi="Times New Roman" w:cs="Times New Roman"/>
          <w:color w:val="000000"/>
          <w:sz w:val="24"/>
          <w:szCs w:val="24"/>
        </w:rPr>
        <w:t xml:space="preserve">IB </w:t>
      </w:r>
      <w:r w:rsidR="00786150" w:rsidRPr="00A204B0">
        <w:rPr>
          <w:rFonts w:ascii="Times New Roman" w:hAnsi="Times New Roman" w:cs="Times New Roman"/>
          <w:color w:val="000000"/>
          <w:sz w:val="24"/>
          <w:szCs w:val="24"/>
        </w:rPr>
        <w:t>LS</w:t>
      </w:r>
      <w:r w:rsidR="002B6D97" w:rsidRPr="00A204B0">
        <w:rPr>
          <w:rFonts w:ascii="Times New Roman" w:hAnsi="Times New Roman" w:cs="Times New Roman"/>
          <w:color w:val="000000"/>
          <w:sz w:val="24"/>
          <w:szCs w:val="24"/>
        </w:rPr>
        <w:t xml:space="preserve">. Conceptualized the project and interpreted data for the manuscript: </w:t>
      </w:r>
      <w:r w:rsidR="00786150" w:rsidRPr="00A204B0">
        <w:rPr>
          <w:rFonts w:ascii="Times New Roman" w:hAnsi="Times New Roman" w:cs="Times New Roman"/>
          <w:color w:val="000000"/>
          <w:sz w:val="24"/>
          <w:szCs w:val="24"/>
        </w:rPr>
        <w:t>TvS BG LS</w:t>
      </w:r>
      <w:r w:rsidR="002B6D97" w:rsidRPr="00A204B0">
        <w:rPr>
          <w:rFonts w:ascii="Times New Roman" w:hAnsi="Times New Roman" w:cs="Times New Roman"/>
          <w:color w:val="000000"/>
          <w:sz w:val="24"/>
          <w:szCs w:val="24"/>
        </w:rPr>
        <w:t xml:space="preserve">. </w:t>
      </w:r>
      <w:r w:rsidR="002B6D97" w:rsidRPr="00A204B0">
        <w:rPr>
          <w:rFonts w:ascii="Times New Roman" w:hAnsi="Times New Roman" w:cs="Times New Roman"/>
          <w:color w:val="000000"/>
          <w:sz w:val="24"/>
          <w:szCs w:val="24"/>
        </w:rPr>
        <w:lastRenderedPageBreak/>
        <w:t xml:space="preserve">Critically revised the manuscript for intellectual content: </w:t>
      </w:r>
      <w:r w:rsidR="00786150" w:rsidRPr="00A204B0">
        <w:rPr>
          <w:rFonts w:ascii="Times New Roman" w:hAnsi="Times New Roman" w:cs="Times New Roman"/>
          <w:color w:val="000000"/>
          <w:sz w:val="24"/>
          <w:szCs w:val="24"/>
        </w:rPr>
        <w:t>BG</w:t>
      </w:r>
      <w:r w:rsidR="00400778">
        <w:rPr>
          <w:rFonts w:ascii="Times New Roman" w:hAnsi="Times New Roman" w:cs="Times New Roman"/>
          <w:color w:val="000000"/>
          <w:sz w:val="24"/>
          <w:szCs w:val="24"/>
        </w:rPr>
        <w:t xml:space="preserve"> IB</w:t>
      </w:r>
      <w:r w:rsidR="00786150" w:rsidRPr="00A204B0">
        <w:rPr>
          <w:rFonts w:ascii="Times New Roman" w:hAnsi="Times New Roman" w:cs="Times New Roman"/>
          <w:color w:val="000000"/>
          <w:sz w:val="24"/>
          <w:szCs w:val="24"/>
        </w:rPr>
        <w:t xml:space="preserve"> LS</w:t>
      </w:r>
      <w:r w:rsidR="002B6D97" w:rsidRPr="00A204B0">
        <w:rPr>
          <w:rFonts w:ascii="Times New Roman" w:hAnsi="Times New Roman" w:cs="Times New Roman"/>
          <w:color w:val="000000"/>
          <w:sz w:val="24"/>
          <w:szCs w:val="24"/>
        </w:rPr>
        <w:t xml:space="preserve">. Final approval of the version to be published: </w:t>
      </w:r>
      <w:r w:rsidR="00786150" w:rsidRPr="00A204B0">
        <w:rPr>
          <w:rFonts w:ascii="Times New Roman" w:hAnsi="Times New Roman" w:cs="Times New Roman"/>
          <w:color w:val="000000"/>
          <w:sz w:val="24"/>
          <w:szCs w:val="24"/>
        </w:rPr>
        <w:t xml:space="preserve">TvS BG </w:t>
      </w:r>
      <w:r w:rsidR="00400778">
        <w:rPr>
          <w:rFonts w:ascii="Times New Roman" w:hAnsi="Times New Roman" w:cs="Times New Roman"/>
          <w:color w:val="000000"/>
          <w:sz w:val="24"/>
          <w:szCs w:val="24"/>
        </w:rPr>
        <w:t xml:space="preserve">IB </w:t>
      </w:r>
      <w:r w:rsidR="00786150" w:rsidRPr="00A204B0">
        <w:rPr>
          <w:rFonts w:ascii="Times New Roman" w:hAnsi="Times New Roman" w:cs="Times New Roman"/>
          <w:color w:val="000000"/>
          <w:sz w:val="24"/>
          <w:szCs w:val="24"/>
        </w:rPr>
        <w:t>LS</w:t>
      </w:r>
      <w:r w:rsidR="002B6D97" w:rsidRPr="00A204B0">
        <w:rPr>
          <w:rFonts w:ascii="Times New Roman" w:hAnsi="Times New Roman" w:cs="Times New Roman"/>
          <w:color w:val="000000"/>
          <w:sz w:val="24"/>
          <w:szCs w:val="24"/>
        </w:rPr>
        <w:t xml:space="preserve">. Agreement to be accountable for all aspects of the work in ensuring that questions related to the accuracy or integrity of any part of the work are appropriately investigated and resolved: </w:t>
      </w:r>
      <w:r w:rsidR="00786150" w:rsidRPr="00A204B0">
        <w:rPr>
          <w:rFonts w:ascii="Times New Roman" w:hAnsi="Times New Roman" w:cs="Times New Roman"/>
          <w:color w:val="000000"/>
          <w:sz w:val="24"/>
          <w:szCs w:val="24"/>
        </w:rPr>
        <w:t xml:space="preserve">TvS BG </w:t>
      </w:r>
      <w:r w:rsidR="00400778">
        <w:rPr>
          <w:rFonts w:ascii="Times New Roman" w:hAnsi="Times New Roman" w:cs="Times New Roman"/>
          <w:color w:val="000000"/>
          <w:sz w:val="24"/>
          <w:szCs w:val="24"/>
        </w:rPr>
        <w:t xml:space="preserve">IB </w:t>
      </w:r>
      <w:r w:rsidR="00786150" w:rsidRPr="00A204B0">
        <w:rPr>
          <w:rFonts w:ascii="Times New Roman" w:hAnsi="Times New Roman" w:cs="Times New Roman"/>
          <w:color w:val="000000"/>
          <w:sz w:val="24"/>
          <w:szCs w:val="24"/>
        </w:rPr>
        <w:t>LS</w:t>
      </w:r>
      <w:r w:rsidR="002B6D97" w:rsidRPr="00A204B0">
        <w:rPr>
          <w:rFonts w:ascii="Times New Roman" w:hAnsi="Times New Roman" w:cs="Times New Roman"/>
          <w:color w:val="000000"/>
          <w:sz w:val="24"/>
          <w:szCs w:val="24"/>
        </w:rPr>
        <w:t>. All authors have read, and confirm that they meet, ICMJE criteria for authorship.</w:t>
      </w:r>
    </w:p>
    <w:p w14:paraId="2A747FA3" w14:textId="77777777" w:rsidR="00652147" w:rsidRDefault="00652147" w:rsidP="00652147">
      <w:pPr>
        <w:spacing w:after="0" w:line="240" w:lineRule="auto"/>
        <w:rPr>
          <w:rFonts w:ascii="Times New Roman" w:hAnsi="Times New Roman" w:cs="Times New Roman"/>
          <w:color w:val="000000"/>
          <w:sz w:val="24"/>
          <w:szCs w:val="24"/>
        </w:rPr>
      </w:pPr>
    </w:p>
    <w:p w14:paraId="37B7531E" w14:textId="77777777" w:rsidR="004033E0" w:rsidRPr="004033E0" w:rsidRDefault="004033E0" w:rsidP="004033E0">
      <w:pPr>
        <w:rPr>
          <w:rFonts w:ascii="Times New Roman" w:hAnsi="Times New Roman" w:cs="Times New Roman"/>
          <w:color w:val="000000"/>
          <w:sz w:val="24"/>
          <w:szCs w:val="24"/>
        </w:rPr>
      </w:pPr>
      <w:r w:rsidRPr="004033E0">
        <w:rPr>
          <w:rFonts w:ascii="Times New Roman" w:hAnsi="Times New Roman" w:cs="Times New Roman"/>
          <w:color w:val="000000"/>
          <w:sz w:val="24"/>
          <w:szCs w:val="24"/>
        </w:rPr>
        <w:t>All authors have completed the ICMJE uniform disclosure form at http://www.icmje.org/coi_disclosure.pdf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5BF6C1D0" w14:textId="7A3A524E" w:rsidR="00652147" w:rsidRPr="008E1594" w:rsidRDefault="00652147" w:rsidP="00652147">
      <w:pPr>
        <w:spacing w:after="0" w:line="240" w:lineRule="auto"/>
        <w:rPr>
          <w:rFonts w:ascii="Times New Roman" w:hAnsi="Times New Roman" w:cs="Times New Roman"/>
          <w:sz w:val="24"/>
          <w:szCs w:val="24"/>
        </w:rPr>
      </w:pPr>
      <w:r w:rsidRPr="008E1594">
        <w:rPr>
          <w:rFonts w:ascii="Times New Roman" w:hAnsi="Times New Roman" w:cs="Times New Roman"/>
          <w:color w:val="333333"/>
          <w:sz w:val="24"/>
          <w:szCs w:val="24"/>
          <w:shd w:val="clear" w:color="auto" w:fill="FFFFFF"/>
        </w:rPr>
        <w:t>The Corresponding Author has the right to grant on behalf of all authors and does grant on behalf of all authors, an exclusive licence (or non exclusive for government employees) on a worldwide basis to the BMJ Publishing Group Ltd ("BMJ"), and its Licensees to permit this article (if accepted) to be published in</w:t>
      </w:r>
      <w:r w:rsidRPr="008E1594">
        <w:rPr>
          <w:rStyle w:val="apple-converted-space"/>
          <w:rFonts w:ascii="Times New Roman" w:hAnsi="Times New Roman" w:cs="Times New Roman"/>
          <w:color w:val="333333"/>
          <w:sz w:val="24"/>
          <w:szCs w:val="24"/>
          <w:shd w:val="clear" w:color="auto" w:fill="FFFFFF"/>
        </w:rPr>
        <w:t> </w:t>
      </w:r>
      <w:r w:rsidRPr="008E1594">
        <w:rPr>
          <w:rStyle w:val="Emphasis"/>
          <w:rFonts w:ascii="Times New Roman" w:hAnsi="Times New Roman" w:cs="Times New Roman"/>
          <w:color w:val="333333"/>
          <w:sz w:val="24"/>
          <w:szCs w:val="24"/>
          <w:bdr w:val="none" w:sz="0" w:space="0" w:color="auto" w:frame="1"/>
          <w:shd w:val="clear" w:color="auto" w:fill="FFFFFF"/>
        </w:rPr>
        <w:t>The BMJ</w:t>
      </w:r>
      <w:r w:rsidRPr="008E1594">
        <w:rPr>
          <w:rFonts w:ascii="Times New Roman" w:hAnsi="Times New Roman" w:cs="Times New Roman"/>
          <w:color w:val="333333"/>
          <w:sz w:val="24"/>
          <w:szCs w:val="24"/>
          <w:shd w:val="clear" w:color="auto" w:fill="FFFFFF"/>
        </w:rPr>
        <w:t>'s editions and any other BMJ products and to exploit all subsidiary rights, as set out in</w:t>
      </w:r>
      <w:r w:rsidRPr="008E1594">
        <w:rPr>
          <w:rStyle w:val="apple-converted-space"/>
          <w:rFonts w:ascii="Times New Roman" w:hAnsi="Times New Roman" w:cs="Times New Roman"/>
          <w:color w:val="333333"/>
          <w:sz w:val="24"/>
          <w:szCs w:val="24"/>
          <w:shd w:val="clear" w:color="auto" w:fill="FFFFFF"/>
        </w:rPr>
        <w:t> </w:t>
      </w:r>
      <w:hyperlink r:id="rId10" w:history="1">
        <w:r w:rsidRPr="008E1594">
          <w:rPr>
            <w:rStyle w:val="Hyperlink"/>
            <w:rFonts w:ascii="Times New Roman" w:hAnsi="Times New Roman" w:cs="Times New Roman"/>
            <w:color w:val="2A6EBB"/>
            <w:sz w:val="24"/>
            <w:szCs w:val="24"/>
            <w:u w:val="none"/>
            <w:bdr w:val="none" w:sz="0" w:space="0" w:color="auto" w:frame="1"/>
            <w:shd w:val="clear" w:color="auto" w:fill="FFFFFF"/>
          </w:rPr>
          <w:t>our licence</w:t>
        </w:r>
      </w:hyperlink>
      <w:r w:rsidRPr="008E1594">
        <w:rPr>
          <w:rFonts w:ascii="Times New Roman" w:hAnsi="Times New Roman" w:cs="Times New Roman"/>
          <w:color w:val="333333"/>
          <w:sz w:val="24"/>
          <w:szCs w:val="24"/>
          <w:shd w:val="clear" w:color="auto" w:fill="FFFFFF"/>
        </w:rPr>
        <w:t>.</w:t>
      </w:r>
    </w:p>
    <w:p w14:paraId="24762C38" w14:textId="77777777" w:rsidR="00652147" w:rsidRDefault="00652147" w:rsidP="00FE6F68">
      <w:pPr>
        <w:tabs>
          <w:tab w:val="left" w:pos="360"/>
          <w:tab w:val="left" w:pos="720"/>
          <w:tab w:val="left" w:pos="1080"/>
        </w:tabs>
        <w:spacing w:after="0" w:line="240" w:lineRule="auto"/>
        <w:rPr>
          <w:rFonts w:ascii="Times New Roman" w:hAnsi="Times New Roman" w:cs="Times New Roman"/>
          <w:sz w:val="24"/>
          <w:szCs w:val="24"/>
        </w:rPr>
      </w:pPr>
    </w:p>
    <w:p w14:paraId="1B916219" w14:textId="77777777" w:rsidR="002B0068" w:rsidRDefault="002B0068" w:rsidP="00FE6F68">
      <w:pPr>
        <w:tabs>
          <w:tab w:val="left" w:pos="360"/>
          <w:tab w:val="left" w:pos="720"/>
          <w:tab w:val="left" w:pos="1080"/>
        </w:tabs>
        <w:spacing w:after="0" w:line="240" w:lineRule="auto"/>
        <w:rPr>
          <w:rFonts w:ascii="Times New Roman" w:hAnsi="Times New Roman" w:cs="Times New Roman"/>
          <w:sz w:val="24"/>
          <w:szCs w:val="24"/>
        </w:rPr>
      </w:pPr>
    </w:p>
    <w:p w14:paraId="609F4E14" w14:textId="3B1F0577" w:rsidR="002B0068" w:rsidRPr="00A204B0" w:rsidRDefault="002B0068" w:rsidP="002B0068">
      <w:pPr>
        <w:spacing w:after="0" w:line="240" w:lineRule="auto"/>
        <w:rPr>
          <w:rFonts w:ascii="Times New Roman" w:hAnsi="Times New Roman" w:cs="Times New Roman"/>
          <w:b/>
          <w:color w:val="000000"/>
          <w:sz w:val="24"/>
          <w:szCs w:val="24"/>
        </w:rPr>
      </w:pPr>
      <w:r w:rsidRPr="00A204B0">
        <w:rPr>
          <w:rFonts w:ascii="Times New Roman" w:hAnsi="Times New Roman" w:cs="Times New Roman"/>
          <w:b/>
          <w:color w:val="000000"/>
          <w:sz w:val="24"/>
          <w:szCs w:val="24"/>
        </w:rPr>
        <w:t xml:space="preserve">Author </w:t>
      </w:r>
      <w:r>
        <w:rPr>
          <w:rFonts w:ascii="Times New Roman" w:hAnsi="Times New Roman" w:cs="Times New Roman"/>
          <w:b/>
          <w:color w:val="000000"/>
          <w:sz w:val="24"/>
          <w:szCs w:val="24"/>
        </w:rPr>
        <w:t>Experiences</w:t>
      </w:r>
    </w:p>
    <w:p w14:paraId="07479803" w14:textId="452932DA" w:rsidR="002B0068" w:rsidRDefault="002B0068" w:rsidP="00FE6F6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This article has been jointly written by two experts in data science and analysis (TvS and LS), one expert in public engagement (BG) and one expert in Health Informatics (IB)</w:t>
      </w:r>
    </w:p>
    <w:p w14:paraId="302187CA" w14:textId="77777777" w:rsidR="002B0068" w:rsidRDefault="002B0068" w:rsidP="00FE6F68">
      <w:pPr>
        <w:tabs>
          <w:tab w:val="left" w:pos="360"/>
          <w:tab w:val="left" w:pos="720"/>
          <w:tab w:val="left" w:pos="1080"/>
        </w:tabs>
        <w:spacing w:after="0" w:line="240" w:lineRule="auto"/>
        <w:rPr>
          <w:rFonts w:ascii="Times New Roman" w:hAnsi="Times New Roman" w:cs="Times New Roman"/>
          <w:sz w:val="24"/>
          <w:szCs w:val="24"/>
        </w:rPr>
      </w:pPr>
    </w:p>
    <w:p w14:paraId="336D2296" w14:textId="77777777" w:rsidR="002B0068" w:rsidRPr="00A204B0" w:rsidRDefault="002B0068" w:rsidP="00FE6F68">
      <w:pPr>
        <w:tabs>
          <w:tab w:val="left" w:pos="360"/>
          <w:tab w:val="left" w:pos="720"/>
          <w:tab w:val="left" w:pos="1080"/>
        </w:tabs>
        <w:spacing w:after="0" w:line="240" w:lineRule="auto"/>
        <w:rPr>
          <w:rFonts w:ascii="Times New Roman" w:hAnsi="Times New Roman" w:cs="Times New Roman"/>
          <w:sz w:val="24"/>
          <w:szCs w:val="24"/>
        </w:rPr>
      </w:pPr>
    </w:p>
    <w:p w14:paraId="36838142" w14:textId="77777777" w:rsidR="00CD567C" w:rsidRDefault="00CD567C" w:rsidP="00313236">
      <w:pPr>
        <w:tabs>
          <w:tab w:val="left" w:pos="360"/>
          <w:tab w:val="left" w:pos="720"/>
          <w:tab w:val="left" w:pos="1080"/>
        </w:tabs>
        <w:spacing w:after="0" w:line="240" w:lineRule="auto"/>
        <w:rPr>
          <w:rFonts w:ascii="Times New Roman" w:hAnsi="Times New Roman" w:cs="Times New Roman"/>
          <w:b/>
          <w:sz w:val="24"/>
          <w:szCs w:val="24"/>
        </w:rPr>
      </w:pPr>
      <w:r w:rsidRPr="00A204B0">
        <w:rPr>
          <w:rFonts w:ascii="Times New Roman" w:hAnsi="Times New Roman" w:cs="Times New Roman"/>
          <w:b/>
          <w:sz w:val="24"/>
          <w:szCs w:val="24"/>
        </w:rPr>
        <w:t>References</w:t>
      </w:r>
    </w:p>
    <w:p w14:paraId="781BDCD9" w14:textId="67533099" w:rsidR="00404D27" w:rsidRPr="00404D27" w:rsidRDefault="00483C37">
      <w:pPr>
        <w:widowControl w:val="0"/>
        <w:autoSpaceDE w:val="0"/>
        <w:autoSpaceDN w:val="0"/>
        <w:adjustRightInd w:val="0"/>
        <w:spacing w:after="140" w:line="288" w:lineRule="auto"/>
        <w:rPr>
          <w:rFonts w:ascii="Times New Roman" w:hAnsi="Times New Roman" w:cs="Times New Roman"/>
          <w:noProof/>
          <w:sz w:val="24"/>
          <w:szCs w:val="24"/>
        </w:rPr>
      </w:pPr>
      <w:r>
        <w:rPr>
          <w:rFonts w:eastAsia="Times New Roman"/>
          <w:lang w:eastAsia="en-GB"/>
        </w:rPr>
        <w:fldChar w:fldCharType="begin" w:fldLock="1"/>
      </w:r>
      <w:r>
        <w:instrText xml:space="preserve">ADDIN Mendeley Bibliography CSL_BIBLIOGRAPHY </w:instrText>
      </w:r>
      <w:r>
        <w:rPr>
          <w:rFonts w:eastAsia="Times New Roman"/>
          <w:lang w:eastAsia="en-GB"/>
        </w:rPr>
        <w:fldChar w:fldCharType="separate"/>
      </w:r>
    </w:p>
    <w:p w14:paraId="5FF46CB0"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 </w:t>
      </w:r>
      <w:r w:rsidRPr="00404D27">
        <w:rPr>
          <w:rFonts w:ascii="Times New Roman" w:hAnsi="Times New Roman" w:cs="Times New Roman"/>
          <w:noProof/>
          <w:sz w:val="24"/>
          <w:szCs w:val="24"/>
        </w:rPr>
        <w:tab/>
        <w:t>NHS England. NHS England » The care.data programme – collecting information for the health of the nation. https://www.england.nhs.uk/ourwork/tsd/care-data/</w:t>
      </w:r>
    </w:p>
    <w:p w14:paraId="3EFA7F85"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AFAD427"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 </w:t>
      </w:r>
      <w:r w:rsidRPr="00404D27">
        <w:rPr>
          <w:rFonts w:ascii="Times New Roman" w:hAnsi="Times New Roman" w:cs="Times New Roman"/>
          <w:noProof/>
          <w:sz w:val="24"/>
          <w:szCs w:val="24"/>
        </w:rPr>
        <w:tab/>
        <w:t xml:space="preserve">Carter P, Laurie GT, Dixon-Woods M. The social licence for research: why care.data ran into trouble. </w:t>
      </w:r>
      <w:r w:rsidRPr="00404D27">
        <w:rPr>
          <w:rFonts w:ascii="Times New Roman" w:hAnsi="Times New Roman" w:cs="Times New Roman"/>
          <w:i/>
          <w:iCs/>
          <w:noProof/>
          <w:sz w:val="24"/>
          <w:szCs w:val="24"/>
        </w:rPr>
        <w:t>J Med Ethics</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41</w:t>
      </w:r>
      <w:r w:rsidRPr="00404D27">
        <w:rPr>
          <w:rFonts w:ascii="Times New Roman" w:hAnsi="Times New Roman" w:cs="Times New Roman"/>
          <w:noProof/>
          <w:sz w:val="24"/>
          <w:szCs w:val="24"/>
        </w:rPr>
        <w:t>:404–9. doi:10.1136/medethics-2014-102374</w:t>
      </w:r>
    </w:p>
    <w:p w14:paraId="73A9B6E7"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50DABAD9"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3 </w:t>
      </w:r>
      <w:r w:rsidRPr="00404D27">
        <w:rPr>
          <w:rFonts w:ascii="Times New Roman" w:hAnsi="Times New Roman" w:cs="Times New Roman"/>
          <w:noProof/>
          <w:sz w:val="24"/>
          <w:szCs w:val="24"/>
        </w:rPr>
        <w:tab/>
        <w:t xml:space="preserve">Hays R, Daker-White G. The care.data consensus? A qualitative analysis of opinions expressed on Twitter. </w:t>
      </w:r>
      <w:r w:rsidRPr="00404D27">
        <w:rPr>
          <w:rFonts w:ascii="Times New Roman" w:hAnsi="Times New Roman" w:cs="Times New Roman"/>
          <w:i/>
          <w:iCs/>
          <w:noProof/>
          <w:sz w:val="24"/>
          <w:szCs w:val="24"/>
        </w:rPr>
        <w:t>BMC Public Health</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15</w:t>
      </w:r>
      <w:r w:rsidRPr="00404D27">
        <w:rPr>
          <w:rFonts w:ascii="Times New Roman" w:hAnsi="Times New Roman" w:cs="Times New Roman"/>
          <w:noProof/>
          <w:sz w:val="24"/>
          <w:szCs w:val="24"/>
        </w:rPr>
        <w:t>:838. doi:10.1186/s12889-015-2180-9</w:t>
      </w:r>
    </w:p>
    <w:p w14:paraId="723EE547"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71EEDBD0"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4 </w:t>
      </w:r>
      <w:r w:rsidRPr="00404D27">
        <w:rPr>
          <w:rFonts w:ascii="Times New Roman" w:hAnsi="Times New Roman" w:cs="Times New Roman"/>
          <w:noProof/>
          <w:sz w:val="24"/>
          <w:szCs w:val="24"/>
        </w:rPr>
        <w:tab/>
        <w:t>Goldacre B. Care.data is in chaos. It breaks my heart. Guard. 2014.</w:t>
      </w:r>
    </w:p>
    <w:p w14:paraId="7373A0B0"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35E86FF5"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5 </w:t>
      </w:r>
      <w:r w:rsidRPr="00404D27">
        <w:rPr>
          <w:rFonts w:ascii="Times New Roman" w:hAnsi="Times New Roman" w:cs="Times New Roman"/>
          <w:noProof/>
          <w:sz w:val="24"/>
          <w:szCs w:val="24"/>
        </w:rPr>
        <w:tab/>
        <w:t>Goldacre B. The NHS plan to share our medical data can save lives – but must be done right. Guard. 2014.</w:t>
      </w:r>
    </w:p>
    <w:p w14:paraId="311BD2C3"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37144A1"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6 </w:t>
      </w:r>
      <w:r w:rsidRPr="00404D27">
        <w:rPr>
          <w:rFonts w:ascii="Times New Roman" w:hAnsi="Times New Roman" w:cs="Times New Roman"/>
          <w:noProof/>
          <w:sz w:val="24"/>
          <w:szCs w:val="24"/>
        </w:rPr>
        <w:tab/>
        <w:t>General Medical Council. Review of public and professional attitudes towards confidentiality of healthcare data. http://www.gmc-uk.org/Review_of_Public_and_Professional_attitudes_towards_confidentiality_of_Healthcare_data.pdf_62449249.pdf (accessed 18 Feb2016).</w:t>
      </w:r>
    </w:p>
    <w:p w14:paraId="7B629A65"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0CA0097"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lastRenderedPageBreak/>
        <w:t xml:space="preserve">7 </w:t>
      </w:r>
      <w:r w:rsidRPr="00404D27">
        <w:rPr>
          <w:rFonts w:ascii="Times New Roman" w:hAnsi="Times New Roman" w:cs="Times New Roman"/>
          <w:noProof/>
          <w:sz w:val="24"/>
          <w:szCs w:val="24"/>
        </w:rPr>
        <w:tab/>
        <w:t xml:space="preserve">Hill EM, Turner EL, Martin RM,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‘Let</w:t>
      </w:r>
      <w:bookmarkStart w:id="0" w:name="_GoBack"/>
      <w:bookmarkEnd w:id="0"/>
      <w:r w:rsidRPr="00404D27">
        <w:rPr>
          <w:rFonts w:ascii="Times New Roman" w:hAnsi="Times New Roman" w:cs="Times New Roman"/>
          <w:noProof/>
          <w:sz w:val="24"/>
          <w:szCs w:val="24"/>
        </w:rPr>
        <w:t xml:space="preserve">’s get the best quality research we can’: public awareness and acceptance of consent to use existing data in health research: a systematic review and qualitative study. </w:t>
      </w:r>
      <w:r w:rsidRPr="00404D27">
        <w:rPr>
          <w:rFonts w:ascii="Times New Roman" w:hAnsi="Times New Roman" w:cs="Times New Roman"/>
          <w:i/>
          <w:iCs/>
          <w:noProof/>
          <w:sz w:val="24"/>
          <w:szCs w:val="24"/>
        </w:rPr>
        <w:t>BMC Med Res Methodol</w:t>
      </w:r>
      <w:r w:rsidRPr="00404D27">
        <w:rPr>
          <w:rFonts w:ascii="Times New Roman" w:hAnsi="Times New Roman" w:cs="Times New Roman"/>
          <w:noProof/>
          <w:sz w:val="24"/>
          <w:szCs w:val="24"/>
        </w:rPr>
        <w:t xml:space="preserve"> 2013;</w:t>
      </w:r>
      <w:r w:rsidRPr="00404D27">
        <w:rPr>
          <w:rFonts w:ascii="Times New Roman" w:hAnsi="Times New Roman" w:cs="Times New Roman"/>
          <w:b/>
          <w:bCs/>
          <w:noProof/>
          <w:sz w:val="24"/>
          <w:szCs w:val="24"/>
        </w:rPr>
        <w:t>13</w:t>
      </w:r>
      <w:r w:rsidRPr="00404D27">
        <w:rPr>
          <w:rFonts w:ascii="Times New Roman" w:hAnsi="Times New Roman" w:cs="Times New Roman"/>
          <w:noProof/>
          <w:sz w:val="24"/>
          <w:szCs w:val="24"/>
        </w:rPr>
        <w:t>:72. doi:10.1186/1471-2288-13-72</w:t>
      </w:r>
    </w:p>
    <w:p w14:paraId="308569E9"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093CED4F"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8 </w:t>
      </w:r>
      <w:r w:rsidRPr="00404D27">
        <w:rPr>
          <w:rFonts w:ascii="Times New Roman" w:hAnsi="Times New Roman" w:cs="Times New Roman"/>
          <w:noProof/>
          <w:sz w:val="24"/>
          <w:szCs w:val="24"/>
        </w:rPr>
        <w:tab/>
        <w:t>Review of data releases by the NHS Information Centre. https://www.gov.uk/government/uploads/system/uploads/attachment_data/file/367788/Sir_Nick_Partridge_s_summary_of_the_review.pdf (accessed 18 Feb2016).</w:t>
      </w:r>
    </w:p>
    <w:p w14:paraId="0168A521"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69383A9"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9 </w:t>
      </w:r>
      <w:r w:rsidRPr="00404D27">
        <w:rPr>
          <w:rFonts w:ascii="Times New Roman" w:hAnsi="Times New Roman" w:cs="Times New Roman"/>
          <w:noProof/>
          <w:sz w:val="24"/>
          <w:szCs w:val="24"/>
        </w:rPr>
        <w:tab/>
        <w:t xml:space="preserve">Thompson S, Kaptoge S, White I,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Statistical methods for the time-to-event analysis of individual participant data from multiple epidemiological studies. </w:t>
      </w:r>
      <w:r w:rsidRPr="00404D27">
        <w:rPr>
          <w:rFonts w:ascii="Times New Roman" w:hAnsi="Times New Roman" w:cs="Times New Roman"/>
          <w:i/>
          <w:iCs/>
          <w:noProof/>
          <w:sz w:val="24"/>
          <w:szCs w:val="24"/>
        </w:rPr>
        <w:t>Int J Epidemiol</w:t>
      </w:r>
      <w:r w:rsidRPr="00404D27">
        <w:rPr>
          <w:rFonts w:ascii="Times New Roman" w:hAnsi="Times New Roman" w:cs="Times New Roman"/>
          <w:noProof/>
          <w:sz w:val="24"/>
          <w:szCs w:val="24"/>
        </w:rPr>
        <w:t xml:space="preserve"> 2010;</w:t>
      </w:r>
      <w:r w:rsidRPr="00404D27">
        <w:rPr>
          <w:rFonts w:ascii="Times New Roman" w:hAnsi="Times New Roman" w:cs="Times New Roman"/>
          <w:b/>
          <w:bCs/>
          <w:noProof/>
          <w:sz w:val="24"/>
          <w:szCs w:val="24"/>
        </w:rPr>
        <w:t>39</w:t>
      </w:r>
      <w:r w:rsidRPr="00404D27">
        <w:rPr>
          <w:rFonts w:ascii="Times New Roman" w:hAnsi="Times New Roman" w:cs="Times New Roman"/>
          <w:noProof/>
          <w:sz w:val="24"/>
          <w:szCs w:val="24"/>
        </w:rPr>
        <w:t>:1345–59. doi:10.1093/ije/dyq063</w:t>
      </w:r>
    </w:p>
    <w:p w14:paraId="042EA55E"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0C8AC442"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10 </w:t>
      </w:r>
      <w:r w:rsidRPr="00404D27">
        <w:rPr>
          <w:rFonts w:ascii="Times New Roman" w:hAnsi="Times New Roman" w:cs="Times New Roman"/>
          <w:noProof/>
          <w:sz w:val="24"/>
          <w:szCs w:val="24"/>
        </w:rPr>
        <w:tab/>
        <w:t xml:space="preserve">Ioannidis JPA. Why most published research findings are false. </w:t>
      </w:r>
      <w:r w:rsidRPr="00404D27">
        <w:rPr>
          <w:rFonts w:ascii="Times New Roman" w:hAnsi="Times New Roman" w:cs="Times New Roman"/>
          <w:i/>
          <w:iCs/>
          <w:noProof/>
          <w:sz w:val="24"/>
          <w:szCs w:val="24"/>
        </w:rPr>
        <w:t>PLoS Med</w:t>
      </w:r>
      <w:r w:rsidRPr="00404D27">
        <w:rPr>
          <w:rFonts w:ascii="Times New Roman" w:hAnsi="Times New Roman" w:cs="Times New Roman"/>
          <w:noProof/>
          <w:sz w:val="24"/>
          <w:szCs w:val="24"/>
        </w:rPr>
        <w:t xml:space="preserve"> 2005;</w:t>
      </w:r>
      <w:r w:rsidRPr="00404D27">
        <w:rPr>
          <w:rFonts w:ascii="Times New Roman" w:hAnsi="Times New Roman" w:cs="Times New Roman"/>
          <w:b/>
          <w:bCs/>
          <w:noProof/>
          <w:sz w:val="24"/>
          <w:szCs w:val="24"/>
        </w:rPr>
        <w:t>4</w:t>
      </w:r>
      <w:r w:rsidRPr="00404D27">
        <w:rPr>
          <w:rFonts w:ascii="Times New Roman" w:hAnsi="Times New Roman" w:cs="Times New Roman"/>
          <w:noProof/>
          <w:sz w:val="24"/>
          <w:szCs w:val="24"/>
        </w:rPr>
        <w:t>:e124. doi:10.1371/journal.pmed.0020124</w:t>
      </w:r>
    </w:p>
    <w:p w14:paraId="4297BD2E"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52415B73"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11 </w:t>
      </w:r>
      <w:r w:rsidRPr="00404D27">
        <w:rPr>
          <w:rFonts w:ascii="Times New Roman" w:hAnsi="Times New Roman" w:cs="Times New Roman"/>
          <w:noProof/>
          <w:sz w:val="24"/>
          <w:szCs w:val="24"/>
        </w:rPr>
        <w:tab/>
        <w:t xml:space="preserve">Currie CJ, Poole CD, Gale E a M. The influence of glucose-lowering therapies on cancer risk in type 2 diabetes. </w:t>
      </w:r>
      <w:r w:rsidRPr="00404D27">
        <w:rPr>
          <w:rFonts w:ascii="Times New Roman" w:hAnsi="Times New Roman" w:cs="Times New Roman"/>
          <w:i/>
          <w:iCs/>
          <w:noProof/>
          <w:sz w:val="24"/>
          <w:szCs w:val="24"/>
        </w:rPr>
        <w:t>Diabetologia</w:t>
      </w:r>
      <w:r w:rsidRPr="00404D27">
        <w:rPr>
          <w:rFonts w:ascii="Times New Roman" w:hAnsi="Times New Roman" w:cs="Times New Roman"/>
          <w:noProof/>
          <w:sz w:val="24"/>
          <w:szCs w:val="24"/>
        </w:rPr>
        <w:t xml:space="preserve"> 2009;</w:t>
      </w:r>
      <w:r w:rsidRPr="00404D27">
        <w:rPr>
          <w:rFonts w:ascii="Times New Roman" w:hAnsi="Times New Roman" w:cs="Times New Roman"/>
          <w:b/>
          <w:bCs/>
          <w:noProof/>
          <w:sz w:val="24"/>
          <w:szCs w:val="24"/>
        </w:rPr>
        <w:t>52</w:t>
      </w:r>
      <w:r w:rsidRPr="00404D27">
        <w:rPr>
          <w:rFonts w:ascii="Times New Roman" w:hAnsi="Times New Roman" w:cs="Times New Roman"/>
          <w:noProof/>
          <w:sz w:val="24"/>
          <w:szCs w:val="24"/>
        </w:rPr>
        <w:t>:1766–77. doi:10.1007/s00125-009-1440-6</w:t>
      </w:r>
    </w:p>
    <w:p w14:paraId="305E22BF"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667B64E"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12 </w:t>
      </w:r>
      <w:r w:rsidRPr="00404D27">
        <w:rPr>
          <w:rFonts w:ascii="Times New Roman" w:hAnsi="Times New Roman" w:cs="Times New Roman"/>
          <w:noProof/>
          <w:sz w:val="24"/>
          <w:szCs w:val="24"/>
        </w:rPr>
        <w:tab/>
        <w:t xml:space="preserve">van Staa TP, Patel D, Gallagher AM,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Glucose-lowering agents and the patterns of risk for cancer: a study with the General Practice Research Database and secondary care data. </w:t>
      </w:r>
      <w:r w:rsidRPr="00404D27">
        <w:rPr>
          <w:rFonts w:ascii="Times New Roman" w:hAnsi="Times New Roman" w:cs="Times New Roman"/>
          <w:i/>
          <w:iCs/>
          <w:noProof/>
          <w:sz w:val="24"/>
          <w:szCs w:val="24"/>
        </w:rPr>
        <w:t>Diabetologia</w:t>
      </w:r>
      <w:r w:rsidRPr="00404D27">
        <w:rPr>
          <w:rFonts w:ascii="Times New Roman" w:hAnsi="Times New Roman" w:cs="Times New Roman"/>
          <w:noProof/>
          <w:sz w:val="24"/>
          <w:szCs w:val="24"/>
        </w:rPr>
        <w:t xml:space="preserve"> 2012;</w:t>
      </w:r>
      <w:r w:rsidRPr="00404D27">
        <w:rPr>
          <w:rFonts w:ascii="Times New Roman" w:hAnsi="Times New Roman" w:cs="Times New Roman"/>
          <w:b/>
          <w:bCs/>
          <w:noProof/>
          <w:sz w:val="24"/>
          <w:szCs w:val="24"/>
        </w:rPr>
        <w:t>55</w:t>
      </w:r>
      <w:r w:rsidRPr="00404D27">
        <w:rPr>
          <w:rFonts w:ascii="Times New Roman" w:hAnsi="Times New Roman" w:cs="Times New Roman"/>
          <w:noProof/>
          <w:sz w:val="24"/>
          <w:szCs w:val="24"/>
        </w:rPr>
        <w:t>:654–65. doi:10.1007/s00125-011-2390-3</w:t>
      </w:r>
    </w:p>
    <w:p w14:paraId="73C99BA9"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8658D9F"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13 </w:t>
      </w:r>
      <w:r w:rsidRPr="00404D27">
        <w:rPr>
          <w:rFonts w:ascii="Times New Roman" w:hAnsi="Times New Roman" w:cs="Times New Roman"/>
          <w:noProof/>
          <w:sz w:val="24"/>
          <w:szCs w:val="24"/>
        </w:rPr>
        <w:tab/>
        <w:t xml:space="preserve">Jones KH, Ford D V, Jones C,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A case study of the Secure Anonymous Information Linkage (SAIL) Gateway: a privacy-protecting remote access system for health-related research and evaluation. </w:t>
      </w:r>
      <w:r w:rsidRPr="00404D27">
        <w:rPr>
          <w:rFonts w:ascii="Times New Roman" w:hAnsi="Times New Roman" w:cs="Times New Roman"/>
          <w:i/>
          <w:iCs/>
          <w:noProof/>
          <w:sz w:val="24"/>
          <w:szCs w:val="24"/>
        </w:rPr>
        <w:t>J Biomed Inform</w:t>
      </w:r>
      <w:r w:rsidRPr="00404D27">
        <w:rPr>
          <w:rFonts w:ascii="Times New Roman" w:hAnsi="Times New Roman" w:cs="Times New Roman"/>
          <w:noProof/>
          <w:sz w:val="24"/>
          <w:szCs w:val="24"/>
        </w:rPr>
        <w:t xml:space="preserve"> 2014;</w:t>
      </w:r>
      <w:r w:rsidRPr="00404D27">
        <w:rPr>
          <w:rFonts w:ascii="Times New Roman" w:hAnsi="Times New Roman" w:cs="Times New Roman"/>
          <w:b/>
          <w:bCs/>
          <w:noProof/>
          <w:sz w:val="24"/>
          <w:szCs w:val="24"/>
        </w:rPr>
        <w:t>50</w:t>
      </w:r>
      <w:r w:rsidRPr="00404D27">
        <w:rPr>
          <w:rFonts w:ascii="Times New Roman" w:hAnsi="Times New Roman" w:cs="Times New Roman"/>
          <w:noProof/>
          <w:sz w:val="24"/>
          <w:szCs w:val="24"/>
        </w:rPr>
        <w:t>:196–204. doi:10.1016/j.jbi.2014.01.003</w:t>
      </w:r>
    </w:p>
    <w:p w14:paraId="0AF6BD8B"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36D23A7D"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14 </w:t>
      </w:r>
      <w:r w:rsidRPr="00404D27">
        <w:rPr>
          <w:rFonts w:ascii="Times New Roman" w:hAnsi="Times New Roman" w:cs="Times New Roman"/>
          <w:noProof/>
          <w:sz w:val="24"/>
          <w:szCs w:val="24"/>
        </w:rPr>
        <w:tab/>
        <w:t>Scottish Health Informatics Programme. http://www.scot-ship.ac.uk/sites/default/files/Reports/SHIP_BLUEPRINT_DOCUMENT_final_100712.pdf (accessed 18 Feb2016).</w:t>
      </w:r>
    </w:p>
    <w:p w14:paraId="3A1AA1B5"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ABA5D7E"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15 </w:t>
      </w:r>
      <w:r w:rsidRPr="00404D27">
        <w:rPr>
          <w:rFonts w:ascii="Times New Roman" w:hAnsi="Times New Roman" w:cs="Times New Roman"/>
          <w:noProof/>
          <w:sz w:val="24"/>
          <w:szCs w:val="24"/>
        </w:rPr>
        <w:tab/>
        <w:t xml:space="preserve">Suissa S, Henry D, Caetano P,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CNODES: the Canadian Network for Observational Drug Effect Studies. </w:t>
      </w:r>
      <w:r w:rsidRPr="00404D27">
        <w:rPr>
          <w:rFonts w:ascii="Times New Roman" w:hAnsi="Times New Roman" w:cs="Times New Roman"/>
          <w:i/>
          <w:iCs/>
          <w:noProof/>
          <w:sz w:val="24"/>
          <w:szCs w:val="24"/>
        </w:rPr>
        <w:t>Open Med</w:t>
      </w:r>
      <w:r w:rsidRPr="00404D27">
        <w:rPr>
          <w:rFonts w:ascii="Times New Roman" w:hAnsi="Times New Roman" w:cs="Times New Roman"/>
          <w:noProof/>
          <w:sz w:val="24"/>
          <w:szCs w:val="24"/>
        </w:rPr>
        <w:t xml:space="preserve"> 2012;</w:t>
      </w:r>
      <w:r w:rsidRPr="00404D27">
        <w:rPr>
          <w:rFonts w:ascii="Times New Roman" w:hAnsi="Times New Roman" w:cs="Times New Roman"/>
          <w:b/>
          <w:bCs/>
          <w:noProof/>
          <w:sz w:val="24"/>
          <w:szCs w:val="24"/>
        </w:rPr>
        <w:t>6</w:t>
      </w:r>
      <w:r w:rsidRPr="00404D27">
        <w:rPr>
          <w:rFonts w:ascii="Times New Roman" w:hAnsi="Times New Roman" w:cs="Times New Roman"/>
          <w:noProof/>
          <w:sz w:val="24"/>
          <w:szCs w:val="24"/>
        </w:rPr>
        <w:t>:e134–40.http://www.pubmedcentral.nih.gov/articlerender.fcgi?artid=3654509&amp;tool=pmcentrez&amp;rendertype=abstract (accessed 18 Feb2016).</w:t>
      </w:r>
    </w:p>
    <w:p w14:paraId="4AA18237"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310D50D9"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16 </w:t>
      </w:r>
      <w:r w:rsidRPr="00404D27">
        <w:rPr>
          <w:rFonts w:ascii="Times New Roman" w:hAnsi="Times New Roman" w:cs="Times New Roman"/>
          <w:noProof/>
          <w:sz w:val="24"/>
          <w:szCs w:val="24"/>
        </w:rPr>
        <w:tab/>
        <w:t xml:space="preserve">Platt R, Carnahan RM, Brown JS,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The U.S. Food and Drug Administration’s Mini-Sentinel program: status and direction. </w:t>
      </w:r>
      <w:r w:rsidRPr="00404D27">
        <w:rPr>
          <w:rFonts w:ascii="Times New Roman" w:hAnsi="Times New Roman" w:cs="Times New Roman"/>
          <w:i/>
          <w:iCs/>
          <w:noProof/>
          <w:sz w:val="24"/>
          <w:szCs w:val="24"/>
        </w:rPr>
        <w:t>Pharmacoepidemiol Drug Saf</w:t>
      </w:r>
      <w:r w:rsidRPr="00404D27">
        <w:rPr>
          <w:rFonts w:ascii="Times New Roman" w:hAnsi="Times New Roman" w:cs="Times New Roman"/>
          <w:noProof/>
          <w:sz w:val="24"/>
          <w:szCs w:val="24"/>
        </w:rPr>
        <w:t xml:space="preserve"> 2012;</w:t>
      </w:r>
      <w:r w:rsidRPr="00404D27">
        <w:rPr>
          <w:rFonts w:ascii="Times New Roman" w:hAnsi="Times New Roman" w:cs="Times New Roman"/>
          <w:b/>
          <w:bCs/>
          <w:noProof/>
          <w:sz w:val="24"/>
          <w:szCs w:val="24"/>
        </w:rPr>
        <w:t>21 Suppl 1</w:t>
      </w:r>
      <w:r w:rsidRPr="00404D27">
        <w:rPr>
          <w:rFonts w:ascii="Times New Roman" w:hAnsi="Times New Roman" w:cs="Times New Roman"/>
          <w:noProof/>
          <w:sz w:val="24"/>
          <w:szCs w:val="24"/>
        </w:rPr>
        <w:t>:1–8. doi:10.1002/pds.2343</w:t>
      </w:r>
    </w:p>
    <w:p w14:paraId="66E358A4"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3ACC742E"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17 </w:t>
      </w:r>
      <w:r w:rsidRPr="00404D27">
        <w:rPr>
          <w:rFonts w:ascii="Times New Roman" w:hAnsi="Times New Roman" w:cs="Times New Roman"/>
          <w:noProof/>
          <w:sz w:val="24"/>
          <w:szCs w:val="24"/>
        </w:rPr>
        <w:tab/>
        <w:t xml:space="preserve">Furu K, Wettermark B, Andersen M,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The Nordic countries as a cohort for </w:t>
      </w:r>
      <w:r w:rsidRPr="00404D27">
        <w:rPr>
          <w:rFonts w:ascii="Times New Roman" w:hAnsi="Times New Roman" w:cs="Times New Roman"/>
          <w:noProof/>
          <w:sz w:val="24"/>
          <w:szCs w:val="24"/>
        </w:rPr>
        <w:lastRenderedPageBreak/>
        <w:t xml:space="preserve">pharmacoepidemiological research. </w:t>
      </w:r>
      <w:r w:rsidRPr="00404D27">
        <w:rPr>
          <w:rFonts w:ascii="Times New Roman" w:hAnsi="Times New Roman" w:cs="Times New Roman"/>
          <w:i/>
          <w:iCs/>
          <w:noProof/>
          <w:sz w:val="24"/>
          <w:szCs w:val="24"/>
        </w:rPr>
        <w:t>Basic Clin Pharmacol Toxicol</w:t>
      </w:r>
      <w:r w:rsidRPr="00404D27">
        <w:rPr>
          <w:rFonts w:ascii="Times New Roman" w:hAnsi="Times New Roman" w:cs="Times New Roman"/>
          <w:noProof/>
          <w:sz w:val="24"/>
          <w:szCs w:val="24"/>
        </w:rPr>
        <w:t xml:space="preserve"> 2010;</w:t>
      </w:r>
      <w:r w:rsidRPr="00404D27">
        <w:rPr>
          <w:rFonts w:ascii="Times New Roman" w:hAnsi="Times New Roman" w:cs="Times New Roman"/>
          <w:b/>
          <w:bCs/>
          <w:noProof/>
          <w:sz w:val="24"/>
          <w:szCs w:val="24"/>
        </w:rPr>
        <w:t>106</w:t>
      </w:r>
      <w:r w:rsidRPr="00404D27">
        <w:rPr>
          <w:rFonts w:ascii="Times New Roman" w:hAnsi="Times New Roman" w:cs="Times New Roman"/>
          <w:noProof/>
          <w:sz w:val="24"/>
          <w:szCs w:val="24"/>
        </w:rPr>
        <w:t>:86–94. doi:10.1111/j.1742-7843.2009.00494.x</w:t>
      </w:r>
    </w:p>
    <w:p w14:paraId="5091D211"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0534A95A"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18 </w:t>
      </w:r>
      <w:r w:rsidRPr="00404D27">
        <w:rPr>
          <w:rFonts w:ascii="Times New Roman" w:hAnsi="Times New Roman" w:cs="Times New Roman"/>
          <w:noProof/>
          <w:sz w:val="24"/>
          <w:szCs w:val="24"/>
        </w:rPr>
        <w:tab/>
        <w:t>Academy of Medical Sciences. Data in Safe Havens | Academy of Medical Sciences. 2014.</w:t>
      </w:r>
    </w:p>
    <w:p w14:paraId="505186A2"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62A6E3BE"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19 </w:t>
      </w:r>
      <w:r w:rsidRPr="00404D27">
        <w:rPr>
          <w:rFonts w:ascii="Times New Roman" w:hAnsi="Times New Roman" w:cs="Times New Roman"/>
          <w:noProof/>
          <w:sz w:val="24"/>
          <w:szCs w:val="24"/>
        </w:rPr>
        <w:tab/>
        <w:t xml:space="preserve">Ainsworth J, Buchan I. Combining Health Data Uses to Ignite Health System Learning. </w:t>
      </w:r>
      <w:r w:rsidRPr="00404D27">
        <w:rPr>
          <w:rFonts w:ascii="Times New Roman" w:hAnsi="Times New Roman" w:cs="Times New Roman"/>
          <w:i/>
          <w:iCs/>
          <w:noProof/>
          <w:sz w:val="24"/>
          <w:szCs w:val="24"/>
        </w:rPr>
        <w:t>Methods Inf Med</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in press</w:t>
      </w:r>
      <w:r w:rsidRPr="00404D27">
        <w:rPr>
          <w:rFonts w:ascii="Times New Roman" w:hAnsi="Times New Roman" w:cs="Times New Roman"/>
          <w:noProof/>
          <w:sz w:val="24"/>
          <w:szCs w:val="24"/>
        </w:rPr>
        <w:t>.</w:t>
      </w:r>
    </w:p>
    <w:p w14:paraId="377BE9A2"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7BEBE20"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20 </w:t>
      </w:r>
      <w:r w:rsidRPr="00404D27">
        <w:rPr>
          <w:rFonts w:ascii="Times New Roman" w:hAnsi="Times New Roman" w:cs="Times New Roman"/>
          <w:noProof/>
          <w:sz w:val="24"/>
          <w:szCs w:val="24"/>
        </w:rPr>
        <w:tab/>
        <w:t xml:space="preserve">Boyd S. Distributed Optimization and Statistical Learning via the Alternating Direction Method of Multipliers. </w:t>
      </w:r>
      <w:r w:rsidRPr="00404D27">
        <w:rPr>
          <w:rFonts w:ascii="Times New Roman" w:hAnsi="Times New Roman" w:cs="Times New Roman"/>
          <w:i/>
          <w:iCs/>
          <w:noProof/>
          <w:sz w:val="24"/>
          <w:szCs w:val="24"/>
        </w:rPr>
        <w:t>Found Trends® Mach Learn</w:t>
      </w:r>
      <w:r w:rsidRPr="00404D27">
        <w:rPr>
          <w:rFonts w:ascii="Times New Roman" w:hAnsi="Times New Roman" w:cs="Times New Roman"/>
          <w:noProof/>
          <w:sz w:val="24"/>
          <w:szCs w:val="24"/>
        </w:rPr>
        <w:t xml:space="preserve"> 2010;</w:t>
      </w:r>
      <w:r w:rsidRPr="00404D27">
        <w:rPr>
          <w:rFonts w:ascii="Times New Roman" w:hAnsi="Times New Roman" w:cs="Times New Roman"/>
          <w:b/>
          <w:bCs/>
          <w:noProof/>
          <w:sz w:val="24"/>
          <w:szCs w:val="24"/>
        </w:rPr>
        <w:t>3</w:t>
      </w:r>
      <w:r w:rsidRPr="00404D27">
        <w:rPr>
          <w:rFonts w:ascii="Times New Roman" w:hAnsi="Times New Roman" w:cs="Times New Roman"/>
          <w:noProof/>
          <w:sz w:val="24"/>
          <w:szCs w:val="24"/>
        </w:rPr>
        <w:t>:1–122. doi:10.1561/2200000016</w:t>
      </w:r>
    </w:p>
    <w:p w14:paraId="5B909608"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54D8AAE3"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21 </w:t>
      </w:r>
      <w:r w:rsidRPr="00404D27">
        <w:rPr>
          <w:rFonts w:ascii="Times New Roman" w:hAnsi="Times New Roman" w:cs="Times New Roman"/>
          <w:noProof/>
          <w:sz w:val="24"/>
          <w:szCs w:val="24"/>
        </w:rPr>
        <w:tab/>
        <w:t>UK Govt. Chancellor George Osborne’s Budget 2015 speech - Speeches - GOV.UK. 2015.</w:t>
      </w:r>
    </w:p>
    <w:p w14:paraId="1720BB95"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5DC8F2EF"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22 </w:t>
      </w:r>
      <w:r w:rsidRPr="00404D27">
        <w:rPr>
          <w:rFonts w:ascii="Times New Roman" w:hAnsi="Times New Roman" w:cs="Times New Roman"/>
          <w:noProof/>
          <w:sz w:val="24"/>
          <w:szCs w:val="24"/>
        </w:rPr>
        <w:tab/>
        <w:t xml:space="preserve">Mackenzie IS, Mantay BJ, McDonnell PG,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Managing security and privacy concerns over data storage in healthcare research. </w:t>
      </w:r>
      <w:r w:rsidRPr="00404D27">
        <w:rPr>
          <w:rFonts w:ascii="Times New Roman" w:hAnsi="Times New Roman" w:cs="Times New Roman"/>
          <w:i/>
          <w:iCs/>
          <w:noProof/>
          <w:sz w:val="24"/>
          <w:szCs w:val="24"/>
        </w:rPr>
        <w:t>Pharmacoepidemiol Drug Saf</w:t>
      </w:r>
      <w:r w:rsidRPr="00404D27">
        <w:rPr>
          <w:rFonts w:ascii="Times New Roman" w:hAnsi="Times New Roman" w:cs="Times New Roman"/>
          <w:noProof/>
          <w:sz w:val="24"/>
          <w:szCs w:val="24"/>
        </w:rPr>
        <w:t xml:space="preserve"> 2011;</w:t>
      </w:r>
      <w:r w:rsidRPr="00404D27">
        <w:rPr>
          <w:rFonts w:ascii="Times New Roman" w:hAnsi="Times New Roman" w:cs="Times New Roman"/>
          <w:b/>
          <w:bCs/>
          <w:noProof/>
          <w:sz w:val="24"/>
          <w:szCs w:val="24"/>
        </w:rPr>
        <w:t>20</w:t>
      </w:r>
      <w:r w:rsidRPr="00404D27">
        <w:rPr>
          <w:rFonts w:ascii="Times New Roman" w:hAnsi="Times New Roman" w:cs="Times New Roman"/>
          <w:noProof/>
          <w:sz w:val="24"/>
          <w:szCs w:val="24"/>
        </w:rPr>
        <w:t>:885–93. doi:10.1002/pds.2170</w:t>
      </w:r>
    </w:p>
    <w:p w14:paraId="011C9052"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3FD956EE"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23 </w:t>
      </w:r>
      <w:r w:rsidRPr="00404D27">
        <w:rPr>
          <w:rFonts w:ascii="Times New Roman" w:hAnsi="Times New Roman" w:cs="Times New Roman"/>
          <w:noProof/>
          <w:sz w:val="24"/>
          <w:szCs w:val="24"/>
        </w:rPr>
        <w:tab/>
        <w:t xml:space="preserve">Ainsworth J, Buchan I. eLabs and Work Objects: Toward Digital Health Economies. Lecture Notes of the Institute for Computer Sciences. </w:t>
      </w:r>
      <w:r w:rsidRPr="00404D27">
        <w:rPr>
          <w:rFonts w:ascii="Times New Roman" w:hAnsi="Times New Roman" w:cs="Times New Roman"/>
          <w:i/>
          <w:iCs/>
          <w:noProof/>
          <w:sz w:val="24"/>
          <w:szCs w:val="24"/>
        </w:rPr>
        <w:t>Soc Informatics Telecommun Eng</w:t>
      </w:r>
      <w:r w:rsidRPr="00404D27">
        <w:rPr>
          <w:rFonts w:ascii="Times New Roman" w:hAnsi="Times New Roman" w:cs="Times New Roman"/>
          <w:noProof/>
          <w:sz w:val="24"/>
          <w:szCs w:val="24"/>
        </w:rPr>
        <w:t xml:space="preserve"> 2009;:205–16.</w:t>
      </w:r>
    </w:p>
    <w:p w14:paraId="0FE8CAB2"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70B4D29F"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24 </w:t>
      </w:r>
      <w:r w:rsidRPr="00404D27">
        <w:rPr>
          <w:rFonts w:ascii="Times New Roman" w:hAnsi="Times New Roman" w:cs="Times New Roman"/>
          <w:noProof/>
          <w:sz w:val="24"/>
          <w:szCs w:val="24"/>
        </w:rPr>
        <w:tab/>
        <w:t xml:space="preserve">Friedman C, Rubin J, Brown J,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Toward a science of learning systems: a research agenda for the high-functioning Learning Health System. </w:t>
      </w:r>
      <w:r w:rsidRPr="00404D27">
        <w:rPr>
          <w:rFonts w:ascii="Times New Roman" w:hAnsi="Times New Roman" w:cs="Times New Roman"/>
          <w:i/>
          <w:iCs/>
          <w:noProof/>
          <w:sz w:val="24"/>
          <w:szCs w:val="24"/>
        </w:rPr>
        <w:t>J Am Med Inform Assoc</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22</w:t>
      </w:r>
      <w:r w:rsidRPr="00404D27">
        <w:rPr>
          <w:rFonts w:ascii="Times New Roman" w:hAnsi="Times New Roman" w:cs="Times New Roman"/>
          <w:noProof/>
          <w:sz w:val="24"/>
          <w:szCs w:val="24"/>
        </w:rPr>
        <w:t>:43–50. doi:10.1136/amiajnl-2014-002977</w:t>
      </w:r>
    </w:p>
    <w:p w14:paraId="6401144C"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8748F3D"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25 </w:t>
      </w:r>
      <w:r w:rsidRPr="00404D27">
        <w:rPr>
          <w:rFonts w:ascii="Times New Roman" w:hAnsi="Times New Roman" w:cs="Times New Roman"/>
          <w:noProof/>
          <w:sz w:val="24"/>
          <w:szCs w:val="24"/>
        </w:rPr>
        <w:tab/>
        <w:t>Wellcome Trust. Enhancing Discoverability of Public Health and Epidemiology Research Data. 2014.http://www.wellcome.ac.uk/stellent/groups/corporatesite/@policy_communications/documents/web_document/wtp056925.pdf (accessed 18 Feb2016).</w:t>
      </w:r>
    </w:p>
    <w:p w14:paraId="4AA7D2A7"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2349330D"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26 </w:t>
      </w:r>
      <w:r w:rsidRPr="00404D27">
        <w:rPr>
          <w:rFonts w:ascii="Times New Roman" w:hAnsi="Times New Roman" w:cs="Times New Roman"/>
          <w:noProof/>
          <w:sz w:val="24"/>
          <w:szCs w:val="24"/>
        </w:rPr>
        <w:tab/>
        <w:t xml:space="preserve">Williams H, Spencer K, Sanders C,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Dynamic consent: a possible solution to improve patient confidence and trust in how electronic patient records are used in medical research. </w:t>
      </w:r>
      <w:r w:rsidRPr="00404D27">
        <w:rPr>
          <w:rFonts w:ascii="Times New Roman" w:hAnsi="Times New Roman" w:cs="Times New Roman"/>
          <w:i/>
          <w:iCs/>
          <w:noProof/>
          <w:sz w:val="24"/>
          <w:szCs w:val="24"/>
        </w:rPr>
        <w:t>JMIR Med informatics</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3</w:t>
      </w:r>
      <w:r w:rsidRPr="00404D27">
        <w:rPr>
          <w:rFonts w:ascii="Times New Roman" w:hAnsi="Times New Roman" w:cs="Times New Roman"/>
          <w:noProof/>
          <w:sz w:val="24"/>
          <w:szCs w:val="24"/>
        </w:rPr>
        <w:t>:e3. doi:10.2196/medinform.3525</w:t>
      </w:r>
    </w:p>
    <w:p w14:paraId="4A384028"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6B020E7A"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27 </w:t>
      </w:r>
      <w:r w:rsidRPr="00404D27">
        <w:rPr>
          <w:rFonts w:ascii="Times New Roman" w:hAnsi="Times New Roman" w:cs="Times New Roman"/>
          <w:noProof/>
          <w:sz w:val="24"/>
          <w:szCs w:val="24"/>
        </w:rPr>
        <w:tab/>
        <w:t>EnCoRe - Ensuring Consent and Revocation. http://www.hpl.hp.com/breweb/encoreproject/index.html (accessed 18 Feb2016).</w:t>
      </w:r>
    </w:p>
    <w:p w14:paraId="48F25741"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40A390D"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28 </w:t>
      </w:r>
      <w:r w:rsidRPr="00404D27">
        <w:rPr>
          <w:rFonts w:ascii="Times New Roman" w:hAnsi="Times New Roman" w:cs="Times New Roman"/>
          <w:noProof/>
          <w:sz w:val="24"/>
          <w:szCs w:val="24"/>
        </w:rPr>
        <w:tab/>
        <w:t>Nuffield Council on Bioethics. The collection, linking and use of data in biomedical research and health care: ethical issues. Nuff. Bioeth. 2015.</w:t>
      </w:r>
    </w:p>
    <w:p w14:paraId="673B526E"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69D63454"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29 </w:t>
      </w:r>
      <w:r w:rsidRPr="00404D27">
        <w:rPr>
          <w:rFonts w:ascii="Times New Roman" w:hAnsi="Times New Roman" w:cs="Times New Roman"/>
          <w:noProof/>
          <w:sz w:val="24"/>
          <w:szCs w:val="24"/>
        </w:rPr>
        <w:tab/>
        <w:t xml:space="preserve">Wüstenhagen R, Wolsink M, Bürer MJ. Social acceptance of renewable energy innovation: An introduction to the concept. </w:t>
      </w:r>
      <w:r w:rsidRPr="00404D27">
        <w:rPr>
          <w:rFonts w:ascii="Times New Roman" w:hAnsi="Times New Roman" w:cs="Times New Roman"/>
          <w:i/>
          <w:iCs/>
          <w:noProof/>
          <w:sz w:val="24"/>
          <w:szCs w:val="24"/>
        </w:rPr>
        <w:t>Energy Policy</w:t>
      </w:r>
      <w:r w:rsidRPr="00404D27">
        <w:rPr>
          <w:rFonts w:ascii="Times New Roman" w:hAnsi="Times New Roman" w:cs="Times New Roman"/>
          <w:noProof/>
          <w:sz w:val="24"/>
          <w:szCs w:val="24"/>
        </w:rPr>
        <w:t xml:space="preserve"> 2007;</w:t>
      </w:r>
      <w:r w:rsidRPr="00404D27">
        <w:rPr>
          <w:rFonts w:ascii="Times New Roman" w:hAnsi="Times New Roman" w:cs="Times New Roman"/>
          <w:b/>
          <w:bCs/>
          <w:noProof/>
          <w:sz w:val="24"/>
          <w:szCs w:val="24"/>
        </w:rPr>
        <w:t>35</w:t>
      </w:r>
      <w:r w:rsidRPr="00404D27">
        <w:rPr>
          <w:rFonts w:ascii="Times New Roman" w:hAnsi="Times New Roman" w:cs="Times New Roman"/>
          <w:noProof/>
          <w:sz w:val="24"/>
          <w:szCs w:val="24"/>
        </w:rPr>
        <w:t>:2683–91. doi:10.1016/j.enpol.2006.12.001</w:t>
      </w:r>
    </w:p>
    <w:p w14:paraId="59A269B5"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46BE33DF"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30 </w:t>
      </w:r>
      <w:r w:rsidRPr="00404D27">
        <w:rPr>
          <w:rFonts w:ascii="Times New Roman" w:hAnsi="Times New Roman" w:cs="Times New Roman"/>
          <w:noProof/>
          <w:sz w:val="24"/>
          <w:szCs w:val="24"/>
        </w:rPr>
        <w:tab/>
        <w:t>The Academy of Medical Sciences. Reproducibility and reliability of biomedical research: improving research practice. http://www.acmedsci.ac.uk/policy/policy-projects/reproducibility-and-reliability-of-biomedical-research/</w:t>
      </w:r>
    </w:p>
    <w:p w14:paraId="09D8DA2A"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5F36432A"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31 </w:t>
      </w:r>
      <w:r w:rsidRPr="00404D27">
        <w:rPr>
          <w:rFonts w:ascii="Times New Roman" w:hAnsi="Times New Roman" w:cs="Times New Roman"/>
          <w:noProof/>
          <w:sz w:val="24"/>
          <w:szCs w:val="24"/>
        </w:rPr>
        <w:tab/>
        <w:t xml:space="preserve">Check Hayden E. Journal buoys code-review push. </w:t>
      </w:r>
      <w:r w:rsidRPr="00404D27">
        <w:rPr>
          <w:rFonts w:ascii="Times New Roman" w:hAnsi="Times New Roman" w:cs="Times New Roman"/>
          <w:i/>
          <w:iCs/>
          <w:noProof/>
          <w:sz w:val="24"/>
          <w:szCs w:val="24"/>
        </w:rPr>
        <w:t>Nature</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520</w:t>
      </w:r>
      <w:r w:rsidRPr="00404D27">
        <w:rPr>
          <w:rFonts w:ascii="Times New Roman" w:hAnsi="Times New Roman" w:cs="Times New Roman"/>
          <w:noProof/>
          <w:sz w:val="24"/>
          <w:szCs w:val="24"/>
        </w:rPr>
        <w:t>:276–7. doi:10.1038/520276a</w:t>
      </w:r>
    </w:p>
    <w:p w14:paraId="3FBB8E28"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9495D97"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04D27">
        <w:rPr>
          <w:rFonts w:ascii="Times New Roman" w:hAnsi="Times New Roman" w:cs="Times New Roman"/>
          <w:noProof/>
          <w:sz w:val="24"/>
          <w:szCs w:val="24"/>
        </w:rPr>
        <w:t xml:space="preserve">32 </w:t>
      </w:r>
      <w:r w:rsidRPr="00404D27">
        <w:rPr>
          <w:rFonts w:ascii="Times New Roman" w:hAnsi="Times New Roman" w:cs="Times New Roman"/>
          <w:noProof/>
          <w:sz w:val="24"/>
          <w:szCs w:val="24"/>
        </w:rPr>
        <w:tab/>
        <w:t xml:space="preserve">Custovic A, Ainsworth J, Arshad H, </w:t>
      </w:r>
      <w:r w:rsidRPr="00404D27">
        <w:rPr>
          <w:rFonts w:ascii="Times New Roman" w:hAnsi="Times New Roman" w:cs="Times New Roman"/>
          <w:i/>
          <w:iCs/>
          <w:noProof/>
          <w:sz w:val="24"/>
          <w:szCs w:val="24"/>
        </w:rPr>
        <w:t>et al.</w:t>
      </w:r>
      <w:r w:rsidRPr="00404D27">
        <w:rPr>
          <w:rFonts w:ascii="Times New Roman" w:hAnsi="Times New Roman" w:cs="Times New Roman"/>
          <w:noProof/>
          <w:sz w:val="24"/>
          <w:szCs w:val="24"/>
        </w:rPr>
        <w:t xml:space="preserve"> The Study Team for Early Life Asthma Research (STELAR) consortium ‘Asthma e-lab’: team science bringing data, methods and investigators together. </w:t>
      </w:r>
      <w:r w:rsidRPr="00404D27">
        <w:rPr>
          <w:rFonts w:ascii="Times New Roman" w:hAnsi="Times New Roman" w:cs="Times New Roman"/>
          <w:i/>
          <w:iCs/>
          <w:noProof/>
          <w:sz w:val="24"/>
          <w:szCs w:val="24"/>
        </w:rPr>
        <w:t>Thorax</w:t>
      </w:r>
      <w:r w:rsidRPr="00404D27">
        <w:rPr>
          <w:rFonts w:ascii="Times New Roman" w:hAnsi="Times New Roman" w:cs="Times New Roman"/>
          <w:noProof/>
          <w:sz w:val="24"/>
          <w:szCs w:val="24"/>
        </w:rPr>
        <w:t xml:space="preserve"> 2015;</w:t>
      </w:r>
      <w:r w:rsidRPr="00404D27">
        <w:rPr>
          <w:rFonts w:ascii="Times New Roman" w:hAnsi="Times New Roman" w:cs="Times New Roman"/>
          <w:b/>
          <w:bCs/>
          <w:noProof/>
          <w:sz w:val="24"/>
          <w:szCs w:val="24"/>
        </w:rPr>
        <w:t>70</w:t>
      </w:r>
      <w:r w:rsidRPr="00404D27">
        <w:rPr>
          <w:rFonts w:ascii="Times New Roman" w:hAnsi="Times New Roman" w:cs="Times New Roman"/>
          <w:noProof/>
          <w:sz w:val="24"/>
          <w:szCs w:val="24"/>
        </w:rPr>
        <w:t>:799–801. doi:10.1136/thoraxjnl-2015-206781</w:t>
      </w:r>
    </w:p>
    <w:p w14:paraId="2E982127" w14:textId="77777777" w:rsidR="00404D27" w:rsidRPr="00404D27" w:rsidRDefault="00404D27">
      <w:pPr>
        <w:widowControl w:val="0"/>
        <w:autoSpaceDE w:val="0"/>
        <w:autoSpaceDN w:val="0"/>
        <w:adjustRightInd w:val="0"/>
        <w:spacing w:after="140" w:line="288" w:lineRule="auto"/>
        <w:rPr>
          <w:rFonts w:ascii="Times New Roman" w:hAnsi="Times New Roman" w:cs="Times New Roman"/>
          <w:noProof/>
          <w:sz w:val="24"/>
          <w:szCs w:val="24"/>
        </w:rPr>
      </w:pPr>
    </w:p>
    <w:p w14:paraId="1D3CB0F5" w14:textId="77777777" w:rsidR="00404D27" w:rsidRPr="00404D27" w:rsidRDefault="00404D27">
      <w:pPr>
        <w:widowControl w:val="0"/>
        <w:autoSpaceDE w:val="0"/>
        <w:autoSpaceDN w:val="0"/>
        <w:adjustRightInd w:val="0"/>
        <w:spacing w:after="0" w:line="240" w:lineRule="auto"/>
        <w:ind w:left="640" w:hanging="640"/>
        <w:rPr>
          <w:rFonts w:ascii="Times New Roman" w:hAnsi="Times New Roman" w:cs="Times New Roman"/>
          <w:noProof/>
          <w:sz w:val="24"/>
        </w:rPr>
      </w:pPr>
      <w:r w:rsidRPr="00404D27">
        <w:rPr>
          <w:rFonts w:ascii="Times New Roman" w:hAnsi="Times New Roman" w:cs="Times New Roman"/>
          <w:noProof/>
          <w:sz w:val="24"/>
          <w:szCs w:val="24"/>
        </w:rPr>
        <w:t xml:space="preserve">33 </w:t>
      </w:r>
      <w:r w:rsidRPr="00404D27">
        <w:rPr>
          <w:rFonts w:ascii="Times New Roman" w:hAnsi="Times New Roman" w:cs="Times New Roman"/>
          <w:noProof/>
          <w:sz w:val="24"/>
          <w:szCs w:val="24"/>
        </w:rPr>
        <w:tab/>
        <w:t xml:space="preserve">Swaen GMH, Carmichael N, Doe J. Strengthening the reliability and credibility of observational epidemiology studies by creating an Observational Studies Register. </w:t>
      </w:r>
      <w:r w:rsidRPr="00404D27">
        <w:rPr>
          <w:rFonts w:ascii="Times New Roman" w:hAnsi="Times New Roman" w:cs="Times New Roman"/>
          <w:i/>
          <w:iCs/>
          <w:noProof/>
          <w:sz w:val="24"/>
          <w:szCs w:val="24"/>
        </w:rPr>
        <w:t>J Clin Epidemiol</w:t>
      </w:r>
      <w:r w:rsidRPr="00404D27">
        <w:rPr>
          <w:rFonts w:ascii="Times New Roman" w:hAnsi="Times New Roman" w:cs="Times New Roman"/>
          <w:noProof/>
          <w:sz w:val="24"/>
          <w:szCs w:val="24"/>
        </w:rPr>
        <w:t xml:space="preserve"> 2011;</w:t>
      </w:r>
      <w:r w:rsidRPr="00404D27">
        <w:rPr>
          <w:rFonts w:ascii="Times New Roman" w:hAnsi="Times New Roman" w:cs="Times New Roman"/>
          <w:b/>
          <w:bCs/>
          <w:noProof/>
          <w:sz w:val="24"/>
          <w:szCs w:val="24"/>
        </w:rPr>
        <w:t>64</w:t>
      </w:r>
      <w:r w:rsidRPr="00404D27">
        <w:rPr>
          <w:rFonts w:ascii="Times New Roman" w:hAnsi="Times New Roman" w:cs="Times New Roman"/>
          <w:noProof/>
          <w:sz w:val="24"/>
          <w:szCs w:val="24"/>
        </w:rPr>
        <w:t>:481–6. doi:10.1016/j.jclinepi.2010.04.009</w:t>
      </w:r>
    </w:p>
    <w:p w14:paraId="49D22C4C" w14:textId="7F921D3E" w:rsidR="0043176C" w:rsidRPr="00A204B0" w:rsidRDefault="00483C37" w:rsidP="00E64188">
      <w:pPr>
        <w:tabs>
          <w:tab w:val="left" w:pos="500"/>
        </w:tabs>
        <w:spacing w:after="240" w:line="240" w:lineRule="auto"/>
        <w:ind w:left="504" w:hanging="504"/>
        <w:rPr>
          <w:rFonts w:ascii="Times New Roman" w:hAnsi="Times New Roman" w:cs="Times New Roman"/>
          <w:sz w:val="24"/>
          <w:szCs w:val="24"/>
        </w:rPr>
      </w:pPr>
      <w:r>
        <w:rPr>
          <w:rFonts w:ascii="Times New Roman" w:hAnsi="Times New Roman" w:cs="Times New Roman"/>
          <w:sz w:val="24"/>
          <w:szCs w:val="24"/>
        </w:rPr>
        <w:fldChar w:fldCharType="end"/>
      </w:r>
    </w:p>
    <w:sectPr w:rsidR="0043176C" w:rsidRPr="00A204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9CC06" w14:textId="77777777" w:rsidR="004C6657" w:rsidRDefault="004C6657" w:rsidP="00DD0E4E">
      <w:pPr>
        <w:spacing w:after="0" w:line="240" w:lineRule="auto"/>
      </w:pPr>
      <w:r>
        <w:separator/>
      </w:r>
    </w:p>
  </w:endnote>
  <w:endnote w:type="continuationSeparator" w:id="0">
    <w:p w14:paraId="6F449B8C" w14:textId="77777777" w:rsidR="004C6657" w:rsidRDefault="004C6657" w:rsidP="00DD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0DD41" w14:textId="77777777" w:rsidR="004C6657" w:rsidRDefault="004C6657" w:rsidP="00DD0E4E">
      <w:pPr>
        <w:spacing w:after="0" w:line="240" w:lineRule="auto"/>
      </w:pPr>
      <w:r>
        <w:separator/>
      </w:r>
    </w:p>
  </w:footnote>
  <w:footnote w:type="continuationSeparator" w:id="0">
    <w:p w14:paraId="766FE08A" w14:textId="77777777" w:rsidR="004C6657" w:rsidRDefault="004C6657" w:rsidP="00DD0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7AA7"/>
    <w:multiLevelType w:val="multilevel"/>
    <w:tmpl w:val="5CB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82B38"/>
    <w:multiLevelType w:val="hybridMultilevel"/>
    <w:tmpl w:val="BD367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EC500F"/>
    <w:multiLevelType w:val="multilevel"/>
    <w:tmpl w:val="34CE3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3D"/>
    <w:rsid w:val="000036E6"/>
    <w:rsid w:val="000040AE"/>
    <w:rsid w:val="00004885"/>
    <w:rsid w:val="000073FF"/>
    <w:rsid w:val="0001206C"/>
    <w:rsid w:val="00014AC4"/>
    <w:rsid w:val="000206DE"/>
    <w:rsid w:val="000210C4"/>
    <w:rsid w:val="00024BA2"/>
    <w:rsid w:val="0002696D"/>
    <w:rsid w:val="00026DCF"/>
    <w:rsid w:val="000307AC"/>
    <w:rsid w:val="0003245A"/>
    <w:rsid w:val="00032A90"/>
    <w:rsid w:val="00052A1A"/>
    <w:rsid w:val="00063EE9"/>
    <w:rsid w:val="00071C46"/>
    <w:rsid w:val="00076C37"/>
    <w:rsid w:val="00080164"/>
    <w:rsid w:val="00080ABB"/>
    <w:rsid w:val="00081E8B"/>
    <w:rsid w:val="00084088"/>
    <w:rsid w:val="00084748"/>
    <w:rsid w:val="000865C0"/>
    <w:rsid w:val="00090507"/>
    <w:rsid w:val="000A071E"/>
    <w:rsid w:val="000A1E35"/>
    <w:rsid w:val="000B08F2"/>
    <w:rsid w:val="000B0F96"/>
    <w:rsid w:val="000B10D4"/>
    <w:rsid w:val="000B1EEB"/>
    <w:rsid w:val="000B3243"/>
    <w:rsid w:val="000B3258"/>
    <w:rsid w:val="000B6D16"/>
    <w:rsid w:val="000C7534"/>
    <w:rsid w:val="000C7808"/>
    <w:rsid w:val="000D2E79"/>
    <w:rsid w:val="000D5AC7"/>
    <w:rsid w:val="000D6CB3"/>
    <w:rsid w:val="000E1D32"/>
    <w:rsid w:val="000E2774"/>
    <w:rsid w:val="000E6386"/>
    <w:rsid w:val="000E6ED8"/>
    <w:rsid w:val="000F42D8"/>
    <w:rsid w:val="0010226E"/>
    <w:rsid w:val="0010579A"/>
    <w:rsid w:val="00107064"/>
    <w:rsid w:val="0011410C"/>
    <w:rsid w:val="00116B02"/>
    <w:rsid w:val="00117747"/>
    <w:rsid w:val="001200ED"/>
    <w:rsid w:val="00122CAC"/>
    <w:rsid w:val="001254B0"/>
    <w:rsid w:val="00127049"/>
    <w:rsid w:val="0013056C"/>
    <w:rsid w:val="001429A4"/>
    <w:rsid w:val="00146E47"/>
    <w:rsid w:val="001528EC"/>
    <w:rsid w:val="001531B2"/>
    <w:rsid w:val="00153806"/>
    <w:rsid w:val="001545D8"/>
    <w:rsid w:val="00154BD2"/>
    <w:rsid w:val="001635BC"/>
    <w:rsid w:val="0016571D"/>
    <w:rsid w:val="00166714"/>
    <w:rsid w:val="0017366C"/>
    <w:rsid w:val="001757B3"/>
    <w:rsid w:val="00176D7F"/>
    <w:rsid w:val="00184996"/>
    <w:rsid w:val="00186AF8"/>
    <w:rsid w:val="00193BB9"/>
    <w:rsid w:val="00194A31"/>
    <w:rsid w:val="001976CC"/>
    <w:rsid w:val="001A47B4"/>
    <w:rsid w:val="001B4B29"/>
    <w:rsid w:val="001C2268"/>
    <w:rsid w:val="001C6F55"/>
    <w:rsid w:val="001D1A79"/>
    <w:rsid w:val="001D2E39"/>
    <w:rsid w:val="001D68D0"/>
    <w:rsid w:val="001D7F1C"/>
    <w:rsid w:val="001E0AE7"/>
    <w:rsid w:val="001E0EC8"/>
    <w:rsid w:val="001E24DD"/>
    <w:rsid w:val="001E3947"/>
    <w:rsid w:val="001E4283"/>
    <w:rsid w:val="001E54B7"/>
    <w:rsid w:val="001F0E2A"/>
    <w:rsid w:val="001F6627"/>
    <w:rsid w:val="00202828"/>
    <w:rsid w:val="0020483A"/>
    <w:rsid w:val="002159A7"/>
    <w:rsid w:val="00221408"/>
    <w:rsid w:val="00223085"/>
    <w:rsid w:val="002270D5"/>
    <w:rsid w:val="00231526"/>
    <w:rsid w:val="002358E1"/>
    <w:rsid w:val="0023750E"/>
    <w:rsid w:val="00240632"/>
    <w:rsid w:val="0024104E"/>
    <w:rsid w:val="0024531E"/>
    <w:rsid w:val="0024620C"/>
    <w:rsid w:val="00246711"/>
    <w:rsid w:val="002506A4"/>
    <w:rsid w:val="00251D77"/>
    <w:rsid w:val="00254A10"/>
    <w:rsid w:val="00255332"/>
    <w:rsid w:val="0025673C"/>
    <w:rsid w:val="00261B93"/>
    <w:rsid w:val="00264AEB"/>
    <w:rsid w:val="0026511A"/>
    <w:rsid w:val="00271A09"/>
    <w:rsid w:val="00275734"/>
    <w:rsid w:val="00276882"/>
    <w:rsid w:val="00285B70"/>
    <w:rsid w:val="00286339"/>
    <w:rsid w:val="00290B12"/>
    <w:rsid w:val="0029148B"/>
    <w:rsid w:val="00294213"/>
    <w:rsid w:val="002942A2"/>
    <w:rsid w:val="002950F4"/>
    <w:rsid w:val="0029638A"/>
    <w:rsid w:val="002B0068"/>
    <w:rsid w:val="002B6D97"/>
    <w:rsid w:val="002C3774"/>
    <w:rsid w:val="002C46F3"/>
    <w:rsid w:val="002C67BB"/>
    <w:rsid w:val="002D5888"/>
    <w:rsid w:val="002E024A"/>
    <w:rsid w:val="002E0808"/>
    <w:rsid w:val="002E0BD8"/>
    <w:rsid w:val="002F3C94"/>
    <w:rsid w:val="002F4868"/>
    <w:rsid w:val="0030682F"/>
    <w:rsid w:val="0031145C"/>
    <w:rsid w:val="00313236"/>
    <w:rsid w:val="00320857"/>
    <w:rsid w:val="00320E5E"/>
    <w:rsid w:val="00324C02"/>
    <w:rsid w:val="00325EE5"/>
    <w:rsid w:val="00325FFA"/>
    <w:rsid w:val="00330AB1"/>
    <w:rsid w:val="0033427C"/>
    <w:rsid w:val="00340749"/>
    <w:rsid w:val="00341316"/>
    <w:rsid w:val="0036565F"/>
    <w:rsid w:val="00366A26"/>
    <w:rsid w:val="0037241C"/>
    <w:rsid w:val="00374B3D"/>
    <w:rsid w:val="00375761"/>
    <w:rsid w:val="00377057"/>
    <w:rsid w:val="0038051D"/>
    <w:rsid w:val="00381D2A"/>
    <w:rsid w:val="003820B9"/>
    <w:rsid w:val="003848A2"/>
    <w:rsid w:val="0038572C"/>
    <w:rsid w:val="00386089"/>
    <w:rsid w:val="0039189A"/>
    <w:rsid w:val="00391B80"/>
    <w:rsid w:val="00392A87"/>
    <w:rsid w:val="00394944"/>
    <w:rsid w:val="003A0666"/>
    <w:rsid w:val="003B22A1"/>
    <w:rsid w:val="003B2601"/>
    <w:rsid w:val="003C1D9E"/>
    <w:rsid w:val="003C2D7F"/>
    <w:rsid w:val="003C5387"/>
    <w:rsid w:val="003C5AEC"/>
    <w:rsid w:val="003C6A61"/>
    <w:rsid w:val="003D2243"/>
    <w:rsid w:val="003D2E2F"/>
    <w:rsid w:val="003D5BE6"/>
    <w:rsid w:val="003D72C8"/>
    <w:rsid w:val="003F5508"/>
    <w:rsid w:val="00400751"/>
    <w:rsid w:val="00400778"/>
    <w:rsid w:val="004033E0"/>
    <w:rsid w:val="00403688"/>
    <w:rsid w:val="00404D27"/>
    <w:rsid w:val="00425530"/>
    <w:rsid w:val="0043176C"/>
    <w:rsid w:val="004340D6"/>
    <w:rsid w:val="0043476D"/>
    <w:rsid w:val="00434FA5"/>
    <w:rsid w:val="00440622"/>
    <w:rsid w:val="0044153B"/>
    <w:rsid w:val="0044163D"/>
    <w:rsid w:val="00441F18"/>
    <w:rsid w:val="004427D1"/>
    <w:rsid w:val="004475E6"/>
    <w:rsid w:val="00447752"/>
    <w:rsid w:val="00450D66"/>
    <w:rsid w:val="004527F1"/>
    <w:rsid w:val="00452D79"/>
    <w:rsid w:val="0045474E"/>
    <w:rsid w:val="00472677"/>
    <w:rsid w:val="00482BAC"/>
    <w:rsid w:val="00483C37"/>
    <w:rsid w:val="00485A8D"/>
    <w:rsid w:val="0048735B"/>
    <w:rsid w:val="0048783D"/>
    <w:rsid w:val="0049539A"/>
    <w:rsid w:val="004A0867"/>
    <w:rsid w:val="004A33CA"/>
    <w:rsid w:val="004B045E"/>
    <w:rsid w:val="004B2D52"/>
    <w:rsid w:val="004B3FA8"/>
    <w:rsid w:val="004B5C56"/>
    <w:rsid w:val="004C1427"/>
    <w:rsid w:val="004C2EA8"/>
    <w:rsid w:val="004C37EC"/>
    <w:rsid w:val="004C6657"/>
    <w:rsid w:val="004C6689"/>
    <w:rsid w:val="004C6ABE"/>
    <w:rsid w:val="004D418A"/>
    <w:rsid w:val="004D489E"/>
    <w:rsid w:val="004D66DE"/>
    <w:rsid w:val="004E52A8"/>
    <w:rsid w:val="004F08B3"/>
    <w:rsid w:val="004F1B7F"/>
    <w:rsid w:val="004F28E1"/>
    <w:rsid w:val="00502DEC"/>
    <w:rsid w:val="00504457"/>
    <w:rsid w:val="00505923"/>
    <w:rsid w:val="00505E17"/>
    <w:rsid w:val="0051721F"/>
    <w:rsid w:val="0052116B"/>
    <w:rsid w:val="00524786"/>
    <w:rsid w:val="005249C8"/>
    <w:rsid w:val="00531DAC"/>
    <w:rsid w:val="00531FB8"/>
    <w:rsid w:val="00541E8D"/>
    <w:rsid w:val="00543A43"/>
    <w:rsid w:val="005470A3"/>
    <w:rsid w:val="0054782C"/>
    <w:rsid w:val="005505DA"/>
    <w:rsid w:val="0055196F"/>
    <w:rsid w:val="00552216"/>
    <w:rsid w:val="00553DFB"/>
    <w:rsid w:val="00556A1F"/>
    <w:rsid w:val="005603BF"/>
    <w:rsid w:val="0056373C"/>
    <w:rsid w:val="00571654"/>
    <w:rsid w:val="00577C49"/>
    <w:rsid w:val="0058002C"/>
    <w:rsid w:val="00584053"/>
    <w:rsid w:val="00586F94"/>
    <w:rsid w:val="00587616"/>
    <w:rsid w:val="00587DE3"/>
    <w:rsid w:val="00590E86"/>
    <w:rsid w:val="00593C75"/>
    <w:rsid w:val="0059611A"/>
    <w:rsid w:val="00597A84"/>
    <w:rsid w:val="005A22B3"/>
    <w:rsid w:val="005A4BED"/>
    <w:rsid w:val="005A7620"/>
    <w:rsid w:val="005B6A16"/>
    <w:rsid w:val="005C40D9"/>
    <w:rsid w:val="005C45A6"/>
    <w:rsid w:val="005C6DC9"/>
    <w:rsid w:val="005D3488"/>
    <w:rsid w:val="005E57AE"/>
    <w:rsid w:val="005E68A2"/>
    <w:rsid w:val="005F439D"/>
    <w:rsid w:val="006024FF"/>
    <w:rsid w:val="00605E1F"/>
    <w:rsid w:val="00606F50"/>
    <w:rsid w:val="0061452E"/>
    <w:rsid w:val="00620CE5"/>
    <w:rsid w:val="006254F1"/>
    <w:rsid w:val="006257B4"/>
    <w:rsid w:val="00625FEA"/>
    <w:rsid w:val="00627F22"/>
    <w:rsid w:val="00634171"/>
    <w:rsid w:val="00634EF1"/>
    <w:rsid w:val="00635BF7"/>
    <w:rsid w:val="006360FF"/>
    <w:rsid w:val="00644E18"/>
    <w:rsid w:val="00650850"/>
    <w:rsid w:val="00650D1A"/>
    <w:rsid w:val="00650E5B"/>
    <w:rsid w:val="00652147"/>
    <w:rsid w:val="00655EAF"/>
    <w:rsid w:val="006567A4"/>
    <w:rsid w:val="006605A7"/>
    <w:rsid w:val="006644EA"/>
    <w:rsid w:val="006744E4"/>
    <w:rsid w:val="00682083"/>
    <w:rsid w:val="00684C66"/>
    <w:rsid w:val="00691095"/>
    <w:rsid w:val="006A032B"/>
    <w:rsid w:val="006A1493"/>
    <w:rsid w:val="006A6542"/>
    <w:rsid w:val="006C191D"/>
    <w:rsid w:val="006C5050"/>
    <w:rsid w:val="006C7EE4"/>
    <w:rsid w:val="006D11E9"/>
    <w:rsid w:val="006D4065"/>
    <w:rsid w:val="006D65C3"/>
    <w:rsid w:val="006D7126"/>
    <w:rsid w:val="006E6B3C"/>
    <w:rsid w:val="006F29E3"/>
    <w:rsid w:val="006F56D6"/>
    <w:rsid w:val="00704156"/>
    <w:rsid w:val="0071001A"/>
    <w:rsid w:val="0072092A"/>
    <w:rsid w:val="00723CFC"/>
    <w:rsid w:val="00725794"/>
    <w:rsid w:val="00731463"/>
    <w:rsid w:val="00733CA0"/>
    <w:rsid w:val="007342B8"/>
    <w:rsid w:val="00734311"/>
    <w:rsid w:val="007404B2"/>
    <w:rsid w:val="00740F07"/>
    <w:rsid w:val="00742C3E"/>
    <w:rsid w:val="00744E49"/>
    <w:rsid w:val="00745712"/>
    <w:rsid w:val="00756443"/>
    <w:rsid w:val="007567CF"/>
    <w:rsid w:val="00756C4F"/>
    <w:rsid w:val="0076300A"/>
    <w:rsid w:val="0076461B"/>
    <w:rsid w:val="007751DE"/>
    <w:rsid w:val="00777F53"/>
    <w:rsid w:val="00781033"/>
    <w:rsid w:val="00785B42"/>
    <w:rsid w:val="00786150"/>
    <w:rsid w:val="00796033"/>
    <w:rsid w:val="007973A4"/>
    <w:rsid w:val="007A5242"/>
    <w:rsid w:val="007A6975"/>
    <w:rsid w:val="007A753C"/>
    <w:rsid w:val="007B3353"/>
    <w:rsid w:val="007B672C"/>
    <w:rsid w:val="007C4025"/>
    <w:rsid w:val="007C71CC"/>
    <w:rsid w:val="007D4104"/>
    <w:rsid w:val="007D5FC1"/>
    <w:rsid w:val="007E0177"/>
    <w:rsid w:val="007E325A"/>
    <w:rsid w:val="007F3396"/>
    <w:rsid w:val="0080228C"/>
    <w:rsid w:val="008030CC"/>
    <w:rsid w:val="00803C8C"/>
    <w:rsid w:val="00811EF3"/>
    <w:rsid w:val="00816C30"/>
    <w:rsid w:val="00822CFD"/>
    <w:rsid w:val="00830035"/>
    <w:rsid w:val="008308A5"/>
    <w:rsid w:val="008319D7"/>
    <w:rsid w:val="00832C57"/>
    <w:rsid w:val="00833C00"/>
    <w:rsid w:val="00837E88"/>
    <w:rsid w:val="00842A75"/>
    <w:rsid w:val="00842D23"/>
    <w:rsid w:val="00844607"/>
    <w:rsid w:val="00853841"/>
    <w:rsid w:val="00860B25"/>
    <w:rsid w:val="00861960"/>
    <w:rsid w:val="00861CF6"/>
    <w:rsid w:val="0086202E"/>
    <w:rsid w:val="008621E2"/>
    <w:rsid w:val="00864CC0"/>
    <w:rsid w:val="008661B3"/>
    <w:rsid w:val="008729C0"/>
    <w:rsid w:val="00872E52"/>
    <w:rsid w:val="008833B1"/>
    <w:rsid w:val="0089212D"/>
    <w:rsid w:val="00896722"/>
    <w:rsid w:val="008A73BD"/>
    <w:rsid w:val="008B0377"/>
    <w:rsid w:val="008B0870"/>
    <w:rsid w:val="008B35A8"/>
    <w:rsid w:val="008B6215"/>
    <w:rsid w:val="008D1F95"/>
    <w:rsid w:val="008D5619"/>
    <w:rsid w:val="008D6D5A"/>
    <w:rsid w:val="008E0EED"/>
    <w:rsid w:val="008E1594"/>
    <w:rsid w:val="008E44DF"/>
    <w:rsid w:val="008F015B"/>
    <w:rsid w:val="008F22EF"/>
    <w:rsid w:val="008F3AC2"/>
    <w:rsid w:val="008F460B"/>
    <w:rsid w:val="008F5F12"/>
    <w:rsid w:val="008F69B8"/>
    <w:rsid w:val="008F7363"/>
    <w:rsid w:val="00900A79"/>
    <w:rsid w:val="00904033"/>
    <w:rsid w:val="009076BE"/>
    <w:rsid w:val="00910E93"/>
    <w:rsid w:val="00912492"/>
    <w:rsid w:val="0092119D"/>
    <w:rsid w:val="00921C5D"/>
    <w:rsid w:val="00922A83"/>
    <w:rsid w:val="00924196"/>
    <w:rsid w:val="00946E94"/>
    <w:rsid w:val="00954BFD"/>
    <w:rsid w:val="0095795E"/>
    <w:rsid w:val="009670D0"/>
    <w:rsid w:val="0096789A"/>
    <w:rsid w:val="009717D9"/>
    <w:rsid w:val="009738D5"/>
    <w:rsid w:val="009767B2"/>
    <w:rsid w:val="00987EEC"/>
    <w:rsid w:val="0099190D"/>
    <w:rsid w:val="00992069"/>
    <w:rsid w:val="00994CFD"/>
    <w:rsid w:val="00995B9C"/>
    <w:rsid w:val="009A1615"/>
    <w:rsid w:val="009A3253"/>
    <w:rsid w:val="009B2F9A"/>
    <w:rsid w:val="009B449B"/>
    <w:rsid w:val="009B6D49"/>
    <w:rsid w:val="009C2958"/>
    <w:rsid w:val="009D09D6"/>
    <w:rsid w:val="009D7DD2"/>
    <w:rsid w:val="009E4C16"/>
    <w:rsid w:val="009E7500"/>
    <w:rsid w:val="009E76C2"/>
    <w:rsid w:val="009E7FB1"/>
    <w:rsid w:val="009F18FD"/>
    <w:rsid w:val="009F2187"/>
    <w:rsid w:val="009F2CB3"/>
    <w:rsid w:val="009F4876"/>
    <w:rsid w:val="009F71F6"/>
    <w:rsid w:val="00A03AE6"/>
    <w:rsid w:val="00A070AA"/>
    <w:rsid w:val="00A14BF9"/>
    <w:rsid w:val="00A14C2F"/>
    <w:rsid w:val="00A2049A"/>
    <w:rsid w:val="00A204B0"/>
    <w:rsid w:val="00A20C5E"/>
    <w:rsid w:val="00A246F0"/>
    <w:rsid w:val="00A25AE0"/>
    <w:rsid w:val="00A32E1A"/>
    <w:rsid w:val="00A352C4"/>
    <w:rsid w:val="00A472F9"/>
    <w:rsid w:val="00A4752E"/>
    <w:rsid w:val="00A50908"/>
    <w:rsid w:val="00A62379"/>
    <w:rsid w:val="00A6261F"/>
    <w:rsid w:val="00A6531C"/>
    <w:rsid w:val="00A664F5"/>
    <w:rsid w:val="00A72E67"/>
    <w:rsid w:val="00A7461C"/>
    <w:rsid w:val="00A76BFB"/>
    <w:rsid w:val="00A803F7"/>
    <w:rsid w:val="00A820E1"/>
    <w:rsid w:val="00A84B37"/>
    <w:rsid w:val="00A93E92"/>
    <w:rsid w:val="00AA4008"/>
    <w:rsid w:val="00AA5936"/>
    <w:rsid w:val="00AA77C3"/>
    <w:rsid w:val="00AB1B0D"/>
    <w:rsid w:val="00AB3F3B"/>
    <w:rsid w:val="00AC0805"/>
    <w:rsid w:val="00AC58F3"/>
    <w:rsid w:val="00AC6210"/>
    <w:rsid w:val="00AC7229"/>
    <w:rsid w:val="00AD1A20"/>
    <w:rsid w:val="00AD23DF"/>
    <w:rsid w:val="00AD7D1C"/>
    <w:rsid w:val="00AE32F1"/>
    <w:rsid w:val="00AE6522"/>
    <w:rsid w:val="00AF123D"/>
    <w:rsid w:val="00AF45F5"/>
    <w:rsid w:val="00AF5BF5"/>
    <w:rsid w:val="00B01411"/>
    <w:rsid w:val="00B02DB5"/>
    <w:rsid w:val="00B03CD0"/>
    <w:rsid w:val="00B051D3"/>
    <w:rsid w:val="00B15F0C"/>
    <w:rsid w:val="00B2036A"/>
    <w:rsid w:val="00B2211D"/>
    <w:rsid w:val="00B266E1"/>
    <w:rsid w:val="00B40033"/>
    <w:rsid w:val="00B43748"/>
    <w:rsid w:val="00B43FD3"/>
    <w:rsid w:val="00B44B6F"/>
    <w:rsid w:val="00B45994"/>
    <w:rsid w:val="00B522C6"/>
    <w:rsid w:val="00B56DEE"/>
    <w:rsid w:val="00B64C14"/>
    <w:rsid w:val="00B65D64"/>
    <w:rsid w:val="00B73DA5"/>
    <w:rsid w:val="00B775AB"/>
    <w:rsid w:val="00B90D78"/>
    <w:rsid w:val="00B934B8"/>
    <w:rsid w:val="00B94A08"/>
    <w:rsid w:val="00B966F3"/>
    <w:rsid w:val="00BA7FB9"/>
    <w:rsid w:val="00BB27A5"/>
    <w:rsid w:val="00BB2A5A"/>
    <w:rsid w:val="00BB509E"/>
    <w:rsid w:val="00BB7E75"/>
    <w:rsid w:val="00BC0FA0"/>
    <w:rsid w:val="00BC1E6B"/>
    <w:rsid w:val="00BC3A44"/>
    <w:rsid w:val="00BC49D9"/>
    <w:rsid w:val="00BC5B10"/>
    <w:rsid w:val="00BD051E"/>
    <w:rsid w:val="00BD2687"/>
    <w:rsid w:val="00BD2D2E"/>
    <w:rsid w:val="00BD486A"/>
    <w:rsid w:val="00BD676F"/>
    <w:rsid w:val="00BD6D48"/>
    <w:rsid w:val="00BE1E90"/>
    <w:rsid w:val="00BE4452"/>
    <w:rsid w:val="00BF5B59"/>
    <w:rsid w:val="00C01359"/>
    <w:rsid w:val="00C079E8"/>
    <w:rsid w:val="00C1235D"/>
    <w:rsid w:val="00C16446"/>
    <w:rsid w:val="00C22CAF"/>
    <w:rsid w:val="00C22FE3"/>
    <w:rsid w:val="00C23F15"/>
    <w:rsid w:val="00C24CA0"/>
    <w:rsid w:val="00C30310"/>
    <w:rsid w:val="00C35E6D"/>
    <w:rsid w:val="00C42C09"/>
    <w:rsid w:val="00C43C34"/>
    <w:rsid w:val="00C46407"/>
    <w:rsid w:val="00C46CD3"/>
    <w:rsid w:val="00C5300B"/>
    <w:rsid w:val="00C53F80"/>
    <w:rsid w:val="00C61D02"/>
    <w:rsid w:val="00C647C1"/>
    <w:rsid w:val="00C647C2"/>
    <w:rsid w:val="00C65DEF"/>
    <w:rsid w:val="00C72ED3"/>
    <w:rsid w:val="00C7667A"/>
    <w:rsid w:val="00C827E2"/>
    <w:rsid w:val="00C84243"/>
    <w:rsid w:val="00C8592F"/>
    <w:rsid w:val="00C93057"/>
    <w:rsid w:val="00CA06E3"/>
    <w:rsid w:val="00CA138D"/>
    <w:rsid w:val="00CA5BB6"/>
    <w:rsid w:val="00CA6076"/>
    <w:rsid w:val="00CA75F0"/>
    <w:rsid w:val="00CB4823"/>
    <w:rsid w:val="00CB73C7"/>
    <w:rsid w:val="00CC20CD"/>
    <w:rsid w:val="00CC5CDD"/>
    <w:rsid w:val="00CC60A1"/>
    <w:rsid w:val="00CC72E6"/>
    <w:rsid w:val="00CD4480"/>
    <w:rsid w:val="00CD567C"/>
    <w:rsid w:val="00CD5E0D"/>
    <w:rsid w:val="00CD7D0B"/>
    <w:rsid w:val="00CE5545"/>
    <w:rsid w:val="00CF07D8"/>
    <w:rsid w:val="00D007E7"/>
    <w:rsid w:val="00D02161"/>
    <w:rsid w:val="00D102B8"/>
    <w:rsid w:val="00D10645"/>
    <w:rsid w:val="00D14061"/>
    <w:rsid w:val="00D20390"/>
    <w:rsid w:val="00D20F7C"/>
    <w:rsid w:val="00D21F14"/>
    <w:rsid w:val="00D25CBF"/>
    <w:rsid w:val="00D34055"/>
    <w:rsid w:val="00D41B3A"/>
    <w:rsid w:val="00D437F6"/>
    <w:rsid w:val="00D44D4D"/>
    <w:rsid w:val="00D50498"/>
    <w:rsid w:val="00D52AC0"/>
    <w:rsid w:val="00D53728"/>
    <w:rsid w:val="00D537EC"/>
    <w:rsid w:val="00D562B8"/>
    <w:rsid w:val="00D67916"/>
    <w:rsid w:val="00D70E19"/>
    <w:rsid w:val="00D71F1E"/>
    <w:rsid w:val="00D74001"/>
    <w:rsid w:val="00D83A4A"/>
    <w:rsid w:val="00D92166"/>
    <w:rsid w:val="00D92EB2"/>
    <w:rsid w:val="00D97054"/>
    <w:rsid w:val="00D974D4"/>
    <w:rsid w:val="00DA53BA"/>
    <w:rsid w:val="00DA6D19"/>
    <w:rsid w:val="00DB5D6C"/>
    <w:rsid w:val="00DB6CC9"/>
    <w:rsid w:val="00DC0D8A"/>
    <w:rsid w:val="00DC1A4C"/>
    <w:rsid w:val="00DC1B9B"/>
    <w:rsid w:val="00DD0E4E"/>
    <w:rsid w:val="00E0011A"/>
    <w:rsid w:val="00E018F4"/>
    <w:rsid w:val="00E02827"/>
    <w:rsid w:val="00E02DF4"/>
    <w:rsid w:val="00E14B69"/>
    <w:rsid w:val="00E15DED"/>
    <w:rsid w:val="00E17805"/>
    <w:rsid w:val="00E17829"/>
    <w:rsid w:val="00E24C68"/>
    <w:rsid w:val="00E2557B"/>
    <w:rsid w:val="00E259F7"/>
    <w:rsid w:val="00E27043"/>
    <w:rsid w:val="00E34743"/>
    <w:rsid w:val="00E34E60"/>
    <w:rsid w:val="00E35DBE"/>
    <w:rsid w:val="00E41996"/>
    <w:rsid w:val="00E515A3"/>
    <w:rsid w:val="00E53C8F"/>
    <w:rsid w:val="00E60D75"/>
    <w:rsid w:val="00E623CD"/>
    <w:rsid w:val="00E64188"/>
    <w:rsid w:val="00E76615"/>
    <w:rsid w:val="00E82477"/>
    <w:rsid w:val="00E9013B"/>
    <w:rsid w:val="00EA114B"/>
    <w:rsid w:val="00EA70CE"/>
    <w:rsid w:val="00EB5262"/>
    <w:rsid w:val="00EC22EF"/>
    <w:rsid w:val="00EC2FE2"/>
    <w:rsid w:val="00EC4D8C"/>
    <w:rsid w:val="00EC6ADB"/>
    <w:rsid w:val="00ED0D97"/>
    <w:rsid w:val="00ED6147"/>
    <w:rsid w:val="00ED72EF"/>
    <w:rsid w:val="00EE3860"/>
    <w:rsid w:val="00EE5CF4"/>
    <w:rsid w:val="00EE67EB"/>
    <w:rsid w:val="00EE6B93"/>
    <w:rsid w:val="00EE6D44"/>
    <w:rsid w:val="00EF08B4"/>
    <w:rsid w:val="00EF482B"/>
    <w:rsid w:val="00EF6A4F"/>
    <w:rsid w:val="00F0452B"/>
    <w:rsid w:val="00F13D66"/>
    <w:rsid w:val="00F13FFA"/>
    <w:rsid w:val="00F14B0A"/>
    <w:rsid w:val="00F14D73"/>
    <w:rsid w:val="00F15B5D"/>
    <w:rsid w:val="00F16A16"/>
    <w:rsid w:val="00F17E35"/>
    <w:rsid w:val="00F2016A"/>
    <w:rsid w:val="00F20FC2"/>
    <w:rsid w:val="00F23C89"/>
    <w:rsid w:val="00F24E5F"/>
    <w:rsid w:val="00F3063C"/>
    <w:rsid w:val="00F40770"/>
    <w:rsid w:val="00F41F40"/>
    <w:rsid w:val="00F477B6"/>
    <w:rsid w:val="00F54026"/>
    <w:rsid w:val="00F54FF1"/>
    <w:rsid w:val="00F55273"/>
    <w:rsid w:val="00F5718D"/>
    <w:rsid w:val="00F57C4B"/>
    <w:rsid w:val="00F6665F"/>
    <w:rsid w:val="00F713F6"/>
    <w:rsid w:val="00F71673"/>
    <w:rsid w:val="00F82345"/>
    <w:rsid w:val="00F84E92"/>
    <w:rsid w:val="00F85655"/>
    <w:rsid w:val="00FA41CA"/>
    <w:rsid w:val="00FA7C41"/>
    <w:rsid w:val="00FB02E7"/>
    <w:rsid w:val="00FB0C68"/>
    <w:rsid w:val="00FB114A"/>
    <w:rsid w:val="00FB7A42"/>
    <w:rsid w:val="00FC0D9F"/>
    <w:rsid w:val="00FC3327"/>
    <w:rsid w:val="00FC768F"/>
    <w:rsid w:val="00FD4378"/>
    <w:rsid w:val="00FD6F88"/>
    <w:rsid w:val="00FE044C"/>
    <w:rsid w:val="00FE1CCB"/>
    <w:rsid w:val="00FE241F"/>
    <w:rsid w:val="00FE2454"/>
    <w:rsid w:val="00FE6F68"/>
    <w:rsid w:val="00FE7253"/>
    <w:rsid w:val="00FF44B2"/>
    <w:rsid w:val="00FF60BB"/>
    <w:rsid w:val="00FF7E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DF6B6"/>
  <w15:docId w15:val="{33479DB6-4AE6-4011-A271-CBBD46BE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23D"/>
    <w:pPr>
      <w:jc w:val="both"/>
    </w:pPr>
  </w:style>
  <w:style w:type="paragraph" w:styleId="Heading2">
    <w:name w:val="heading 2"/>
    <w:basedOn w:val="Normal"/>
    <w:link w:val="Heading2Char"/>
    <w:uiPriority w:val="9"/>
    <w:qFormat/>
    <w:rsid w:val="00D14061"/>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751"/>
    <w:pPr>
      <w:ind w:left="720"/>
      <w:contextualSpacing/>
    </w:pPr>
  </w:style>
  <w:style w:type="character" w:customStyle="1" w:styleId="apple-converted-space">
    <w:name w:val="apple-converted-space"/>
    <w:basedOn w:val="DefaultParagraphFont"/>
    <w:rsid w:val="00026DCF"/>
  </w:style>
  <w:style w:type="character" w:styleId="Hyperlink">
    <w:name w:val="Hyperlink"/>
    <w:basedOn w:val="DefaultParagraphFont"/>
    <w:uiPriority w:val="99"/>
    <w:unhideWhenUsed/>
    <w:rsid w:val="00026DCF"/>
    <w:rPr>
      <w:color w:val="0000FF"/>
      <w:u w:val="single"/>
    </w:rPr>
  </w:style>
  <w:style w:type="paragraph" w:styleId="NormalWeb">
    <w:name w:val="Normal (Web)"/>
    <w:basedOn w:val="Normal"/>
    <w:uiPriority w:val="99"/>
    <w:unhideWhenUsed/>
    <w:rsid w:val="00026D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rsid w:val="00DD0E4E"/>
    <w:pPr>
      <w:spacing w:after="0" w:line="240" w:lineRule="auto"/>
    </w:pPr>
    <w:rPr>
      <w:rFonts w:ascii="Cambria" w:eastAsia="MS ??" w:hAnsi="Cambria" w:cs="Times New Roman"/>
      <w:lang w:val="nl-NL" w:eastAsia="nl-NL"/>
    </w:rPr>
  </w:style>
  <w:style w:type="character" w:customStyle="1" w:styleId="EndnoteTextChar">
    <w:name w:val="Endnote Text Char"/>
    <w:basedOn w:val="DefaultParagraphFont"/>
    <w:link w:val="EndnoteText"/>
    <w:uiPriority w:val="99"/>
    <w:rsid w:val="00DD0E4E"/>
    <w:rPr>
      <w:rFonts w:ascii="Cambria" w:eastAsia="MS ??" w:hAnsi="Cambria" w:cs="Times New Roman"/>
      <w:lang w:val="nl-NL" w:eastAsia="nl-NL"/>
    </w:rPr>
  </w:style>
  <w:style w:type="character" w:styleId="EndnoteReference">
    <w:name w:val="endnote reference"/>
    <w:basedOn w:val="DefaultParagraphFont"/>
    <w:uiPriority w:val="99"/>
    <w:rsid w:val="00DD0E4E"/>
    <w:rPr>
      <w:rFonts w:cs="Times New Roman"/>
      <w:vertAlign w:val="superscript"/>
    </w:rPr>
  </w:style>
  <w:style w:type="character" w:styleId="CommentReference">
    <w:name w:val="annotation reference"/>
    <w:basedOn w:val="DefaultParagraphFont"/>
    <w:uiPriority w:val="99"/>
    <w:semiHidden/>
    <w:unhideWhenUsed/>
    <w:rsid w:val="00D20F7C"/>
    <w:rPr>
      <w:sz w:val="18"/>
      <w:szCs w:val="18"/>
    </w:rPr>
  </w:style>
  <w:style w:type="paragraph" w:styleId="CommentText">
    <w:name w:val="annotation text"/>
    <w:basedOn w:val="Normal"/>
    <w:link w:val="CommentTextChar"/>
    <w:uiPriority w:val="99"/>
    <w:unhideWhenUsed/>
    <w:rsid w:val="00D20F7C"/>
    <w:pPr>
      <w:spacing w:line="240" w:lineRule="auto"/>
    </w:pPr>
    <w:rPr>
      <w:sz w:val="24"/>
      <w:szCs w:val="24"/>
    </w:rPr>
  </w:style>
  <w:style w:type="character" w:customStyle="1" w:styleId="CommentTextChar">
    <w:name w:val="Comment Text Char"/>
    <w:basedOn w:val="DefaultParagraphFont"/>
    <w:link w:val="CommentText"/>
    <w:uiPriority w:val="99"/>
    <w:rsid w:val="00D20F7C"/>
    <w:rPr>
      <w:sz w:val="24"/>
      <w:szCs w:val="24"/>
    </w:rPr>
  </w:style>
  <w:style w:type="paragraph" w:styleId="CommentSubject">
    <w:name w:val="annotation subject"/>
    <w:basedOn w:val="CommentText"/>
    <w:next w:val="CommentText"/>
    <w:link w:val="CommentSubjectChar"/>
    <w:uiPriority w:val="99"/>
    <w:semiHidden/>
    <w:unhideWhenUsed/>
    <w:rsid w:val="00D20F7C"/>
    <w:rPr>
      <w:b/>
      <w:bCs/>
      <w:sz w:val="20"/>
      <w:szCs w:val="20"/>
    </w:rPr>
  </w:style>
  <w:style w:type="character" w:customStyle="1" w:styleId="CommentSubjectChar">
    <w:name w:val="Comment Subject Char"/>
    <w:basedOn w:val="CommentTextChar"/>
    <w:link w:val="CommentSubject"/>
    <w:uiPriority w:val="99"/>
    <w:semiHidden/>
    <w:rsid w:val="00D20F7C"/>
    <w:rPr>
      <w:b/>
      <w:bCs/>
      <w:sz w:val="20"/>
      <w:szCs w:val="20"/>
    </w:rPr>
  </w:style>
  <w:style w:type="paragraph" w:styleId="BalloonText">
    <w:name w:val="Balloon Text"/>
    <w:basedOn w:val="Normal"/>
    <w:link w:val="BalloonTextChar"/>
    <w:uiPriority w:val="99"/>
    <w:semiHidden/>
    <w:unhideWhenUsed/>
    <w:rsid w:val="00D20F7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0F7C"/>
    <w:rPr>
      <w:rFonts w:ascii="Lucida Grande" w:hAnsi="Lucida Grande"/>
      <w:sz w:val="18"/>
      <w:szCs w:val="18"/>
    </w:rPr>
  </w:style>
  <w:style w:type="paragraph" w:styleId="Bibliography">
    <w:name w:val="Bibliography"/>
    <w:basedOn w:val="Normal"/>
    <w:next w:val="Normal"/>
    <w:uiPriority w:val="37"/>
    <w:unhideWhenUsed/>
    <w:rsid w:val="008F460B"/>
    <w:pPr>
      <w:tabs>
        <w:tab w:val="left" w:pos="500"/>
      </w:tabs>
      <w:spacing w:after="240" w:line="240" w:lineRule="auto"/>
      <w:ind w:left="504" w:hanging="504"/>
    </w:pPr>
  </w:style>
  <w:style w:type="character" w:styleId="Emphasis">
    <w:name w:val="Emphasis"/>
    <w:basedOn w:val="DefaultParagraphFont"/>
    <w:uiPriority w:val="20"/>
    <w:qFormat/>
    <w:rsid w:val="00652147"/>
    <w:rPr>
      <w:i/>
      <w:iCs/>
    </w:rPr>
  </w:style>
  <w:style w:type="character" w:customStyle="1" w:styleId="Heading2Char">
    <w:name w:val="Heading 2 Char"/>
    <w:basedOn w:val="DefaultParagraphFont"/>
    <w:link w:val="Heading2"/>
    <w:uiPriority w:val="9"/>
    <w:rsid w:val="00D14061"/>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EF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4F"/>
  </w:style>
  <w:style w:type="paragraph" w:styleId="Footer">
    <w:name w:val="footer"/>
    <w:basedOn w:val="Normal"/>
    <w:link w:val="FooterChar"/>
    <w:uiPriority w:val="99"/>
    <w:unhideWhenUsed/>
    <w:rsid w:val="00EF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4F"/>
  </w:style>
  <w:style w:type="paragraph" w:styleId="HTMLPreformatted">
    <w:name w:val="HTML Preformatted"/>
    <w:basedOn w:val="Normal"/>
    <w:link w:val="HTMLPreformattedChar"/>
    <w:uiPriority w:val="99"/>
    <w:semiHidden/>
    <w:unhideWhenUsed/>
    <w:rsid w:val="00822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22CF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710379">
      <w:bodyDiv w:val="1"/>
      <w:marLeft w:val="0"/>
      <w:marRight w:val="0"/>
      <w:marTop w:val="0"/>
      <w:marBottom w:val="0"/>
      <w:divBdr>
        <w:top w:val="none" w:sz="0" w:space="0" w:color="auto"/>
        <w:left w:val="none" w:sz="0" w:space="0" w:color="auto"/>
        <w:bottom w:val="none" w:sz="0" w:space="0" w:color="auto"/>
        <w:right w:val="none" w:sz="0" w:space="0" w:color="auto"/>
      </w:divBdr>
    </w:div>
    <w:div w:id="590433680">
      <w:bodyDiv w:val="1"/>
      <w:marLeft w:val="0"/>
      <w:marRight w:val="0"/>
      <w:marTop w:val="0"/>
      <w:marBottom w:val="0"/>
      <w:divBdr>
        <w:top w:val="none" w:sz="0" w:space="0" w:color="auto"/>
        <w:left w:val="none" w:sz="0" w:space="0" w:color="auto"/>
        <w:bottom w:val="none" w:sz="0" w:space="0" w:color="auto"/>
        <w:right w:val="none" w:sz="0" w:space="0" w:color="auto"/>
      </w:divBdr>
    </w:div>
    <w:div w:id="591200519">
      <w:bodyDiv w:val="1"/>
      <w:marLeft w:val="0"/>
      <w:marRight w:val="0"/>
      <w:marTop w:val="0"/>
      <w:marBottom w:val="0"/>
      <w:divBdr>
        <w:top w:val="none" w:sz="0" w:space="0" w:color="auto"/>
        <w:left w:val="none" w:sz="0" w:space="0" w:color="auto"/>
        <w:bottom w:val="none" w:sz="0" w:space="0" w:color="auto"/>
        <w:right w:val="none" w:sz="0" w:space="0" w:color="auto"/>
      </w:divBdr>
    </w:div>
    <w:div w:id="1037312245">
      <w:bodyDiv w:val="1"/>
      <w:marLeft w:val="0"/>
      <w:marRight w:val="0"/>
      <w:marTop w:val="0"/>
      <w:marBottom w:val="0"/>
      <w:divBdr>
        <w:top w:val="none" w:sz="0" w:space="0" w:color="auto"/>
        <w:left w:val="none" w:sz="0" w:space="0" w:color="auto"/>
        <w:bottom w:val="none" w:sz="0" w:space="0" w:color="auto"/>
        <w:right w:val="none" w:sz="0" w:space="0" w:color="auto"/>
      </w:divBdr>
    </w:div>
    <w:div w:id="1098331857">
      <w:bodyDiv w:val="1"/>
      <w:marLeft w:val="0"/>
      <w:marRight w:val="0"/>
      <w:marTop w:val="0"/>
      <w:marBottom w:val="0"/>
      <w:divBdr>
        <w:top w:val="none" w:sz="0" w:space="0" w:color="auto"/>
        <w:left w:val="none" w:sz="0" w:space="0" w:color="auto"/>
        <w:bottom w:val="none" w:sz="0" w:space="0" w:color="auto"/>
        <w:right w:val="none" w:sz="0" w:space="0" w:color="auto"/>
      </w:divBdr>
      <w:divsChild>
        <w:div w:id="751119864">
          <w:marLeft w:val="0"/>
          <w:marRight w:val="0"/>
          <w:marTop w:val="0"/>
          <w:marBottom w:val="0"/>
          <w:divBdr>
            <w:top w:val="none" w:sz="0" w:space="0" w:color="auto"/>
            <w:left w:val="none" w:sz="0" w:space="0" w:color="auto"/>
            <w:bottom w:val="none" w:sz="0" w:space="0" w:color="auto"/>
            <w:right w:val="none" w:sz="0" w:space="0" w:color="auto"/>
          </w:divBdr>
          <w:divsChild>
            <w:div w:id="607543085">
              <w:marLeft w:val="0"/>
              <w:marRight w:val="0"/>
              <w:marTop w:val="0"/>
              <w:marBottom w:val="0"/>
              <w:divBdr>
                <w:top w:val="none" w:sz="0" w:space="0" w:color="auto"/>
                <w:left w:val="none" w:sz="0" w:space="0" w:color="auto"/>
                <w:bottom w:val="none" w:sz="0" w:space="0" w:color="auto"/>
                <w:right w:val="none" w:sz="0" w:space="0" w:color="auto"/>
              </w:divBdr>
              <w:divsChild>
                <w:div w:id="262232311">
                  <w:marLeft w:val="0"/>
                  <w:marRight w:val="0"/>
                  <w:marTop w:val="0"/>
                  <w:marBottom w:val="0"/>
                  <w:divBdr>
                    <w:top w:val="none" w:sz="0" w:space="0" w:color="auto"/>
                    <w:left w:val="none" w:sz="0" w:space="0" w:color="auto"/>
                    <w:bottom w:val="none" w:sz="0" w:space="0" w:color="auto"/>
                    <w:right w:val="none" w:sz="0" w:space="0" w:color="auto"/>
                  </w:divBdr>
                  <w:divsChild>
                    <w:div w:id="302199985">
                      <w:marLeft w:val="0"/>
                      <w:marRight w:val="0"/>
                      <w:marTop w:val="0"/>
                      <w:marBottom w:val="0"/>
                      <w:divBdr>
                        <w:top w:val="none" w:sz="0" w:space="0" w:color="auto"/>
                        <w:left w:val="none" w:sz="0" w:space="0" w:color="auto"/>
                        <w:bottom w:val="none" w:sz="0" w:space="0" w:color="auto"/>
                        <w:right w:val="none" w:sz="0" w:space="0" w:color="auto"/>
                      </w:divBdr>
                      <w:divsChild>
                        <w:div w:id="1462383371">
                          <w:marLeft w:val="0"/>
                          <w:marRight w:val="0"/>
                          <w:marTop w:val="0"/>
                          <w:marBottom w:val="0"/>
                          <w:divBdr>
                            <w:top w:val="none" w:sz="0" w:space="0" w:color="auto"/>
                            <w:left w:val="none" w:sz="0" w:space="0" w:color="auto"/>
                            <w:bottom w:val="none" w:sz="0" w:space="0" w:color="auto"/>
                            <w:right w:val="none" w:sz="0" w:space="0" w:color="auto"/>
                          </w:divBdr>
                          <w:divsChild>
                            <w:div w:id="198782263">
                              <w:marLeft w:val="0"/>
                              <w:marRight w:val="0"/>
                              <w:marTop w:val="0"/>
                              <w:marBottom w:val="0"/>
                              <w:divBdr>
                                <w:top w:val="none" w:sz="0" w:space="0" w:color="auto"/>
                                <w:left w:val="none" w:sz="0" w:space="0" w:color="auto"/>
                                <w:bottom w:val="none" w:sz="0" w:space="0" w:color="auto"/>
                                <w:right w:val="none" w:sz="0" w:space="0" w:color="auto"/>
                              </w:divBdr>
                              <w:divsChild>
                                <w:div w:id="1815638634">
                                  <w:marLeft w:val="0"/>
                                  <w:marRight w:val="0"/>
                                  <w:marTop w:val="0"/>
                                  <w:marBottom w:val="0"/>
                                  <w:divBdr>
                                    <w:top w:val="none" w:sz="0" w:space="0" w:color="auto"/>
                                    <w:left w:val="none" w:sz="0" w:space="0" w:color="auto"/>
                                    <w:bottom w:val="none" w:sz="0" w:space="0" w:color="auto"/>
                                    <w:right w:val="none" w:sz="0" w:space="0" w:color="auto"/>
                                  </w:divBdr>
                                  <w:divsChild>
                                    <w:div w:id="984048574">
                                      <w:marLeft w:val="0"/>
                                      <w:marRight w:val="0"/>
                                      <w:marTop w:val="0"/>
                                      <w:marBottom w:val="0"/>
                                      <w:divBdr>
                                        <w:top w:val="none" w:sz="0" w:space="0" w:color="auto"/>
                                        <w:left w:val="none" w:sz="0" w:space="0" w:color="auto"/>
                                        <w:bottom w:val="none" w:sz="0" w:space="0" w:color="auto"/>
                                        <w:right w:val="none" w:sz="0" w:space="0" w:color="auto"/>
                                      </w:divBdr>
                                      <w:divsChild>
                                        <w:div w:id="2125689636">
                                          <w:marLeft w:val="0"/>
                                          <w:marRight w:val="0"/>
                                          <w:marTop w:val="0"/>
                                          <w:marBottom w:val="0"/>
                                          <w:divBdr>
                                            <w:top w:val="none" w:sz="0" w:space="0" w:color="auto"/>
                                            <w:left w:val="none" w:sz="0" w:space="0" w:color="auto"/>
                                            <w:bottom w:val="none" w:sz="0" w:space="0" w:color="auto"/>
                                            <w:right w:val="none" w:sz="0" w:space="0" w:color="auto"/>
                                          </w:divBdr>
                                          <w:divsChild>
                                            <w:div w:id="643588034">
                                              <w:marLeft w:val="0"/>
                                              <w:marRight w:val="0"/>
                                              <w:marTop w:val="0"/>
                                              <w:marBottom w:val="0"/>
                                              <w:divBdr>
                                                <w:top w:val="none" w:sz="0" w:space="0" w:color="auto"/>
                                                <w:left w:val="none" w:sz="0" w:space="0" w:color="auto"/>
                                                <w:bottom w:val="none" w:sz="0" w:space="0" w:color="auto"/>
                                                <w:right w:val="none" w:sz="0" w:space="0" w:color="auto"/>
                                              </w:divBdr>
                                              <w:divsChild>
                                                <w:div w:id="665208840">
                                                  <w:marLeft w:val="0"/>
                                                  <w:marRight w:val="0"/>
                                                  <w:marTop w:val="0"/>
                                                  <w:marBottom w:val="0"/>
                                                  <w:divBdr>
                                                    <w:top w:val="none" w:sz="0" w:space="0" w:color="auto"/>
                                                    <w:left w:val="none" w:sz="0" w:space="0" w:color="auto"/>
                                                    <w:bottom w:val="none" w:sz="0" w:space="0" w:color="auto"/>
                                                    <w:right w:val="none" w:sz="0" w:space="0" w:color="auto"/>
                                                  </w:divBdr>
                                                  <w:divsChild>
                                                    <w:div w:id="252477318">
                                                      <w:marLeft w:val="0"/>
                                                      <w:marRight w:val="0"/>
                                                      <w:marTop w:val="0"/>
                                                      <w:marBottom w:val="0"/>
                                                      <w:divBdr>
                                                        <w:top w:val="none" w:sz="0" w:space="0" w:color="auto"/>
                                                        <w:left w:val="none" w:sz="0" w:space="0" w:color="auto"/>
                                                        <w:bottom w:val="none" w:sz="0" w:space="0" w:color="auto"/>
                                                        <w:right w:val="none" w:sz="0" w:space="0" w:color="auto"/>
                                                      </w:divBdr>
                                                      <w:divsChild>
                                                        <w:div w:id="1627158850">
                                                          <w:marLeft w:val="0"/>
                                                          <w:marRight w:val="0"/>
                                                          <w:marTop w:val="0"/>
                                                          <w:marBottom w:val="0"/>
                                                          <w:divBdr>
                                                            <w:top w:val="none" w:sz="0" w:space="0" w:color="auto"/>
                                                            <w:left w:val="none" w:sz="0" w:space="0" w:color="auto"/>
                                                            <w:bottom w:val="none" w:sz="0" w:space="0" w:color="auto"/>
                                                            <w:right w:val="none" w:sz="0" w:space="0" w:color="auto"/>
                                                          </w:divBdr>
                                                          <w:divsChild>
                                                            <w:div w:id="12540198">
                                                              <w:marLeft w:val="0"/>
                                                              <w:marRight w:val="0"/>
                                                              <w:marTop w:val="0"/>
                                                              <w:marBottom w:val="0"/>
                                                              <w:divBdr>
                                                                <w:top w:val="none" w:sz="0" w:space="0" w:color="auto"/>
                                                                <w:left w:val="none" w:sz="0" w:space="0" w:color="auto"/>
                                                                <w:bottom w:val="none" w:sz="0" w:space="0" w:color="auto"/>
                                                                <w:right w:val="none" w:sz="0" w:space="0" w:color="auto"/>
                                                              </w:divBdr>
                                                              <w:divsChild>
                                                                <w:div w:id="1882209776">
                                                                  <w:marLeft w:val="0"/>
                                                                  <w:marRight w:val="0"/>
                                                                  <w:marTop w:val="0"/>
                                                                  <w:marBottom w:val="0"/>
                                                                  <w:divBdr>
                                                                    <w:top w:val="none" w:sz="0" w:space="0" w:color="auto"/>
                                                                    <w:left w:val="none" w:sz="0" w:space="0" w:color="auto"/>
                                                                    <w:bottom w:val="none" w:sz="0" w:space="0" w:color="auto"/>
                                                                    <w:right w:val="none" w:sz="0" w:space="0" w:color="auto"/>
                                                                  </w:divBdr>
                                                                  <w:divsChild>
                                                                    <w:div w:id="197209574">
                                                                      <w:marLeft w:val="0"/>
                                                                      <w:marRight w:val="0"/>
                                                                      <w:marTop w:val="0"/>
                                                                      <w:marBottom w:val="0"/>
                                                                      <w:divBdr>
                                                                        <w:top w:val="none" w:sz="0" w:space="0" w:color="auto"/>
                                                                        <w:left w:val="none" w:sz="0" w:space="0" w:color="auto"/>
                                                                        <w:bottom w:val="none" w:sz="0" w:space="0" w:color="auto"/>
                                                                        <w:right w:val="none" w:sz="0" w:space="0" w:color="auto"/>
                                                                      </w:divBdr>
                                                                      <w:divsChild>
                                                                        <w:div w:id="673655754">
                                                                          <w:marLeft w:val="0"/>
                                                                          <w:marRight w:val="0"/>
                                                                          <w:marTop w:val="0"/>
                                                                          <w:marBottom w:val="0"/>
                                                                          <w:divBdr>
                                                                            <w:top w:val="none" w:sz="0" w:space="0" w:color="auto"/>
                                                                            <w:left w:val="none" w:sz="0" w:space="0" w:color="auto"/>
                                                                            <w:bottom w:val="none" w:sz="0" w:space="0" w:color="auto"/>
                                                                            <w:right w:val="none" w:sz="0" w:space="0" w:color="auto"/>
                                                                          </w:divBdr>
                                                                          <w:divsChild>
                                                                            <w:div w:id="313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554713">
      <w:bodyDiv w:val="1"/>
      <w:marLeft w:val="0"/>
      <w:marRight w:val="0"/>
      <w:marTop w:val="0"/>
      <w:marBottom w:val="0"/>
      <w:divBdr>
        <w:top w:val="none" w:sz="0" w:space="0" w:color="auto"/>
        <w:left w:val="none" w:sz="0" w:space="0" w:color="auto"/>
        <w:bottom w:val="none" w:sz="0" w:space="0" w:color="auto"/>
        <w:right w:val="none" w:sz="0" w:space="0" w:color="auto"/>
      </w:divBdr>
    </w:div>
    <w:div w:id="1281181525">
      <w:bodyDiv w:val="1"/>
      <w:marLeft w:val="0"/>
      <w:marRight w:val="0"/>
      <w:marTop w:val="0"/>
      <w:marBottom w:val="0"/>
      <w:divBdr>
        <w:top w:val="none" w:sz="0" w:space="0" w:color="auto"/>
        <w:left w:val="none" w:sz="0" w:space="0" w:color="auto"/>
        <w:bottom w:val="none" w:sz="0" w:space="0" w:color="auto"/>
        <w:right w:val="none" w:sz="0" w:space="0" w:color="auto"/>
      </w:divBdr>
    </w:div>
    <w:div w:id="1424954468">
      <w:bodyDiv w:val="1"/>
      <w:marLeft w:val="0"/>
      <w:marRight w:val="0"/>
      <w:marTop w:val="0"/>
      <w:marBottom w:val="0"/>
      <w:divBdr>
        <w:top w:val="none" w:sz="0" w:space="0" w:color="auto"/>
        <w:left w:val="none" w:sz="0" w:space="0" w:color="auto"/>
        <w:bottom w:val="none" w:sz="0" w:space="0" w:color="auto"/>
        <w:right w:val="none" w:sz="0" w:space="0" w:color="auto"/>
      </w:divBdr>
      <w:divsChild>
        <w:div w:id="1784689762">
          <w:marLeft w:val="0"/>
          <w:marRight w:val="0"/>
          <w:marTop w:val="0"/>
          <w:marBottom w:val="0"/>
          <w:divBdr>
            <w:top w:val="none" w:sz="0" w:space="0" w:color="auto"/>
            <w:left w:val="none" w:sz="0" w:space="0" w:color="auto"/>
            <w:bottom w:val="none" w:sz="0" w:space="0" w:color="auto"/>
            <w:right w:val="none" w:sz="0" w:space="0" w:color="auto"/>
          </w:divBdr>
          <w:divsChild>
            <w:div w:id="320352394">
              <w:marLeft w:val="0"/>
              <w:marRight w:val="0"/>
              <w:marTop w:val="0"/>
              <w:marBottom w:val="0"/>
              <w:divBdr>
                <w:top w:val="none" w:sz="0" w:space="0" w:color="auto"/>
                <w:left w:val="none" w:sz="0" w:space="0" w:color="auto"/>
                <w:bottom w:val="none" w:sz="0" w:space="0" w:color="auto"/>
                <w:right w:val="none" w:sz="0" w:space="0" w:color="auto"/>
              </w:divBdr>
              <w:divsChild>
                <w:div w:id="1367871752">
                  <w:marLeft w:val="0"/>
                  <w:marRight w:val="0"/>
                  <w:marTop w:val="0"/>
                  <w:marBottom w:val="0"/>
                  <w:divBdr>
                    <w:top w:val="none" w:sz="0" w:space="0" w:color="auto"/>
                    <w:left w:val="none" w:sz="0" w:space="0" w:color="auto"/>
                    <w:bottom w:val="none" w:sz="0" w:space="0" w:color="auto"/>
                    <w:right w:val="none" w:sz="0" w:space="0" w:color="auto"/>
                  </w:divBdr>
                  <w:divsChild>
                    <w:div w:id="286863843">
                      <w:marLeft w:val="0"/>
                      <w:marRight w:val="0"/>
                      <w:marTop w:val="0"/>
                      <w:marBottom w:val="0"/>
                      <w:divBdr>
                        <w:top w:val="none" w:sz="0" w:space="0" w:color="auto"/>
                        <w:left w:val="none" w:sz="0" w:space="0" w:color="auto"/>
                        <w:bottom w:val="none" w:sz="0" w:space="0" w:color="auto"/>
                        <w:right w:val="none" w:sz="0" w:space="0" w:color="auto"/>
                      </w:divBdr>
                      <w:divsChild>
                        <w:div w:id="1580863344">
                          <w:marLeft w:val="0"/>
                          <w:marRight w:val="0"/>
                          <w:marTop w:val="0"/>
                          <w:marBottom w:val="0"/>
                          <w:divBdr>
                            <w:top w:val="none" w:sz="0" w:space="0" w:color="auto"/>
                            <w:left w:val="none" w:sz="0" w:space="0" w:color="auto"/>
                            <w:bottom w:val="none" w:sz="0" w:space="0" w:color="auto"/>
                            <w:right w:val="none" w:sz="0" w:space="0" w:color="auto"/>
                          </w:divBdr>
                          <w:divsChild>
                            <w:div w:id="1096093200">
                              <w:marLeft w:val="0"/>
                              <w:marRight w:val="0"/>
                              <w:marTop w:val="0"/>
                              <w:marBottom w:val="0"/>
                              <w:divBdr>
                                <w:top w:val="none" w:sz="0" w:space="0" w:color="auto"/>
                                <w:left w:val="none" w:sz="0" w:space="0" w:color="auto"/>
                                <w:bottom w:val="none" w:sz="0" w:space="0" w:color="auto"/>
                                <w:right w:val="none" w:sz="0" w:space="0" w:color="auto"/>
                              </w:divBdr>
                              <w:divsChild>
                                <w:div w:id="6054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283586">
      <w:bodyDiv w:val="1"/>
      <w:marLeft w:val="0"/>
      <w:marRight w:val="0"/>
      <w:marTop w:val="0"/>
      <w:marBottom w:val="0"/>
      <w:divBdr>
        <w:top w:val="none" w:sz="0" w:space="0" w:color="auto"/>
        <w:left w:val="none" w:sz="0" w:space="0" w:color="auto"/>
        <w:bottom w:val="none" w:sz="0" w:space="0" w:color="auto"/>
        <w:right w:val="none" w:sz="0" w:space="0" w:color="auto"/>
      </w:divBdr>
      <w:divsChild>
        <w:div w:id="1051491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2548">
              <w:marLeft w:val="0"/>
              <w:marRight w:val="0"/>
              <w:marTop w:val="0"/>
              <w:marBottom w:val="0"/>
              <w:divBdr>
                <w:top w:val="none" w:sz="0" w:space="0" w:color="auto"/>
                <w:left w:val="none" w:sz="0" w:space="0" w:color="auto"/>
                <w:bottom w:val="none" w:sz="0" w:space="0" w:color="auto"/>
                <w:right w:val="none" w:sz="0" w:space="0" w:color="auto"/>
              </w:divBdr>
              <w:divsChild>
                <w:div w:id="1525047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784984">
                      <w:marLeft w:val="0"/>
                      <w:marRight w:val="0"/>
                      <w:marTop w:val="0"/>
                      <w:marBottom w:val="0"/>
                      <w:divBdr>
                        <w:top w:val="none" w:sz="0" w:space="0" w:color="auto"/>
                        <w:left w:val="none" w:sz="0" w:space="0" w:color="auto"/>
                        <w:bottom w:val="none" w:sz="0" w:space="0" w:color="auto"/>
                        <w:right w:val="none" w:sz="0" w:space="0" w:color="auto"/>
                      </w:divBdr>
                      <w:divsChild>
                        <w:div w:id="1342317569">
                          <w:marLeft w:val="0"/>
                          <w:marRight w:val="0"/>
                          <w:marTop w:val="0"/>
                          <w:marBottom w:val="0"/>
                          <w:divBdr>
                            <w:top w:val="none" w:sz="0" w:space="0" w:color="auto"/>
                            <w:left w:val="none" w:sz="0" w:space="0" w:color="auto"/>
                            <w:bottom w:val="none" w:sz="0" w:space="0" w:color="auto"/>
                            <w:right w:val="none" w:sz="0" w:space="0" w:color="auto"/>
                          </w:divBdr>
                          <w:divsChild>
                            <w:div w:id="1104425332">
                              <w:marLeft w:val="0"/>
                              <w:marRight w:val="0"/>
                              <w:marTop w:val="0"/>
                              <w:marBottom w:val="0"/>
                              <w:divBdr>
                                <w:top w:val="none" w:sz="0" w:space="0" w:color="auto"/>
                                <w:left w:val="none" w:sz="0" w:space="0" w:color="auto"/>
                                <w:bottom w:val="none" w:sz="0" w:space="0" w:color="auto"/>
                                <w:right w:val="none" w:sz="0" w:space="0" w:color="auto"/>
                              </w:divBdr>
                              <w:divsChild>
                                <w:div w:id="1458526763">
                                  <w:marLeft w:val="0"/>
                                  <w:marRight w:val="0"/>
                                  <w:marTop w:val="0"/>
                                  <w:marBottom w:val="0"/>
                                  <w:divBdr>
                                    <w:top w:val="none" w:sz="0" w:space="0" w:color="auto"/>
                                    <w:left w:val="none" w:sz="0" w:space="0" w:color="auto"/>
                                    <w:bottom w:val="none" w:sz="0" w:space="0" w:color="auto"/>
                                    <w:right w:val="none" w:sz="0" w:space="0" w:color="auto"/>
                                  </w:divBdr>
                                  <w:divsChild>
                                    <w:div w:id="1960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aveslive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mj.com/about-bmj/resources-authors/forms-policies-and-checklists/copyright-open-access-and-permission-reuse" TargetMode="External"/><Relationship Id="rId4" Type="http://schemas.openxmlformats.org/officeDocument/2006/relationships/settings" Target="settings.xml"/><Relationship Id="rId9" Type="http://schemas.openxmlformats.org/officeDocument/2006/relationships/hyperlink" Target="http://www.pcor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5B8D-A1C3-4665-82C8-834D8DAA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15738</Words>
  <Characters>89709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Tjeerd</dc:creator>
  <cp:keywords/>
  <dc:description/>
  <cp:lastModifiedBy>Tjeerd</cp:lastModifiedBy>
  <cp:revision>4</cp:revision>
  <cp:lastPrinted>2016-03-08T13:19:00Z</cp:lastPrinted>
  <dcterms:created xsi:type="dcterms:W3CDTF">2016-03-08T13:19:00Z</dcterms:created>
  <dcterms:modified xsi:type="dcterms:W3CDTF">2016-03-08T13:26:00Z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vanstaat@gmail.com@www.mendeley.com</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http://www.zotero.org/styles/bmj</vt:lpwstr>
  </property>
  <property fmtid="{D5CDD505-2E9C-101B-9397-08002B2CF9AE}" pid="11" name="Mendeley Recent Style Name 3_1">
    <vt:lpwstr>BMJ</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http://www.zotero.org/styles/plos-medicine</vt:lpwstr>
  </property>
  <property fmtid="{D5CDD505-2E9C-101B-9397-08002B2CF9AE}" pid="21" name="Mendeley Recent Style Name 8_1">
    <vt:lpwstr>PLOS Medicine</vt:lpwstr>
  </property>
  <property fmtid="{D5CDD505-2E9C-101B-9397-08002B2CF9AE}" pid="22" name="Mendeley Recent Style Id 9_1">
    <vt:lpwstr>http://www.zotero.org/styles/the-lancet</vt:lpwstr>
  </property>
  <property fmtid="{D5CDD505-2E9C-101B-9397-08002B2CF9AE}" pid="23" name="Mendeley Recent Style Name 9_1">
    <vt:lpwstr>The Lancet</vt:lpwstr>
  </property>
  <property fmtid="{D5CDD505-2E9C-101B-9397-08002B2CF9AE}" pid="24" name="ZOTERO_PREF_1">
    <vt:lpwstr>&lt;data data-version="3" zotero-version="4.0.28.1"&gt;&lt;session id="ifkcUF8E"/&gt;&lt;style id="http://www.zotero.org/styles/vancouver" locale="en-GB" hasBibliography="1" bibliographyStyleHasBeenSet="1"/&gt;&lt;prefs&gt;&lt;pref name="fieldType" value="Field"/&gt;&lt;pref name="storeR</vt:lpwstr>
  </property>
  <property fmtid="{D5CDD505-2E9C-101B-9397-08002B2CF9AE}" pid="25" name="ZOTERO_PREF_2">
    <vt:lpwstr>eferences" value="true"/&gt;&lt;pref name="automaticJournalAbbreviations" value="true"/&gt;&lt;pref name="noteType" value=""/&gt;&lt;/prefs&gt;&lt;/data&gt;</vt:lpwstr>
  </property>
  <property fmtid="{D5CDD505-2E9C-101B-9397-08002B2CF9AE}" pid="26" name="Mendeley Citation Style_1">
    <vt:lpwstr>http://www.zotero.org/styles/bmj</vt:lpwstr>
  </property>
</Properties>
</file>