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225C" w14:textId="77777777" w:rsidR="00357B22" w:rsidRDefault="00062FEC">
      <w:pPr>
        <w:pStyle w:val="BodyA"/>
        <w:spacing w:after="20" w:line="480" w:lineRule="auto"/>
        <w:jc w:val="center"/>
        <w:rPr>
          <w:rFonts w:ascii="Times New Roman" w:eastAsia="Times New Roman" w:hAnsi="Times New Roman" w:cs="Times New Roman"/>
          <w:b/>
          <w:bCs/>
        </w:rPr>
      </w:pPr>
      <w:r>
        <w:rPr>
          <w:rFonts w:ascii="Times New Roman" w:hAnsi="Times New Roman"/>
          <w:b/>
          <w:bCs/>
        </w:rPr>
        <w:t xml:space="preserve"> MYT</w:t>
      </w:r>
      <w:r>
        <w:rPr>
          <w:rFonts w:ascii="Times New Roman" w:hAnsi="Times New Roman"/>
          <w:b/>
          <w:bCs/>
          <w:lang w:val="en-US"/>
        </w:rPr>
        <w:t>HS OF COMMON-GOOD CONSTITUTIONALISM</w:t>
      </w:r>
    </w:p>
    <w:p w14:paraId="6FB6CB35" w14:textId="77777777" w:rsidR="00357B22" w:rsidRDefault="00357B22">
      <w:pPr>
        <w:pStyle w:val="BodyA"/>
        <w:spacing w:after="20" w:line="480" w:lineRule="auto"/>
        <w:jc w:val="center"/>
        <w:rPr>
          <w:rFonts w:ascii="Times New Roman" w:eastAsia="Times New Roman" w:hAnsi="Times New Roman" w:cs="Times New Roman"/>
          <w:lang w:val="en-US"/>
        </w:rPr>
      </w:pPr>
    </w:p>
    <w:p w14:paraId="529E9B67" w14:textId="77777777" w:rsidR="00357B22" w:rsidRDefault="00062FEC">
      <w:pPr>
        <w:pStyle w:val="BodyA"/>
        <w:spacing w:after="20" w:line="480" w:lineRule="auto"/>
        <w:jc w:val="center"/>
        <w:rPr>
          <w:rFonts w:ascii="Times New Roman" w:eastAsia="Times New Roman" w:hAnsi="Times New Roman" w:cs="Times New Roman"/>
          <w:b/>
          <w:bCs/>
          <w:lang w:val="en-US"/>
        </w:rPr>
      </w:pPr>
      <w:r>
        <w:rPr>
          <w:rFonts w:ascii="Times New Roman" w:hAnsi="Times New Roman"/>
          <w:b/>
          <w:bCs/>
          <w:lang w:val="en-US"/>
        </w:rPr>
        <w:t>Conor Casey</w:t>
      </w:r>
      <w:r>
        <w:rPr>
          <w:rFonts w:ascii="Times New Roman" w:eastAsia="Times New Roman" w:hAnsi="Times New Roman" w:cs="Times New Roman"/>
          <w:b/>
          <w:bCs/>
          <w:vertAlign w:val="superscript"/>
          <w:lang w:val="en-US"/>
        </w:rPr>
        <w:footnoteReference w:id="2"/>
      </w:r>
      <w:r>
        <w:rPr>
          <w:rFonts w:ascii="Times New Roman" w:hAnsi="Times New Roman"/>
          <w:b/>
          <w:bCs/>
          <w:lang w:val="en-US"/>
        </w:rPr>
        <w:t xml:space="preserve"> &amp; Adrian Vermeule</w:t>
      </w:r>
      <w:bookmarkStart w:id="0" w:name="_Ref92140487"/>
      <w:r>
        <w:rPr>
          <w:rFonts w:ascii="Times New Roman" w:eastAsia="Times New Roman" w:hAnsi="Times New Roman" w:cs="Times New Roman"/>
          <w:b/>
          <w:bCs/>
          <w:vertAlign w:val="superscript"/>
          <w:lang w:val="en-US"/>
        </w:rPr>
        <w:footnoteReference w:id="3"/>
      </w:r>
      <w:bookmarkEnd w:id="0"/>
      <w:r>
        <w:rPr>
          <w:rFonts w:ascii="Times New Roman" w:hAnsi="Times New Roman"/>
          <w:b/>
          <w:bCs/>
          <w:lang w:val="en-US"/>
        </w:rPr>
        <w:t xml:space="preserve"> </w:t>
      </w:r>
    </w:p>
    <w:p w14:paraId="6E0DAAEF" w14:textId="77777777" w:rsidR="00357B22" w:rsidRDefault="00357B22">
      <w:pPr>
        <w:pStyle w:val="Body"/>
        <w:spacing w:after="90"/>
        <w:jc w:val="both"/>
      </w:pPr>
    </w:p>
    <w:p w14:paraId="1D637B5A" w14:textId="77777777" w:rsidR="00357B22" w:rsidRDefault="00357B22">
      <w:pPr>
        <w:pStyle w:val="Body"/>
        <w:spacing w:after="90"/>
        <w:jc w:val="both"/>
      </w:pPr>
    </w:p>
    <w:p w14:paraId="0C7FEE29" w14:textId="77777777" w:rsidR="00357B22" w:rsidRDefault="00062FEC">
      <w:pPr>
        <w:pStyle w:val="Body"/>
        <w:spacing w:after="90"/>
        <w:jc w:val="both"/>
      </w:pPr>
      <w:r>
        <w:rPr>
          <w:rtl/>
          <w:lang w:val="ar-SA"/>
        </w:rPr>
        <w:t>“</w:t>
      </w:r>
      <w:r>
        <w:rPr>
          <w:lang w:val="en-US"/>
        </w:rPr>
        <w:t>[I]f the goal of any society is the common good of its members, it necessarily follows that the purpose of every right is the common good.</w:t>
      </w:r>
      <w:r>
        <w:t>”</w:t>
      </w:r>
    </w:p>
    <w:p w14:paraId="22E052CB" w14:textId="77777777" w:rsidR="00357B22" w:rsidRDefault="00357B22">
      <w:pPr>
        <w:pStyle w:val="Body"/>
        <w:spacing w:after="90"/>
        <w:jc w:val="both"/>
      </w:pPr>
    </w:p>
    <w:p w14:paraId="12D4FC8E" w14:textId="77777777" w:rsidR="00357B22" w:rsidRDefault="00062FEC">
      <w:pPr>
        <w:pStyle w:val="Body"/>
        <w:spacing w:after="90"/>
        <w:jc w:val="both"/>
      </w:pPr>
      <w:r>
        <w:rPr>
          <w:smallCaps/>
          <w:lang w:val="it-IT"/>
        </w:rPr>
        <w:t xml:space="preserve">Dante Alighieri, De </w:t>
      </w:r>
      <w:r>
        <w:rPr>
          <w:smallCaps/>
        </w:rPr>
        <w:t>M</w:t>
      </w:r>
      <w:proofErr w:type="spellStart"/>
      <w:r>
        <w:rPr>
          <w:smallCaps/>
          <w:lang w:val="it-IT"/>
        </w:rPr>
        <w:t>onarchia</w:t>
      </w:r>
      <w:proofErr w:type="spellEnd"/>
      <w:r>
        <w:rPr>
          <w:lang w:val="en-US"/>
        </w:rPr>
        <w:t xml:space="preserve"> 40 (Prue Shaw trans. and ed., 1996)</w:t>
      </w:r>
    </w:p>
    <w:p w14:paraId="0FE9A004" w14:textId="77777777" w:rsidR="00357B22" w:rsidRDefault="00357B22">
      <w:pPr>
        <w:pStyle w:val="Body"/>
        <w:spacing w:after="90"/>
        <w:jc w:val="both"/>
      </w:pPr>
    </w:p>
    <w:p w14:paraId="10AC776C" w14:textId="77777777" w:rsidR="00357B22" w:rsidRDefault="00062FEC">
      <w:pPr>
        <w:pStyle w:val="BodyA"/>
        <w:spacing w:after="20" w:line="360" w:lineRule="auto"/>
        <w:rPr>
          <w:rFonts w:ascii="Times New Roman" w:eastAsia="Times New Roman" w:hAnsi="Times New Roman" w:cs="Times New Roman"/>
          <w:lang w:val="en-US"/>
        </w:rPr>
      </w:pPr>
      <w:r>
        <w:rPr>
          <w:rFonts w:ascii="Times New Roman" w:hAnsi="Times New Roman"/>
          <w:lang w:val="en-US"/>
        </w:rPr>
        <w:t>“</w:t>
      </w:r>
      <w:r>
        <w:rPr>
          <w:rFonts w:ascii="Times New Roman" w:hAnsi="Times New Roman"/>
          <w:lang w:val="en-US"/>
        </w:rPr>
        <w:t>[T]o govern is to lead the thing governed in a suitable way towards its proper end.</w:t>
      </w:r>
      <w:r>
        <w:rPr>
          <w:rFonts w:ascii="Times New Roman" w:hAnsi="Times New Roman"/>
          <w:lang w:val="en-US"/>
        </w:rPr>
        <w:t>”</w:t>
      </w:r>
    </w:p>
    <w:p w14:paraId="436E2607" w14:textId="77777777" w:rsidR="00357B22" w:rsidRDefault="00357B22">
      <w:pPr>
        <w:pStyle w:val="BodyA"/>
        <w:spacing w:after="20" w:line="360" w:lineRule="auto"/>
        <w:rPr>
          <w:rFonts w:ascii="Times New Roman" w:eastAsia="Times New Roman" w:hAnsi="Times New Roman" w:cs="Times New Roman"/>
          <w:lang w:val="en-US"/>
        </w:rPr>
      </w:pPr>
    </w:p>
    <w:p w14:paraId="73B5B26E" w14:textId="77777777" w:rsidR="00357B22" w:rsidRDefault="00062FEC">
      <w:pPr>
        <w:pStyle w:val="BodyA"/>
        <w:spacing w:after="20" w:line="360" w:lineRule="auto"/>
        <w:rPr>
          <w:rFonts w:ascii="Times New Roman" w:eastAsia="Times New Roman" w:hAnsi="Times New Roman" w:cs="Times New Roman"/>
          <w:lang w:val="en-US"/>
        </w:rPr>
      </w:pPr>
      <w:r>
        <w:rPr>
          <w:rFonts w:ascii="Times New Roman" w:hAnsi="Times New Roman"/>
          <w:smallCaps/>
          <w:lang w:val="en-US"/>
        </w:rPr>
        <w:t>Thomas Aquinas, De Regno</w:t>
      </w:r>
      <w:r>
        <w:rPr>
          <w:rFonts w:ascii="Times New Roman" w:hAnsi="Times New Roman"/>
          <w:i/>
          <w:iCs/>
          <w:lang w:val="en-US"/>
        </w:rPr>
        <w:t xml:space="preserve"> </w:t>
      </w:r>
      <w:r>
        <w:rPr>
          <w:rFonts w:ascii="Times New Roman" w:hAnsi="Times New Roman"/>
          <w:lang w:val="en-US"/>
        </w:rPr>
        <w:t xml:space="preserve">(Gerald B. Phelan trans. 2012). </w:t>
      </w:r>
    </w:p>
    <w:p w14:paraId="1C8B28A3" w14:textId="77777777" w:rsidR="00357B22" w:rsidRDefault="00357B22">
      <w:pPr>
        <w:pStyle w:val="BodyA"/>
        <w:spacing w:after="20" w:line="480" w:lineRule="auto"/>
        <w:jc w:val="both"/>
        <w:rPr>
          <w:rFonts w:ascii="Times New Roman" w:eastAsia="Times New Roman" w:hAnsi="Times New Roman" w:cs="Times New Roman"/>
          <w:lang w:val="en-US"/>
        </w:rPr>
      </w:pPr>
    </w:p>
    <w:p w14:paraId="21A2C6AA"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In this Essay, we take stock of the </w:t>
      </w:r>
      <w:r>
        <w:rPr>
          <w:rFonts w:ascii="Times New Roman" w:eastAsia="Times New Roman" w:hAnsi="Times New Roman" w:cs="Times New Roman"/>
          <w:lang w:val="en-US"/>
        </w:rPr>
        <w:t>debate over common good constitutionalism and the revival of the classical legal tradition. In doing so, we suggest that several of the most common critiques of that revival are based on serious misconceptions and tendentious, question-begging claims, espe</w:t>
      </w:r>
      <w:r>
        <w:rPr>
          <w:rFonts w:ascii="Times New Roman" w:eastAsia="Times New Roman" w:hAnsi="Times New Roman" w:cs="Times New Roman"/>
          <w:lang w:val="en-US"/>
        </w:rPr>
        <w:t>cially for the superiority of originalism.</w:t>
      </w:r>
    </w:p>
    <w:p w14:paraId="7CAC2C3D"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The past eighteen months or so have seen an outpouring of remarkable claims, from both originalist and progressive legal scholars, about the classical legal tradition and its emphasis on the common good. They inc</w:t>
      </w:r>
      <w:r>
        <w:rPr>
          <w:rFonts w:ascii="Times New Roman" w:eastAsia="Times New Roman" w:hAnsi="Times New Roman" w:cs="Times New Roman"/>
          <w:lang w:val="en-US"/>
        </w:rPr>
        <w:t xml:space="preserve">lude the following, or minor variants of the following: </w:t>
      </w:r>
    </w:p>
    <w:p w14:paraId="742A211C" w14:textId="77777777" w:rsidR="00357B22" w:rsidRDefault="00062FEC">
      <w:pPr>
        <w:pStyle w:val="BodyA"/>
        <w:numPr>
          <w:ilvl w:val="0"/>
          <w:numId w:val="2"/>
        </w:numPr>
        <w:spacing w:after="20" w:line="480" w:lineRule="auto"/>
        <w:jc w:val="both"/>
        <w:rPr>
          <w:rFonts w:ascii="Times New Roman" w:hAnsi="Times New Roman"/>
          <w:lang w:val="en-US"/>
        </w:rPr>
      </w:pPr>
      <w:r>
        <w:rPr>
          <w:rFonts w:ascii="Times New Roman" w:hAnsi="Times New Roman"/>
          <w:lang w:val="en-US"/>
        </w:rPr>
        <w:t>Legal and constitutional interpretation in the classical tradition substitutes morality for law and reduces legal questions to all-things-considered moral decision-making from first principles.</w:t>
      </w:r>
    </w:p>
    <w:p w14:paraId="0F45203E" w14:textId="77777777" w:rsidR="00357B22" w:rsidRDefault="00062FEC">
      <w:pPr>
        <w:pStyle w:val="BodyA"/>
        <w:numPr>
          <w:ilvl w:val="0"/>
          <w:numId w:val="2"/>
        </w:numPr>
        <w:spacing w:after="20" w:line="480" w:lineRule="auto"/>
        <w:jc w:val="both"/>
        <w:rPr>
          <w:rFonts w:ascii="Times New Roman" w:hAnsi="Times New Roman"/>
          <w:lang w:val="en-US"/>
        </w:rPr>
      </w:pPr>
      <w:r>
        <w:rPr>
          <w:rFonts w:ascii="Times New Roman" w:hAnsi="Times New Roman"/>
          <w:lang w:val="en-US"/>
        </w:rPr>
        <w:lastRenderedPageBreak/>
        <w:t>The c</w:t>
      </w:r>
      <w:r>
        <w:rPr>
          <w:rFonts w:ascii="Times New Roman" w:hAnsi="Times New Roman"/>
          <w:lang w:val="en-US"/>
        </w:rPr>
        <w:t>lassical tradition ignores the text and has no respect for posited law.</w:t>
      </w:r>
    </w:p>
    <w:p w14:paraId="69F2A1BE" w14:textId="77777777" w:rsidR="00357B22" w:rsidRDefault="00062FEC">
      <w:pPr>
        <w:pStyle w:val="BodyA"/>
        <w:numPr>
          <w:ilvl w:val="0"/>
          <w:numId w:val="2"/>
        </w:numPr>
        <w:spacing w:after="20" w:line="480" w:lineRule="auto"/>
        <w:jc w:val="both"/>
        <w:rPr>
          <w:rFonts w:ascii="Times New Roman" w:hAnsi="Times New Roman"/>
          <w:lang w:val="en-US"/>
        </w:rPr>
      </w:pPr>
      <w:r>
        <w:rPr>
          <w:rFonts w:ascii="Times New Roman" w:hAnsi="Times New Roman"/>
          <w:lang w:val="en-US"/>
        </w:rPr>
        <w:t>An official oath to respect the Constitution and laws requires an originalist approach to constitutional interpretation.</w:t>
      </w:r>
    </w:p>
    <w:p w14:paraId="1C33F135" w14:textId="77777777" w:rsidR="00357B22" w:rsidRDefault="00062FEC">
      <w:pPr>
        <w:pStyle w:val="BodyA"/>
        <w:numPr>
          <w:ilvl w:val="0"/>
          <w:numId w:val="2"/>
        </w:numPr>
        <w:spacing w:after="20" w:line="480" w:lineRule="auto"/>
        <w:jc w:val="both"/>
        <w:rPr>
          <w:rFonts w:ascii="Times New Roman" w:hAnsi="Times New Roman"/>
          <w:lang w:val="en-US"/>
        </w:rPr>
      </w:pPr>
      <w:r>
        <w:rPr>
          <w:rFonts w:ascii="Times New Roman" w:hAnsi="Times New Roman"/>
          <w:lang w:val="en-US"/>
        </w:rPr>
        <w:t>The classical tradition licenses judges to rule as they see fit</w:t>
      </w:r>
      <w:r>
        <w:rPr>
          <w:rFonts w:ascii="Times New Roman" w:hAnsi="Times New Roman"/>
          <w:lang w:val="en-US"/>
        </w:rPr>
        <w:t xml:space="preserve"> for the common good; common good constitutionalism is thus synonymous with judicial supremacy. </w:t>
      </w:r>
    </w:p>
    <w:p w14:paraId="0FB94969" w14:textId="77777777" w:rsidR="00357B22" w:rsidRDefault="00062FEC">
      <w:pPr>
        <w:pStyle w:val="BodyA"/>
        <w:numPr>
          <w:ilvl w:val="0"/>
          <w:numId w:val="2"/>
        </w:numPr>
        <w:spacing w:after="20" w:line="480" w:lineRule="auto"/>
        <w:jc w:val="both"/>
        <w:rPr>
          <w:rFonts w:ascii="Times New Roman" w:hAnsi="Times New Roman"/>
          <w:lang w:val="en-US"/>
        </w:rPr>
      </w:pPr>
      <w:r>
        <w:rPr>
          <w:rFonts w:ascii="Times New Roman" w:hAnsi="Times New Roman"/>
          <w:lang w:val="en-US"/>
        </w:rPr>
        <w:t>Alternatively, common good constitutionalism is synonymous with executive supremacy and an absence of checks and balances on executive power.</w:t>
      </w:r>
    </w:p>
    <w:p w14:paraId="5241FBBD" w14:textId="77777777" w:rsidR="00357B22" w:rsidRDefault="00062FEC">
      <w:pPr>
        <w:pStyle w:val="BodyA"/>
        <w:numPr>
          <w:ilvl w:val="0"/>
          <w:numId w:val="2"/>
        </w:numPr>
        <w:spacing w:after="20" w:line="480" w:lineRule="auto"/>
        <w:jc w:val="both"/>
        <w:rPr>
          <w:rFonts w:ascii="Times New Roman" w:hAnsi="Times New Roman"/>
          <w:lang w:val="en-US"/>
        </w:rPr>
      </w:pPr>
      <w:r>
        <w:rPr>
          <w:rFonts w:ascii="Times New Roman" w:hAnsi="Times New Roman"/>
          <w:lang w:val="en-US"/>
        </w:rPr>
        <w:t>Common good const</w:t>
      </w:r>
      <w:r>
        <w:rPr>
          <w:rFonts w:ascii="Times New Roman" w:hAnsi="Times New Roman"/>
          <w:lang w:val="en-US"/>
        </w:rPr>
        <w:t>itutionalism has no respect for human rights.</w:t>
      </w:r>
    </w:p>
    <w:p w14:paraId="48635D26" w14:textId="77777777" w:rsidR="00357B22" w:rsidRDefault="00062FEC">
      <w:pPr>
        <w:pStyle w:val="BodyA"/>
        <w:numPr>
          <w:ilvl w:val="0"/>
          <w:numId w:val="2"/>
        </w:numPr>
        <w:spacing w:after="20" w:line="480" w:lineRule="auto"/>
        <w:jc w:val="both"/>
        <w:rPr>
          <w:rFonts w:ascii="Times New Roman" w:hAnsi="Times New Roman"/>
          <w:lang w:val="en-US"/>
        </w:rPr>
      </w:pPr>
      <w:r>
        <w:rPr>
          <w:rFonts w:ascii="Times New Roman" w:hAnsi="Times New Roman"/>
          <w:lang w:val="en-US"/>
        </w:rPr>
        <w:t>Common good constitutionalism is fatally undermined by the fact that there is and will be disagreement between classical lawyers over the content of the natural law in hard cases.</w:t>
      </w:r>
    </w:p>
    <w:p w14:paraId="26F94C54"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hAnsi="Times New Roman"/>
          <w:lang w:val="en-US"/>
        </w:rPr>
        <w:t xml:space="preserve">In what follows, we argue that these claims do not even rise to the level of being either true or false, for they </w:t>
      </w:r>
      <w:proofErr w:type="gramStart"/>
      <w:r>
        <w:rPr>
          <w:rFonts w:ascii="Times New Roman" w:hAnsi="Times New Roman"/>
          <w:lang w:val="en-US"/>
        </w:rPr>
        <w:t>actually fail</w:t>
      </w:r>
      <w:proofErr w:type="gramEnd"/>
      <w:r>
        <w:rPr>
          <w:rFonts w:ascii="Times New Roman" w:hAnsi="Times New Roman"/>
          <w:lang w:val="en-US"/>
        </w:rPr>
        <w:t xml:space="preserve"> to join issue with the classical legal tradition; they transparently beg all the critical questions at issue. In other words, th</w:t>
      </w:r>
      <w:r>
        <w:rPr>
          <w:rFonts w:ascii="Times New Roman" w:hAnsi="Times New Roman"/>
          <w:lang w:val="en-US"/>
        </w:rPr>
        <w:t>ey assume their conclusions, assume away the premises of the classical legal tradition, and generally fail to meet the classical arguments on their own terms. They are best understood, not as serious arguments, but instead as myths offered to define and en</w:t>
      </w:r>
      <w:r>
        <w:rPr>
          <w:rFonts w:ascii="Times New Roman" w:hAnsi="Times New Roman"/>
          <w:lang w:val="en-US"/>
        </w:rPr>
        <w:t xml:space="preserve">force the boundaries of </w:t>
      </w:r>
      <w:proofErr w:type="gramStart"/>
      <w:r>
        <w:rPr>
          <w:rFonts w:ascii="Times New Roman" w:hAnsi="Times New Roman"/>
          <w:lang w:val="en-US"/>
        </w:rPr>
        <w:t>particular socio-legal</w:t>
      </w:r>
      <w:proofErr w:type="gramEnd"/>
      <w:r>
        <w:rPr>
          <w:rFonts w:ascii="Times New Roman" w:hAnsi="Times New Roman"/>
          <w:lang w:val="en-US"/>
        </w:rPr>
        <w:t xml:space="preserve"> communities, such as the originalist legal movement, and to comfort its members. Our hope is to clear away these myths so that actual engagement may occur. We hope to inaugurate a new phase of discussion, one </w:t>
      </w:r>
      <w:r>
        <w:rPr>
          <w:rFonts w:ascii="Times New Roman" w:hAnsi="Times New Roman"/>
          <w:lang w:val="en-US"/>
        </w:rPr>
        <w:t xml:space="preserve">in which critics of the classical legal tradition begin with a baseline comprehension of what it is they are criticizing. In a sense, despite all the </w:t>
      </w:r>
      <w:proofErr w:type="spellStart"/>
      <w:r>
        <w:rPr>
          <w:rFonts w:ascii="Times New Roman" w:hAnsi="Times New Roman"/>
          <w:i/>
          <w:iCs/>
          <w:lang w:val="en-US"/>
        </w:rPr>
        <w:t>sturm</w:t>
      </w:r>
      <w:proofErr w:type="spellEnd"/>
      <w:r>
        <w:rPr>
          <w:rFonts w:ascii="Times New Roman" w:hAnsi="Times New Roman"/>
          <w:i/>
          <w:iCs/>
          <w:lang w:val="en-US"/>
        </w:rPr>
        <w:t xml:space="preserve"> und </w:t>
      </w:r>
      <w:proofErr w:type="spellStart"/>
      <w:r>
        <w:rPr>
          <w:rFonts w:ascii="Times New Roman" w:hAnsi="Times New Roman"/>
          <w:i/>
          <w:iCs/>
          <w:lang w:val="en-US"/>
        </w:rPr>
        <w:t>drang</w:t>
      </w:r>
      <w:proofErr w:type="spellEnd"/>
      <w:r>
        <w:rPr>
          <w:rFonts w:ascii="Times New Roman" w:hAnsi="Times New Roman"/>
          <w:lang w:val="en-US"/>
        </w:rPr>
        <w:t>, the real debate over common-good constitutionalism has yet to begin.</w:t>
      </w:r>
    </w:p>
    <w:p w14:paraId="44F1FDF8"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 xml:space="preserve">Part I sketches the largely ersatz debate so far. Part II introduces the essentials of the classical theory of law and of common good constitutionalism, which is nothing more than the core precepts of the classic legal tradition translated, </w:t>
      </w:r>
      <w:proofErr w:type="gramStart"/>
      <w:r>
        <w:rPr>
          <w:rFonts w:ascii="Times New Roman" w:eastAsia="Times New Roman" w:hAnsi="Times New Roman" w:cs="Times New Roman"/>
          <w:lang w:val="en-US"/>
        </w:rPr>
        <w:t>adapted</w:t>
      </w:r>
      <w:proofErr w:type="gramEnd"/>
      <w:r>
        <w:rPr>
          <w:rFonts w:ascii="Times New Roman" w:eastAsia="Times New Roman" w:hAnsi="Times New Roman" w:cs="Times New Roman"/>
          <w:lang w:val="en-US"/>
        </w:rPr>
        <w:t xml:space="preserve"> and app</w:t>
      </w:r>
      <w:r>
        <w:rPr>
          <w:rFonts w:ascii="Times New Roman" w:eastAsia="Times New Roman" w:hAnsi="Times New Roman" w:cs="Times New Roman"/>
          <w:lang w:val="en-US"/>
        </w:rPr>
        <w:t xml:space="preserve">lied to current </w:t>
      </w:r>
      <w:r>
        <w:rPr>
          <w:rFonts w:ascii="Times New Roman" w:eastAsia="Times New Roman" w:hAnsi="Times New Roman" w:cs="Times New Roman"/>
          <w:lang w:val="en-US"/>
        </w:rPr>
        <w:lastRenderedPageBreak/>
        <w:t xml:space="preserve">constitutional debates. We do not purport to provide a comprehensive statement of the classical theory, but merely offer an introductory </w:t>
      </w:r>
      <w:proofErr w:type="gramStart"/>
      <w:r>
        <w:rPr>
          <w:rFonts w:ascii="Times New Roman" w:eastAsia="Times New Roman" w:hAnsi="Times New Roman" w:cs="Times New Roman"/>
          <w:lang w:val="en-US"/>
        </w:rPr>
        <w:t>mini-primer</w:t>
      </w:r>
      <w:proofErr w:type="gramEnd"/>
      <w:r>
        <w:rPr>
          <w:rFonts w:ascii="Times New Roman" w:eastAsia="Times New Roman" w:hAnsi="Times New Roman" w:cs="Times New Roman"/>
          <w:lang w:val="en-US"/>
        </w:rPr>
        <w:t>, with references to more comprehensive literature. As we will see, the myths we will discus</w:t>
      </w:r>
      <w:r>
        <w:rPr>
          <w:rFonts w:ascii="Times New Roman" w:eastAsia="Times New Roman" w:hAnsi="Times New Roman" w:cs="Times New Roman"/>
          <w:lang w:val="en-US"/>
        </w:rPr>
        <w:t xml:space="preserve">s beg even the elementary questions. Part III explains how the myths are incorrect </w:t>
      </w:r>
      <w:r>
        <w:rPr>
          <w:rFonts w:ascii="Times New Roman" w:hAnsi="Times New Roman"/>
          <w:lang w:val="en-US"/>
        </w:rPr>
        <w:t xml:space="preserve">– </w:t>
      </w:r>
      <w:r>
        <w:rPr>
          <w:rFonts w:ascii="Times New Roman" w:hAnsi="Times New Roman"/>
          <w:lang w:val="en-US"/>
        </w:rPr>
        <w:t>or, more precisely, beg the questions in controversy. In the conclusion, we invite genuine engagement with the classical legal tradition.</w:t>
      </w:r>
    </w:p>
    <w:p w14:paraId="12A8E990"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hAnsi="Times New Roman"/>
          <w:lang w:val="en-US"/>
        </w:rPr>
        <w:t>I. The Debate So Far</w:t>
      </w:r>
    </w:p>
    <w:p w14:paraId="75150450"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The hallmar</w:t>
      </w:r>
      <w:r>
        <w:rPr>
          <w:rFonts w:ascii="Times New Roman" w:eastAsia="Times New Roman" w:hAnsi="Times New Roman" w:cs="Times New Roman"/>
          <w:lang w:val="en-US"/>
        </w:rPr>
        <w:t xml:space="preserve">k of the classical legal tradition is that law, to be law in </w:t>
      </w:r>
      <w:r>
        <w:rPr>
          <w:rFonts w:ascii="Times New Roman" w:hAnsi="Times New Roman"/>
          <w:lang w:val="en-US"/>
        </w:rPr>
        <w:t>the</w:t>
      </w:r>
      <w:r>
        <w:rPr>
          <w:rFonts w:ascii="Times New Roman" w:hAnsi="Times New Roman"/>
          <w:color w:val="FF0000"/>
          <w:u w:color="FF0000"/>
          <w:lang w:val="en-US"/>
        </w:rPr>
        <w:t xml:space="preserve"> </w:t>
      </w:r>
      <w:r>
        <w:rPr>
          <w:rFonts w:ascii="Times New Roman" w:hAnsi="Times New Roman"/>
          <w:lang w:val="en-US"/>
        </w:rPr>
        <w:t>focal sense of that term,</w:t>
      </w:r>
      <w:r>
        <w:rPr>
          <w:rFonts w:ascii="Times New Roman" w:eastAsia="Times New Roman" w:hAnsi="Times New Roman" w:cs="Times New Roman"/>
          <w:vertAlign w:val="superscript"/>
          <w:lang w:val="en-US"/>
        </w:rPr>
        <w:footnoteReference w:id="4"/>
      </w:r>
      <w:r>
        <w:rPr>
          <w:rFonts w:ascii="Times New Roman" w:hAnsi="Times New Roman"/>
          <w:lang w:val="en-US"/>
        </w:rPr>
        <w:t xml:space="preserve"> must be rationally ordered to the common good of the political community. We have argued, as do others, that the classical legal tradition should be explicitly rev</w:t>
      </w:r>
      <w:r>
        <w:rPr>
          <w:rFonts w:ascii="Times New Roman" w:hAnsi="Times New Roman"/>
          <w:lang w:val="en-US"/>
        </w:rPr>
        <w:t xml:space="preserve">ived, adapted, and readopted as the intellectual underpinning upon which officials and jurists understand the purpose and ends of political authority, law, and constitutions. The foundation and rapid success of legal theory blogs like </w:t>
      </w:r>
      <w:r>
        <w:rPr>
          <w:rFonts w:ascii="Times New Roman" w:hAnsi="Times New Roman"/>
          <w:i/>
          <w:iCs/>
          <w:lang w:val="en-US"/>
        </w:rPr>
        <w:t>Ius &amp; Iustitium</w:t>
      </w:r>
      <w:r>
        <w:rPr>
          <w:rFonts w:ascii="Times New Roman" w:eastAsia="Times New Roman" w:hAnsi="Times New Roman" w:cs="Times New Roman"/>
          <w:vertAlign w:val="superscript"/>
          <w:lang w:val="en-US"/>
        </w:rPr>
        <w:footnoteReference w:id="5"/>
      </w:r>
      <w:r>
        <w:rPr>
          <w:rFonts w:ascii="Times New Roman" w:hAnsi="Times New Roman"/>
          <w:lang w:val="en-US"/>
        </w:rPr>
        <w:t xml:space="preserve"> and</w:t>
      </w:r>
      <w:r>
        <w:rPr>
          <w:rFonts w:ascii="Times New Roman" w:hAnsi="Times New Roman"/>
          <w:lang w:val="en-US"/>
        </w:rPr>
        <w:t xml:space="preserve"> of research projects like the </w:t>
      </w:r>
      <w:r>
        <w:rPr>
          <w:rFonts w:ascii="Times New Roman" w:hAnsi="Times New Roman"/>
          <w:i/>
          <w:iCs/>
          <w:lang w:val="en-US"/>
        </w:rPr>
        <w:t>Common Good Project</w:t>
      </w:r>
      <w:r>
        <w:rPr>
          <w:rFonts w:ascii="Times New Roman" w:eastAsia="Times New Roman" w:hAnsi="Times New Roman" w:cs="Times New Roman"/>
          <w:vertAlign w:val="superscript"/>
          <w:lang w:val="en-US"/>
        </w:rPr>
        <w:footnoteReference w:id="6"/>
      </w:r>
      <w:r>
        <w:rPr>
          <w:rFonts w:ascii="Times New Roman" w:hAnsi="Times New Roman"/>
          <w:lang w:val="en-US"/>
        </w:rPr>
        <w:t xml:space="preserve"> based at Oxford University are a testament</w:t>
      </w:r>
      <w:r>
        <w:rPr>
          <w:rFonts w:ascii="Times New Roman" w:hAnsi="Times New Roman"/>
          <w:lang w:val="en-US"/>
        </w:rPr>
        <w:t xml:space="preserve"> to renewed interest in these questions.</w:t>
      </w:r>
    </w:p>
    <w:p w14:paraId="0FA7F87A"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ab/>
        <w:t xml:space="preserve">In April 2020, one of us published a short essay in </w:t>
      </w:r>
      <w:r>
        <w:rPr>
          <w:rFonts w:ascii="Times New Roman" w:hAnsi="Times New Roman"/>
          <w:i/>
          <w:iCs/>
          <w:lang w:val="en-US"/>
        </w:rPr>
        <w:t>The Atlantic</w:t>
      </w:r>
      <w:bookmarkStart w:id="1" w:name="_Ref92142686"/>
      <w:r>
        <w:rPr>
          <w:rFonts w:ascii="Times New Roman" w:eastAsia="Times New Roman" w:hAnsi="Times New Roman" w:cs="Times New Roman"/>
          <w:vertAlign w:val="superscript"/>
          <w:lang w:val="en-US"/>
        </w:rPr>
        <w:footnoteReference w:id="7"/>
      </w:r>
      <w:bookmarkEnd w:id="1"/>
      <w:r>
        <w:rPr>
          <w:rFonts w:ascii="Times New Roman" w:hAnsi="Times New Roman"/>
          <w:i/>
          <w:iCs/>
          <w:lang w:val="en-US"/>
        </w:rPr>
        <w:t xml:space="preserve"> </w:t>
      </w:r>
      <w:r>
        <w:rPr>
          <w:rFonts w:ascii="Times New Roman" w:hAnsi="Times New Roman"/>
          <w:lang w:val="en-US"/>
        </w:rPr>
        <w:t xml:space="preserve">critiquing the dominance of originalist and progressive approaches to law and constitutional interpretation in contemporary legal thought. The essay called for an embrace of </w:t>
      </w:r>
      <w:r>
        <w:rPr>
          <w:rFonts w:ascii="Times New Roman" w:hAnsi="Times New Roman"/>
          <w:lang w:val="en-US"/>
        </w:rPr>
        <w:t>‘</w:t>
      </w:r>
      <w:r>
        <w:rPr>
          <w:rFonts w:ascii="Times New Roman" w:hAnsi="Times New Roman"/>
          <w:lang w:val="en-US"/>
        </w:rPr>
        <w:t>common-good constitutionalism</w:t>
      </w:r>
      <w:r>
        <w:rPr>
          <w:rFonts w:ascii="Times New Roman" w:hAnsi="Times New Roman"/>
          <w:lang w:val="en-US"/>
        </w:rPr>
        <w:t xml:space="preserve">’ </w:t>
      </w:r>
      <w:r>
        <w:rPr>
          <w:rFonts w:ascii="Times New Roman" w:hAnsi="Times New Roman"/>
          <w:lang w:val="en-US"/>
        </w:rPr>
        <w:t>in its place -- the application of core precepts o</w:t>
      </w:r>
      <w:r>
        <w:rPr>
          <w:rFonts w:ascii="Times New Roman" w:hAnsi="Times New Roman"/>
          <w:lang w:val="en-US"/>
        </w:rPr>
        <w:t>f the classical legal tradition to questions of public law and constitutionalism. It is fair to say the essay did not go unnoticed. Certain responses ranged from hostile to apoplectic. In a rare joint-defense alliance, both originalist-libertarians and pro</w:t>
      </w:r>
      <w:r>
        <w:rPr>
          <w:rFonts w:ascii="Times New Roman" w:hAnsi="Times New Roman"/>
          <w:lang w:val="en-US"/>
        </w:rPr>
        <w:t xml:space="preserve">gressives condemned the idea as </w:t>
      </w:r>
      <w:r>
        <w:rPr>
          <w:rFonts w:ascii="Times New Roman" w:hAnsi="Times New Roman"/>
          <w:lang w:val="en-US"/>
        </w:rPr>
        <w:t>“</w:t>
      </w:r>
      <w:r>
        <w:rPr>
          <w:rFonts w:ascii="Times New Roman" w:hAnsi="Times New Roman"/>
          <w:lang w:val="en-US"/>
        </w:rPr>
        <w:t>dangerous</w:t>
      </w:r>
      <w:r>
        <w:rPr>
          <w:rFonts w:ascii="Times New Roman" w:hAnsi="Times New Roman"/>
          <w:lang w:val="en-US"/>
        </w:rPr>
        <w:t xml:space="preserve">” – </w:t>
      </w:r>
      <w:r>
        <w:rPr>
          <w:rFonts w:ascii="Times New Roman" w:hAnsi="Times New Roman"/>
          <w:lang w:val="en-US"/>
        </w:rPr>
        <w:t xml:space="preserve">as subversive of the </w:t>
      </w:r>
      <w:r>
        <w:rPr>
          <w:rFonts w:ascii="Times New Roman" w:hAnsi="Times New Roman"/>
          <w:lang w:val="en-US"/>
        </w:rPr>
        <w:t>United States</w:t>
      </w:r>
      <w:r>
        <w:rPr>
          <w:rFonts w:ascii="Times New Roman" w:hAnsi="Times New Roman"/>
          <w:lang w:val="en-US"/>
        </w:rPr>
        <w:t>’</w:t>
      </w:r>
      <w:r>
        <w:rPr>
          <w:rFonts w:ascii="Times New Roman" w:hAnsi="Times New Roman"/>
          <w:lang w:val="en-US"/>
        </w:rPr>
        <w:t xml:space="preserve"> important founding principles</w:t>
      </w:r>
      <w:r>
        <w:rPr>
          <w:rFonts w:ascii="Times New Roman" w:eastAsia="Times New Roman" w:hAnsi="Times New Roman" w:cs="Times New Roman"/>
          <w:vertAlign w:val="superscript"/>
          <w:lang w:val="en-US"/>
        </w:rPr>
        <w:footnoteReference w:id="8"/>
      </w:r>
      <w:r>
        <w:rPr>
          <w:rFonts w:ascii="Times New Roman" w:hAnsi="Times New Roman"/>
          <w:lang w:val="en-US"/>
        </w:rPr>
        <w:t xml:space="preserve"> and an extended apologia for authoritarianism.</w:t>
      </w:r>
      <w:r>
        <w:rPr>
          <w:rFonts w:ascii="Times New Roman" w:eastAsia="Times New Roman" w:hAnsi="Times New Roman" w:cs="Times New Roman"/>
          <w:vertAlign w:val="superscript"/>
          <w:lang w:val="en-US"/>
        </w:rPr>
        <w:footnoteReference w:id="9"/>
      </w:r>
      <w:r>
        <w:rPr>
          <w:rFonts w:ascii="Times New Roman" w:hAnsi="Times New Roman"/>
          <w:lang w:val="en-US"/>
        </w:rPr>
        <w:t xml:space="preserve"> Rarely have so many advocates of unbridled liberty of thought and discussion encountered an i</w:t>
      </w:r>
      <w:r>
        <w:rPr>
          <w:rFonts w:ascii="Times New Roman" w:hAnsi="Times New Roman"/>
          <w:lang w:val="en-US"/>
        </w:rPr>
        <w:t>dea that they immediately aimed to stamp as beyond the pale.</w:t>
      </w:r>
    </w:p>
    <w:p w14:paraId="51E7539E"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Over time, however, the situation has become quite different. The other present author wrote an article in </w:t>
      </w:r>
      <w:r>
        <w:rPr>
          <w:rFonts w:ascii="Times New Roman" w:hAnsi="Times New Roman"/>
          <w:i/>
          <w:iCs/>
          <w:lang w:val="en-US"/>
        </w:rPr>
        <w:t>Public Law</w:t>
      </w:r>
      <w:r>
        <w:rPr>
          <w:rFonts w:ascii="Times New Roman" w:hAnsi="Times New Roman"/>
          <w:lang w:val="en-US"/>
        </w:rPr>
        <w:t xml:space="preserve"> defending common good constitutionalism from the misguided critique that it </w:t>
      </w:r>
      <w:r>
        <w:rPr>
          <w:rFonts w:ascii="Times New Roman" w:hAnsi="Times New Roman"/>
          <w:lang w:val="en-US"/>
        </w:rPr>
        <w:t>is an intellectual apologia for authoritarianism. Instead, this piece argued that it is an approach to constitutionalism steeped in the classical legal tradition, due to its identification of the primacy of the common good and human flourishing as the just</w:t>
      </w:r>
      <w:r>
        <w:rPr>
          <w:rFonts w:ascii="Times New Roman" w:hAnsi="Times New Roman"/>
          <w:lang w:val="en-US"/>
        </w:rPr>
        <w:t xml:space="preserve">ification </w:t>
      </w:r>
      <w:r>
        <w:rPr>
          <w:rFonts w:ascii="Times New Roman" w:hAnsi="Times New Roman"/>
          <w:lang w:val="en-US"/>
        </w:rPr>
        <w:lastRenderedPageBreak/>
        <w:t>for political authority and its close linkage of legal interpretation to principles of legal morality conducive to this end.</w:t>
      </w:r>
      <w:bookmarkStart w:id="2" w:name="_Ref92056275"/>
      <w:r>
        <w:rPr>
          <w:rFonts w:ascii="Times New Roman" w:eastAsia="Times New Roman" w:hAnsi="Times New Roman" w:cs="Times New Roman"/>
          <w:vertAlign w:val="superscript"/>
          <w:lang w:val="en-US"/>
        </w:rPr>
        <w:footnoteReference w:id="10"/>
      </w:r>
      <w:bookmarkEnd w:id="2"/>
      <w:r>
        <w:rPr>
          <w:rFonts w:ascii="Times New Roman" w:hAnsi="Times New Roman"/>
          <w:lang w:val="en-US"/>
        </w:rPr>
        <w:t xml:space="preserve"> Since then, a series of works, many by younger scholars, has started to draw upon the common good framework, either exp</w:t>
      </w:r>
      <w:r>
        <w:rPr>
          <w:rFonts w:ascii="Times New Roman" w:hAnsi="Times New Roman"/>
          <w:lang w:val="en-US"/>
        </w:rPr>
        <w:t>licating it as a matter of theory,</w:t>
      </w:r>
      <w:r>
        <w:rPr>
          <w:rFonts w:ascii="Times New Roman" w:eastAsia="Times New Roman" w:hAnsi="Times New Roman" w:cs="Times New Roman"/>
          <w:vertAlign w:val="superscript"/>
          <w:lang w:val="en-US"/>
        </w:rPr>
        <w:footnoteReference w:id="11"/>
      </w:r>
      <w:r>
        <w:rPr>
          <w:rFonts w:ascii="Times New Roman" w:hAnsi="Times New Roman"/>
          <w:lang w:val="en-US"/>
        </w:rPr>
        <w:t xml:space="preserve"> or applying it in diverse areas of law.</w:t>
      </w:r>
      <w:r>
        <w:rPr>
          <w:rFonts w:ascii="Times New Roman" w:eastAsia="Times New Roman" w:hAnsi="Times New Roman" w:cs="Times New Roman"/>
          <w:vertAlign w:val="superscript"/>
          <w:lang w:val="en-US"/>
        </w:rPr>
        <w:footnoteReference w:id="12"/>
      </w:r>
      <w:r>
        <w:rPr>
          <w:rFonts w:ascii="Times New Roman" w:hAnsi="Times New Roman"/>
          <w:lang w:val="en-US"/>
        </w:rPr>
        <w:t xml:space="preserve"> </w:t>
      </w:r>
    </w:p>
    <w:p w14:paraId="03393A93"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We, of course, fully anticipate and welcome robust debate both within and about the conceptual paradigm we are sketching. Common good constitutionalism is a theoretical and co</w:t>
      </w:r>
      <w:r>
        <w:rPr>
          <w:rFonts w:ascii="Times New Roman" w:eastAsia="Times New Roman" w:hAnsi="Times New Roman" w:cs="Times New Roman"/>
          <w:lang w:val="en-US"/>
        </w:rPr>
        <w:t xml:space="preserve">nceptual framework, not a laundry list of positions, and thus supports as much internal debate and dissension as occurs within, for example, legal positivism. (Consider the interesting debate between Michael </w:t>
      </w:r>
      <w:proofErr w:type="spellStart"/>
      <w:r>
        <w:rPr>
          <w:rFonts w:ascii="Times New Roman" w:eastAsia="Times New Roman" w:hAnsi="Times New Roman" w:cs="Times New Roman"/>
          <w:lang w:val="en-US"/>
        </w:rPr>
        <w:t>Foran</w:t>
      </w:r>
      <w:proofErr w:type="spellEnd"/>
      <w:r>
        <w:rPr>
          <w:rFonts w:ascii="Times New Roman" w:eastAsia="Times New Roman" w:hAnsi="Times New Roman" w:cs="Times New Roman"/>
          <w:lang w:val="en-US"/>
        </w:rPr>
        <w:t xml:space="preserve"> and Jamie McGowan, conducted within common</w:t>
      </w:r>
      <w:r>
        <w:rPr>
          <w:rFonts w:ascii="Times New Roman" w:eastAsia="Times New Roman" w:hAnsi="Times New Roman" w:cs="Times New Roman"/>
          <w:lang w:val="en-US"/>
        </w:rPr>
        <w:t xml:space="preserve"> good premises, over the scope of judicial review).</w:t>
      </w:r>
      <w:r>
        <w:rPr>
          <w:rFonts w:ascii="Times New Roman" w:eastAsia="Times New Roman" w:hAnsi="Times New Roman" w:cs="Times New Roman"/>
          <w:vertAlign w:val="superscript"/>
          <w:lang w:val="en-US"/>
        </w:rPr>
        <w:footnoteReference w:id="13"/>
      </w:r>
      <w:r>
        <w:rPr>
          <w:rFonts w:ascii="Times New Roman" w:hAnsi="Times New Roman"/>
          <w:lang w:val="en-US"/>
        </w:rPr>
        <w:t xml:space="preserve"> We therefore stress that our goal here is to outline the core precepts of a rich jurisprudential tradition and how they relate to broad issues of public law theory; it is not to set out a checklist of how these precepts would impact specific legal dispute</w:t>
      </w:r>
      <w:r>
        <w:rPr>
          <w:rFonts w:ascii="Times New Roman" w:hAnsi="Times New Roman"/>
          <w:lang w:val="en-US"/>
        </w:rPr>
        <w:t>s or the interpretation of contested constitutional provisions in a particular legal system. We also anticipate many will disagree with a constitutionalism informed by the classical legal tradition even when some prevalent myths are dispelled. But disagree</w:t>
      </w:r>
      <w:r>
        <w:rPr>
          <w:rFonts w:ascii="Times New Roman" w:hAnsi="Times New Roman"/>
          <w:lang w:val="en-US"/>
        </w:rPr>
        <w:t>ment about the classical legal tradition and its relationship to constitutionalism should, at a minimum, be grounded in a sound understanding of the concepts at play.</w:t>
      </w:r>
    </w:p>
    <w:p w14:paraId="2C0626F7"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hAnsi="Times New Roman"/>
          <w:lang w:val="en-US"/>
        </w:rPr>
        <w:t>II. The Classical Legal Tradition: A Mini-Primer</w:t>
      </w:r>
    </w:p>
    <w:p w14:paraId="0311A6DA"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ab/>
      </w:r>
      <w:r>
        <w:rPr>
          <w:rFonts w:ascii="Times New Roman" w:hAnsi="Times New Roman"/>
          <w:shd w:val="clear" w:color="auto" w:fill="FFFFFF"/>
          <w:lang w:val="en-US"/>
        </w:rPr>
        <w:t>To understand the mistakes and tautolog</w:t>
      </w:r>
      <w:r>
        <w:rPr>
          <w:rFonts w:ascii="Times New Roman" w:hAnsi="Times New Roman"/>
          <w:shd w:val="clear" w:color="auto" w:fill="FFFFFF"/>
          <w:lang w:val="en-US"/>
        </w:rPr>
        <w:t>ies that underpin the critics</w:t>
      </w:r>
      <w:r>
        <w:rPr>
          <w:rFonts w:ascii="Times New Roman" w:hAnsi="Times New Roman"/>
          <w:shd w:val="clear" w:color="auto" w:fill="FFFFFF"/>
          <w:lang w:val="en-US"/>
        </w:rPr>
        <w:t xml:space="preserve">’ </w:t>
      </w:r>
      <w:r>
        <w:rPr>
          <w:rFonts w:ascii="Times New Roman" w:hAnsi="Times New Roman"/>
          <w:shd w:val="clear" w:color="auto" w:fill="FFFFFF"/>
          <w:lang w:val="en-US"/>
        </w:rPr>
        <w:t xml:space="preserve">views, we need some basics. </w:t>
      </w:r>
      <w:r>
        <w:rPr>
          <w:rFonts w:ascii="Times New Roman" w:hAnsi="Times New Roman"/>
          <w:lang w:val="en-US"/>
        </w:rPr>
        <w:t>Accordingly, we begin our response by sketching the foundational premises of the classical legal tradition, whose precepts underpin the operative principles of common good constitutionalism.</w:t>
      </w:r>
    </w:p>
    <w:p w14:paraId="573AB9DB" w14:textId="19832DDD"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Law </w:t>
      </w:r>
      <w:r>
        <w:rPr>
          <w:rFonts w:ascii="Times New Roman" w:hAnsi="Times New Roman"/>
          <w:lang w:val="en-US"/>
        </w:rPr>
        <w:t>i</w:t>
      </w:r>
      <w:r>
        <w:rPr>
          <w:rFonts w:ascii="Times New Roman" w:hAnsi="Times New Roman"/>
          <w:lang w:val="en-US"/>
        </w:rPr>
        <w:t>n</w:t>
      </w:r>
      <w:r>
        <w:rPr>
          <w:rFonts w:ascii="Times New Roman" w:hAnsi="Times New Roman"/>
          <w:lang w:val="en-US"/>
        </w:rPr>
        <w:t xml:space="preserve"> this tradition is understood, as Aquinas famously framed it, as an ordinance of reason promulgated by political authorities for the common good.</w:t>
      </w:r>
      <w:bookmarkStart w:id="3" w:name="_Ref92140451"/>
      <w:r>
        <w:rPr>
          <w:rFonts w:ascii="Times New Roman" w:eastAsia="Times New Roman" w:hAnsi="Times New Roman" w:cs="Times New Roman"/>
          <w:vertAlign w:val="superscript"/>
          <w:lang w:val="en-US"/>
        </w:rPr>
        <w:footnoteReference w:id="14"/>
      </w:r>
      <w:bookmarkEnd w:id="3"/>
      <w:r>
        <w:rPr>
          <w:rFonts w:ascii="Times New Roman" w:hAnsi="Times New Roman"/>
          <w:lang w:val="en-US"/>
        </w:rPr>
        <w:t xml:space="preserve"> Law is not the product of the arbitrary will of a ruler, nor is it simply whatever is identified by social convention as law. To count as law in the fullest sense, an ordinance of public authority must rationally conduce to the good of the community for w</w:t>
      </w:r>
      <w:r>
        <w:rPr>
          <w:rFonts w:ascii="Times New Roman" w:hAnsi="Times New Roman"/>
          <w:lang w:val="en-US"/>
        </w:rPr>
        <w:t>hich the lawmaker has a duty and privilege of care.</w:t>
      </w:r>
    </w:p>
    <w:p w14:paraId="0AE696F3"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But what exactly is the common good? Given its central status in the classical tradition, we begin our sketch with it. Many of the critics seem desperately unaware that the common good is not simply a bl</w:t>
      </w:r>
      <w:r>
        <w:rPr>
          <w:rFonts w:ascii="Times New Roman" w:eastAsia="Times New Roman" w:hAnsi="Times New Roman" w:cs="Times New Roman"/>
          <w:lang w:val="en-US"/>
        </w:rPr>
        <w:t xml:space="preserve">ank, or a placeholder for whatever subjective preferences any </w:t>
      </w:r>
      <w:proofErr w:type="gramStart"/>
      <w:r>
        <w:rPr>
          <w:rFonts w:ascii="Times New Roman" w:eastAsia="Times New Roman" w:hAnsi="Times New Roman" w:cs="Times New Roman"/>
          <w:lang w:val="en-US"/>
        </w:rPr>
        <w:t>particular official</w:t>
      </w:r>
      <w:proofErr w:type="gramEnd"/>
      <w:r>
        <w:rPr>
          <w:rFonts w:ascii="Times New Roman" w:eastAsia="Times New Roman" w:hAnsi="Times New Roman" w:cs="Times New Roman"/>
          <w:lang w:val="en-US"/>
        </w:rPr>
        <w:t xml:space="preserve"> might desire to impose, but rather shorthand for a millennia-old legal framework, worked out over time by a succession of the greatest lawyers in Europe, the British Isles, a</w:t>
      </w:r>
      <w:r>
        <w:rPr>
          <w:rFonts w:ascii="Times New Roman" w:eastAsia="Times New Roman" w:hAnsi="Times New Roman" w:cs="Times New Roman"/>
          <w:lang w:val="en-US"/>
        </w:rPr>
        <w:t>nd the Americas, and absolutely central to Western law as a whole. The claim that the common good is an undefined notion is both spatially and temporally parochial in the extreme.</w:t>
      </w:r>
    </w:p>
    <w:p w14:paraId="4B399F80" w14:textId="77777777"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Nor is it some sort of recondite theoretical concept, one that workaday lawy</w:t>
      </w:r>
      <w:r>
        <w:rPr>
          <w:rFonts w:ascii="Times New Roman" w:hAnsi="Times New Roman"/>
          <w:lang w:val="en-US"/>
        </w:rPr>
        <w:t xml:space="preserve">ering can ignore. Legal texts are full of constitutional, </w:t>
      </w:r>
      <w:proofErr w:type="gramStart"/>
      <w:r>
        <w:rPr>
          <w:rFonts w:ascii="Times New Roman" w:hAnsi="Times New Roman"/>
          <w:lang w:val="en-US"/>
        </w:rPr>
        <w:t>statutory</w:t>
      </w:r>
      <w:proofErr w:type="gramEnd"/>
      <w:r>
        <w:rPr>
          <w:rFonts w:ascii="Times New Roman" w:hAnsi="Times New Roman"/>
          <w:lang w:val="en-US"/>
        </w:rPr>
        <w:t xml:space="preserve"> and regulatory phrases like </w:t>
      </w:r>
      <w:r>
        <w:rPr>
          <w:rFonts w:ascii="Times New Roman" w:hAnsi="Times New Roman"/>
          <w:lang w:val="en-US"/>
        </w:rPr>
        <w:t>“</w:t>
      </w:r>
      <w:r>
        <w:rPr>
          <w:rFonts w:ascii="Times New Roman" w:hAnsi="Times New Roman"/>
          <w:lang w:val="en-US"/>
        </w:rPr>
        <w:t>common good,</w:t>
      </w:r>
      <w:r>
        <w:rPr>
          <w:rFonts w:ascii="Times New Roman" w:hAnsi="Times New Roman"/>
          <w:lang w:val="en-US"/>
        </w:rPr>
        <w:t>” “</w:t>
      </w:r>
      <w:r>
        <w:rPr>
          <w:rFonts w:ascii="Times New Roman" w:hAnsi="Times New Roman"/>
          <w:lang w:val="en-US"/>
        </w:rPr>
        <w:t>social justice</w:t>
      </w:r>
      <w:r>
        <w:rPr>
          <w:rFonts w:ascii="Times New Roman" w:hAnsi="Times New Roman"/>
          <w:lang w:val="en-US"/>
        </w:rPr>
        <w:t>” “</w:t>
      </w:r>
      <w:r>
        <w:rPr>
          <w:rFonts w:ascii="Times New Roman" w:hAnsi="Times New Roman"/>
          <w:lang w:val="en-US"/>
        </w:rPr>
        <w:t>general welfare,</w:t>
      </w:r>
      <w:r>
        <w:rPr>
          <w:rFonts w:ascii="Times New Roman" w:hAnsi="Times New Roman"/>
          <w:lang w:val="en-US"/>
        </w:rPr>
        <w:t>” “</w:t>
      </w:r>
      <w:r>
        <w:rPr>
          <w:rFonts w:ascii="Times New Roman" w:hAnsi="Times New Roman"/>
          <w:lang w:val="en-US"/>
        </w:rPr>
        <w:t>public interest,</w:t>
      </w:r>
      <w:r>
        <w:rPr>
          <w:rFonts w:ascii="Times New Roman" w:hAnsi="Times New Roman"/>
          <w:lang w:val="en-US"/>
        </w:rPr>
        <w:t>” “</w:t>
      </w:r>
      <w:r>
        <w:rPr>
          <w:rFonts w:ascii="Times New Roman" w:hAnsi="Times New Roman"/>
          <w:lang w:val="en-US"/>
        </w:rPr>
        <w:t>public good,</w:t>
      </w:r>
      <w:r>
        <w:rPr>
          <w:rFonts w:ascii="Times New Roman" w:hAnsi="Times New Roman"/>
          <w:lang w:val="en-US"/>
        </w:rPr>
        <w:t>” “</w:t>
      </w:r>
      <w:r>
        <w:rPr>
          <w:rFonts w:ascii="Times New Roman" w:hAnsi="Times New Roman"/>
          <w:lang w:val="en-US"/>
        </w:rPr>
        <w:t>peace, order, and good government</w:t>
      </w:r>
      <w:r>
        <w:rPr>
          <w:rFonts w:ascii="Times New Roman" w:hAnsi="Times New Roman"/>
          <w:lang w:val="en-US"/>
        </w:rPr>
        <w:t xml:space="preserve">” </w:t>
      </w:r>
      <w:r>
        <w:rPr>
          <w:rFonts w:ascii="Times New Roman" w:hAnsi="Times New Roman"/>
          <w:lang w:val="en-US"/>
        </w:rPr>
        <w:t>and other cognates.</w:t>
      </w:r>
      <w:r>
        <w:rPr>
          <w:rFonts w:ascii="Times New Roman" w:eastAsia="Times New Roman" w:hAnsi="Times New Roman" w:cs="Times New Roman"/>
          <w:vertAlign w:val="superscript"/>
          <w:lang w:val="en-US"/>
        </w:rPr>
        <w:footnoteReference w:id="15"/>
      </w:r>
      <w:r>
        <w:rPr>
          <w:rFonts w:ascii="Times New Roman" w:hAnsi="Times New Roman"/>
          <w:lang w:val="en-US"/>
        </w:rPr>
        <w:t xml:space="preserve"> Such texts must b</w:t>
      </w:r>
      <w:r>
        <w:rPr>
          <w:rFonts w:ascii="Times New Roman" w:hAnsi="Times New Roman"/>
          <w:lang w:val="en-US"/>
        </w:rPr>
        <w:t xml:space="preserve">e given some construction or other; it is not as though the issue can simply be avoided. We suggest here that the common good approach worked out in the law over two millennia is the best such construction </w:t>
      </w:r>
      <w:r>
        <w:rPr>
          <w:rFonts w:ascii="Times New Roman" w:hAnsi="Times New Roman"/>
          <w:lang w:val="en-US"/>
        </w:rPr>
        <w:t xml:space="preserve">– </w:t>
      </w:r>
      <w:r>
        <w:rPr>
          <w:rFonts w:ascii="Times New Roman" w:hAnsi="Times New Roman"/>
          <w:lang w:val="en-US"/>
        </w:rPr>
        <w:t xml:space="preserve">and, </w:t>
      </w:r>
      <w:r>
        <w:rPr>
          <w:rFonts w:ascii="Times New Roman" w:hAnsi="Times New Roman"/>
          <w:lang w:val="en-US"/>
        </w:rPr>
        <w:lastRenderedPageBreak/>
        <w:t>ironically, the one that is by far the most</w:t>
      </w:r>
      <w:r>
        <w:rPr>
          <w:rFonts w:ascii="Times New Roman" w:hAnsi="Times New Roman"/>
          <w:lang w:val="en-US"/>
        </w:rPr>
        <w:t xml:space="preserve"> likely to capture the so-called </w:t>
      </w:r>
      <w:r>
        <w:rPr>
          <w:rFonts w:ascii="Times New Roman" w:hAnsi="Times New Roman"/>
          <w:lang w:val="en-US"/>
        </w:rPr>
        <w:t>“</w:t>
      </w:r>
      <w:r>
        <w:rPr>
          <w:rFonts w:ascii="Times New Roman" w:hAnsi="Times New Roman"/>
          <w:lang w:val="en-US"/>
        </w:rPr>
        <w:t>original understanding</w:t>
      </w:r>
      <w:r>
        <w:rPr>
          <w:rFonts w:ascii="Times New Roman" w:hAnsi="Times New Roman"/>
          <w:lang w:val="en-US"/>
        </w:rPr>
        <w:t xml:space="preserve">” </w:t>
      </w:r>
      <w:r>
        <w:rPr>
          <w:rFonts w:ascii="Times New Roman" w:hAnsi="Times New Roman"/>
          <w:lang w:val="en-US"/>
        </w:rPr>
        <w:t>of the Constitution.</w:t>
      </w:r>
    </w:p>
    <w:p w14:paraId="71CD02F0" w14:textId="77777777" w:rsidR="00357B22" w:rsidRDefault="00062FEC">
      <w:pPr>
        <w:pStyle w:val="Heading2"/>
        <w:spacing w:line="480" w:lineRule="auto"/>
        <w:rPr>
          <w:i/>
          <w:iCs/>
          <w:smallCaps w:val="0"/>
        </w:rPr>
      </w:pPr>
      <w:r>
        <w:rPr>
          <w:i/>
          <w:iCs/>
          <w:smallCaps w:val="0"/>
        </w:rPr>
        <w:t>The Common Good in Politics and Law</w:t>
      </w:r>
    </w:p>
    <w:p w14:paraId="60F6B895" w14:textId="77777777" w:rsidR="00357B22" w:rsidRDefault="00062F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In the classical account, a genuinely </w:t>
      </w:r>
      <w:r>
        <w:rPr>
          <w:rFonts w:ascii="Times New Roman" w:hAnsi="Times New Roman"/>
          <w:i/>
          <w:iCs/>
        </w:rPr>
        <w:t>common</w:t>
      </w:r>
      <w:r>
        <w:rPr>
          <w:rFonts w:ascii="Times New Roman" w:hAnsi="Times New Roman"/>
        </w:rPr>
        <w:t xml:space="preserve"> good is a good that is unitary (</w:t>
      </w:r>
      <w:r>
        <w:rPr>
          <w:rFonts w:ascii="Times New Roman" w:hAnsi="Times New Roman"/>
        </w:rPr>
        <w:t>“</w:t>
      </w:r>
      <w:r>
        <w:rPr>
          <w:rFonts w:ascii="Times New Roman" w:hAnsi="Times New Roman"/>
        </w:rPr>
        <w:t>one in number</w:t>
      </w:r>
      <w:r>
        <w:rPr>
          <w:rFonts w:ascii="Times New Roman" w:hAnsi="Times New Roman"/>
        </w:rPr>
        <w:t>”</w:t>
      </w:r>
      <w:r>
        <w:rPr>
          <w:rFonts w:ascii="Times New Roman" w:hAnsi="Times New Roman"/>
        </w:rPr>
        <w:t xml:space="preserve">) and capable of being shared without being </w:t>
      </w:r>
      <w:r>
        <w:rPr>
          <w:rFonts w:ascii="Times New Roman" w:hAnsi="Times New Roman"/>
        </w:rPr>
        <w:t>diminished.</w:t>
      </w:r>
      <w:bookmarkStart w:id="4" w:name="_Ref91940406"/>
      <w:r>
        <w:rPr>
          <w:rFonts w:ascii="Times New Roman" w:eastAsia="Times New Roman" w:hAnsi="Times New Roman" w:cs="Times New Roman"/>
          <w:vertAlign w:val="superscript"/>
        </w:rPr>
        <w:footnoteReference w:id="16"/>
      </w:r>
      <w:bookmarkEnd w:id="4"/>
      <w:r>
        <w:rPr>
          <w:rFonts w:ascii="Times New Roman" w:hAnsi="Times New Roman"/>
        </w:rPr>
        <w:t xml:space="preserve"> Thus it is inherently non-aggregative; it is not the summation of a number of private goods, no matter how great that number or how intense the preference for those goods may be.</w:t>
      </w:r>
      <w:r>
        <w:rPr>
          <w:rFonts w:ascii="Times New Roman" w:eastAsia="Times New Roman" w:hAnsi="Times New Roman" w:cs="Times New Roman"/>
          <w:vertAlign w:val="superscript"/>
        </w:rPr>
        <w:footnoteReference w:id="17"/>
      </w:r>
      <w:r>
        <w:rPr>
          <w:rFonts w:ascii="Times New Roman" w:hAnsi="Times New Roman"/>
        </w:rPr>
        <w:t xml:space="preserve"> Consider the aim of a football team for victory, a unitary aim for all that requires the cooperation of all and that is not diminished by being shared.  The victory of the team, as a team, cannot be reduced to the individual success of the players, even s</w:t>
      </w:r>
      <w:r>
        <w:rPr>
          <w:rFonts w:ascii="Times New Roman" w:hAnsi="Times New Roman"/>
        </w:rPr>
        <w:t>ummed across all the players.</w:t>
      </w:r>
    </w:p>
    <w:p w14:paraId="493D30B5" w14:textId="77777777" w:rsidR="00357B22" w:rsidRDefault="00062FEC">
      <w:pPr>
        <w:pStyle w:val="BodyA"/>
        <w:spacing w:after="1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In the classical theory, the ultimate genuinely common good of political life is the happiness or flourishing of the community, the well-ordered life in the </w:t>
      </w:r>
      <w:r>
        <w:rPr>
          <w:rFonts w:ascii="Times New Roman" w:hAnsi="Times New Roman"/>
          <w:i/>
          <w:iCs/>
          <w:lang w:val="en-US"/>
        </w:rPr>
        <w:t>polis</w:t>
      </w:r>
      <w:r>
        <w:rPr>
          <w:rFonts w:ascii="Times New Roman" w:hAnsi="Times New Roman"/>
          <w:lang w:val="en-US"/>
        </w:rPr>
        <w:t>.</w:t>
      </w:r>
      <w:r>
        <w:rPr>
          <w:rFonts w:ascii="Times New Roman" w:eastAsia="Times New Roman" w:hAnsi="Times New Roman" w:cs="Times New Roman"/>
          <w:vertAlign w:val="superscript"/>
          <w:lang w:val="en-US"/>
        </w:rPr>
        <w:footnoteReference w:id="18"/>
      </w:r>
      <w:r>
        <w:rPr>
          <w:rFonts w:ascii="Times New Roman" w:hAnsi="Times New Roman"/>
          <w:lang w:val="en-US"/>
        </w:rPr>
        <w:t xml:space="preserve"> It is not that </w:t>
      </w:r>
      <w:r>
        <w:rPr>
          <w:rFonts w:ascii="Times New Roman" w:hAnsi="Times New Roman"/>
          <w:lang w:val="en-US"/>
        </w:rPr>
        <w:t>“</w:t>
      </w:r>
      <w:r>
        <w:rPr>
          <w:rFonts w:ascii="Times New Roman" w:hAnsi="Times New Roman"/>
          <w:lang w:val="en-US"/>
        </w:rPr>
        <w:t>private</w:t>
      </w:r>
      <w:r>
        <w:rPr>
          <w:rFonts w:ascii="Times New Roman" w:hAnsi="Times New Roman"/>
          <w:lang w:val="en-US"/>
        </w:rPr>
        <w:t xml:space="preserve">” </w:t>
      </w:r>
      <w:r>
        <w:rPr>
          <w:rFonts w:ascii="Times New Roman" w:hAnsi="Times New Roman"/>
          <w:lang w:val="en-US"/>
        </w:rPr>
        <w:t>happiness, or even the happiness o</w:t>
      </w:r>
      <w:r>
        <w:rPr>
          <w:rFonts w:ascii="Times New Roman" w:hAnsi="Times New Roman"/>
          <w:lang w:val="en-US"/>
        </w:rPr>
        <w:t>f family life, is the real aim and the public realm is merely what supplies the lawful peace, justice, and stability needed to guarantee that private happiness. Rather, the highest felicity in the temporal sphere is itself the common life of the well-order</w:t>
      </w:r>
      <w:r>
        <w:rPr>
          <w:rFonts w:ascii="Times New Roman" w:hAnsi="Times New Roman"/>
          <w:lang w:val="en-US"/>
        </w:rPr>
        <w:t>ed community, which includes those other foundational goods but transcends them as well.</w:t>
      </w:r>
      <w:r>
        <w:rPr>
          <w:rFonts w:ascii="Times New Roman" w:eastAsia="Times New Roman" w:hAnsi="Times New Roman" w:cs="Times New Roman"/>
          <w:vertAlign w:val="superscript"/>
          <w:lang w:val="en-US"/>
        </w:rPr>
        <w:footnoteReference w:id="19"/>
      </w:r>
      <w:r>
        <w:rPr>
          <w:rFonts w:ascii="Times New Roman" w:hAnsi="Times New Roman"/>
          <w:lang w:val="en-US"/>
        </w:rPr>
        <w:t xml:space="preserve"> Nor is this the same as the good of the state. The good of the community is itself the highest good for individuals and a critical element of their flourishing.</w:t>
      </w:r>
    </w:p>
    <w:p w14:paraId="5321DE1E" w14:textId="77777777" w:rsidR="00357B22" w:rsidRDefault="00062FEC">
      <w:pPr>
        <w:pStyle w:val="BodyA"/>
        <w:spacing w:after="1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To </w:t>
      </w:r>
      <w:r>
        <w:rPr>
          <w:rFonts w:ascii="Times New Roman" w:eastAsia="Times New Roman" w:hAnsi="Times New Roman" w:cs="Times New Roman"/>
          <w:lang w:val="en-US"/>
        </w:rPr>
        <w:t>put it differently, human flourishing, including the flourishing of individuals, is itself essentially, not merely contingently, dependent upon the flourishing of the political communities (including ruling authorities) within which humans are always born,</w:t>
      </w:r>
      <w:r>
        <w:rPr>
          <w:rFonts w:ascii="Times New Roman" w:eastAsia="Times New Roman" w:hAnsi="Times New Roman" w:cs="Times New Roman"/>
          <w:lang w:val="en-US"/>
        </w:rPr>
        <w:t xml:space="preserve"> found, and </w:t>
      </w:r>
      <w:r>
        <w:rPr>
          <w:rFonts w:ascii="Times New Roman" w:eastAsia="Times New Roman" w:hAnsi="Times New Roman" w:cs="Times New Roman"/>
          <w:lang w:val="en-US"/>
        </w:rPr>
        <w:lastRenderedPageBreak/>
        <w:t>embedded. This is not at all to say, of course, that the individual should be absorbed into the political community or subjected to it. The end of the community is ultimately to promote the good of individuals and families, but common goods are</w:t>
      </w:r>
      <w:r>
        <w:rPr>
          <w:rFonts w:ascii="Times New Roman" w:eastAsia="Times New Roman" w:hAnsi="Times New Roman" w:cs="Times New Roman"/>
          <w:lang w:val="en-US"/>
        </w:rPr>
        <w:t xml:space="preserve"> real as such and are themselves the highest goods for individuals.</w:t>
      </w:r>
      <w:bookmarkStart w:id="5" w:name="_Ref92273767"/>
      <w:r>
        <w:rPr>
          <w:rFonts w:ascii="Times New Roman" w:eastAsia="Times New Roman" w:hAnsi="Times New Roman" w:cs="Times New Roman"/>
          <w:vertAlign w:val="superscript"/>
          <w:lang w:val="en-US"/>
        </w:rPr>
        <w:footnoteReference w:id="20"/>
      </w:r>
      <w:bookmarkEnd w:id="5"/>
      <w:r>
        <w:rPr>
          <w:rFonts w:ascii="Times New Roman" w:hAnsi="Times New Roman"/>
          <w:lang w:val="en-US"/>
        </w:rPr>
        <w:t xml:space="preserve"> No subordinate goods can be fully enjoyed in a dysfunctional community.</w:t>
      </w:r>
    </w:p>
    <w:p w14:paraId="6F25663F" w14:textId="77777777"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The common good, at least the civil or temporal common good,</w:t>
      </w:r>
      <w:r>
        <w:rPr>
          <w:rFonts w:ascii="Times New Roman" w:eastAsia="Times New Roman" w:hAnsi="Times New Roman" w:cs="Times New Roman"/>
          <w:vertAlign w:val="superscript"/>
          <w:lang w:val="en-US"/>
        </w:rPr>
        <w:footnoteReference w:id="21"/>
      </w:r>
      <w:r>
        <w:rPr>
          <w:rFonts w:ascii="Times New Roman" w:hAnsi="Times New Roman"/>
          <w:lang w:val="en-US"/>
        </w:rPr>
        <w:t xml:space="preserve"> can be described in substantive terms in this wa</w:t>
      </w:r>
      <w:r>
        <w:rPr>
          <w:rFonts w:ascii="Times New Roman" w:hAnsi="Times New Roman"/>
          <w:lang w:val="en-US"/>
        </w:rPr>
        <w:t>y: (1) it is the structural political, economic and social conditions that allow communities to live in accordance with the precepts of justice, yielding (2) the injunction that all official action should be ordered to the community</w:t>
      </w:r>
      <w:r>
        <w:rPr>
          <w:rFonts w:ascii="Times New Roman" w:hAnsi="Times New Roman"/>
          <w:lang w:val="en-US"/>
        </w:rPr>
        <w:t>’</w:t>
      </w:r>
      <w:r>
        <w:rPr>
          <w:rFonts w:ascii="Times New Roman" w:hAnsi="Times New Roman"/>
          <w:lang w:val="en-US"/>
        </w:rPr>
        <w:t>s attainment of those p</w:t>
      </w:r>
      <w:r>
        <w:rPr>
          <w:rFonts w:ascii="Times New Roman" w:hAnsi="Times New Roman"/>
          <w:lang w:val="en-US"/>
        </w:rPr>
        <w:t>recepts, subject to the understanding that (3) the common good is not the sum of individual goods, but the indivisible good of a community, a good that belongs jointly to all and severally to each. The conditions that allow communities to live in accordanc</w:t>
      </w:r>
      <w:r>
        <w:rPr>
          <w:rFonts w:ascii="Times New Roman" w:hAnsi="Times New Roman"/>
          <w:lang w:val="en-US"/>
        </w:rPr>
        <w:t>e with justice and secure the flourishing of citizens define the legitimate ends of civil government.</w:t>
      </w:r>
      <w:bookmarkStart w:id="6" w:name="_Ref92277318"/>
      <w:r>
        <w:rPr>
          <w:rFonts w:ascii="Times New Roman" w:eastAsia="Times New Roman" w:hAnsi="Times New Roman" w:cs="Times New Roman"/>
          <w:vertAlign w:val="superscript"/>
          <w:lang w:val="en-US"/>
        </w:rPr>
        <w:footnoteReference w:id="22"/>
      </w:r>
      <w:bookmarkEnd w:id="6"/>
    </w:p>
    <w:p w14:paraId="572D80E0" w14:textId="77777777"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Some might argue there is a tension between these components of the common good</w:t>
      </w:r>
      <w:r>
        <w:rPr>
          <w:rFonts w:ascii="Times New Roman" w:hAnsi="Times New Roman"/>
          <w:lang w:val="en-US"/>
        </w:rPr>
        <w:t>—</w:t>
      </w:r>
      <w:r>
        <w:rPr>
          <w:rFonts w:ascii="Times New Roman" w:hAnsi="Times New Roman"/>
          <w:lang w:val="en-US"/>
        </w:rPr>
        <w:t xml:space="preserve">for example, a tension between focusing on the structural preconditions </w:t>
      </w:r>
      <w:r>
        <w:rPr>
          <w:rFonts w:ascii="Times New Roman" w:hAnsi="Times New Roman"/>
          <w:lang w:val="en-US"/>
        </w:rPr>
        <w:t xml:space="preserve">of justice versus </w:t>
      </w:r>
      <w:r>
        <w:rPr>
          <w:rFonts w:ascii="Times New Roman" w:hAnsi="Times New Roman"/>
          <w:lang w:val="en-US"/>
        </w:rPr>
        <w:lastRenderedPageBreak/>
        <w:t xml:space="preserve">focusing on the legitimate ends of government. Is the political common good </w:t>
      </w:r>
      <w:r>
        <w:rPr>
          <w:rFonts w:ascii="Times New Roman" w:hAnsi="Times New Roman"/>
          <w:i/>
          <w:iCs/>
          <w:lang w:val="en-US"/>
        </w:rPr>
        <w:t>instrumental</w:t>
      </w:r>
      <w:r>
        <w:rPr>
          <w:rFonts w:ascii="Times New Roman" w:hAnsi="Times New Roman"/>
          <w:lang w:val="en-US"/>
        </w:rPr>
        <w:t xml:space="preserve"> in the sense that it creates the sum of conditions where individuals and families and associations can truly flourish and pursue the good life? Or is</w:t>
      </w:r>
      <w:r>
        <w:rPr>
          <w:rFonts w:ascii="Times New Roman" w:hAnsi="Times New Roman"/>
          <w:lang w:val="en-US"/>
        </w:rPr>
        <w:t xml:space="preserve"> it </w:t>
      </w:r>
      <w:r>
        <w:rPr>
          <w:rFonts w:ascii="Times New Roman" w:hAnsi="Times New Roman"/>
          <w:i/>
          <w:iCs/>
          <w:lang w:val="en-US"/>
        </w:rPr>
        <w:t xml:space="preserve">distinctive </w:t>
      </w:r>
      <w:r>
        <w:rPr>
          <w:rFonts w:ascii="Times New Roman" w:hAnsi="Times New Roman"/>
          <w:lang w:val="en-US"/>
        </w:rPr>
        <w:t xml:space="preserve">(or, in an equivalent formulation, </w:t>
      </w:r>
      <w:r>
        <w:rPr>
          <w:rFonts w:ascii="Times New Roman" w:hAnsi="Times New Roman"/>
          <w:i/>
          <w:iCs/>
          <w:lang w:val="en-US"/>
        </w:rPr>
        <w:t>transcendent</w:t>
      </w:r>
      <w:r>
        <w:rPr>
          <w:rFonts w:ascii="Times New Roman" w:hAnsi="Times New Roman"/>
          <w:lang w:val="en-US"/>
        </w:rPr>
        <w:t>)</w:t>
      </w:r>
      <w:r>
        <w:rPr>
          <w:rFonts w:ascii="Times New Roman" w:hAnsi="Times New Roman"/>
          <w:i/>
          <w:iCs/>
          <w:lang w:val="en-US"/>
        </w:rPr>
        <w:t xml:space="preserve"> </w:t>
      </w:r>
      <w:r>
        <w:rPr>
          <w:rFonts w:ascii="Times New Roman" w:hAnsi="Times New Roman"/>
          <w:lang w:val="en-US"/>
        </w:rPr>
        <w:t>in that it is a good of unity, justice, and peace that is distinct from any singular individual</w:t>
      </w:r>
      <w:r>
        <w:rPr>
          <w:rFonts w:ascii="Times New Roman" w:hAnsi="Times New Roman"/>
          <w:lang w:val="en-US"/>
        </w:rPr>
        <w:t>’</w:t>
      </w:r>
      <w:r>
        <w:rPr>
          <w:rFonts w:ascii="Times New Roman" w:hAnsi="Times New Roman"/>
          <w:lang w:val="en-US"/>
        </w:rPr>
        <w:t>s good yet at the same time not alien to his individual good, but indeed his highest good? Here</w:t>
      </w:r>
      <w:r>
        <w:rPr>
          <w:rFonts w:ascii="Times New Roman" w:hAnsi="Times New Roman"/>
          <w:lang w:val="en-US"/>
        </w:rPr>
        <w:t xml:space="preserve"> there are competing views.</w:t>
      </w:r>
    </w:p>
    <w:p w14:paraId="07B5E3CD" w14:textId="77777777"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One view, defended by John Finnis</w:t>
      </w:r>
      <w:r>
        <w:rPr>
          <w:rFonts w:ascii="Times New Roman" w:eastAsia="Times New Roman" w:hAnsi="Times New Roman" w:cs="Times New Roman"/>
          <w:vertAlign w:val="superscript"/>
          <w:lang w:val="en-US"/>
        </w:rPr>
        <w:footnoteReference w:id="23"/>
      </w:r>
      <w:r>
        <w:rPr>
          <w:rFonts w:ascii="Times New Roman" w:hAnsi="Times New Roman"/>
          <w:lang w:val="en-US"/>
        </w:rPr>
        <w:t xml:space="preserve"> and Robert P. George,</w:t>
      </w:r>
      <w:r>
        <w:rPr>
          <w:rFonts w:ascii="Times New Roman" w:eastAsia="Times New Roman" w:hAnsi="Times New Roman" w:cs="Times New Roman"/>
          <w:vertAlign w:val="superscript"/>
          <w:lang w:val="en-US"/>
        </w:rPr>
        <w:footnoteReference w:id="24"/>
      </w:r>
      <w:r>
        <w:rPr>
          <w:rFonts w:ascii="Times New Roman" w:hAnsi="Times New Roman"/>
          <w:lang w:val="en-US"/>
        </w:rPr>
        <w:t xml:space="preserve"> is that the common good at the level of the community is ultimately instrumental. The point of a flourishing political community is to make possible the pursuit of basi</w:t>
      </w:r>
      <w:r>
        <w:rPr>
          <w:rFonts w:ascii="Times New Roman" w:hAnsi="Times New Roman"/>
          <w:lang w:val="en-US"/>
        </w:rPr>
        <w:t>c goods at the level of the individual and the family. On a competing view, ably captured by Pater Edmund Waldstein</w:t>
      </w:r>
      <w:r>
        <w:rPr>
          <w:rFonts w:ascii="Times New Roman" w:eastAsia="Times New Roman" w:hAnsi="Times New Roman" w:cs="Times New Roman"/>
          <w:vertAlign w:val="superscript"/>
          <w:lang w:val="en-US"/>
        </w:rPr>
        <w:footnoteReference w:id="25"/>
      </w:r>
      <w:r>
        <w:rPr>
          <w:rFonts w:ascii="Times New Roman" w:hAnsi="Times New Roman"/>
          <w:lang w:val="en-US"/>
        </w:rPr>
        <w:t xml:space="preserve"> and John </w:t>
      </w:r>
      <w:proofErr w:type="spellStart"/>
      <w:r>
        <w:rPr>
          <w:rFonts w:ascii="Times New Roman" w:hAnsi="Times New Roman"/>
          <w:lang w:val="en-US"/>
        </w:rPr>
        <w:t>Goyotte</w:t>
      </w:r>
      <w:proofErr w:type="spellEnd"/>
      <w:r>
        <w:rPr>
          <w:rFonts w:ascii="Times New Roman" w:hAnsi="Times New Roman"/>
          <w:lang w:val="en-US"/>
        </w:rPr>
        <w:t>,</w:t>
      </w:r>
      <w:r>
        <w:rPr>
          <w:rFonts w:ascii="Times New Roman" w:eastAsia="Times New Roman" w:hAnsi="Times New Roman" w:cs="Times New Roman"/>
          <w:vertAlign w:val="superscript"/>
          <w:lang w:val="en-US"/>
        </w:rPr>
        <w:footnoteReference w:id="26"/>
      </w:r>
      <w:r>
        <w:rPr>
          <w:rFonts w:ascii="Times New Roman" w:hAnsi="Times New Roman"/>
          <w:lang w:val="en-US"/>
        </w:rPr>
        <w:t xml:space="preserve"> drawing upon the work of Charles de </w:t>
      </w:r>
      <w:proofErr w:type="spellStart"/>
      <w:r>
        <w:rPr>
          <w:rFonts w:ascii="Times New Roman" w:hAnsi="Times New Roman"/>
          <w:lang w:val="en-US"/>
        </w:rPr>
        <w:t>Koninck</w:t>
      </w:r>
      <w:proofErr w:type="spellEnd"/>
      <w:r>
        <w:rPr>
          <w:rFonts w:ascii="Times New Roman" w:hAnsi="Times New Roman"/>
          <w:lang w:val="en-US"/>
        </w:rPr>
        <w:t>,</w:t>
      </w:r>
      <w:bookmarkStart w:id="7" w:name="_Ref91977853"/>
      <w:r>
        <w:rPr>
          <w:rFonts w:ascii="Times New Roman" w:eastAsia="Times New Roman" w:hAnsi="Times New Roman" w:cs="Times New Roman"/>
          <w:vertAlign w:val="superscript"/>
          <w:lang w:val="en-US"/>
        </w:rPr>
        <w:footnoteReference w:id="27"/>
      </w:r>
      <w:bookmarkEnd w:id="7"/>
      <w:r>
        <w:rPr>
          <w:rFonts w:ascii="Times New Roman" w:hAnsi="Times New Roman"/>
          <w:lang w:val="en-US"/>
        </w:rPr>
        <w:t xml:space="preserve"> the political common good transcends private and individual goods and f</w:t>
      </w:r>
      <w:r>
        <w:rPr>
          <w:rFonts w:ascii="Times New Roman" w:hAnsi="Times New Roman"/>
          <w:lang w:val="en-US"/>
        </w:rPr>
        <w:t>orms the highest good for individuals. To be a citizen of a flourishing polity is not a means to some other good, or a mere precondition for private or family life; it is itself the highest felicity in matters of temporal government. On a third view, advan</w:t>
      </w:r>
      <w:r>
        <w:rPr>
          <w:rFonts w:ascii="Times New Roman" w:hAnsi="Times New Roman"/>
          <w:lang w:val="en-US"/>
        </w:rPr>
        <w:t>ced by George Duke, there is no reason to see an irreconcilable conceptual tension here; rather, the two formulations just address different and compatible aspects of the same problem</w:t>
      </w:r>
      <w:r>
        <w:rPr>
          <w:rFonts w:ascii="Times New Roman" w:hAnsi="Times New Roman"/>
          <w:lang w:val="en-US"/>
        </w:rPr>
        <w:t>—</w:t>
      </w:r>
      <w:r>
        <w:rPr>
          <w:rFonts w:ascii="Times New Roman" w:hAnsi="Times New Roman"/>
          <w:lang w:val="en-US"/>
        </w:rPr>
        <w:t xml:space="preserve">different </w:t>
      </w:r>
      <w:r>
        <w:rPr>
          <w:rFonts w:ascii="Times New Roman" w:hAnsi="Times New Roman"/>
          <w:lang w:val="en-US"/>
        </w:rPr>
        <w:lastRenderedPageBreak/>
        <w:t>facets of a unitary conception.</w:t>
      </w:r>
      <w:bookmarkStart w:id="8" w:name="_Ref91940656"/>
      <w:r>
        <w:rPr>
          <w:rFonts w:ascii="Times New Roman" w:eastAsia="Times New Roman" w:hAnsi="Times New Roman" w:cs="Times New Roman"/>
          <w:vertAlign w:val="superscript"/>
          <w:lang w:val="en-US"/>
        </w:rPr>
        <w:footnoteReference w:id="28"/>
      </w:r>
      <w:bookmarkEnd w:id="8"/>
      <w:r>
        <w:rPr>
          <w:rFonts w:ascii="Times New Roman" w:hAnsi="Times New Roman"/>
          <w:lang w:val="en-US"/>
        </w:rPr>
        <w:t xml:space="preserve"> The common good </w:t>
      </w:r>
      <w:r>
        <w:rPr>
          <w:rFonts w:ascii="Times New Roman" w:hAnsi="Times New Roman"/>
          <w:i/>
          <w:iCs/>
          <w:lang w:val="en-US"/>
        </w:rPr>
        <w:t>is</w:t>
      </w:r>
      <w:r>
        <w:rPr>
          <w:rFonts w:ascii="Times New Roman" w:hAnsi="Times New Roman"/>
          <w:lang w:val="en-US"/>
        </w:rPr>
        <w:t xml:space="preserve"> instrumental in the strictly limited sense that it requires a set of structural conditions where individuals, families, and associations can flourish and pursue the good life in community. But it </w:t>
      </w:r>
      <w:r>
        <w:rPr>
          <w:rFonts w:ascii="Times New Roman" w:hAnsi="Times New Roman"/>
          <w:i/>
          <w:iCs/>
          <w:lang w:val="en-US"/>
        </w:rPr>
        <w:t>is</w:t>
      </w:r>
      <w:r>
        <w:rPr>
          <w:rFonts w:ascii="Times New Roman" w:hAnsi="Times New Roman"/>
          <w:lang w:val="en-US"/>
        </w:rPr>
        <w:t xml:space="preserve"> also still a distinctive and supreme </w:t>
      </w:r>
      <w:r>
        <w:rPr>
          <w:rFonts w:ascii="Times New Roman" w:hAnsi="Times New Roman"/>
          <w:lang w:val="en-US"/>
        </w:rPr>
        <w:t>good in that the flourishing of the polity itself, as a form of civic friendship dedicated to the happiness of all its members, is truly distinct from the good of individuals and subsidiary associations within it. At the same time, the good of a polity ded</w:t>
      </w:r>
      <w:r>
        <w:rPr>
          <w:rFonts w:ascii="Times New Roman" w:hAnsi="Times New Roman"/>
          <w:lang w:val="en-US"/>
        </w:rPr>
        <w:t xml:space="preserve">icated to acting for the perfection of its members is an aspect of the good of </w:t>
      </w:r>
      <w:proofErr w:type="gramStart"/>
      <w:r>
        <w:rPr>
          <w:rFonts w:ascii="Times New Roman" w:hAnsi="Times New Roman"/>
          <w:lang w:val="en-US"/>
        </w:rPr>
        <w:t>each and every</w:t>
      </w:r>
      <w:proofErr w:type="gramEnd"/>
      <w:r>
        <w:rPr>
          <w:rFonts w:ascii="Times New Roman" w:hAnsi="Times New Roman"/>
          <w:lang w:val="en-US"/>
        </w:rPr>
        <w:t xml:space="preserve"> individual who is part of it, indeed their highest temporal good.</w:t>
      </w:r>
      <w:bookmarkStart w:id="9" w:name="_Ref91977844"/>
      <w:r>
        <w:rPr>
          <w:rFonts w:ascii="Times New Roman" w:eastAsia="Times New Roman" w:hAnsi="Times New Roman" w:cs="Times New Roman"/>
          <w:vertAlign w:val="superscript"/>
          <w:lang w:val="en-US"/>
        </w:rPr>
        <w:footnoteReference w:id="29"/>
      </w:r>
      <w:bookmarkEnd w:id="9"/>
    </w:p>
    <w:p w14:paraId="4921FBC5" w14:textId="77777777"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For present purposes, we need not arbitrate among these accounts; all are inconsistent with th</w:t>
      </w:r>
      <w:r>
        <w:rPr>
          <w:rFonts w:ascii="Times New Roman" w:hAnsi="Times New Roman"/>
          <w:lang w:val="en-US"/>
        </w:rPr>
        <w:t>e myths and misconceptions we discuss. It is common ground among all theorists of the common good to condemn a serious misconception, prevalent particularly amongst libertarian critics, that the common good pertains to the political community viewed as som</w:t>
      </w:r>
      <w:r>
        <w:rPr>
          <w:rFonts w:ascii="Times New Roman" w:hAnsi="Times New Roman"/>
          <w:lang w:val="en-US"/>
        </w:rPr>
        <w:t>e sort of organic whole, where individual persons exist for the good of the State, as one might say bees relate to the hive.</w:t>
      </w:r>
      <w:bookmarkStart w:id="10" w:name="_Ref92142544"/>
      <w:r>
        <w:rPr>
          <w:rFonts w:ascii="Times New Roman" w:eastAsia="Times New Roman" w:hAnsi="Times New Roman" w:cs="Times New Roman"/>
          <w:vertAlign w:val="superscript"/>
          <w:lang w:val="en-US"/>
        </w:rPr>
        <w:footnoteReference w:id="30"/>
      </w:r>
      <w:bookmarkEnd w:id="10"/>
      <w:r>
        <w:rPr>
          <w:rFonts w:ascii="Times New Roman" w:hAnsi="Times New Roman"/>
          <w:lang w:val="en-US"/>
        </w:rPr>
        <w:t xml:space="preserve"> That is, critics implicitly read </w:t>
      </w:r>
      <w:r>
        <w:rPr>
          <w:rFonts w:ascii="Times New Roman" w:hAnsi="Times New Roman"/>
          <w:lang w:val="en-US"/>
        </w:rPr>
        <w:t>“</w:t>
      </w:r>
      <w:r>
        <w:rPr>
          <w:rFonts w:ascii="Times New Roman" w:hAnsi="Times New Roman"/>
          <w:lang w:val="en-US"/>
        </w:rPr>
        <w:t>the common good</w:t>
      </w:r>
      <w:r>
        <w:rPr>
          <w:rFonts w:ascii="Times New Roman" w:hAnsi="Times New Roman"/>
          <w:lang w:val="en-US"/>
        </w:rPr>
        <w:t xml:space="preserve">” </w:t>
      </w:r>
      <w:r>
        <w:rPr>
          <w:rFonts w:ascii="Times New Roman" w:hAnsi="Times New Roman"/>
          <w:lang w:val="en-US"/>
        </w:rPr>
        <w:t xml:space="preserve">as </w:t>
      </w:r>
      <w:r>
        <w:rPr>
          <w:rFonts w:ascii="Times New Roman" w:hAnsi="Times New Roman"/>
          <w:lang w:val="en-US"/>
        </w:rPr>
        <w:t>“</w:t>
      </w:r>
      <w:r>
        <w:rPr>
          <w:rFonts w:ascii="Times New Roman" w:hAnsi="Times New Roman"/>
          <w:lang w:val="en-US"/>
        </w:rPr>
        <w:t>the good of the collective</w:t>
      </w:r>
      <w:r>
        <w:rPr>
          <w:rFonts w:ascii="Times New Roman" w:hAnsi="Times New Roman"/>
          <w:lang w:val="en-US"/>
        </w:rPr>
        <w:t xml:space="preserve">” </w:t>
      </w:r>
      <w:r>
        <w:rPr>
          <w:rFonts w:ascii="Times New Roman" w:hAnsi="Times New Roman"/>
          <w:lang w:val="en-US"/>
        </w:rPr>
        <w:t xml:space="preserve">or, even worse, </w:t>
      </w:r>
      <w:r>
        <w:rPr>
          <w:rFonts w:ascii="Times New Roman" w:hAnsi="Times New Roman"/>
          <w:lang w:val="en-US"/>
        </w:rPr>
        <w:t>“</w:t>
      </w:r>
      <w:r>
        <w:rPr>
          <w:rFonts w:ascii="Times New Roman" w:hAnsi="Times New Roman"/>
          <w:lang w:val="en-US"/>
        </w:rPr>
        <w:t>the good of the state apparat</w:t>
      </w:r>
      <w:r>
        <w:rPr>
          <w:rFonts w:ascii="Times New Roman" w:hAnsi="Times New Roman"/>
          <w:lang w:val="en-US"/>
        </w:rPr>
        <w:t>us</w:t>
      </w:r>
      <w:r>
        <w:rPr>
          <w:rFonts w:ascii="Times New Roman" w:hAnsi="Times New Roman"/>
          <w:lang w:val="en-US"/>
        </w:rPr>
        <w:t xml:space="preserve">” </w:t>
      </w:r>
      <w:r>
        <w:rPr>
          <w:rFonts w:ascii="Times New Roman" w:hAnsi="Times New Roman"/>
          <w:lang w:val="en-US"/>
        </w:rPr>
        <w:t xml:space="preserve">and then oppose that to the good of individuals. In a utilitarian variant, they interpret the common good as the aggregate utility of individuals summed up according to some social welfare function, and then oppose this aggregate good to the rights of </w:t>
      </w:r>
      <w:r>
        <w:rPr>
          <w:rFonts w:ascii="Times New Roman" w:hAnsi="Times New Roman"/>
          <w:lang w:val="en-US"/>
        </w:rPr>
        <w:t xml:space="preserve">individuals. </w:t>
      </w:r>
    </w:p>
    <w:p w14:paraId="0BEB4533" w14:textId="77777777" w:rsidR="00357B22" w:rsidRDefault="00062F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None of this gets at the truly </w:t>
      </w:r>
      <w:r>
        <w:rPr>
          <w:rFonts w:ascii="Times New Roman" w:hAnsi="Times New Roman"/>
          <w:i/>
          <w:iCs/>
        </w:rPr>
        <w:t>common</w:t>
      </w:r>
      <w:r>
        <w:rPr>
          <w:rFonts w:ascii="Times New Roman" w:hAnsi="Times New Roman"/>
        </w:rPr>
        <w:t xml:space="preserve"> good of happiness in a flourishing political community, which (to repeat) is unitary, capable of being shared without being diminished, </w:t>
      </w:r>
      <w:r>
        <w:rPr>
          <w:rFonts w:ascii="Times New Roman" w:hAnsi="Times New Roman"/>
        </w:rPr>
        <w:lastRenderedPageBreak/>
        <w:t>and the highest good for individuals as such.</w:t>
      </w:r>
      <w:bookmarkStart w:id="11" w:name="_Ref92142632"/>
      <w:r>
        <w:rPr>
          <w:rFonts w:ascii="Times New Roman" w:eastAsia="Times New Roman" w:hAnsi="Times New Roman" w:cs="Times New Roman"/>
          <w:vertAlign w:val="superscript"/>
        </w:rPr>
        <w:footnoteReference w:id="31"/>
      </w:r>
      <w:bookmarkEnd w:id="11"/>
      <w:r>
        <w:rPr>
          <w:rFonts w:ascii="Times New Roman" w:hAnsi="Times New Roman"/>
        </w:rPr>
        <w:t xml:space="preserve"> On the classical</w:t>
      </w:r>
      <w:r>
        <w:rPr>
          <w:rFonts w:ascii="Times New Roman" w:hAnsi="Times New Roman"/>
        </w:rPr>
        <w:t xml:space="preserve"> account, the state is merely one part of the larger political community, and the good of the community is itself the good for individuals and is not alien to them or imposed on them </w:t>
      </w:r>
      <w:r>
        <w:rPr>
          <w:rFonts w:ascii="Times New Roman" w:hAnsi="Times New Roman"/>
        </w:rPr>
        <w:t xml:space="preserve">— </w:t>
      </w:r>
      <w:r>
        <w:rPr>
          <w:rFonts w:ascii="Times New Roman" w:hAnsi="Times New Roman"/>
        </w:rPr>
        <w:t>a crucial point emphasized by the great theorist of the common good, de</w:t>
      </w:r>
      <w:r>
        <w:rPr>
          <w:rFonts w:ascii="Times New Roman" w:hAnsi="Times New Roman"/>
        </w:rPr>
        <w:t xml:space="preserve"> </w:t>
      </w:r>
      <w:proofErr w:type="spellStart"/>
      <w:r>
        <w:rPr>
          <w:rFonts w:ascii="Times New Roman" w:hAnsi="Times New Roman"/>
        </w:rPr>
        <w:t>Koninck</w:t>
      </w:r>
      <w:proofErr w:type="spellEnd"/>
      <w:r>
        <w:rPr>
          <w:rFonts w:ascii="Times New Roman" w:hAnsi="Times New Roman"/>
        </w:rPr>
        <w:t>.</w:t>
      </w:r>
      <w:r>
        <w:rPr>
          <w:rFonts w:ascii="Times New Roman" w:eastAsia="Times New Roman" w:hAnsi="Times New Roman" w:cs="Times New Roman"/>
          <w:vertAlign w:val="superscript"/>
        </w:rPr>
        <w:footnoteReference w:id="32"/>
      </w:r>
      <w:r>
        <w:rPr>
          <w:rFonts w:ascii="Times New Roman" w:hAnsi="Times New Roman"/>
        </w:rPr>
        <w:t xml:space="preserve"> The good of the society in which one lives is part of the perfection of each individual as a social </w:t>
      </w:r>
      <w:r>
        <w:rPr>
          <w:rFonts w:ascii="Times New Roman" w:hAnsi="Times New Roman"/>
          <w:i/>
          <w:iCs/>
        </w:rPr>
        <w:t>and</w:t>
      </w:r>
      <w:r>
        <w:rPr>
          <w:rFonts w:ascii="Times New Roman" w:hAnsi="Times New Roman"/>
        </w:rPr>
        <w:t xml:space="preserve"> political animal.</w:t>
      </w:r>
      <w:r>
        <w:rPr>
          <w:rFonts w:ascii="Times New Roman" w:eastAsia="Times New Roman" w:hAnsi="Times New Roman" w:cs="Times New Roman"/>
          <w:vertAlign w:val="superscript"/>
        </w:rPr>
        <w:footnoteReference w:id="33"/>
      </w:r>
    </w:p>
    <w:p w14:paraId="241E23BF" w14:textId="77777777"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i/>
          <w:iCs/>
          <w:lang w:val="en-US"/>
        </w:rPr>
        <w:t xml:space="preserve">On Human Flourishing. </w:t>
      </w:r>
      <w:r>
        <w:rPr>
          <w:rFonts w:ascii="Times New Roman" w:hAnsi="Times New Roman"/>
          <w:lang w:val="en-US"/>
        </w:rPr>
        <w:t>What does human flourishing consist of here? There is an extremely rich and extensive philosoph</w:t>
      </w:r>
      <w:r>
        <w:rPr>
          <w:rFonts w:ascii="Times New Roman" w:hAnsi="Times New Roman"/>
          <w:lang w:val="en-US"/>
        </w:rPr>
        <w:t>ical debate in the natural law tradition over this question that we cannot do justice to here</w:t>
      </w:r>
      <w:r>
        <w:rPr>
          <w:rFonts w:ascii="Times New Roman" w:hAnsi="Times New Roman"/>
          <w:lang w:val="en-US"/>
        </w:rPr>
        <w:t>—</w:t>
      </w:r>
      <w:r>
        <w:rPr>
          <w:rFonts w:ascii="Times New Roman" w:hAnsi="Times New Roman"/>
          <w:lang w:val="en-US"/>
        </w:rPr>
        <w:t>our aim being to elucidate the classical legal underpinnings of common good constitutionalism within the terms of our professional competence as public lawyers. B</w:t>
      </w:r>
      <w:r>
        <w:rPr>
          <w:rFonts w:ascii="Times New Roman" w:hAnsi="Times New Roman"/>
          <w:lang w:val="en-US"/>
        </w:rPr>
        <w:t>ut suffice to say there is clear agreement in this tradition that it approaches human flourishing with fundamentally different assumptions than those underpinning some contemporary liberal and progressive jurisprudence.</w:t>
      </w:r>
      <w:r>
        <w:rPr>
          <w:rFonts w:ascii="Times New Roman" w:eastAsia="Times New Roman" w:hAnsi="Times New Roman" w:cs="Times New Roman"/>
          <w:vertAlign w:val="superscript"/>
          <w:lang w:val="en-US"/>
        </w:rPr>
        <w:footnoteReference w:id="34"/>
      </w:r>
      <w:r>
        <w:rPr>
          <w:rFonts w:ascii="Times New Roman" w:hAnsi="Times New Roman"/>
          <w:lang w:val="en-US"/>
        </w:rPr>
        <w:t xml:space="preserve"> </w:t>
      </w:r>
    </w:p>
    <w:p w14:paraId="58EABAC2" w14:textId="77777777" w:rsidR="00357B22" w:rsidRDefault="00062FEC">
      <w:pPr>
        <w:pStyle w:val="BodyA"/>
        <w:spacing w:after="20" w:line="480" w:lineRule="auto"/>
        <w:ind w:firstLine="720"/>
        <w:jc w:val="both"/>
        <w:rPr>
          <w:rFonts w:ascii="Times New Roman" w:eastAsia="Times New Roman" w:hAnsi="Times New Roman" w:cs="Times New Roman"/>
        </w:rPr>
      </w:pPr>
      <w:r>
        <w:rPr>
          <w:rFonts w:ascii="Times New Roman" w:hAnsi="Times New Roman"/>
          <w:lang w:val="en-US"/>
        </w:rPr>
        <w:t>Human flourishing as conceived in</w:t>
      </w:r>
      <w:r>
        <w:rPr>
          <w:rFonts w:ascii="Times New Roman" w:hAnsi="Times New Roman"/>
          <w:lang w:val="en-US"/>
        </w:rPr>
        <w:t xml:space="preserve"> the classical legal tradition is based on the premise there are ends and goods objectively constitutive of </w:t>
      </w:r>
      <w:r>
        <w:rPr>
          <w:rFonts w:ascii="Times New Roman" w:hAnsi="Times New Roman"/>
          <w:lang w:val="en-US"/>
        </w:rPr>
        <w:t xml:space="preserve">human </w:t>
      </w:r>
      <w:r>
        <w:rPr>
          <w:rFonts w:ascii="Times New Roman" w:hAnsi="Times New Roman"/>
          <w:i/>
          <w:iCs/>
          <w:lang w:val="en-US"/>
        </w:rPr>
        <w:t xml:space="preserve">eudaimonia </w:t>
      </w:r>
      <w:r>
        <w:rPr>
          <w:rFonts w:ascii="Times New Roman" w:hAnsi="Times New Roman"/>
          <w:lang w:val="en-US"/>
        </w:rPr>
        <w:t xml:space="preserve">or </w:t>
      </w:r>
      <w:proofErr w:type="spellStart"/>
      <w:r>
        <w:rPr>
          <w:rFonts w:ascii="Times New Roman" w:hAnsi="Times New Roman"/>
          <w:i/>
          <w:iCs/>
          <w:lang w:val="en-US"/>
        </w:rPr>
        <w:t>felicitas</w:t>
      </w:r>
      <w:proofErr w:type="spellEnd"/>
      <w:r>
        <w:rPr>
          <w:rFonts w:ascii="Times New Roman" w:hAnsi="Times New Roman"/>
          <w:lang w:val="en-US"/>
        </w:rPr>
        <w:t xml:space="preserve"> – </w:t>
      </w:r>
      <w:r>
        <w:rPr>
          <w:rFonts w:ascii="Times New Roman" w:hAnsi="Times New Roman"/>
          <w:lang w:val="en-US"/>
        </w:rPr>
        <w:t>happiness.</w:t>
      </w:r>
      <w:r>
        <w:rPr>
          <w:rFonts w:ascii="Times New Roman" w:eastAsia="Times New Roman" w:hAnsi="Times New Roman" w:cs="Times New Roman"/>
          <w:vertAlign w:val="superscript"/>
          <w:lang w:val="en-US"/>
        </w:rPr>
        <w:footnoteReference w:id="35"/>
      </w:r>
      <w:r>
        <w:rPr>
          <w:rFonts w:ascii="Times New Roman" w:hAnsi="Times New Roman"/>
          <w:lang w:val="en-US"/>
        </w:rPr>
        <w:t xml:space="preserve"> These goods and ends are instantiated by acting consistently with the precepts of the </w:t>
      </w:r>
      <w:proofErr w:type="spellStart"/>
      <w:r>
        <w:rPr>
          <w:rFonts w:ascii="Times New Roman" w:hAnsi="Times New Roman"/>
          <w:i/>
          <w:iCs/>
          <w:lang w:val="en-US"/>
        </w:rPr>
        <w:t>ius</w:t>
      </w:r>
      <w:proofErr w:type="spellEnd"/>
      <w:r>
        <w:rPr>
          <w:rFonts w:ascii="Times New Roman" w:hAnsi="Times New Roman"/>
          <w:i/>
          <w:iCs/>
          <w:lang w:val="en-US"/>
        </w:rPr>
        <w:t xml:space="preserve"> </w:t>
      </w:r>
      <w:proofErr w:type="spellStart"/>
      <w:r>
        <w:rPr>
          <w:rFonts w:ascii="Times New Roman" w:hAnsi="Times New Roman"/>
          <w:i/>
          <w:iCs/>
          <w:lang w:val="en-US"/>
        </w:rPr>
        <w:t>naturale</w:t>
      </w:r>
      <w:proofErr w:type="spellEnd"/>
      <w:r>
        <w:rPr>
          <w:rFonts w:ascii="Times New Roman" w:hAnsi="Times New Roman"/>
          <w:i/>
          <w:iCs/>
          <w:lang w:val="en-US"/>
        </w:rPr>
        <w:t xml:space="preserve"> </w:t>
      </w:r>
      <w:r>
        <w:rPr>
          <w:rFonts w:ascii="Times New Roman" w:hAnsi="Times New Roman"/>
          <w:lang w:val="en-US"/>
        </w:rPr>
        <w:t xml:space="preserve">(natural law), whose most basic and self-evident injunction is that </w:t>
      </w:r>
      <w:r>
        <w:rPr>
          <w:rFonts w:ascii="Times New Roman" w:hAnsi="Times New Roman"/>
          <w:lang w:val="en-US"/>
        </w:rPr>
        <w:t>good is to be done and evil to be avoided.</w:t>
      </w:r>
      <w:r>
        <w:rPr>
          <w:rFonts w:ascii="Times New Roman" w:eastAsia="Times New Roman" w:hAnsi="Times New Roman" w:cs="Times New Roman"/>
          <w:vertAlign w:val="superscript"/>
          <w:lang w:val="en-US"/>
        </w:rPr>
        <w:footnoteReference w:id="36"/>
      </w:r>
      <w:r>
        <w:rPr>
          <w:rFonts w:ascii="Times New Roman" w:hAnsi="Times New Roman"/>
          <w:lang w:val="en-US"/>
        </w:rPr>
        <w:t xml:space="preserve"> Broadly speaking, the goods central to huma</w:t>
      </w:r>
      <w:r>
        <w:rPr>
          <w:rFonts w:ascii="Times New Roman" w:hAnsi="Times New Roman"/>
          <w:lang w:val="en-US"/>
        </w:rPr>
        <w:t>n flourishing in this tradition include life and component aspects of its fullness: health; bodily integrity; vigor; safety; the creation and education of new life; friendship in its various forms ranging from neighborliness to its richest sense in marriag</w:t>
      </w:r>
      <w:r>
        <w:rPr>
          <w:rFonts w:ascii="Times New Roman" w:hAnsi="Times New Roman"/>
          <w:lang w:val="en-US"/>
        </w:rPr>
        <w:t xml:space="preserve">e; and living in a well-ordered, peaceful, and just </w:t>
      </w:r>
      <w:r>
        <w:rPr>
          <w:rFonts w:ascii="Times New Roman" w:hAnsi="Times New Roman"/>
          <w:lang w:val="en-US"/>
        </w:rPr>
        <w:lastRenderedPageBreak/>
        <w:t>polity.</w:t>
      </w:r>
      <w:r>
        <w:rPr>
          <w:rFonts w:ascii="Times New Roman" w:eastAsia="Times New Roman" w:hAnsi="Times New Roman" w:cs="Times New Roman"/>
          <w:vertAlign w:val="superscript"/>
          <w:lang w:val="en-US"/>
        </w:rPr>
        <w:footnoteReference w:id="37"/>
      </w:r>
      <w:r>
        <w:rPr>
          <w:rFonts w:ascii="Times New Roman" w:hAnsi="Times New Roman"/>
          <w:lang w:val="en-US"/>
        </w:rPr>
        <w:t xml:space="preserve"> Our instantiation and participation in these ends and goods constitute the completion or fulfillment of our nature as rational animals.</w:t>
      </w:r>
      <w:r>
        <w:rPr>
          <w:rFonts w:ascii="Times New Roman" w:eastAsia="Times New Roman" w:hAnsi="Times New Roman" w:cs="Times New Roman"/>
          <w:vertAlign w:val="superscript"/>
          <w:lang w:val="en-US"/>
        </w:rPr>
        <w:footnoteReference w:id="38"/>
      </w:r>
      <w:r>
        <w:rPr>
          <w:rFonts w:ascii="Times New Roman" w:hAnsi="Times New Roman"/>
          <w:lang w:val="en-US"/>
        </w:rPr>
        <w:t xml:space="preserve"> While the tradition is emphatic that there are countless ways a people can organize themselves in community to sec</w:t>
      </w:r>
      <w:r>
        <w:rPr>
          <w:rFonts w:ascii="Times New Roman" w:hAnsi="Times New Roman"/>
          <w:lang w:val="en-US"/>
        </w:rPr>
        <w:t>ure the common good</w:t>
      </w:r>
      <w:r>
        <w:rPr>
          <w:rFonts w:ascii="Times New Roman" w:hAnsi="Times New Roman"/>
          <w:lang w:val="en-US"/>
        </w:rPr>
        <w:t>—</w:t>
      </w:r>
      <w:r>
        <w:rPr>
          <w:rFonts w:ascii="Times New Roman" w:hAnsi="Times New Roman"/>
          <w:lang w:val="en-US"/>
        </w:rPr>
        <w:t>the flourishing of each and all</w:t>
      </w:r>
      <w:r>
        <w:rPr>
          <w:rFonts w:ascii="Times New Roman" w:hAnsi="Times New Roman"/>
          <w:lang w:val="en-US"/>
        </w:rPr>
        <w:t>—</w:t>
      </w:r>
      <w:r>
        <w:rPr>
          <w:rFonts w:ascii="Times New Roman" w:hAnsi="Times New Roman"/>
          <w:lang w:val="en-US"/>
        </w:rPr>
        <w:t>consistent with different cultural practices and contexts, it is equally emphatic in its rejection of the premise that human flourishing is an ultimately subjective assessment, or the mere satisfaction of</w:t>
      </w:r>
      <w:r>
        <w:rPr>
          <w:rFonts w:ascii="Times New Roman" w:hAnsi="Times New Roman"/>
          <w:lang w:val="en-US"/>
        </w:rPr>
        <w:t xml:space="preserve"> preferences.</w:t>
      </w:r>
      <w:bookmarkStart w:id="12" w:name="_Ref92060977"/>
      <w:r>
        <w:rPr>
          <w:rFonts w:ascii="Times New Roman" w:eastAsia="Times New Roman" w:hAnsi="Times New Roman" w:cs="Times New Roman"/>
          <w:vertAlign w:val="superscript"/>
          <w:lang w:val="en-US"/>
        </w:rPr>
        <w:footnoteReference w:id="39"/>
      </w:r>
      <w:bookmarkEnd w:id="12"/>
      <w:r>
        <w:rPr>
          <w:rFonts w:ascii="Times New Roman" w:hAnsi="Times New Roman"/>
        </w:rPr>
        <w:t xml:space="preserve"> </w:t>
      </w:r>
    </w:p>
    <w:p w14:paraId="20B0CB86" w14:textId="77777777" w:rsidR="00357B22" w:rsidRDefault="00062FEC">
      <w:pPr>
        <w:pStyle w:val="BodyB"/>
        <w:spacing w:line="480" w:lineRule="auto"/>
        <w:ind w:firstLine="720"/>
        <w:jc w:val="both"/>
      </w:pPr>
      <w:r>
        <w:rPr>
          <w:i/>
          <w:iCs/>
        </w:rPr>
        <w:t xml:space="preserve">The Role of Law and Political Authority in Securing the Common Good. </w:t>
      </w:r>
      <w:r>
        <w:t>Th</w:t>
      </w:r>
      <w:r>
        <w:rPr>
          <w:shd w:val="clear" w:color="auto" w:fill="FFFFFF"/>
        </w:rPr>
        <w:t xml:space="preserve">e </w:t>
      </w:r>
      <w:r>
        <w:t xml:space="preserve">pursuit of human flourishing in a community involves securing a wide range of goals and conditions. The </w:t>
      </w:r>
      <w:r>
        <w:rPr>
          <w:i/>
          <w:iCs/>
          <w:lang w:val="it-IT"/>
        </w:rPr>
        <w:t>ragion di stato</w:t>
      </w:r>
      <w:r>
        <w:rPr>
          <w:lang w:val="fr-FR"/>
        </w:rPr>
        <w:t xml:space="preserve"> tradition</w:t>
      </w:r>
      <w:r>
        <w:t xml:space="preserve"> of early modern Europe speaks of the</w:t>
      </w:r>
      <w:r>
        <w:t xml:space="preserve"> </w:t>
      </w:r>
      <w:proofErr w:type="spellStart"/>
      <w:r>
        <w:rPr>
          <w:i/>
          <w:iCs/>
        </w:rPr>
        <w:t>bonum</w:t>
      </w:r>
      <w:proofErr w:type="spellEnd"/>
      <w:r>
        <w:rPr>
          <w:i/>
          <w:iCs/>
        </w:rPr>
        <w:t xml:space="preserve"> commune</w:t>
      </w:r>
      <w:r>
        <w:t xml:space="preserve"> as comprising a triptych of </w:t>
      </w:r>
      <w:r>
        <w:rPr>
          <w:rtl/>
          <w:lang w:val="ar-SA"/>
        </w:rPr>
        <w:t>“</w:t>
      </w:r>
      <w:r>
        <w:t>abundance, peace, and justice.”</w:t>
      </w:r>
      <w:r>
        <w:rPr>
          <w:vertAlign w:val="superscript"/>
        </w:rPr>
        <w:footnoteReference w:id="40"/>
      </w:r>
      <w:r>
        <w:t xml:space="preserve"> This became the standard list of both the legitimate ends of government and an idealized description of the polity in which it is possible—as famously framed in the precepts of l</w:t>
      </w:r>
      <w:r>
        <w:t xml:space="preserve">egal justice laid down in </w:t>
      </w:r>
      <w:r>
        <w:rPr>
          <w:i/>
          <w:iCs/>
        </w:rPr>
        <w:t>Justinian</w:t>
      </w:r>
      <w:r>
        <w:rPr>
          <w:i/>
          <w:iCs/>
          <w:rtl/>
          <w:lang w:val="ar-SA"/>
        </w:rPr>
        <w:t>’</w:t>
      </w:r>
      <w:r>
        <w:rPr>
          <w:i/>
          <w:iCs/>
          <w:lang w:val="fr-FR"/>
        </w:rPr>
        <w:t>s Institutes</w:t>
      </w:r>
      <w:r>
        <w:t>: “to live honestly, to injure no one, and to give every man his due.”</w:t>
      </w:r>
      <w:r>
        <w:rPr>
          <w:vertAlign w:val="superscript"/>
        </w:rPr>
        <w:footnoteReference w:id="41"/>
      </w:r>
      <w:r>
        <w:t xml:space="preserve"> (Note that under certain prominent liberal conceptions of law, the second precept is made the exclusive condition of political and social interaction.)</w:t>
      </w:r>
    </w:p>
    <w:p w14:paraId="47F06B19" w14:textId="77777777" w:rsidR="00357B22" w:rsidRDefault="00062FEC">
      <w:pPr>
        <w:pStyle w:val="BodyB"/>
        <w:spacing w:line="480" w:lineRule="auto"/>
        <w:ind w:firstLine="720"/>
        <w:jc w:val="both"/>
      </w:pPr>
      <w:r>
        <w:t xml:space="preserve">This account </w:t>
      </w:r>
      <w:proofErr w:type="spellStart"/>
      <w:r>
        <w:rPr>
          <w:lang w:val="fr-FR"/>
        </w:rPr>
        <w:t>encompasses</w:t>
      </w:r>
      <w:proofErr w:type="spellEnd"/>
      <w:r>
        <w:rPr>
          <w:lang w:val="fr-FR"/>
        </w:rPr>
        <w:t xml:space="preserve"> </w:t>
      </w:r>
      <w:r>
        <w:t>the fostering of structural social, economic, and moral conditions that respec</w:t>
      </w:r>
      <w:r>
        <w:t>t human life and health; furnish a healthy environment; promote familial formation, marriage, and stable family life; uphold economic justice and just provision of public goods; and foster a healthy culture oriented to pursuit of truth, civic friendship, a</w:t>
      </w:r>
      <w:r>
        <w:t xml:space="preserve">nd </w:t>
      </w:r>
      <w:r>
        <w:lastRenderedPageBreak/>
        <w:t>respect for human dignity, and to curbing vices damaging to these ends.</w:t>
      </w:r>
      <w:bookmarkStart w:id="13" w:name="_Ref92142443"/>
      <w:r>
        <w:rPr>
          <w:vertAlign w:val="superscript"/>
        </w:rPr>
        <w:footnoteReference w:id="42"/>
      </w:r>
      <w:bookmarkEnd w:id="13"/>
      <w:r>
        <w:t xml:space="preserve"> These conditions are not possible for individuals, families, or associations to achieve solely by their own initiative—solely through decentralized action or “spontaneous order.”</w:t>
      </w:r>
      <w:bookmarkStart w:id="14" w:name="_Ref92142406"/>
      <w:r>
        <w:rPr>
          <w:vertAlign w:val="superscript"/>
        </w:rPr>
        <w:footnoteReference w:id="43"/>
      </w:r>
      <w:bookmarkEnd w:id="14"/>
    </w:p>
    <w:p w14:paraId="577B8D14" w14:textId="77777777" w:rsidR="00357B22" w:rsidRDefault="00062FEC">
      <w:pPr>
        <w:pStyle w:val="FootnoteText"/>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tradition makes clear, however, that the common good does </w:t>
      </w:r>
      <w:r>
        <w:rPr>
          <w:rFonts w:ascii="Times New Roman" w:hAnsi="Times New Roman"/>
          <w:i/>
          <w:iCs/>
          <w:sz w:val="24"/>
          <w:szCs w:val="24"/>
        </w:rPr>
        <w:t>not</w:t>
      </w:r>
      <w:r>
        <w:rPr>
          <w:rFonts w:ascii="Times New Roman" w:hAnsi="Times New Roman"/>
          <w:sz w:val="24"/>
          <w:szCs w:val="24"/>
        </w:rPr>
        <w:t xml:space="preserve"> require the law declare all vices illegal, nor use law to enforce all possible virtues </w:t>
      </w:r>
      <w:r>
        <w:rPr>
          <w:rFonts w:ascii="Times New Roman" w:hAnsi="Times New Roman"/>
          <w:sz w:val="24"/>
          <w:szCs w:val="24"/>
        </w:rPr>
        <w:t xml:space="preserve">– </w:t>
      </w:r>
      <w:r>
        <w:rPr>
          <w:rFonts w:ascii="Times New Roman" w:hAnsi="Times New Roman"/>
          <w:sz w:val="24"/>
          <w:szCs w:val="24"/>
        </w:rPr>
        <w:t xml:space="preserve">a common misconception. To be sure, there neither is nor even can be any barrier in principle to </w:t>
      </w:r>
      <w:r>
        <w:rPr>
          <w:rFonts w:ascii="Times New Roman" w:hAnsi="Times New Roman"/>
          <w:sz w:val="24"/>
          <w:szCs w:val="24"/>
        </w:rPr>
        <w:t>“</w:t>
      </w:r>
      <w:r>
        <w:rPr>
          <w:rFonts w:ascii="Times New Roman" w:hAnsi="Times New Roman"/>
          <w:sz w:val="24"/>
          <w:szCs w:val="24"/>
        </w:rPr>
        <w:t>legislating morality.</w:t>
      </w:r>
      <w:r>
        <w:rPr>
          <w:rFonts w:ascii="Times New Roman" w:hAnsi="Times New Roman"/>
          <w:sz w:val="24"/>
          <w:szCs w:val="24"/>
        </w:rPr>
        <w:t xml:space="preserve">” </w:t>
      </w:r>
      <w:r>
        <w:rPr>
          <w:rFonts w:ascii="Times New Roman" w:hAnsi="Times New Roman"/>
          <w:sz w:val="24"/>
          <w:szCs w:val="24"/>
        </w:rPr>
        <w:t>Any law code assumes some conception or other of morality, if only a libertarian conception. But the prudent lawmaker takes into accoun</w:t>
      </w:r>
      <w:r>
        <w:rPr>
          <w:rFonts w:ascii="Times New Roman" w:hAnsi="Times New Roman"/>
          <w:sz w:val="24"/>
          <w:szCs w:val="24"/>
        </w:rPr>
        <w:t xml:space="preserve">t that the game is sometimes not worth the </w:t>
      </w:r>
      <w:proofErr w:type="gramStart"/>
      <w:r>
        <w:rPr>
          <w:rFonts w:ascii="Times New Roman" w:hAnsi="Times New Roman"/>
          <w:sz w:val="24"/>
          <w:szCs w:val="24"/>
        </w:rPr>
        <w:t>candle, and</w:t>
      </w:r>
      <w:proofErr w:type="gramEnd"/>
      <w:r>
        <w:rPr>
          <w:rFonts w:ascii="Times New Roman" w:hAnsi="Times New Roman"/>
          <w:sz w:val="24"/>
          <w:szCs w:val="24"/>
        </w:rPr>
        <w:t xml:space="preserve"> limits the rough engine of the law to addressing serious harms or grave vices.</w:t>
      </w:r>
      <w:r>
        <w:rPr>
          <w:rFonts w:ascii="Times New Roman" w:eastAsia="Times New Roman" w:hAnsi="Times New Roman" w:cs="Times New Roman"/>
          <w:sz w:val="24"/>
          <w:szCs w:val="24"/>
          <w:vertAlign w:val="superscript"/>
        </w:rPr>
        <w:footnoteReference w:id="44"/>
      </w:r>
      <w:r>
        <w:rPr>
          <w:rFonts w:ascii="Times New Roman" w:hAnsi="Times New Roman"/>
          <w:sz w:val="24"/>
          <w:szCs w:val="24"/>
        </w:rPr>
        <w:t xml:space="preserve"> While St. Thomas Aquinas, for example, thought that law</w:t>
      </w:r>
      <w:r>
        <w:rPr>
          <w:rFonts w:ascii="Times New Roman" w:hAnsi="Times New Roman"/>
          <w:sz w:val="24"/>
          <w:szCs w:val="24"/>
        </w:rPr>
        <w:t>’</w:t>
      </w:r>
      <w:r>
        <w:rPr>
          <w:rFonts w:ascii="Times New Roman" w:hAnsi="Times New Roman"/>
          <w:sz w:val="24"/>
          <w:szCs w:val="24"/>
        </w:rPr>
        <w:t>s purpose is to lead people to virtue, he also argued that the l</w:t>
      </w:r>
      <w:r>
        <w:rPr>
          <w:rFonts w:ascii="Times New Roman" w:hAnsi="Times New Roman"/>
          <w:sz w:val="24"/>
          <w:szCs w:val="24"/>
        </w:rPr>
        <w:t>awmaker</w:t>
      </w:r>
      <w:r>
        <w:rPr>
          <w:rFonts w:ascii="Times New Roman" w:hAnsi="Times New Roman"/>
          <w:sz w:val="24"/>
          <w:szCs w:val="24"/>
        </w:rPr>
        <w:t>’</w:t>
      </w:r>
      <w:r>
        <w:rPr>
          <w:rFonts w:ascii="Times New Roman" w:hAnsi="Times New Roman"/>
          <w:sz w:val="24"/>
          <w:szCs w:val="24"/>
        </w:rPr>
        <w:t>s use of imprudent means to suppress vice and promote virtue could create new or greater evils that themselves threaten the common good.</w:t>
      </w:r>
      <w:r>
        <w:rPr>
          <w:rFonts w:ascii="Times New Roman" w:eastAsia="Times New Roman" w:hAnsi="Times New Roman" w:cs="Times New Roman"/>
          <w:sz w:val="24"/>
          <w:szCs w:val="24"/>
          <w:vertAlign w:val="superscript"/>
        </w:rPr>
        <w:footnoteReference w:id="45"/>
      </w:r>
    </w:p>
    <w:p w14:paraId="5A68A190" w14:textId="77777777" w:rsidR="00357B22" w:rsidRDefault="00062FEC">
      <w:pPr>
        <w:pStyle w:val="BodyB"/>
        <w:spacing w:line="480" w:lineRule="auto"/>
        <w:ind w:firstLine="720"/>
        <w:jc w:val="both"/>
      </w:pPr>
      <w:r>
        <w:rPr>
          <w:shd w:val="clear" w:color="auto" w:fill="FFFFFF"/>
        </w:rPr>
        <w:t xml:space="preserve">Making concrete the demanding and open-ended objectives of the </w:t>
      </w:r>
      <w:r>
        <w:rPr>
          <w:i/>
          <w:iCs/>
          <w:shd w:val="clear" w:color="auto" w:fill="FFFFFF"/>
          <w:lang w:val="it-IT"/>
        </w:rPr>
        <w:t xml:space="preserve">ragion di stato </w:t>
      </w:r>
      <w:r>
        <w:rPr>
          <w:shd w:val="clear" w:color="auto" w:fill="FFFFFF"/>
        </w:rPr>
        <w:t>tradition in a community requi</w:t>
      </w:r>
      <w:r>
        <w:rPr>
          <w:shd w:val="clear" w:color="auto" w:fill="FFFFFF"/>
        </w:rPr>
        <w:t>res the authoritative co-ordination and ordering of persons, families, and associations to ensure they are pursued efficaciously and harmoniously, and not in a chaotic, disordered manner.</w:t>
      </w:r>
      <w:r>
        <w:rPr>
          <w:shd w:val="clear" w:color="auto" w:fill="FFFFFF"/>
          <w:vertAlign w:val="superscript"/>
        </w:rPr>
        <w:footnoteReference w:id="46"/>
      </w:r>
      <w:r>
        <w:rPr>
          <w:shd w:val="clear" w:color="auto" w:fill="FFFFFF"/>
        </w:rPr>
        <w:t xml:space="preserve"> </w:t>
      </w:r>
      <w:r>
        <w:t xml:space="preserve">Posited ordinances, promulgated by political authorities with the </w:t>
      </w:r>
      <w:r>
        <w:t>capacity to ensure this ordering, are therefore critical to authoritatively securing the conditions just mentioned, where there is</w:t>
      </w:r>
      <w:r>
        <w:t xml:space="preserve"> the</w:t>
      </w:r>
      <w:r>
        <w:t xml:space="preserve"> </w:t>
      </w:r>
      <w:r>
        <w:rPr>
          <w:rtl/>
          <w:lang w:val="ar-SA"/>
        </w:rPr>
        <w:t>“</w:t>
      </w:r>
      <w:r>
        <w:t xml:space="preserve">peace, prosperity, and training in virtue” </w:t>
      </w:r>
      <w:r>
        <w:lastRenderedPageBreak/>
        <w:t>required to live the good life in a flourishing political community.</w:t>
      </w:r>
      <w:r>
        <w:rPr>
          <w:vertAlign w:val="superscript"/>
        </w:rPr>
        <w:footnoteReference w:id="47"/>
      </w:r>
      <w:r>
        <w:t xml:space="preserve"> </w:t>
      </w:r>
      <w:r>
        <w:rPr>
          <w:shd w:val="clear" w:color="auto" w:fill="FFFFFF"/>
        </w:rPr>
        <w:t>The</w:t>
      </w:r>
      <w:r>
        <w:rPr>
          <w:shd w:val="clear" w:color="auto" w:fill="FFFFFF"/>
        </w:rPr>
        <w:t xml:space="preserve"> common good requires authoritative institutions and rulers able to specify, apply, and enforce rules which govern and guide our pursuit of the goods of justice, peace, and abundance.</w:t>
      </w:r>
      <w:r>
        <w:rPr>
          <w:shd w:val="clear" w:color="auto" w:fill="FFFFFF"/>
          <w:vertAlign w:val="superscript"/>
        </w:rPr>
        <w:footnoteReference w:id="48"/>
      </w:r>
      <w:r>
        <w:rPr>
          <w:shd w:val="clear" w:color="auto" w:fill="FFFFFF"/>
          <w:lang w:val="pt-PT"/>
        </w:rPr>
        <w:t xml:space="preserve"> As </w:t>
      </w:r>
      <w:r>
        <w:rPr>
          <w:shd w:val="clear" w:color="auto" w:fill="FFFFFF"/>
        </w:rPr>
        <w:t xml:space="preserve">Timothy Endicott notes, it is the </w:t>
      </w:r>
      <w:r>
        <w:rPr>
          <w:shd w:val="clear" w:color="auto" w:fill="FFFFFF"/>
          <w:rtl/>
          <w:lang w:val="ar-SA"/>
        </w:rPr>
        <w:t>“</w:t>
      </w:r>
      <w:r>
        <w:t>systematic and authoritati</w:t>
      </w:r>
      <w:r>
        <w:t>ve aspects of law [that] secure regulation in the distinctively transparent, stable, prospective, and reflexive fashion that distinguishes the rule of law from military rule, and from gangsterism, and from other forms of arbitrary rule” that do not conduce</w:t>
      </w:r>
      <w:r>
        <w:t xml:space="preserve"> to the common good.</w:t>
      </w:r>
      <w:r>
        <w:rPr>
          <w:vertAlign w:val="superscript"/>
        </w:rPr>
        <w:footnoteReference w:id="49"/>
      </w:r>
      <w:r>
        <w:rPr>
          <w:shd w:val="clear" w:color="auto" w:fill="FFFFFF"/>
        </w:rPr>
        <w:t xml:space="preserve"> </w:t>
      </w:r>
    </w:p>
    <w:p w14:paraId="5E9BC69D" w14:textId="77777777" w:rsidR="00357B22" w:rsidRDefault="00062FEC">
      <w:pPr>
        <w:pStyle w:val="BodyB"/>
        <w:spacing w:line="480" w:lineRule="auto"/>
        <w:ind w:firstLine="720"/>
        <w:jc w:val="both"/>
      </w:pPr>
      <w:r>
        <w:t>Legal ordinances also have a critical educative function in the classical tradition, as they can encourage citizens subject to the law to form desires, habits, and beliefs that better track and promote communal, indeed their own, we</w:t>
      </w:r>
      <w:r>
        <w:t>ll-being.</w:t>
      </w:r>
      <w:r>
        <w:rPr>
          <w:vertAlign w:val="superscript"/>
        </w:rPr>
        <w:footnoteReference w:id="50"/>
      </w:r>
      <w:r>
        <w:rPr>
          <w:vertAlign w:val="superscript"/>
        </w:rPr>
        <w:t xml:space="preserve"> </w:t>
      </w:r>
      <w:r>
        <w:t>Despite outrage from libertarians on this point, it is a routine feature of policymaking. Consider sin taxes; waiting or cooling-off periods for marriage, divorce, gun purchases, and other important transactions; and institutions for instructio</w:t>
      </w:r>
      <w:r>
        <w:t>n and education in civic responsibility, such as jury duty, mandatory public education,</w:t>
      </w:r>
      <w:r>
        <w:t xml:space="preserve"> and</w:t>
      </w:r>
      <w:r>
        <w:t xml:space="preserve"> mandatory</w:t>
      </w:r>
      <w:r>
        <w:t xml:space="preserve"> national service or military duty. Public ordinances are, says Pink, invariably </w:t>
      </w:r>
      <w:r>
        <w:rPr>
          <w:rtl/>
          <w:lang w:val="ar-SA"/>
        </w:rPr>
        <w:t>“</w:t>
      </w:r>
      <w:r>
        <w:t>concerned with education—with inducing change in the direction of ethi</w:t>
      </w:r>
      <w:r>
        <w:t>cally important truth at the level of citizens’ belief. The state is a coercive teacher.”</w:t>
      </w:r>
      <w:r>
        <w:rPr>
          <w:vertAlign w:val="superscript"/>
        </w:rPr>
        <w:t xml:space="preserve"> </w:t>
      </w:r>
      <w:r>
        <w:rPr>
          <w:vertAlign w:val="superscript"/>
        </w:rPr>
        <w:footnoteReference w:id="51"/>
      </w:r>
      <w:r>
        <w:t xml:space="preserve"> In the classical tradition, this is an important but subsidiary role complementary to the primary role played by the family, churches, civic associations, and loca</w:t>
      </w:r>
      <w:r>
        <w:t>l communities.</w:t>
      </w:r>
      <w:r>
        <w:rPr>
          <w:vertAlign w:val="superscript"/>
        </w:rPr>
        <w:footnoteReference w:id="52"/>
      </w:r>
    </w:p>
    <w:p w14:paraId="3ABA7F8E" w14:textId="77777777" w:rsidR="00357B22" w:rsidRDefault="00062FEC">
      <w:pPr>
        <w:pStyle w:val="BodyB"/>
        <w:spacing w:line="480" w:lineRule="auto"/>
        <w:ind w:firstLine="720"/>
        <w:jc w:val="both"/>
      </w:pPr>
      <w:r>
        <w:t xml:space="preserve">Posited law is also critical to the common good, as it is needed to give specific content to the law where background principles of the </w:t>
      </w:r>
      <w:proofErr w:type="spellStart"/>
      <w:r>
        <w:rPr>
          <w:i/>
          <w:iCs/>
          <w:lang w:val="it-IT"/>
        </w:rPr>
        <w:t>ius</w:t>
      </w:r>
      <w:proofErr w:type="spellEnd"/>
      <w:r>
        <w:rPr>
          <w:i/>
          <w:iCs/>
          <w:lang w:val="it-IT"/>
        </w:rPr>
        <w:t xml:space="preserve"> naturale</w:t>
      </w:r>
      <w:r>
        <w:t xml:space="preserve"> need specificity or leave relevant </w:t>
      </w:r>
      <w:r>
        <w:lastRenderedPageBreak/>
        <w:t>issues to discretionary choice within reasonable bounds</w:t>
      </w:r>
      <w:r>
        <w:t xml:space="preserve">. The need for posited law to make the broad precepts of the natural law reasonably concrete is a central feature of the classical tradition. As Richard Ekins frames it, while the </w:t>
      </w:r>
      <w:r>
        <w:rPr>
          <w:rtl/>
          <w:lang w:val="ar-SA"/>
        </w:rPr>
        <w:t>“</w:t>
      </w:r>
      <w:r>
        <w:t>reason and action” of political authority is at all times cabined and frame</w:t>
      </w:r>
      <w:r>
        <w:t xml:space="preserve">d by </w:t>
      </w:r>
      <w:r>
        <w:rPr>
          <w:rtl/>
          <w:lang w:val="ar-SA"/>
        </w:rPr>
        <w:t>“</w:t>
      </w:r>
      <w:r>
        <w:t xml:space="preserve">general moral truths,” its duty is very often to specify these truths by </w:t>
      </w:r>
      <w:r>
        <w:rPr>
          <w:rtl/>
          <w:lang w:val="ar-SA"/>
        </w:rPr>
        <w:t>“</w:t>
      </w:r>
      <w:r>
        <w:t xml:space="preserve">choosing in what specific forms they shall be given effect in the law” of this or that community and its </w:t>
      </w:r>
      <w:proofErr w:type="gramStart"/>
      <w:r>
        <w:t>particular context</w:t>
      </w:r>
      <w:proofErr w:type="gramEnd"/>
      <w:r>
        <w:t>.</w:t>
      </w:r>
      <w:bookmarkStart w:id="15" w:name="_Ref92142590"/>
      <w:r>
        <w:rPr>
          <w:vertAlign w:val="superscript"/>
        </w:rPr>
        <w:footnoteReference w:id="53"/>
      </w:r>
      <w:bookmarkEnd w:id="15"/>
      <w:r>
        <w:t xml:space="preserve"> </w:t>
      </w:r>
    </w:p>
    <w:p w14:paraId="1593F005" w14:textId="77777777" w:rsidR="00357B22" w:rsidRDefault="00062FEC">
      <w:pPr>
        <w:pStyle w:val="BodyB"/>
        <w:spacing w:line="480" w:lineRule="auto"/>
        <w:ind w:firstLine="720"/>
        <w:jc w:val="both"/>
      </w:pPr>
      <w:r>
        <w:t>Ekins is, in effect, recapitulating the classica</w:t>
      </w:r>
      <w:r>
        <w:t>l theory of determination. In a famous passage, Aquinas distinguished two ways in which positive law might be derived from the natural law:</w:t>
      </w:r>
    </w:p>
    <w:p w14:paraId="676BBBF1" w14:textId="77777777" w:rsidR="00357B22" w:rsidRDefault="00062FEC">
      <w:pPr>
        <w:pStyle w:val="BodyA"/>
        <w:spacing w:after="120"/>
        <w:ind w:left="720"/>
        <w:jc w:val="both"/>
        <w:rPr>
          <w:rFonts w:ascii="Times New Roman" w:eastAsia="Times New Roman" w:hAnsi="Times New Roman" w:cs="Times New Roman"/>
          <w:lang w:val="en-US"/>
        </w:rPr>
      </w:pPr>
      <w:r>
        <w:rPr>
          <w:rFonts w:ascii="Times New Roman" w:hAnsi="Times New Roman"/>
          <w:lang w:val="en-US"/>
        </w:rPr>
        <w:t xml:space="preserve">It must be noted, however, that something may be derived from the natural law in two ways: in one way, </w:t>
      </w:r>
      <w:r>
        <w:rPr>
          <w:rFonts w:ascii="Times New Roman" w:hAnsi="Times New Roman"/>
          <w:i/>
          <w:iCs/>
          <w:lang w:val="en-US"/>
        </w:rPr>
        <w:t xml:space="preserve">as a </w:t>
      </w:r>
      <w:r>
        <w:rPr>
          <w:rFonts w:ascii="Times New Roman" w:hAnsi="Times New Roman"/>
          <w:i/>
          <w:iCs/>
          <w:lang w:val="en-US"/>
        </w:rPr>
        <w:t>general conclusion derived from its principles</w:t>
      </w:r>
      <w:r>
        <w:rPr>
          <w:rFonts w:ascii="Times New Roman" w:hAnsi="Times New Roman"/>
          <w:lang w:val="en-US"/>
        </w:rPr>
        <w:t xml:space="preserve">; in another way, as a </w:t>
      </w:r>
      <w:r>
        <w:rPr>
          <w:rFonts w:ascii="Times New Roman" w:hAnsi="Times New Roman"/>
          <w:i/>
          <w:iCs/>
          <w:lang w:val="en-US"/>
        </w:rPr>
        <w:t>specific application of that which is expressed in general terms</w:t>
      </w:r>
      <w:r>
        <w:rPr>
          <w:rFonts w:ascii="Times New Roman" w:hAnsi="Times New Roman"/>
          <w:lang w:val="en-US"/>
        </w:rPr>
        <w:t xml:space="preserve">. The first way is </w:t>
      </w:r>
      <w:proofErr w:type="gramStart"/>
      <w:r>
        <w:rPr>
          <w:rFonts w:ascii="Times New Roman" w:hAnsi="Times New Roman"/>
          <w:lang w:val="en-US"/>
        </w:rPr>
        <w:t>similar to</w:t>
      </w:r>
      <w:proofErr w:type="gramEnd"/>
      <w:r>
        <w:rPr>
          <w:rFonts w:ascii="Times New Roman" w:hAnsi="Times New Roman"/>
          <w:lang w:val="en-US"/>
        </w:rPr>
        <w:t xml:space="preserve"> that by which, in the sciences, demonstrated conclusions are derived from first principles; w</w:t>
      </w:r>
      <w:r>
        <w:rPr>
          <w:rFonts w:ascii="Times New Roman" w:hAnsi="Times New Roman"/>
          <w:lang w:val="en-US"/>
        </w:rPr>
        <w:t xml:space="preserve">hile </w:t>
      </w:r>
      <w:r>
        <w:rPr>
          <w:rFonts w:ascii="Times New Roman" w:hAnsi="Times New Roman"/>
          <w:i/>
          <w:iCs/>
          <w:lang w:val="en-US"/>
        </w:rPr>
        <w:t>the second way is like that by which, in the arts, general ideas are made particular as to details: for example, the craftsman needs to turn the general idea of a house into the shape of this or that house</w:t>
      </w:r>
      <w:r>
        <w:rPr>
          <w:rFonts w:ascii="Times New Roman" w:hAnsi="Times New Roman"/>
          <w:lang w:val="en-US"/>
        </w:rPr>
        <w:t>. Some things are therefore derived from the p</w:t>
      </w:r>
      <w:r>
        <w:rPr>
          <w:rFonts w:ascii="Times New Roman" w:hAnsi="Times New Roman"/>
          <w:lang w:val="en-US"/>
        </w:rPr>
        <w:t xml:space="preserve">rinciples of the natural law as general conclusions: for example, that </w:t>
      </w:r>
      <w:r>
        <w:rPr>
          <w:rFonts w:ascii="Times New Roman" w:hAnsi="Times New Roman"/>
          <w:lang w:val="en-US"/>
        </w:rPr>
        <w:t>‘</w:t>
      </w:r>
      <w:r>
        <w:rPr>
          <w:rFonts w:ascii="Times New Roman" w:hAnsi="Times New Roman"/>
          <w:lang w:val="en-US"/>
        </w:rPr>
        <w:t>one ought not to kill</w:t>
      </w:r>
      <w:r>
        <w:rPr>
          <w:rFonts w:ascii="Times New Roman" w:hAnsi="Times New Roman"/>
          <w:lang w:val="en-US"/>
        </w:rPr>
        <w:t xml:space="preserve">’ </w:t>
      </w:r>
      <w:r>
        <w:rPr>
          <w:rFonts w:ascii="Times New Roman" w:hAnsi="Times New Roman"/>
          <w:lang w:val="en-US"/>
        </w:rPr>
        <w:t xml:space="preserve">may be derived as a conclusion from the principle that </w:t>
      </w:r>
      <w:r>
        <w:rPr>
          <w:rFonts w:ascii="Times New Roman" w:hAnsi="Times New Roman"/>
          <w:lang w:val="en-US"/>
        </w:rPr>
        <w:t>‘</w:t>
      </w:r>
      <w:r>
        <w:rPr>
          <w:rFonts w:ascii="Times New Roman" w:hAnsi="Times New Roman"/>
          <w:lang w:val="en-US"/>
        </w:rPr>
        <w:t>one ought not to harm anyone</w:t>
      </w:r>
      <w:r>
        <w:rPr>
          <w:rFonts w:ascii="Times New Roman" w:hAnsi="Times New Roman"/>
          <w:lang w:val="en-US"/>
        </w:rPr>
        <w:t>’</w:t>
      </w:r>
      <w:r>
        <w:rPr>
          <w:rFonts w:ascii="Times New Roman" w:hAnsi="Times New Roman"/>
          <w:lang w:val="en-US"/>
        </w:rPr>
        <w:t xml:space="preserve">; whereas </w:t>
      </w:r>
      <w:r>
        <w:rPr>
          <w:rFonts w:ascii="Times New Roman" w:hAnsi="Times New Roman"/>
          <w:i/>
          <w:iCs/>
          <w:lang w:val="en-US"/>
        </w:rPr>
        <w:t>some are derived from it as specific applications: for example, th</w:t>
      </w:r>
      <w:r>
        <w:rPr>
          <w:rFonts w:ascii="Times New Roman" w:hAnsi="Times New Roman"/>
          <w:i/>
          <w:iCs/>
          <w:lang w:val="en-US"/>
        </w:rPr>
        <w:t>e law of nature has it that he who does evil should be punished; but that he should be punished with this or that penalty is a specific application of the law of nature. Both modes of derivation, then, are found in the human law</w:t>
      </w:r>
      <w:r>
        <w:rPr>
          <w:rFonts w:ascii="Times New Roman" w:hAnsi="Times New Roman"/>
          <w:lang w:val="en-US"/>
        </w:rPr>
        <w:t>. Those things which are der</w:t>
      </w:r>
      <w:r>
        <w:rPr>
          <w:rFonts w:ascii="Times New Roman" w:hAnsi="Times New Roman"/>
          <w:lang w:val="en-US"/>
        </w:rPr>
        <w:t>ived in the first way are not contained in human law simply as belonging to it alone; rather, they have some of their force from the law of nature. But those things which are derived in the second way have their force from human law alone.</w:t>
      </w:r>
      <w:bookmarkStart w:id="16" w:name="_Ref92274235"/>
      <w:r>
        <w:rPr>
          <w:rFonts w:ascii="Times New Roman" w:eastAsia="Times New Roman" w:hAnsi="Times New Roman" w:cs="Times New Roman"/>
          <w:vertAlign w:val="superscript"/>
          <w:lang w:val="en-US"/>
        </w:rPr>
        <w:footnoteReference w:id="54"/>
      </w:r>
      <w:bookmarkEnd w:id="16"/>
    </w:p>
    <w:p w14:paraId="055937CB" w14:textId="5C3CE173" w:rsidR="00357B22" w:rsidRDefault="00062FEC">
      <w:pPr>
        <w:pStyle w:val="BodyB"/>
        <w:spacing w:line="480" w:lineRule="auto"/>
        <w:jc w:val="both"/>
      </w:pPr>
      <w:r>
        <w:t xml:space="preserve">The first </w:t>
      </w:r>
      <w:r>
        <w:t>way mentioned by Aquinas is that some precepts of the natural law can be concretized in positive law via a straightforward deductive process.</w:t>
      </w:r>
      <w:r>
        <w:rPr>
          <w:vertAlign w:val="superscript"/>
        </w:rPr>
        <w:footnoteReference w:id="55"/>
      </w:r>
      <w:r>
        <w:t xml:space="preserve"> For example, the preservation of life is an aspect of human good and principle of the natural law. This yields t</w:t>
      </w:r>
      <w:r>
        <w:t xml:space="preserve">he conclusive precept </w:t>
      </w:r>
      <w:r>
        <w:lastRenderedPageBreak/>
        <w:t>against the intentional taking of innocent life that is easily posited through laws prohibiting homicide and providing for self-defen</w:t>
      </w:r>
      <w:r>
        <w:t>s</w:t>
      </w:r>
      <w:r>
        <w:t>e</w:t>
      </w:r>
      <w:r>
        <w:t>.</w:t>
      </w:r>
      <w:r>
        <w:rPr>
          <w:vertAlign w:val="superscript"/>
        </w:rPr>
        <w:footnoteReference w:id="56"/>
      </w:r>
    </w:p>
    <w:p w14:paraId="2CD0D322" w14:textId="77777777" w:rsidR="00357B22" w:rsidRDefault="00062FEC">
      <w:pPr>
        <w:pStyle w:val="BodyB"/>
        <w:spacing w:line="480" w:lineRule="auto"/>
        <w:jc w:val="both"/>
      </w:pPr>
      <w:r>
        <w:tab/>
        <w:t>But Aquinas says that that concretization of the principles of natural law is typically</w:t>
      </w:r>
      <w:r>
        <w:t xml:space="preserve"> much less simple than this, as </w:t>
      </w:r>
      <w:r>
        <w:rPr>
          <w:shd w:val="clear" w:color="auto" w:fill="FFFFFF"/>
        </w:rPr>
        <w:t>natural law’s first precepts are broad and vague and leave only a few principles that can be straightforwardly given force in posited law.</w:t>
      </w:r>
      <w:r>
        <w:rPr>
          <w:shd w:val="clear" w:color="auto" w:fill="FFFFFF"/>
          <w:vertAlign w:val="superscript"/>
        </w:rPr>
        <w:footnoteReference w:id="57"/>
      </w:r>
      <w:r>
        <w:rPr>
          <w:shd w:val="clear" w:color="auto" w:fill="FFFFFF"/>
        </w:rPr>
        <w:t xml:space="preserve"> In many circumstances, the principles of natural law require specification </w:t>
      </w:r>
      <w:proofErr w:type="gramStart"/>
      <w:r>
        <w:rPr>
          <w:shd w:val="clear" w:color="auto" w:fill="FFFFFF"/>
        </w:rPr>
        <w:t>in light</w:t>
      </w:r>
      <w:r>
        <w:rPr>
          <w:shd w:val="clear" w:color="auto" w:fill="FFFFFF"/>
        </w:rPr>
        <w:t xml:space="preserve"> of</w:t>
      </w:r>
      <w:proofErr w:type="gramEnd"/>
      <w:r>
        <w:rPr>
          <w:shd w:val="clear" w:color="auto" w:fill="FFFFFF"/>
        </w:rPr>
        <w:t xml:space="preserve"> the context of a given political community, as they are too vague to co-ordinate conduct to allow persons to flourish.</w:t>
      </w:r>
      <w:r>
        <w:t xml:space="preserve"> For example, the political common good may demand organizing a just economy able to provide the necessities of life, provision for so</w:t>
      </w:r>
      <w:r>
        <w:t xml:space="preserve">und education and healthcare, respect for subsidiary units like the family, the promotion of virtue, and ensuring peaceful relations with other nations; but there will be countless ways to proceed along all these fronts consistent with the natural law and </w:t>
      </w:r>
      <w:r>
        <w:t xml:space="preserve">common good. The </w:t>
      </w:r>
      <w:r>
        <w:rPr>
          <w:rtl/>
          <w:lang w:val="ar-SA"/>
        </w:rPr>
        <w:t>“</w:t>
      </w:r>
      <w:r>
        <w:t>greater part of a community</w:t>
      </w:r>
      <w:r>
        <w:rPr>
          <w:rtl/>
          <w:lang w:val="ar-SA"/>
        </w:rPr>
        <w:t>’</w:t>
      </w:r>
      <w:r>
        <w:t xml:space="preserve">s positive settlement of right relations between persons” will always, notes Webber, </w:t>
      </w:r>
      <w:r>
        <w:rPr>
          <w:rtl/>
          <w:lang w:val="ar-SA"/>
        </w:rPr>
        <w:t>“</w:t>
      </w:r>
      <w:r>
        <w:t>confront true choice, where conformity to practical reason will leave matters open for evaluation and decision.”</w:t>
      </w:r>
      <w:bookmarkStart w:id="17" w:name="_Ref92142502"/>
      <w:r>
        <w:rPr>
          <w:vertAlign w:val="superscript"/>
        </w:rPr>
        <w:footnoteReference w:id="58"/>
      </w:r>
      <w:bookmarkEnd w:id="17"/>
      <w:r>
        <w:t xml:space="preserve"> </w:t>
      </w:r>
    </w:p>
    <w:p w14:paraId="6EA8EC19" w14:textId="77777777" w:rsidR="00357B22" w:rsidRDefault="00062FEC">
      <w:pPr>
        <w:pStyle w:val="BodyB"/>
        <w:spacing w:line="480" w:lineRule="auto"/>
        <w:ind w:firstLine="720"/>
        <w:jc w:val="both"/>
      </w:pPr>
      <w:r>
        <w:t xml:space="preserve">This is where the concept of prudential </w:t>
      </w:r>
      <w:proofErr w:type="spellStart"/>
      <w:r>
        <w:rPr>
          <w:i/>
          <w:iCs/>
          <w:lang w:val="fr-FR"/>
        </w:rPr>
        <w:t>determination</w:t>
      </w:r>
      <w:proofErr w:type="spellEnd"/>
      <w:r>
        <w:rPr>
          <w:i/>
          <w:iCs/>
          <w:lang w:val="fr-FR"/>
        </w:rPr>
        <w:t xml:space="preserve"> </w:t>
      </w:r>
      <w:r>
        <w:t>comes into the picture and why it is so important to the classic legal tradition. Determination is the prudential process of giving content to a general principle drawn from a higher source of law, maki</w:t>
      </w:r>
      <w:r>
        <w:t xml:space="preserve">ng it concrete in prudential application to local circumstances or problems. The need for determination arises when principles of justice are general and thus do not specifically dictate </w:t>
      </w:r>
      <w:proofErr w:type="gramStart"/>
      <w:r>
        <w:t>particular legal</w:t>
      </w:r>
      <w:proofErr w:type="gramEnd"/>
      <w:r>
        <w:t xml:space="preserve"> rules or when those principles seem to conflict and </w:t>
      </w:r>
      <w:r>
        <w:t xml:space="preserve">must be mutually accommodated or balanced. </w:t>
      </w:r>
      <w:r>
        <w:lastRenderedPageBreak/>
        <w:t>Such general principles must be given further determinate content by positive civil lawmaking intelligently cabined, directed, and guided—but not dictated—by reason.</w:t>
      </w:r>
      <w:r>
        <w:rPr>
          <w:vertAlign w:val="superscript"/>
        </w:rPr>
        <w:footnoteReference w:id="59"/>
      </w:r>
      <w:r>
        <w:t xml:space="preserve"> There are typically multiple ways to make con</w:t>
      </w:r>
      <w:r>
        <w:t>crete determinations in posited law which instantiate, respect, reconcile or trade off general principles of the natural law while remaining within the boundaries of the basic charge to act to promote the common good—the basis of public authority.</w:t>
      </w:r>
    </w:p>
    <w:p w14:paraId="156ADF0D" w14:textId="77777777" w:rsidR="00357B22" w:rsidRDefault="00062FEC">
      <w:pPr>
        <w:pStyle w:val="BodyB"/>
        <w:spacing w:line="480" w:lineRule="auto"/>
        <w:ind w:firstLine="720"/>
        <w:jc w:val="both"/>
        <w:rPr>
          <w:shd w:val="clear" w:color="auto" w:fill="FFFFFF"/>
        </w:rPr>
      </w:pPr>
      <w:r>
        <w:t>As Finni</w:t>
      </w:r>
      <w:r>
        <w:t xml:space="preserve">s puts it: </w:t>
      </w:r>
      <w:r>
        <w:rPr>
          <w:shd w:val="clear" w:color="auto" w:fill="FFFFFF"/>
          <w:rtl/>
          <w:lang w:val="ar-SA"/>
        </w:rPr>
        <w:t>“</w:t>
      </w:r>
      <w:r>
        <w:rPr>
          <w:shd w:val="clear" w:color="auto" w:fill="FFFFFF"/>
        </w:rPr>
        <w:t>The kind of rational connection that holds even where the architect has wide freedom to choose amongst indefinitely many alternatives is called by Aquinas a </w:t>
      </w:r>
      <w:proofErr w:type="spellStart"/>
      <w:r>
        <w:rPr>
          <w:i/>
          <w:iCs/>
          <w:shd w:val="clear" w:color="auto" w:fill="FFFFFF"/>
          <w:lang w:val="fr-FR"/>
        </w:rPr>
        <w:t>determinatio</w:t>
      </w:r>
      <w:proofErr w:type="spellEnd"/>
      <w:r>
        <w:rPr>
          <w:shd w:val="clear" w:color="auto" w:fill="FFFFFF"/>
        </w:rPr>
        <w:t> of principle(s)—a kind of concretization of the general, a particularizati</w:t>
      </w:r>
      <w:r>
        <w:rPr>
          <w:shd w:val="clear" w:color="auto" w:fill="FFFFFF"/>
        </w:rPr>
        <w:t>on yoking the rational necessity of the principle with a freedom (of the law-maker) to choose between alternative concretizations, a freedom which includes even elements of (in a benign sense) arbitrariness.”</w:t>
      </w:r>
      <w:r>
        <w:rPr>
          <w:shd w:val="clear" w:color="auto" w:fill="FFFFFF"/>
          <w:vertAlign w:val="superscript"/>
        </w:rPr>
        <w:footnoteReference w:id="60"/>
      </w:r>
      <w:r>
        <w:rPr>
          <w:shd w:val="clear" w:color="auto" w:fill="FFFFFF"/>
        </w:rPr>
        <w:t xml:space="preserve"> A well-worn example is that of the need fo</w:t>
      </w:r>
      <w:r>
        <w:rPr>
          <w:shd w:val="clear" w:color="auto" w:fill="FFFFFF"/>
        </w:rPr>
        <w:t xml:space="preserve">r a community to make determinations governing road traffic. Given the need to secure and respect life and health, there is a requirement to authoritatively specify which side of the road persons and vehicles should travel on, even if there is no basis in </w:t>
      </w:r>
      <w:r>
        <w:rPr>
          <w:shd w:val="clear" w:color="auto" w:fill="FFFFFF"/>
        </w:rPr>
        <w:t xml:space="preserve">reason for deciding whether it ought to be on the right or left side. In this case, </w:t>
      </w:r>
      <w:r>
        <w:rPr>
          <w:i/>
          <w:iCs/>
          <w:shd w:val="clear" w:color="auto" w:fill="FFFFFF"/>
        </w:rPr>
        <w:t xml:space="preserve">not choosing </w:t>
      </w:r>
      <w:r>
        <w:rPr>
          <w:shd w:val="clear" w:color="auto" w:fill="FFFFFF"/>
        </w:rPr>
        <w:t>but instead relying on a policy of laissez-faire would be contrary to the need to respect life and health, and thus out of bounds as a reasonable determination</w:t>
      </w:r>
      <w:r>
        <w:rPr>
          <w:shd w:val="clear" w:color="auto" w:fill="FFFFFF"/>
        </w:rPr>
        <w:t xml:space="preserve"> oriented to the common good. But at the same time, reason does not </w:t>
      </w:r>
      <w:r>
        <w:rPr>
          <w:i/>
          <w:iCs/>
          <w:shd w:val="clear" w:color="auto" w:fill="FFFFFF"/>
        </w:rPr>
        <w:t>settle</w:t>
      </w:r>
      <w:r>
        <w:rPr>
          <w:shd w:val="clear" w:color="auto" w:fill="FFFFFF"/>
        </w:rPr>
        <w:t xml:space="preserve"> which choice is to be made;</w:t>
      </w:r>
      <w:r>
        <w:rPr>
          <w:shd w:val="clear" w:color="auto" w:fill="FFFFFF"/>
          <w:vertAlign w:val="superscript"/>
        </w:rPr>
        <w:footnoteReference w:id="61"/>
      </w:r>
      <w:r>
        <w:rPr>
          <w:shd w:val="clear" w:color="auto" w:fill="FFFFFF"/>
        </w:rPr>
        <w:t xml:space="preserve"> and a determination in this context instead involves a rich intermingling of reason and willed human choice by those wielding political authority.</w:t>
      </w:r>
      <w:r>
        <w:rPr>
          <w:shd w:val="clear" w:color="auto" w:fill="FFFFFF"/>
          <w:vertAlign w:val="superscript"/>
        </w:rPr>
        <w:footnoteReference w:id="62"/>
      </w:r>
    </w:p>
    <w:p w14:paraId="4331EE9A" w14:textId="77777777" w:rsidR="00357B22" w:rsidRDefault="00062FEC">
      <w:pPr>
        <w:pStyle w:val="BodyB"/>
        <w:spacing w:line="480" w:lineRule="auto"/>
        <w:ind w:firstLine="720"/>
        <w:jc w:val="both"/>
      </w:pPr>
      <w:r>
        <w:t>Le</w:t>
      </w:r>
      <w:r>
        <w:t xml:space="preserve">aving aside cases of intrinsic evils, which place deontological side constraints on all public and private action, the common good must be applied to a set of particular circumstances </w:t>
      </w:r>
      <w:r>
        <w:lastRenderedPageBreak/>
        <w:t>by means of determination using the faculty of prudential judgment.</w:t>
      </w:r>
      <w:r>
        <w:rPr>
          <w:vertAlign w:val="superscript"/>
        </w:rPr>
        <w:footnoteReference w:id="63"/>
      </w:r>
      <w:r>
        <w:t xml:space="preserve"> </w:t>
      </w:r>
      <w:r>
        <w:rPr>
          <w:shd w:val="clear" w:color="auto" w:fill="FFFFFF"/>
        </w:rPr>
        <w:t>De</w:t>
      </w:r>
      <w:r>
        <w:rPr>
          <w:shd w:val="clear" w:color="auto" w:fill="FFFFFF"/>
        </w:rPr>
        <w:t xml:space="preserve">termination is a demanding process, one which involves attending to the craft of legislating well, including the need to prudentially capture the </w:t>
      </w:r>
      <w:r>
        <w:rPr>
          <w:shd w:val="clear" w:color="auto" w:fill="FFFFFF"/>
          <w:rtl/>
          <w:lang w:val="ar-SA"/>
        </w:rPr>
        <w:t>“</w:t>
      </w:r>
      <w:r>
        <w:rPr>
          <w:shd w:val="clear" w:color="auto" w:fill="FFFFFF"/>
        </w:rPr>
        <w:t>practical choice as to what should be done in a form that both changes the law to this effect and is fit to b</w:t>
      </w:r>
      <w:r>
        <w:rPr>
          <w:shd w:val="clear" w:color="auto" w:fill="FFFFFF"/>
        </w:rPr>
        <w:t>e adopted by officials and citizens . . . to introduce the state of affairs the legislator seeks”</w:t>
      </w:r>
      <w:r>
        <w:rPr>
          <w:shd w:val="clear" w:color="auto" w:fill="FFFFFF"/>
          <w:vertAlign w:val="superscript"/>
        </w:rPr>
        <w:footnoteReference w:id="64"/>
      </w:r>
      <w:r>
        <w:rPr>
          <w:shd w:val="clear" w:color="auto" w:fill="FFFFFF"/>
        </w:rPr>
        <w:t xml:space="preserve"> in a world subject to often rapid socio-economic change. But </w:t>
      </w:r>
      <w:r>
        <w:t>room for prudential judgment is by no means equivalent to unstructured discretion. It is always</w:t>
      </w:r>
      <w:r>
        <w:t xml:space="preserve"> given shape by an account of the ends for which discretion must be used, that of promoting the good of the whole community as a community—not merely as an aggregation of individual preferences. In other words, discretion may never transgress the intrinsic</w:t>
      </w:r>
      <w:r>
        <w:t xml:space="preserve"> limitations of legal justice. The obligation of the public authority is to act according to law, meaning that the public authority must act through rational ordinances oriented to the common good.</w:t>
      </w:r>
      <w:r>
        <w:rPr>
          <w:vertAlign w:val="superscript"/>
        </w:rPr>
        <w:footnoteReference w:id="65"/>
      </w:r>
    </w:p>
    <w:p w14:paraId="1E7A9EE6" w14:textId="77777777" w:rsidR="00357B22" w:rsidRDefault="00062FEC">
      <w:pPr>
        <w:pStyle w:val="BodyB"/>
        <w:spacing w:line="480" w:lineRule="auto"/>
        <w:ind w:firstLine="720"/>
        <w:jc w:val="both"/>
      </w:pPr>
      <w:r>
        <w:t>While discharging all these interlocking functions – mak</w:t>
      </w:r>
      <w:r>
        <w:t>ing determinations of the principles of natural law via positive law; pursuing conditions of peace, justice, and abundance; or performing the educative function of promoting virtue and suppressing vice – political authority must also have regard to the pri</w:t>
      </w:r>
      <w:r>
        <w:t>nciple of subsidiarity. That is, the need to respect the authority and integrity of part-wholes of the polity like individuals, families, and associations. This principle can be seen as empowering and constraining of public authority. It does the former by</w:t>
      </w:r>
      <w:r>
        <w:t xml:space="preserve"> giving it a power and duty to preserve, protect, and restore the functions of subsidiary authorities, and the latter by putting a duty on it not to interfere where unnecessary when subsidiary groups are working as they normatively should.</w:t>
      </w:r>
      <w:r>
        <w:rPr>
          <w:vertAlign w:val="superscript"/>
        </w:rPr>
        <w:footnoteReference w:id="66"/>
      </w:r>
    </w:p>
    <w:p w14:paraId="53E041AC" w14:textId="77777777" w:rsidR="00357B22" w:rsidRDefault="00062FEC">
      <w:pPr>
        <w:pStyle w:val="BodyB"/>
        <w:spacing w:line="480" w:lineRule="auto"/>
        <w:ind w:firstLine="720"/>
        <w:jc w:val="both"/>
      </w:pPr>
      <w:r>
        <w:lastRenderedPageBreak/>
        <w:t>Posited law, o</w:t>
      </w:r>
      <w:r>
        <w:t xml:space="preserve">r </w:t>
      </w:r>
      <w:proofErr w:type="spellStart"/>
      <w:r>
        <w:rPr>
          <w:i/>
          <w:iCs/>
          <w:lang w:val="fr-FR"/>
        </w:rPr>
        <w:t>lex</w:t>
      </w:r>
      <w:proofErr w:type="spellEnd"/>
      <w:r>
        <w:rPr>
          <w:i/>
          <w:iCs/>
          <w:lang w:val="fr-FR"/>
        </w:rPr>
        <w:t>,</w:t>
      </w:r>
      <w:r>
        <w:t xml:space="preserve"> is therefore in its focal sense not regarded as an expression of the will of the sovereign or its officials, but as intrinsically reasoned and purposive, and ordered to the common good of the whole polity and that of mankind.</w:t>
      </w:r>
      <w:r>
        <w:rPr>
          <w:vertAlign w:val="superscript"/>
        </w:rPr>
        <w:footnoteReference w:id="67"/>
      </w:r>
      <w:r>
        <w:t xml:space="preserve"> </w:t>
      </w:r>
      <w:r>
        <w:rPr>
          <w:i/>
          <w:iCs/>
          <w:shd w:val="clear" w:color="auto" w:fill="FFFFFF"/>
        </w:rPr>
        <w:t>Lex</w:t>
      </w:r>
      <w:r>
        <w:rPr>
          <w:shd w:val="clear" w:color="auto" w:fill="FFFFFF"/>
        </w:rPr>
        <w:t>’s critical role i</w:t>
      </w:r>
      <w:r>
        <w:rPr>
          <w:shd w:val="clear" w:color="auto" w:fill="FFFFFF"/>
        </w:rPr>
        <w:t xml:space="preserve">n specifying the temporal </w:t>
      </w:r>
      <w:r>
        <w:rPr>
          <w:shd w:val="clear" w:color="auto" w:fill="FFFFFF"/>
        </w:rPr>
        <w:t xml:space="preserve">requirements of natural law precepts and securing the conditions required for the common good is how it generates normative obligations and secures the </w:t>
      </w:r>
      <w:r>
        <w:t xml:space="preserve">normative legitimacy of political authority. Compared to the focal sense of </w:t>
      </w:r>
      <w:r>
        <w:rPr>
          <w:i/>
          <w:iCs/>
        </w:rPr>
        <w:t>lex</w:t>
      </w:r>
      <w:r>
        <w:t>,</w:t>
      </w:r>
      <w:r>
        <w:rPr>
          <w:i/>
          <w:iCs/>
        </w:rPr>
        <w:t xml:space="preserve"> </w:t>
      </w:r>
      <w:r>
        <w:t>posited ordinances which are not rationally ordered to the common good, or which are corrosive to it, are considered radically deficient and diluted examples of law and may no</w:t>
      </w:r>
      <w:r>
        <w:t>t generate the same normative obligations.</w:t>
      </w:r>
      <w:r>
        <w:rPr>
          <w:vertAlign w:val="superscript"/>
        </w:rPr>
        <w:footnoteReference w:id="68"/>
      </w:r>
    </w:p>
    <w:p w14:paraId="6C8C3EE7" w14:textId="77777777" w:rsidR="00357B22" w:rsidRDefault="00062FEC">
      <w:pPr>
        <w:pStyle w:val="BodyB"/>
        <w:spacing w:line="480" w:lineRule="auto"/>
        <w:ind w:firstLine="720"/>
        <w:jc w:val="both"/>
        <w:rPr>
          <w:i/>
          <w:iCs/>
        </w:rPr>
      </w:pPr>
      <w:r>
        <w:rPr>
          <w:i/>
          <w:iCs/>
        </w:rPr>
        <w:t xml:space="preserve">Different Senses of </w:t>
      </w:r>
      <w:r>
        <w:rPr>
          <w:i/>
          <w:iCs/>
          <w:rtl/>
          <w:lang w:val="ar-SA"/>
        </w:rPr>
        <w:t>‘</w:t>
      </w:r>
      <w:r>
        <w:rPr>
          <w:i/>
          <w:iCs/>
        </w:rPr>
        <w:t>Law</w:t>
      </w:r>
      <w:r>
        <w:rPr>
          <w:i/>
          <w:iCs/>
          <w:rtl/>
          <w:lang w:val="ar-SA"/>
        </w:rPr>
        <w:t>’</w:t>
      </w:r>
    </w:p>
    <w:p w14:paraId="5B560506" w14:textId="7FC026D0" w:rsidR="00357B22" w:rsidRDefault="00062FEC">
      <w:pPr>
        <w:pStyle w:val="BodyA"/>
        <w:spacing w:after="120" w:line="480" w:lineRule="auto"/>
        <w:ind w:firstLine="720"/>
        <w:jc w:val="both"/>
        <w:rPr>
          <w:rFonts w:ascii="Times New Roman" w:eastAsia="Times New Roman" w:hAnsi="Times New Roman" w:cs="Times New Roman"/>
          <w:lang w:val="en-US"/>
        </w:rPr>
      </w:pPr>
      <w:r>
        <w:rPr>
          <w:rFonts w:ascii="Times New Roman" w:hAnsi="Times New Roman"/>
          <w:lang w:val="en-US"/>
        </w:rPr>
        <w:t xml:space="preserve">The classical tradition distinguishes, as many European languages do, between two senses of </w:t>
      </w:r>
      <w:r>
        <w:rPr>
          <w:rFonts w:ascii="Times New Roman" w:hAnsi="Times New Roman"/>
          <w:lang w:val="en-US"/>
        </w:rPr>
        <w:t>“</w:t>
      </w:r>
      <w:r>
        <w:rPr>
          <w:rFonts w:ascii="Times New Roman" w:hAnsi="Times New Roman"/>
          <w:lang w:val="en-US"/>
        </w:rPr>
        <w:t>law</w:t>
      </w:r>
      <w:r>
        <w:rPr>
          <w:rFonts w:ascii="Times New Roman" w:hAnsi="Times New Roman"/>
          <w:lang w:val="en-US"/>
        </w:rPr>
        <w:t>”</w:t>
      </w:r>
      <w:r>
        <w:rPr>
          <w:rFonts w:ascii="Times New Roman" w:hAnsi="Times New Roman"/>
          <w:lang w:val="en-US"/>
        </w:rPr>
        <w:t xml:space="preserve">: </w:t>
      </w:r>
      <w:r>
        <w:rPr>
          <w:rFonts w:ascii="Times New Roman" w:hAnsi="Times New Roman"/>
          <w:i/>
          <w:iCs/>
          <w:lang w:val="en-US"/>
        </w:rPr>
        <w:t>lex</w:t>
      </w:r>
      <w:r>
        <w:rPr>
          <w:rFonts w:ascii="Times New Roman" w:hAnsi="Times New Roman"/>
          <w:lang w:val="en-US"/>
        </w:rPr>
        <w:t xml:space="preserve"> and </w:t>
      </w:r>
      <w:proofErr w:type="spellStart"/>
      <w:r>
        <w:rPr>
          <w:rFonts w:ascii="Times New Roman" w:hAnsi="Times New Roman"/>
          <w:i/>
          <w:iCs/>
          <w:lang w:val="en-US"/>
        </w:rPr>
        <w:t>ius</w:t>
      </w:r>
      <w:proofErr w:type="spellEnd"/>
      <w:r>
        <w:rPr>
          <w:rFonts w:ascii="Times New Roman" w:hAnsi="Times New Roman"/>
          <w:lang w:val="en-US"/>
        </w:rPr>
        <w:t>.</w:t>
      </w:r>
      <w:r>
        <w:rPr>
          <w:rFonts w:ascii="Times New Roman" w:eastAsia="Times New Roman" w:hAnsi="Times New Roman" w:cs="Times New Roman"/>
          <w:vertAlign w:val="superscript"/>
          <w:lang w:val="en-US"/>
        </w:rPr>
        <w:footnoteReference w:id="69"/>
      </w:r>
      <w:r>
        <w:rPr>
          <w:rFonts w:ascii="Times New Roman" w:hAnsi="Times New Roman"/>
          <w:i/>
          <w:iCs/>
          <w:lang w:val="en-US"/>
        </w:rPr>
        <w:t xml:space="preserve"> </w:t>
      </w:r>
      <w:r>
        <w:rPr>
          <w:rFonts w:ascii="Times New Roman" w:hAnsi="Times New Roman"/>
          <w:i/>
          <w:iCs/>
          <w:lang w:val="en-US"/>
        </w:rPr>
        <w:t xml:space="preserve">Lex </w:t>
      </w:r>
      <w:r>
        <w:rPr>
          <w:rFonts w:ascii="Times New Roman" w:hAnsi="Times New Roman"/>
          <w:lang w:val="en-US"/>
        </w:rPr>
        <w:t xml:space="preserve">is the enacted positive law, such as a statute or executive order. </w:t>
      </w:r>
      <w:r>
        <w:rPr>
          <w:rFonts w:ascii="Times New Roman" w:hAnsi="Times New Roman"/>
          <w:i/>
          <w:iCs/>
          <w:lang w:val="en-US"/>
        </w:rPr>
        <w:t>Ius</w:t>
      </w:r>
      <w:r>
        <w:rPr>
          <w:rFonts w:ascii="Times New Roman" w:hAnsi="Times New Roman"/>
          <w:lang w:val="en-US"/>
        </w:rPr>
        <w:t xml:space="preserve"> is the overall body of law generally, i</w:t>
      </w:r>
      <w:r>
        <w:rPr>
          <w:rFonts w:ascii="Times New Roman" w:hAnsi="Times New Roman"/>
          <w:lang w:val="en-US"/>
        </w:rPr>
        <w:t xml:space="preserve">ncluding and subsuming </w:t>
      </w:r>
      <w:r>
        <w:rPr>
          <w:rFonts w:ascii="Times New Roman" w:hAnsi="Times New Roman"/>
          <w:i/>
          <w:iCs/>
          <w:lang w:val="en-US"/>
        </w:rPr>
        <w:t>lex</w:t>
      </w:r>
      <w:r>
        <w:rPr>
          <w:rFonts w:ascii="Times New Roman" w:hAnsi="Times New Roman"/>
          <w:lang w:val="en-US"/>
        </w:rPr>
        <w:t xml:space="preserve"> but transcending it, and containing general principles of jurisprudence and legal justice. In the classical tradition, then, both natural and positive law are, in somewhat different ways, themselves included within law</w:t>
      </w:r>
      <w:r>
        <w:rPr>
          <w:rFonts w:ascii="Times New Roman" w:hAnsi="Times New Roman"/>
          <w:lang w:val="en-US"/>
        </w:rPr>
        <w:t>’</w:t>
      </w:r>
      <w:r>
        <w:rPr>
          <w:rFonts w:ascii="Times New Roman" w:hAnsi="Times New Roman"/>
          <w:lang w:val="en-US"/>
        </w:rPr>
        <w:t>s larger o</w:t>
      </w:r>
      <w:r>
        <w:rPr>
          <w:rFonts w:ascii="Times New Roman" w:hAnsi="Times New Roman"/>
          <w:lang w:val="en-US"/>
        </w:rPr>
        <w:t>rdering to the common good.</w:t>
      </w:r>
    </w:p>
    <w:p w14:paraId="4BEB240F" w14:textId="77777777" w:rsidR="00357B22" w:rsidRDefault="00062FEC">
      <w:pPr>
        <w:pStyle w:val="BodyA"/>
        <w:spacing w:after="20" w:line="480" w:lineRule="auto"/>
        <w:jc w:val="both"/>
        <w:rPr>
          <w:rFonts w:ascii="Times New Roman" w:eastAsia="Times New Roman" w:hAnsi="Times New Roman" w:cs="Times New Roman"/>
          <w:shd w:val="clear" w:color="auto" w:fill="FFFFFF"/>
          <w:lang w:val="en-US"/>
        </w:rPr>
      </w:pPr>
      <w:r>
        <w:rPr>
          <w:rFonts w:ascii="Times New Roman" w:eastAsia="Times New Roman" w:hAnsi="Times New Roman" w:cs="Times New Roman"/>
          <w:lang w:val="en-US"/>
        </w:rPr>
        <w:tab/>
      </w:r>
      <w:r>
        <w:rPr>
          <w:rFonts w:ascii="Times New Roman" w:hAnsi="Times New Roman"/>
          <w:shd w:val="clear" w:color="auto" w:fill="FFFFFF"/>
          <w:lang w:val="en-US"/>
        </w:rPr>
        <w:t xml:space="preserve">In the classical conception, then, </w:t>
      </w:r>
      <w:r>
        <w:rPr>
          <w:rFonts w:ascii="Times New Roman" w:hAnsi="Times New Roman"/>
          <w:shd w:val="clear" w:color="auto" w:fill="FFFFFF"/>
          <w:lang w:val="en-US"/>
        </w:rPr>
        <w:t>“</w:t>
      </w:r>
      <w:r>
        <w:rPr>
          <w:rFonts w:ascii="Times New Roman" w:hAnsi="Times New Roman"/>
          <w:shd w:val="clear" w:color="auto" w:fill="FFFFFF"/>
          <w:lang w:val="en-US"/>
        </w:rPr>
        <w:t>law</w:t>
      </w:r>
      <w:r>
        <w:rPr>
          <w:rFonts w:ascii="Times New Roman" w:hAnsi="Times New Roman"/>
          <w:shd w:val="clear" w:color="auto" w:fill="FFFFFF"/>
          <w:lang w:val="en-US"/>
        </w:rPr>
        <w:t xml:space="preserve">” </w:t>
      </w:r>
      <w:r>
        <w:rPr>
          <w:rFonts w:ascii="Times New Roman" w:hAnsi="Times New Roman"/>
          <w:shd w:val="clear" w:color="auto" w:fill="FFFFFF"/>
          <w:lang w:val="en-US"/>
        </w:rPr>
        <w:t xml:space="preserve">can take various forms.  Among them are </w:t>
      </w:r>
      <w:proofErr w:type="spellStart"/>
      <w:r>
        <w:rPr>
          <w:rFonts w:ascii="Times New Roman" w:hAnsi="Times New Roman"/>
          <w:i/>
          <w:iCs/>
          <w:shd w:val="clear" w:color="auto" w:fill="FFFFFF"/>
          <w:lang w:val="en-US"/>
        </w:rPr>
        <w:t>ius</w:t>
      </w:r>
      <w:proofErr w:type="spellEnd"/>
      <w:r>
        <w:rPr>
          <w:rFonts w:ascii="Times New Roman" w:hAnsi="Times New Roman"/>
          <w:i/>
          <w:iCs/>
          <w:shd w:val="clear" w:color="auto" w:fill="FFFFFF"/>
          <w:lang w:val="en-US"/>
        </w:rPr>
        <w:t xml:space="preserve"> civile</w:t>
      </w:r>
      <w:r>
        <w:rPr>
          <w:rFonts w:ascii="Times New Roman" w:hAnsi="Times New Roman"/>
          <w:shd w:val="clear" w:color="auto" w:fill="FFFFFF"/>
          <w:lang w:val="en-US"/>
        </w:rPr>
        <w:t xml:space="preserve">, the positive civil law of a particular jurisdiction; </w:t>
      </w:r>
      <w:proofErr w:type="spellStart"/>
      <w:r>
        <w:rPr>
          <w:rFonts w:ascii="Times New Roman" w:hAnsi="Times New Roman"/>
          <w:i/>
          <w:iCs/>
          <w:shd w:val="clear" w:color="auto" w:fill="FFFFFF"/>
          <w:lang w:val="en-US"/>
        </w:rPr>
        <w:t>ius</w:t>
      </w:r>
      <w:proofErr w:type="spellEnd"/>
      <w:r>
        <w:rPr>
          <w:rFonts w:ascii="Times New Roman" w:hAnsi="Times New Roman"/>
          <w:i/>
          <w:iCs/>
          <w:shd w:val="clear" w:color="auto" w:fill="FFFFFF"/>
          <w:lang w:val="en-US"/>
        </w:rPr>
        <w:t xml:space="preserve"> </w:t>
      </w:r>
      <w:proofErr w:type="spellStart"/>
      <w:r>
        <w:rPr>
          <w:rFonts w:ascii="Times New Roman" w:hAnsi="Times New Roman"/>
          <w:i/>
          <w:iCs/>
          <w:shd w:val="clear" w:color="auto" w:fill="FFFFFF"/>
          <w:lang w:val="en-US"/>
        </w:rPr>
        <w:t>naturale</w:t>
      </w:r>
      <w:proofErr w:type="spellEnd"/>
      <w:r>
        <w:rPr>
          <w:rFonts w:ascii="Times New Roman" w:hAnsi="Times New Roman"/>
          <w:shd w:val="clear" w:color="auto" w:fill="FFFFFF"/>
          <w:lang w:val="en-US"/>
        </w:rPr>
        <w:t xml:space="preserve">, or the universal law founded on right reason; and </w:t>
      </w:r>
      <w:proofErr w:type="spellStart"/>
      <w:r>
        <w:rPr>
          <w:rFonts w:ascii="Times New Roman" w:hAnsi="Times New Roman"/>
          <w:i/>
          <w:iCs/>
          <w:shd w:val="clear" w:color="auto" w:fill="FFFFFF"/>
          <w:lang w:val="en-US"/>
        </w:rPr>
        <w:t>ius</w:t>
      </w:r>
      <w:proofErr w:type="spellEnd"/>
      <w:r>
        <w:rPr>
          <w:rFonts w:ascii="Times New Roman" w:hAnsi="Times New Roman"/>
          <w:i/>
          <w:iCs/>
          <w:shd w:val="clear" w:color="auto" w:fill="FFFFFF"/>
          <w:lang w:val="en-US"/>
        </w:rPr>
        <w:t xml:space="preserve"> gentium</w:t>
      </w:r>
      <w:r>
        <w:rPr>
          <w:rFonts w:ascii="Times New Roman" w:hAnsi="Times New Roman"/>
          <w:shd w:val="clear" w:color="auto" w:fill="FFFFFF"/>
          <w:lang w:val="en-US"/>
        </w:rPr>
        <w:t>, the law of nations. The classical conception of law emphatically recognizes the existence and value of positive law but does not analytically stipulate that law can ultimately rest only on de</w:t>
      </w:r>
      <w:r>
        <w:rPr>
          <w:rFonts w:ascii="Times New Roman" w:hAnsi="Times New Roman"/>
          <w:shd w:val="clear" w:color="auto" w:fill="FFFFFF"/>
          <w:lang w:val="en-US"/>
        </w:rPr>
        <w:t xml:space="preserve">scriptive conventions recognized in equilibrium </w:t>
      </w:r>
      <w:r>
        <w:rPr>
          <w:rFonts w:ascii="Times New Roman" w:hAnsi="Times New Roman"/>
          <w:shd w:val="clear" w:color="auto" w:fill="FFFFFF"/>
          <w:lang w:val="en-US"/>
        </w:rPr>
        <w:lastRenderedPageBreak/>
        <w:t xml:space="preserve">within a particular jurisdiction. The classical conception of </w:t>
      </w:r>
      <w:proofErr w:type="spellStart"/>
      <w:r>
        <w:rPr>
          <w:rFonts w:ascii="Times New Roman" w:hAnsi="Times New Roman"/>
          <w:i/>
          <w:iCs/>
          <w:shd w:val="clear" w:color="auto" w:fill="FFFFFF"/>
          <w:lang w:val="en-US"/>
        </w:rPr>
        <w:t>ius</w:t>
      </w:r>
      <w:proofErr w:type="spellEnd"/>
      <w:r>
        <w:rPr>
          <w:rFonts w:ascii="Times New Roman" w:hAnsi="Times New Roman"/>
          <w:i/>
          <w:iCs/>
          <w:shd w:val="clear" w:color="auto" w:fill="FFFFFF"/>
          <w:lang w:val="en-US"/>
        </w:rPr>
        <w:t xml:space="preserve"> civile</w:t>
      </w:r>
      <w:r>
        <w:rPr>
          <w:rFonts w:ascii="Times New Roman" w:hAnsi="Times New Roman"/>
          <w:shd w:val="clear" w:color="auto" w:fill="FFFFFF"/>
          <w:lang w:val="en-US"/>
        </w:rPr>
        <w:t xml:space="preserve">, in other words, can be summed up as </w:t>
      </w:r>
      <w:r>
        <w:rPr>
          <w:rFonts w:ascii="Times New Roman" w:hAnsi="Times New Roman"/>
          <w:i/>
          <w:iCs/>
          <w:shd w:val="clear" w:color="auto" w:fill="FFFFFF"/>
          <w:lang w:val="en-US"/>
        </w:rPr>
        <w:t>positive law without jurisprudential positivism</w:t>
      </w:r>
      <w:r>
        <w:rPr>
          <w:rFonts w:ascii="Times New Roman" w:hAnsi="Times New Roman"/>
          <w:shd w:val="clear" w:color="auto" w:fill="FFFFFF"/>
          <w:lang w:val="en-US"/>
        </w:rPr>
        <w:t>.</w:t>
      </w:r>
    </w:p>
    <w:p w14:paraId="16D322F3" w14:textId="42A77939" w:rsidR="00357B22" w:rsidRDefault="00062FEC">
      <w:pPr>
        <w:pStyle w:val="BodyA"/>
        <w:spacing w:after="120" w:line="480" w:lineRule="auto"/>
        <w:ind w:firstLine="720"/>
        <w:jc w:val="both"/>
        <w:rPr>
          <w:rFonts w:ascii="Times New Roman" w:eastAsia="Times New Roman" w:hAnsi="Times New Roman" w:cs="Times New Roman"/>
          <w:i/>
          <w:iCs/>
        </w:rPr>
      </w:pPr>
      <w:r>
        <w:rPr>
          <w:rFonts w:ascii="Times New Roman" w:hAnsi="Times New Roman"/>
          <w:lang w:val="en-US"/>
        </w:rPr>
        <w:t>The classical legal tradition thus treats enacted</w:t>
      </w:r>
      <w:r>
        <w:rPr>
          <w:rFonts w:ascii="Times New Roman" w:hAnsi="Times New Roman"/>
          <w:lang w:val="en-US"/>
        </w:rPr>
        <w:t xml:space="preserve"> texts as products of the reasoned determination of public </w:t>
      </w:r>
      <w:proofErr w:type="gramStart"/>
      <w:r>
        <w:rPr>
          <w:rFonts w:ascii="Times New Roman" w:hAnsi="Times New Roman"/>
          <w:lang w:val="en-US"/>
        </w:rPr>
        <w:t>authorities.</w:t>
      </w:r>
      <w:r>
        <w:t>In</w:t>
      </w:r>
      <w:proofErr w:type="gramEnd"/>
      <w:r>
        <w:t xml:space="preserve"> </w:t>
      </w:r>
      <w:proofErr w:type="spellStart"/>
      <w:r>
        <w:t>contrast</w:t>
      </w:r>
      <w:proofErr w:type="spellEnd"/>
      <w:r>
        <w:t xml:space="preserve"> </w:t>
      </w:r>
      <w:proofErr w:type="spellStart"/>
      <w:r>
        <w:t>to</w:t>
      </w:r>
      <w:proofErr w:type="spellEnd"/>
      <w:r>
        <w:t xml:space="preserve"> </w:t>
      </w:r>
      <w:proofErr w:type="spellStart"/>
      <w:r>
        <w:t>the</w:t>
      </w:r>
      <w:proofErr w:type="spellEnd"/>
      <w:r>
        <w:t xml:space="preserve"> </w:t>
      </w:r>
      <w:proofErr w:type="spellStart"/>
      <w:r>
        <w:t>classical</w:t>
      </w:r>
      <w:proofErr w:type="spellEnd"/>
      <w:r>
        <w:t xml:space="preserve"> </w:t>
      </w:r>
      <w:proofErr w:type="spellStart"/>
      <w:r>
        <w:t>conception</w:t>
      </w:r>
      <w:proofErr w:type="spellEnd"/>
      <w:r>
        <w:t xml:space="preserve">, </w:t>
      </w:r>
      <w:proofErr w:type="spellStart"/>
      <w:r>
        <w:t>both</w:t>
      </w:r>
      <w:proofErr w:type="spellEnd"/>
      <w:r>
        <w:t xml:space="preserve"> progressive and </w:t>
      </w:r>
      <w:proofErr w:type="spellStart"/>
      <w:r>
        <w:t>originalists</w:t>
      </w:r>
      <w:proofErr w:type="spellEnd"/>
      <w:r>
        <w:t xml:space="preserve"> </w:t>
      </w:r>
      <w:proofErr w:type="spellStart"/>
      <w:r>
        <w:t>attempt</w:t>
      </w:r>
      <w:proofErr w:type="spellEnd"/>
      <w:r>
        <w:t xml:space="preserve">, in different </w:t>
      </w:r>
      <w:proofErr w:type="spellStart"/>
      <w:r>
        <w:t>ways</w:t>
      </w:r>
      <w:proofErr w:type="spellEnd"/>
      <w:r>
        <w:t xml:space="preserve">, </w:t>
      </w:r>
      <w:proofErr w:type="spellStart"/>
      <w:r>
        <w:t>to</w:t>
      </w:r>
      <w:proofErr w:type="spellEnd"/>
      <w:r>
        <w:t xml:space="preserve"> </w:t>
      </w:r>
      <w:proofErr w:type="spellStart"/>
      <w:r>
        <w:t>reduce</w:t>
      </w:r>
      <w:proofErr w:type="spellEnd"/>
      <w:r>
        <w:t xml:space="preserve"> all </w:t>
      </w:r>
      <w:proofErr w:type="spellStart"/>
      <w:r>
        <w:t>law</w:t>
      </w:r>
      <w:proofErr w:type="spellEnd"/>
      <w:r>
        <w:t xml:space="preserve"> </w:t>
      </w:r>
      <w:proofErr w:type="spellStart"/>
      <w:r>
        <w:t>to</w:t>
      </w:r>
      <w:proofErr w:type="spellEnd"/>
      <w:r>
        <w:t xml:space="preserve"> positive </w:t>
      </w:r>
      <w:proofErr w:type="spellStart"/>
      <w:r>
        <w:t>law</w:t>
      </w:r>
      <w:proofErr w:type="spellEnd"/>
      <w:r>
        <w:t xml:space="preserve"> </w:t>
      </w:r>
      <w:proofErr w:type="spellStart"/>
      <w:r>
        <w:t>adopted</w:t>
      </w:r>
      <w:proofErr w:type="spellEnd"/>
      <w:r>
        <w:t xml:space="preserve"> </w:t>
      </w:r>
      <w:proofErr w:type="spellStart"/>
      <w:r>
        <w:t>by</w:t>
      </w:r>
      <w:proofErr w:type="spellEnd"/>
      <w:r>
        <w:t xml:space="preserve"> officials; </w:t>
      </w:r>
      <w:proofErr w:type="spellStart"/>
      <w:r>
        <w:t>for</w:t>
      </w:r>
      <w:proofErr w:type="spellEnd"/>
      <w:r>
        <w:t xml:space="preserve"> </w:t>
      </w:r>
      <w:proofErr w:type="spellStart"/>
      <w:r>
        <w:t>them</w:t>
      </w:r>
      <w:proofErr w:type="spellEnd"/>
      <w:r>
        <w:t xml:space="preserve">, all </w:t>
      </w:r>
      <w:proofErr w:type="spellStart"/>
      <w:r>
        <w:t>law</w:t>
      </w:r>
      <w:proofErr w:type="spellEnd"/>
      <w:r>
        <w:t xml:space="preserve"> </w:t>
      </w:r>
      <w:proofErr w:type="spellStart"/>
      <w:r>
        <w:t>is</w:t>
      </w:r>
      <w:proofErr w:type="spellEnd"/>
      <w:r>
        <w:t xml:space="preserve"> in t</w:t>
      </w:r>
      <w:r>
        <w:t xml:space="preserve">his sense </w:t>
      </w:r>
      <w:r>
        <w:rPr>
          <w:i/>
          <w:iCs/>
        </w:rPr>
        <w:t>lex</w:t>
      </w:r>
      <w:r>
        <w:t xml:space="preserve">. The </w:t>
      </w:r>
      <w:proofErr w:type="spellStart"/>
      <w:r>
        <w:t>usual</w:t>
      </w:r>
      <w:proofErr w:type="spellEnd"/>
      <w:r>
        <w:t xml:space="preserve"> progressive </w:t>
      </w:r>
      <w:proofErr w:type="spellStart"/>
      <w:r>
        <w:t>view</w:t>
      </w:r>
      <w:proofErr w:type="spellEnd"/>
      <w:r>
        <w:t xml:space="preserve"> </w:t>
      </w:r>
      <w:proofErr w:type="spellStart"/>
      <w:r>
        <w:t>is</w:t>
      </w:r>
      <w:proofErr w:type="spellEnd"/>
      <w:r>
        <w:t xml:space="preserve"> </w:t>
      </w:r>
      <w:proofErr w:type="spellStart"/>
      <w:r>
        <w:t>to</w:t>
      </w:r>
      <w:proofErr w:type="spellEnd"/>
      <w:r>
        <w:t xml:space="preserve"> </w:t>
      </w:r>
      <w:proofErr w:type="spellStart"/>
      <w:r>
        <w:t>deny</w:t>
      </w:r>
      <w:proofErr w:type="spellEnd"/>
      <w:r>
        <w:t xml:space="preserve"> </w:t>
      </w:r>
      <w:proofErr w:type="spellStart"/>
      <w:r>
        <w:t>the</w:t>
      </w:r>
      <w:proofErr w:type="spellEnd"/>
      <w:r>
        <w:t xml:space="preserve"> </w:t>
      </w:r>
      <w:proofErr w:type="spellStart"/>
      <w:r>
        <w:t>existence</w:t>
      </w:r>
      <w:proofErr w:type="spellEnd"/>
      <w:r>
        <w:t xml:space="preserve"> </w:t>
      </w:r>
      <w:proofErr w:type="spellStart"/>
      <w:r>
        <w:t>of</w:t>
      </w:r>
      <w:proofErr w:type="spellEnd"/>
      <w:r>
        <w:t xml:space="preserve"> </w:t>
      </w:r>
      <w:proofErr w:type="spellStart"/>
      <w:r>
        <w:t>the</w:t>
      </w:r>
      <w:proofErr w:type="spellEnd"/>
      <w:r>
        <w:t xml:space="preserve"> </w:t>
      </w:r>
      <w:proofErr w:type="spellStart"/>
      <w:r>
        <w:t>natural</w:t>
      </w:r>
      <w:proofErr w:type="spellEnd"/>
      <w:r>
        <w:t xml:space="preserve"> </w:t>
      </w:r>
      <w:proofErr w:type="spellStart"/>
      <w:r>
        <w:t>law</w:t>
      </w:r>
      <w:proofErr w:type="spellEnd"/>
      <w:r>
        <w:t xml:space="preserve"> </w:t>
      </w:r>
      <w:proofErr w:type="spellStart"/>
      <w:r>
        <w:t>altogether</w:t>
      </w:r>
      <w:proofErr w:type="spellEnd"/>
      <w:r>
        <w:t xml:space="preserve">, </w:t>
      </w:r>
      <w:proofErr w:type="spellStart"/>
      <w:r>
        <w:t>while</w:t>
      </w:r>
      <w:proofErr w:type="spellEnd"/>
      <w:r>
        <w:t xml:space="preserve"> </w:t>
      </w:r>
      <w:proofErr w:type="spellStart"/>
      <w:r>
        <w:t>the</w:t>
      </w:r>
      <w:proofErr w:type="spellEnd"/>
      <w:r>
        <w:t xml:space="preserve"> </w:t>
      </w:r>
      <w:proofErr w:type="spellStart"/>
      <w:r>
        <w:t>usual</w:t>
      </w:r>
      <w:proofErr w:type="spellEnd"/>
      <w:r>
        <w:t xml:space="preserve"> </w:t>
      </w:r>
      <w:proofErr w:type="spellStart"/>
      <w:r>
        <w:t>originalist</w:t>
      </w:r>
      <w:proofErr w:type="spellEnd"/>
      <w:r>
        <w:t xml:space="preserve"> </w:t>
      </w:r>
      <w:proofErr w:type="spellStart"/>
      <w:r>
        <w:t>view</w:t>
      </w:r>
      <w:proofErr w:type="spellEnd"/>
      <w:r>
        <w:t xml:space="preserve"> </w:t>
      </w:r>
      <w:proofErr w:type="spellStart"/>
      <w:r>
        <w:t>is</w:t>
      </w:r>
      <w:proofErr w:type="spellEnd"/>
      <w:r>
        <w:t xml:space="preserve"> </w:t>
      </w:r>
      <w:proofErr w:type="spellStart"/>
      <w:r>
        <w:t>to</w:t>
      </w:r>
      <w:proofErr w:type="spellEnd"/>
      <w:r>
        <w:t xml:space="preserve"> </w:t>
      </w:r>
      <w:proofErr w:type="spellStart"/>
      <w:r>
        <w:t>deny</w:t>
      </w:r>
      <w:proofErr w:type="spellEnd"/>
      <w:r>
        <w:t xml:space="preserve"> </w:t>
      </w:r>
      <w:proofErr w:type="spellStart"/>
      <w:r>
        <w:t>its</w:t>
      </w:r>
      <w:proofErr w:type="spellEnd"/>
      <w:r>
        <w:t xml:space="preserve"> </w:t>
      </w:r>
      <w:proofErr w:type="spellStart"/>
      <w:r>
        <w:t>relevance</w:t>
      </w:r>
      <w:proofErr w:type="spellEnd"/>
      <w:r>
        <w:t xml:space="preserve"> </w:t>
      </w:r>
      <w:proofErr w:type="spellStart"/>
      <w:r>
        <w:t>to</w:t>
      </w:r>
      <w:proofErr w:type="spellEnd"/>
      <w:r>
        <w:t xml:space="preserve"> </w:t>
      </w:r>
      <w:proofErr w:type="spellStart"/>
      <w:r>
        <w:t>law</w:t>
      </w:r>
      <w:proofErr w:type="spellEnd"/>
      <w:r>
        <w:t xml:space="preserve"> </w:t>
      </w:r>
      <w:proofErr w:type="spellStart"/>
      <w:r>
        <w:t>except</w:t>
      </w:r>
      <w:proofErr w:type="spellEnd"/>
      <w:r>
        <w:t xml:space="preserve"> in </w:t>
      </w:r>
      <w:proofErr w:type="spellStart"/>
      <w:r>
        <w:t>strictly</w:t>
      </w:r>
      <w:proofErr w:type="spellEnd"/>
      <w:r>
        <w:t xml:space="preserve"> </w:t>
      </w:r>
      <w:proofErr w:type="spellStart"/>
      <w:r>
        <w:t>historical</w:t>
      </w:r>
      <w:proofErr w:type="spellEnd"/>
      <w:r>
        <w:t xml:space="preserve"> </w:t>
      </w:r>
      <w:proofErr w:type="spellStart"/>
      <w:r>
        <w:t>terms</w:t>
      </w:r>
      <w:proofErr w:type="spellEnd"/>
      <w:r>
        <w:t xml:space="preserve">, </w:t>
      </w:r>
      <w:proofErr w:type="spellStart"/>
      <w:r>
        <w:t>as</w:t>
      </w:r>
      <w:proofErr w:type="spellEnd"/>
      <w:r>
        <w:t xml:space="preserve"> </w:t>
      </w:r>
      <w:proofErr w:type="spellStart"/>
      <w:r>
        <w:t>background</w:t>
      </w:r>
      <w:proofErr w:type="spellEnd"/>
      <w:r>
        <w:t xml:space="preserve"> </w:t>
      </w:r>
      <w:proofErr w:type="spellStart"/>
      <w:r>
        <w:t>for</w:t>
      </w:r>
      <w:proofErr w:type="spellEnd"/>
      <w:r>
        <w:t xml:space="preserve"> </w:t>
      </w:r>
      <w:proofErr w:type="spellStart"/>
      <w:r>
        <w:t>the</w:t>
      </w:r>
      <w:proofErr w:type="spellEnd"/>
      <w:r>
        <w:t xml:space="preserve"> </w:t>
      </w:r>
      <w:proofErr w:type="spellStart"/>
      <w:r>
        <w:t>framers</w:t>
      </w:r>
      <w:proofErr w:type="spellEnd"/>
      <w:r>
        <w:t xml:space="preserve">’ and ratifiers’ </w:t>
      </w:r>
      <w:proofErr w:type="spellStart"/>
      <w:r>
        <w:t>beliefs</w:t>
      </w:r>
      <w:proofErr w:type="spellEnd"/>
      <w:r>
        <w:t xml:space="preserve"> </w:t>
      </w:r>
      <w:proofErr w:type="spellStart"/>
      <w:r>
        <w:t>un</w:t>
      </w:r>
      <w:r>
        <w:t>derpinning</w:t>
      </w:r>
      <w:proofErr w:type="spellEnd"/>
      <w:r>
        <w:t xml:space="preserve"> </w:t>
      </w:r>
      <w:proofErr w:type="spellStart"/>
      <w:r>
        <w:t>constitutional</w:t>
      </w:r>
      <w:proofErr w:type="spellEnd"/>
      <w:r>
        <w:t xml:space="preserve"> and legislative </w:t>
      </w:r>
      <w:proofErr w:type="spellStart"/>
      <w:r>
        <w:t>enactments</w:t>
      </w:r>
      <w:proofErr w:type="spellEnd"/>
      <w:r>
        <w:rPr>
          <w:rFonts w:ascii="Times New Roman" w:hAnsi="Times New Roman"/>
          <w:lang w:val="en-US"/>
        </w:rPr>
        <w:t>.</w:t>
      </w:r>
    </w:p>
    <w:p w14:paraId="7453A910" w14:textId="77777777" w:rsidR="00357B22" w:rsidRDefault="00062FEC">
      <w:pPr>
        <w:pStyle w:val="BodyA"/>
        <w:spacing w:after="120" w:line="480" w:lineRule="auto"/>
        <w:jc w:val="both"/>
        <w:rPr>
          <w:rFonts w:ascii="Times New Roman" w:eastAsia="Times New Roman" w:hAnsi="Times New Roman" w:cs="Times New Roman"/>
          <w:i/>
          <w:iCs/>
          <w:lang w:val="en-US"/>
        </w:rPr>
      </w:pPr>
      <w:r>
        <w:rPr>
          <w:rFonts w:ascii="Times New Roman" w:hAnsi="Times New Roman"/>
          <w:b/>
          <w:bCs/>
          <w:lang w:val="en-US"/>
        </w:rPr>
        <w:t xml:space="preserve">Part III </w:t>
      </w:r>
      <w:r>
        <w:rPr>
          <w:rFonts w:ascii="Times New Roman" w:hAnsi="Times New Roman"/>
          <w:b/>
          <w:bCs/>
          <w:lang w:val="en-US"/>
        </w:rPr>
        <w:t xml:space="preserve">– </w:t>
      </w:r>
      <w:r>
        <w:rPr>
          <w:rFonts w:ascii="Times New Roman" w:hAnsi="Times New Roman"/>
          <w:b/>
          <w:bCs/>
          <w:lang w:val="en-US"/>
        </w:rPr>
        <w:t>Common Good Constitutionalism as Classical Constitutionalism</w:t>
      </w:r>
    </w:p>
    <w:p w14:paraId="4889B210" w14:textId="1770E662"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We are now better able to outline how common good constitutionalism is effectively classical constitutionalism and to </w:t>
      </w:r>
      <w:r>
        <w:rPr>
          <w:rFonts w:ascii="Times New Roman" w:eastAsia="Times New Roman" w:hAnsi="Times New Roman" w:cs="Times New Roman"/>
          <w:lang w:val="en-US"/>
        </w:rPr>
        <w:t>dispel the myths outlined in Part I. Common good constitutionalism at its core is an approach to generating, sustaining, channeling, and constraining public power</w:t>
      </w:r>
      <w:r>
        <w:rPr>
          <w:rFonts w:ascii="Times New Roman" w:eastAsia="Times New Roman" w:hAnsi="Times New Roman" w:cs="Times New Roman"/>
          <w:vertAlign w:val="superscript"/>
          <w:lang w:val="en-US"/>
        </w:rPr>
        <w:footnoteReference w:id="70"/>
      </w:r>
      <w:r>
        <w:rPr>
          <w:rFonts w:ascii="Times New Roman" w:hAnsi="Times New Roman"/>
          <w:lang w:val="en-US"/>
        </w:rPr>
        <w:t xml:space="preserve"> oriented to the common good and human flourishing. To paraphrase Barber, the operative prin</w:t>
      </w:r>
      <w:r>
        <w:rPr>
          <w:rFonts w:ascii="Times New Roman" w:hAnsi="Times New Roman"/>
          <w:lang w:val="en-US"/>
        </w:rPr>
        <w:t xml:space="preserve">ciples of common good constitutionalism </w:t>
      </w:r>
      <w:r>
        <w:rPr>
          <w:rFonts w:ascii="Times New Roman" w:hAnsi="Times New Roman"/>
          <w:shd w:val="clear" w:color="auto" w:fill="FFFFFF"/>
          <w:lang w:val="en-US"/>
        </w:rPr>
        <w:t xml:space="preserve">are </w:t>
      </w:r>
      <w:r>
        <w:rPr>
          <w:rFonts w:ascii="Times New Roman" w:hAnsi="Times New Roman"/>
          <w:shd w:val="clear" w:color="auto" w:fill="FFFFFF"/>
          <w:lang w:val="en-US"/>
        </w:rPr>
        <w:t xml:space="preserve">directed towards ensuring </w:t>
      </w:r>
      <w:r>
        <w:rPr>
          <w:rFonts w:ascii="Times New Roman" w:hAnsi="Times New Roman"/>
          <w:shd w:val="clear" w:color="auto" w:fill="FFFFFF"/>
          <w:lang w:val="en-US"/>
        </w:rPr>
        <w:t xml:space="preserve">the state </w:t>
      </w:r>
      <w:r>
        <w:rPr>
          <w:rFonts w:ascii="Times New Roman" w:hAnsi="Times New Roman"/>
          <w:shd w:val="clear" w:color="auto" w:fill="FFFFFF"/>
          <w:lang w:val="en-US"/>
        </w:rPr>
        <w:t xml:space="preserve">has </w:t>
      </w:r>
      <w:r>
        <w:rPr>
          <w:rFonts w:ascii="Times New Roman" w:hAnsi="Times New Roman"/>
          <w:shd w:val="clear" w:color="auto" w:fill="FFFFFF"/>
          <w:lang w:val="en-US"/>
        </w:rPr>
        <w:t xml:space="preserve">an institutional structure that has the capacity to effectively </w:t>
      </w:r>
      <w:proofErr w:type="spellStart"/>
      <w:r>
        <w:rPr>
          <w:rFonts w:ascii="Times New Roman" w:hAnsi="Times New Roman"/>
          <w:shd w:val="clear" w:color="auto" w:fill="FFFFFF"/>
          <w:lang w:val="en-US"/>
        </w:rPr>
        <w:t>advance</w:t>
      </w:r>
      <w:r>
        <w:rPr>
          <w:rFonts w:ascii="Times New Roman" w:hAnsi="Times New Roman"/>
          <w:shd w:val="clear" w:color="auto" w:fill="FFFFFF"/>
          <w:lang w:val="en-US"/>
        </w:rPr>
        <w:t>the</w:t>
      </w:r>
      <w:proofErr w:type="spellEnd"/>
      <w:r>
        <w:rPr>
          <w:rFonts w:ascii="Times New Roman" w:hAnsi="Times New Roman"/>
          <w:shd w:val="clear" w:color="auto" w:fill="FFFFFF"/>
          <w:lang w:val="en-US"/>
        </w:rPr>
        <w:t xml:space="preserve"> common good.</w:t>
      </w:r>
      <w:r>
        <w:rPr>
          <w:rFonts w:ascii="Times New Roman" w:eastAsia="Times New Roman" w:hAnsi="Times New Roman" w:cs="Times New Roman"/>
          <w:shd w:val="clear" w:color="auto" w:fill="FFFFFF"/>
          <w:vertAlign w:val="superscript"/>
          <w:lang w:val="en-US"/>
        </w:rPr>
        <w:footnoteReference w:id="71"/>
      </w:r>
    </w:p>
    <w:p w14:paraId="7362237E" w14:textId="77777777" w:rsidR="00357B22" w:rsidRDefault="00062FEC">
      <w:pPr>
        <w:pStyle w:val="BodyA"/>
        <w:spacing w:after="20" w:line="480" w:lineRule="auto"/>
        <w:jc w:val="both"/>
        <w:rPr>
          <w:rFonts w:ascii="Times New Roman" w:eastAsia="Times New Roman" w:hAnsi="Times New Roman" w:cs="Times New Roman"/>
          <w:i/>
          <w:iCs/>
          <w:lang w:val="en-US"/>
        </w:rPr>
      </w:pPr>
      <w:r>
        <w:rPr>
          <w:rFonts w:ascii="Times New Roman" w:eastAsia="Times New Roman" w:hAnsi="Times New Roman" w:cs="Times New Roman"/>
          <w:lang w:val="en-US"/>
        </w:rPr>
        <w:tab/>
      </w:r>
      <w:r>
        <w:rPr>
          <w:rFonts w:ascii="Times New Roman" w:hAnsi="Times New Roman"/>
          <w:i/>
          <w:iCs/>
          <w:lang w:val="en-US"/>
        </w:rPr>
        <w:t xml:space="preserve">Common good constitutionalism respects posited law and does not </w:t>
      </w:r>
      <w:r>
        <w:rPr>
          <w:rFonts w:ascii="Times New Roman" w:hAnsi="Times New Roman"/>
          <w:i/>
          <w:iCs/>
          <w:lang w:val="en-US"/>
        </w:rPr>
        <w:t>“</w:t>
      </w:r>
      <w:r>
        <w:rPr>
          <w:rFonts w:ascii="Times New Roman" w:hAnsi="Times New Roman"/>
          <w:i/>
          <w:iCs/>
          <w:lang w:val="en-US"/>
        </w:rPr>
        <w:t>substitute moral decision making for law.</w:t>
      </w:r>
      <w:r>
        <w:rPr>
          <w:rFonts w:ascii="Times New Roman" w:hAnsi="Times New Roman"/>
          <w:i/>
          <w:iCs/>
          <w:lang w:val="en-US"/>
        </w:rPr>
        <w:t>”</w:t>
      </w:r>
    </w:p>
    <w:p w14:paraId="16F87E9B" w14:textId="77777777" w:rsidR="00357B22" w:rsidRDefault="00062FEC">
      <w:pPr>
        <w:pStyle w:val="BodyA"/>
        <w:spacing w:after="20" w:line="480" w:lineRule="auto"/>
        <w:jc w:val="both"/>
        <w:rPr>
          <w:rFonts w:ascii="Times New Roman" w:eastAsia="Times New Roman" w:hAnsi="Times New Roman" w:cs="Times New Roman"/>
        </w:rPr>
      </w:pPr>
      <w:r>
        <w:rPr>
          <w:rFonts w:ascii="Times New Roman" w:eastAsia="Times New Roman" w:hAnsi="Times New Roman" w:cs="Times New Roman"/>
          <w:i/>
          <w:iCs/>
          <w:lang w:val="en-US"/>
        </w:rPr>
        <w:tab/>
      </w:r>
      <w:r>
        <w:rPr>
          <w:rFonts w:ascii="Times New Roman" w:hAnsi="Times New Roman"/>
          <w:lang w:val="en-US"/>
        </w:rPr>
        <w:t xml:space="preserve">It is entirely question-begging to say that interpretation in the classical tradition </w:t>
      </w:r>
      <w:r>
        <w:rPr>
          <w:rFonts w:ascii="Times New Roman" w:hAnsi="Times New Roman"/>
          <w:lang w:val="en-US"/>
        </w:rPr>
        <w:t>“</w:t>
      </w:r>
      <w:r>
        <w:rPr>
          <w:rFonts w:ascii="Times New Roman" w:hAnsi="Times New Roman"/>
          <w:lang w:val="en-US"/>
        </w:rPr>
        <w:t>departs from the text</w:t>
      </w:r>
      <w:r>
        <w:rPr>
          <w:rFonts w:ascii="Times New Roman" w:hAnsi="Times New Roman"/>
          <w:lang w:val="en-US"/>
        </w:rPr>
        <w:t xml:space="preserve">” </w:t>
      </w:r>
      <w:r>
        <w:rPr>
          <w:rFonts w:ascii="Times New Roman" w:hAnsi="Times New Roman"/>
          <w:lang w:val="en-US"/>
        </w:rPr>
        <w:t xml:space="preserve">or </w:t>
      </w:r>
      <w:r>
        <w:rPr>
          <w:rFonts w:ascii="Times New Roman" w:hAnsi="Times New Roman"/>
          <w:lang w:val="en-US"/>
        </w:rPr>
        <w:t>“</w:t>
      </w:r>
      <w:r>
        <w:rPr>
          <w:rFonts w:ascii="Times New Roman" w:hAnsi="Times New Roman"/>
          <w:lang w:val="en-US"/>
        </w:rPr>
        <w:t>substitutes morality for law.</w:t>
      </w:r>
      <w:r>
        <w:rPr>
          <w:rFonts w:ascii="Times New Roman" w:hAnsi="Times New Roman"/>
          <w:lang w:val="en-US"/>
        </w:rPr>
        <w:t xml:space="preserve">” </w:t>
      </w:r>
      <w:r>
        <w:rPr>
          <w:rFonts w:ascii="Times New Roman" w:hAnsi="Times New Roman"/>
          <w:lang w:val="en-US"/>
        </w:rPr>
        <w:t>Ra</w:t>
      </w:r>
      <w:r>
        <w:rPr>
          <w:rFonts w:ascii="Times New Roman" w:hAnsi="Times New Roman"/>
          <w:lang w:val="en-US"/>
        </w:rPr>
        <w:t xml:space="preserve">ther the classical tradition, in appropriate cases, looks to general principles of law and the </w:t>
      </w:r>
      <w:proofErr w:type="spellStart"/>
      <w:r>
        <w:rPr>
          <w:rFonts w:ascii="Times New Roman" w:hAnsi="Times New Roman"/>
          <w:i/>
          <w:iCs/>
          <w:lang w:val="en-US"/>
        </w:rPr>
        <w:t>ius</w:t>
      </w:r>
      <w:proofErr w:type="spellEnd"/>
      <w:r>
        <w:rPr>
          <w:rFonts w:ascii="Times New Roman" w:hAnsi="Times New Roman"/>
          <w:i/>
          <w:iCs/>
          <w:lang w:val="en-US"/>
        </w:rPr>
        <w:t xml:space="preserve"> </w:t>
      </w:r>
      <w:proofErr w:type="spellStart"/>
      <w:r>
        <w:rPr>
          <w:rFonts w:ascii="Times New Roman" w:hAnsi="Times New Roman"/>
          <w:i/>
          <w:iCs/>
          <w:lang w:val="en-US"/>
        </w:rPr>
        <w:t>naturale</w:t>
      </w:r>
      <w:proofErr w:type="spellEnd"/>
      <w:r>
        <w:rPr>
          <w:rFonts w:ascii="Times New Roman" w:hAnsi="Times New Roman"/>
          <w:lang w:val="en-US"/>
        </w:rPr>
        <w:t xml:space="preserve"> precisely</w:t>
      </w:r>
      <w:r>
        <w:rPr>
          <w:rFonts w:ascii="Times New Roman" w:hAnsi="Times New Roman"/>
          <w:i/>
          <w:iCs/>
          <w:lang w:val="en-US"/>
        </w:rPr>
        <w:t xml:space="preserve"> </w:t>
      </w:r>
      <w:proofErr w:type="gramStart"/>
      <w:r>
        <w:rPr>
          <w:rFonts w:ascii="Times New Roman" w:hAnsi="Times New Roman"/>
          <w:i/>
          <w:iCs/>
          <w:lang w:val="en-US"/>
        </w:rPr>
        <w:t>in order to</w:t>
      </w:r>
      <w:proofErr w:type="gramEnd"/>
      <w:r>
        <w:rPr>
          <w:rFonts w:ascii="Times New Roman" w:hAnsi="Times New Roman"/>
          <w:i/>
          <w:iCs/>
          <w:lang w:val="en-US"/>
        </w:rPr>
        <w:t xml:space="preserve"> </w:t>
      </w:r>
      <w:r>
        <w:rPr>
          <w:rFonts w:ascii="Times New Roman" w:hAnsi="Times New Roman"/>
          <w:i/>
          <w:iCs/>
          <w:lang w:val="en-US"/>
        </w:rPr>
        <w:lastRenderedPageBreak/>
        <w:t>understand the meaning</w:t>
      </w:r>
      <w:r>
        <w:rPr>
          <w:rFonts w:ascii="Times New Roman" w:hAnsi="Times New Roman"/>
          <w:lang w:val="en-US"/>
        </w:rPr>
        <w:t xml:space="preserve"> of </w:t>
      </w:r>
      <w:r>
        <w:rPr>
          <w:rFonts w:ascii="Times New Roman" w:hAnsi="Times New Roman"/>
          <w:i/>
          <w:iCs/>
          <w:lang w:val="en-US"/>
        </w:rPr>
        <w:t>lex</w:t>
      </w:r>
      <w:r>
        <w:rPr>
          <w:rFonts w:ascii="Times New Roman" w:hAnsi="Times New Roman"/>
          <w:lang w:val="en-US"/>
        </w:rPr>
        <w:t xml:space="preserve">, as a mode of interpretation that puts </w:t>
      </w:r>
      <w:r>
        <w:rPr>
          <w:rFonts w:ascii="Times New Roman" w:hAnsi="Times New Roman"/>
          <w:i/>
          <w:iCs/>
          <w:lang w:val="en-US"/>
        </w:rPr>
        <w:t>lex</w:t>
      </w:r>
      <w:r>
        <w:rPr>
          <w:rFonts w:ascii="Times New Roman" w:hAnsi="Times New Roman"/>
          <w:lang w:val="en-US"/>
        </w:rPr>
        <w:t xml:space="preserve"> in its best light. The law (</w:t>
      </w:r>
      <w:proofErr w:type="spellStart"/>
      <w:r>
        <w:rPr>
          <w:rFonts w:ascii="Times New Roman" w:hAnsi="Times New Roman"/>
          <w:i/>
          <w:iCs/>
          <w:lang w:val="en-US"/>
        </w:rPr>
        <w:t>ius</w:t>
      </w:r>
      <w:proofErr w:type="spellEnd"/>
      <w:r>
        <w:rPr>
          <w:rFonts w:ascii="Times New Roman" w:hAnsi="Times New Roman"/>
          <w:lang w:val="en-US"/>
        </w:rPr>
        <w:t>) itself includes cons</w:t>
      </w:r>
      <w:r>
        <w:rPr>
          <w:rFonts w:ascii="Times New Roman" w:hAnsi="Times New Roman"/>
          <w:lang w:val="en-US"/>
        </w:rPr>
        <w:t>iderations beyond the enacted text (</w:t>
      </w:r>
      <w:r>
        <w:rPr>
          <w:rFonts w:ascii="Times New Roman" w:hAnsi="Times New Roman"/>
          <w:i/>
          <w:iCs/>
          <w:lang w:val="en-US"/>
        </w:rPr>
        <w:t>lex</w:t>
      </w:r>
      <w:r>
        <w:rPr>
          <w:rFonts w:ascii="Times New Roman" w:hAnsi="Times New Roman"/>
          <w:lang w:val="en-US"/>
        </w:rPr>
        <w:t xml:space="preserve">). Positive civil lawmakers are strongly presumed not to wantonly violate background principles of </w:t>
      </w:r>
      <w:proofErr w:type="spellStart"/>
      <w:r>
        <w:rPr>
          <w:rFonts w:ascii="Times New Roman" w:hAnsi="Times New Roman"/>
          <w:i/>
          <w:iCs/>
          <w:lang w:val="en-US"/>
        </w:rPr>
        <w:t>ius</w:t>
      </w:r>
      <w:proofErr w:type="spellEnd"/>
      <w:r>
        <w:rPr>
          <w:rFonts w:ascii="Times New Roman" w:hAnsi="Times New Roman"/>
          <w:lang w:val="en-US"/>
        </w:rPr>
        <w:t xml:space="preserve"> and norms of reason that are constitutive of the nature of law. The background principles of </w:t>
      </w:r>
      <w:proofErr w:type="spellStart"/>
      <w:r>
        <w:rPr>
          <w:rFonts w:ascii="Times New Roman" w:hAnsi="Times New Roman"/>
          <w:i/>
          <w:iCs/>
          <w:lang w:val="en-US"/>
        </w:rPr>
        <w:t>ius</w:t>
      </w:r>
      <w:proofErr w:type="spellEnd"/>
      <w:r>
        <w:rPr>
          <w:rFonts w:ascii="Times New Roman" w:hAnsi="Times New Roman"/>
          <w:lang w:val="en-US"/>
        </w:rPr>
        <w:t xml:space="preserve"> themselves </w:t>
      </w:r>
      <w:proofErr w:type="gramStart"/>
      <w:r>
        <w:rPr>
          <w:rFonts w:ascii="Times New Roman" w:hAnsi="Times New Roman"/>
          <w:lang w:val="en-US"/>
        </w:rPr>
        <w:t xml:space="preserve">enter </w:t>
      </w:r>
      <w:r>
        <w:rPr>
          <w:rFonts w:ascii="Times New Roman" w:hAnsi="Times New Roman"/>
          <w:lang w:val="en-US"/>
        </w:rPr>
        <w:t>into</w:t>
      </w:r>
      <w:proofErr w:type="gramEnd"/>
      <w:r>
        <w:rPr>
          <w:rFonts w:ascii="Times New Roman" w:hAnsi="Times New Roman"/>
          <w:lang w:val="en-US"/>
        </w:rPr>
        <w:t xml:space="preserve"> and help to determine the meaning to be attributed to </w:t>
      </w:r>
      <w:r>
        <w:rPr>
          <w:rFonts w:ascii="Times New Roman" w:hAnsi="Times New Roman"/>
          <w:i/>
          <w:iCs/>
          <w:lang w:val="en-US"/>
        </w:rPr>
        <w:t xml:space="preserve">lex. </w:t>
      </w:r>
      <w:r>
        <w:rPr>
          <w:rFonts w:ascii="Times New Roman" w:hAnsi="Times New Roman"/>
          <w:lang w:val="en-US"/>
        </w:rPr>
        <w:t xml:space="preserve">This does not at all mean that the classical tradition </w:t>
      </w:r>
      <w:r>
        <w:rPr>
          <w:rFonts w:ascii="Times New Roman" w:hAnsi="Times New Roman"/>
          <w:rtl/>
          <w:lang w:val="ar-SA"/>
        </w:rPr>
        <w:t>“</w:t>
      </w:r>
      <w:r>
        <w:rPr>
          <w:rFonts w:ascii="Times New Roman" w:hAnsi="Times New Roman"/>
          <w:lang w:val="en-US"/>
        </w:rPr>
        <w:t>ignores the text</w:t>
      </w:r>
      <w:r>
        <w:rPr>
          <w:rFonts w:ascii="Times New Roman" w:hAnsi="Times New Roman"/>
          <w:lang w:val="en-US"/>
        </w:rPr>
        <w:t xml:space="preserve">” </w:t>
      </w:r>
      <w:r>
        <w:rPr>
          <w:rFonts w:ascii="Times New Roman" w:hAnsi="Times New Roman"/>
          <w:lang w:val="en-US"/>
        </w:rPr>
        <w:t>or anything of that sort. Enacted texts deserve great respect as a determination of the legitimate public authority, b</w:t>
      </w:r>
      <w:r>
        <w:rPr>
          <w:rFonts w:ascii="Times New Roman" w:hAnsi="Times New Roman"/>
          <w:lang w:val="en-US"/>
        </w:rPr>
        <w:t xml:space="preserve">ut the law is broader than their temporary and local commands, and it is presumed that those </w:t>
      </w:r>
      <w:r>
        <w:rPr>
          <w:rFonts w:ascii="Times New Roman" w:hAnsi="Times New Roman"/>
          <w:lang w:val="en-US"/>
        </w:rPr>
        <w:t>commands can be and will be harmonized with</w:t>
      </w:r>
      <w:r>
        <w:rPr>
          <w:rFonts w:ascii="Times New Roman" w:hAnsi="Times New Roman"/>
          <w:i/>
          <w:iCs/>
          <w:lang w:val="en-US"/>
        </w:rPr>
        <w:t xml:space="preserve"> </w:t>
      </w:r>
      <w:proofErr w:type="spellStart"/>
      <w:r>
        <w:rPr>
          <w:rFonts w:ascii="Times New Roman" w:hAnsi="Times New Roman"/>
          <w:i/>
          <w:iCs/>
          <w:lang w:val="en-US"/>
        </w:rPr>
        <w:t>ius</w:t>
      </w:r>
      <w:proofErr w:type="spellEnd"/>
      <w:r>
        <w:rPr>
          <w:rFonts w:ascii="Times New Roman" w:hAnsi="Times New Roman"/>
          <w:lang w:val="en-US"/>
        </w:rPr>
        <w:t>, the background general principles of the legal order.</w:t>
      </w:r>
    </w:p>
    <w:p w14:paraId="561DAE17" w14:textId="77777777" w:rsidR="00357B22" w:rsidRDefault="00062FEC">
      <w:pPr>
        <w:pStyle w:val="BodyA"/>
        <w:spacing w:after="20" w:line="480" w:lineRule="auto"/>
        <w:jc w:val="both"/>
        <w:rPr>
          <w:rFonts w:ascii="Times New Roman" w:eastAsia="Times New Roman" w:hAnsi="Times New Roman" w:cs="Times New Roman"/>
        </w:rPr>
      </w:pPr>
      <w:r>
        <w:rPr>
          <w:rFonts w:ascii="Times New Roman" w:eastAsia="Times New Roman" w:hAnsi="Times New Roman" w:cs="Times New Roman"/>
          <w:lang w:val="en-US"/>
        </w:rPr>
        <w:tab/>
      </w:r>
      <w:r>
        <w:rPr>
          <w:rFonts w:ascii="Times New Roman" w:hAnsi="Times New Roman"/>
          <w:lang w:val="en-US"/>
        </w:rPr>
        <w:t xml:space="preserve">Some argue that even if positive law is a </w:t>
      </w:r>
      <w:r>
        <w:rPr>
          <w:rFonts w:ascii="Times New Roman" w:hAnsi="Times New Roman"/>
          <w:lang w:val="en-US"/>
        </w:rPr>
        <w:t>determination of background legal principles, including natural law, it should be interpreted independently of that background in the interests of stability</w:t>
      </w:r>
      <w:r>
        <w:rPr>
          <w:rFonts w:ascii="Times New Roman" w:hAnsi="Times New Roman"/>
          <w:lang w:val="en-US"/>
        </w:rPr>
        <w:t xml:space="preserve">, </w:t>
      </w:r>
      <w:proofErr w:type="gramStart"/>
      <w:r>
        <w:rPr>
          <w:rFonts w:ascii="Times New Roman" w:hAnsi="Times New Roman"/>
          <w:lang w:val="en-US"/>
        </w:rPr>
        <w:t>settlement</w:t>
      </w:r>
      <w:proofErr w:type="gramEnd"/>
      <w:r>
        <w:rPr>
          <w:rFonts w:ascii="Times New Roman" w:hAnsi="Times New Roman"/>
          <w:lang w:val="en-US"/>
        </w:rPr>
        <w:t xml:space="preserve"> and durability.</w:t>
      </w:r>
      <w:bookmarkStart w:id="18" w:name="_Ref92062463"/>
      <w:r>
        <w:rPr>
          <w:rFonts w:ascii="Times New Roman" w:eastAsia="Times New Roman" w:hAnsi="Times New Roman" w:cs="Times New Roman"/>
          <w:vertAlign w:val="superscript"/>
        </w:rPr>
        <w:footnoteReference w:id="72"/>
      </w:r>
      <w:bookmarkEnd w:id="18"/>
      <w:r>
        <w:rPr>
          <w:rFonts w:ascii="Times New Roman" w:hAnsi="Times New Roman"/>
          <w:lang w:val="en-US"/>
        </w:rPr>
        <w:t xml:space="preserve"> This is a sort of half-truth. As we discuss shortly, the classical ap</w:t>
      </w:r>
      <w:r>
        <w:rPr>
          <w:rFonts w:ascii="Times New Roman" w:hAnsi="Times New Roman"/>
          <w:lang w:val="en-US"/>
        </w:rPr>
        <w:t>proach itself recognizes that interpreters of law typically should not venture an all-things-considered assessment of political morality from first principles. Role morality is itself a fundamental component of law</w:t>
      </w:r>
      <w:r>
        <w:rPr>
          <w:rFonts w:ascii="Times New Roman" w:hAnsi="Times New Roman"/>
          <w:lang w:val="en-US"/>
        </w:rPr>
        <w:t>’</w:t>
      </w:r>
      <w:r>
        <w:rPr>
          <w:rFonts w:ascii="Times New Roman" w:hAnsi="Times New Roman"/>
          <w:lang w:val="en-US"/>
        </w:rPr>
        <w:t xml:space="preserve">s morality. Interpretation is </w:t>
      </w:r>
      <w:r>
        <w:rPr>
          <w:rFonts w:ascii="Times New Roman" w:hAnsi="Times New Roman"/>
          <w:lang w:val="en-US"/>
        </w:rPr>
        <w:t>always limited and conditioned by institutional roles, legal presumptions and standards of review, default rules, and other legal mechanisms for promoting institutional settlement and stability. Moreover, the very nature of determination is that background</w:t>
      </w:r>
      <w:r>
        <w:rPr>
          <w:rFonts w:ascii="Times New Roman" w:hAnsi="Times New Roman"/>
          <w:lang w:val="en-US"/>
        </w:rPr>
        <w:t xml:space="preserve"> principles do not fully specify the content of positive law.</w:t>
      </w:r>
    </w:p>
    <w:p w14:paraId="33F1AB00" w14:textId="603B7D08" w:rsidR="00357B22" w:rsidRDefault="00062FEC">
      <w:pPr>
        <w:pStyle w:val="BodyA"/>
        <w:spacing w:after="20" w:line="48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lang w:val="en-US"/>
        </w:rPr>
        <w:t>Conversely, however, no account of the value of settlement and stability can fully exclude interpretive discretion at the point of application</w:t>
      </w:r>
      <w:r>
        <w:rPr>
          <w:rFonts w:ascii="Times New Roman" w:hAnsi="Times New Roman"/>
          <w:lang w:val="en-US"/>
        </w:rPr>
        <w:t>, at least in some subset of hard cases</w:t>
      </w:r>
      <w:r>
        <w:rPr>
          <w:rFonts w:ascii="Times New Roman" w:hAnsi="Times New Roman"/>
          <w:lang w:val="en-US"/>
        </w:rPr>
        <w:t xml:space="preserve">. Those who </w:t>
      </w:r>
      <w:r>
        <w:rPr>
          <w:rFonts w:ascii="Times New Roman" w:hAnsi="Times New Roman"/>
          <w:lang w:val="en-US"/>
        </w:rPr>
        <w:t>apply the enacted law (</w:t>
      </w:r>
      <w:r>
        <w:rPr>
          <w:rFonts w:ascii="Times New Roman" w:hAnsi="Times New Roman"/>
          <w:i/>
          <w:iCs/>
          <w:lang w:val="en-US"/>
        </w:rPr>
        <w:t>lex</w:t>
      </w:r>
      <w:r>
        <w:rPr>
          <w:rFonts w:ascii="Times New Roman" w:hAnsi="Times New Roman"/>
          <w:lang w:val="en-US"/>
        </w:rPr>
        <w:t>) must inevitably, in some domain of cases, have recourse to general background principles of law (</w:t>
      </w:r>
      <w:proofErr w:type="spellStart"/>
      <w:r>
        <w:rPr>
          <w:rFonts w:ascii="Times New Roman" w:hAnsi="Times New Roman"/>
          <w:i/>
          <w:iCs/>
          <w:lang w:val="en-US"/>
        </w:rPr>
        <w:t>ius</w:t>
      </w:r>
      <w:proofErr w:type="spellEnd"/>
      <w:r>
        <w:rPr>
          <w:rFonts w:ascii="Times New Roman" w:hAnsi="Times New Roman"/>
          <w:lang w:val="en-US"/>
        </w:rPr>
        <w:t xml:space="preserve">), including the </w:t>
      </w:r>
      <w:proofErr w:type="spellStart"/>
      <w:r>
        <w:rPr>
          <w:rFonts w:ascii="Times New Roman" w:hAnsi="Times New Roman"/>
          <w:i/>
          <w:iCs/>
          <w:lang w:val="en-US"/>
        </w:rPr>
        <w:t>ius</w:t>
      </w:r>
      <w:proofErr w:type="spellEnd"/>
      <w:r>
        <w:rPr>
          <w:rFonts w:ascii="Times New Roman" w:hAnsi="Times New Roman"/>
          <w:i/>
          <w:iCs/>
          <w:lang w:val="en-US"/>
        </w:rPr>
        <w:t xml:space="preserve"> </w:t>
      </w:r>
      <w:proofErr w:type="spellStart"/>
      <w:r>
        <w:rPr>
          <w:rFonts w:ascii="Times New Roman" w:hAnsi="Times New Roman"/>
          <w:i/>
          <w:iCs/>
          <w:lang w:val="en-US"/>
        </w:rPr>
        <w:t>naturale</w:t>
      </w:r>
      <w:proofErr w:type="spellEnd"/>
      <w:r>
        <w:rPr>
          <w:rFonts w:ascii="Times New Roman" w:hAnsi="Times New Roman"/>
          <w:lang w:val="en-US"/>
        </w:rPr>
        <w:t xml:space="preserve"> and the </w:t>
      </w:r>
      <w:proofErr w:type="spellStart"/>
      <w:r>
        <w:rPr>
          <w:rFonts w:ascii="Times New Roman" w:hAnsi="Times New Roman"/>
          <w:i/>
          <w:iCs/>
          <w:lang w:val="en-US"/>
        </w:rPr>
        <w:t>ius</w:t>
      </w:r>
      <w:proofErr w:type="spellEnd"/>
      <w:r>
        <w:rPr>
          <w:rFonts w:ascii="Times New Roman" w:hAnsi="Times New Roman"/>
          <w:i/>
          <w:iCs/>
          <w:lang w:val="en-US"/>
        </w:rPr>
        <w:t xml:space="preserve"> gentium</w:t>
      </w:r>
      <w:r>
        <w:rPr>
          <w:rFonts w:ascii="Times New Roman" w:hAnsi="Times New Roman"/>
          <w:lang w:val="en-US"/>
        </w:rPr>
        <w:t xml:space="preserve">. </w:t>
      </w:r>
      <w:r>
        <w:rPr>
          <w:rFonts w:ascii="Times New Roman" w:hAnsi="Times New Roman"/>
          <w:lang w:val="en-US"/>
        </w:rPr>
        <w:lastRenderedPageBreak/>
        <w:t>Aquinas and, much later, modern legal theorists such as H.L.A. Hart</w:t>
      </w:r>
      <w:r>
        <w:rPr>
          <w:rFonts w:ascii="Times New Roman" w:eastAsia="Times New Roman" w:hAnsi="Times New Roman" w:cs="Times New Roman"/>
          <w:vertAlign w:val="superscript"/>
          <w:lang w:val="en-US"/>
        </w:rPr>
        <w:footnoteReference w:id="73"/>
      </w:r>
      <w:r>
        <w:rPr>
          <w:rFonts w:ascii="Times New Roman" w:hAnsi="Times New Roman"/>
          <w:lang w:val="en-US"/>
        </w:rPr>
        <w:t xml:space="preserve"> show that the limits of foresight on the part of the lawmaker inevitably give rise to </w:t>
      </w:r>
      <w:r>
        <w:rPr>
          <w:rFonts w:ascii="Times New Roman" w:hAnsi="Times New Roman"/>
          <w:lang w:val="en-US"/>
        </w:rPr>
        <w:t>hard cases,</w:t>
      </w:r>
      <w:r>
        <w:rPr>
          <w:rFonts w:ascii="Times New Roman" w:hAnsi="Times New Roman"/>
          <w:lang w:val="en-US"/>
        </w:rPr>
        <w:t xml:space="preserve"> in which enacted </w:t>
      </w:r>
      <w:r>
        <w:rPr>
          <w:rFonts w:ascii="Times New Roman" w:hAnsi="Times New Roman"/>
          <w:i/>
          <w:iCs/>
          <w:lang w:val="en-US"/>
        </w:rPr>
        <w:t>lex</w:t>
      </w:r>
      <w:r>
        <w:rPr>
          <w:rFonts w:ascii="Times New Roman" w:hAnsi="Times New Roman"/>
          <w:lang w:val="en-US"/>
        </w:rPr>
        <w:t xml:space="preserve"> contains ambiguities or gaps, or in which the rule the lawmaker prescribed for the general run of ordinary cases misfires</w:t>
      </w:r>
      <w:r>
        <w:rPr>
          <w:rFonts w:ascii="Times New Roman" w:hAnsi="Times New Roman"/>
          <w:lang w:val="en-US"/>
        </w:rPr>
        <w:t>—</w:t>
      </w:r>
      <w:r>
        <w:rPr>
          <w:rFonts w:ascii="Times New Roman" w:hAnsi="Times New Roman"/>
          <w:lang w:val="en-US"/>
        </w:rPr>
        <w:t xml:space="preserve">fails to </w:t>
      </w:r>
      <w:r>
        <w:rPr>
          <w:rFonts w:ascii="Times New Roman" w:hAnsi="Times New Roman"/>
          <w:lang w:val="en-US"/>
        </w:rPr>
        <w:t>track the common good</w:t>
      </w:r>
      <w:r>
        <w:rPr>
          <w:rFonts w:ascii="Times New Roman" w:hAnsi="Times New Roman"/>
          <w:lang w:val="en-US"/>
        </w:rPr>
        <w:t>—</w:t>
      </w:r>
      <w:r>
        <w:rPr>
          <w:rFonts w:ascii="Times New Roman" w:hAnsi="Times New Roman"/>
          <w:lang w:val="en-US"/>
        </w:rPr>
        <w:t>due to unusual circumstances.</w:t>
      </w:r>
      <w:r>
        <w:rPr>
          <w:rFonts w:ascii="Times New Roman" w:eastAsia="Times New Roman" w:hAnsi="Times New Roman" w:cs="Times New Roman"/>
          <w:vertAlign w:val="superscript"/>
          <w:lang w:val="en-US"/>
        </w:rPr>
        <w:footnoteReference w:id="74"/>
      </w:r>
    </w:p>
    <w:p w14:paraId="4010DB23" w14:textId="65387ECF"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hAnsi="Times New Roman"/>
          <w:lang w:val="en-US"/>
        </w:rPr>
        <w:t>Let us expand upon this point somewhat. In easy cases, where all relevant legal sources point in the same direction and the law</w:t>
      </w:r>
      <w:r>
        <w:rPr>
          <w:rFonts w:ascii="Times New Roman" w:hAnsi="Times New Roman"/>
          <w:lang w:val="en-US"/>
        </w:rPr>
        <w:t>’</w:t>
      </w:r>
      <w:r>
        <w:rPr>
          <w:rFonts w:ascii="Times New Roman" w:hAnsi="Times New Roman"/>
          <w:lang w:val="en-US"/>
        </w:rPr>
        <w:t>s commands neatly track the common good, any version of originalism or</w:t>
      </w:r>
      <w:r>
        <w:rPr>
          <w:rFonts w:ascii="Times New Roman" w:hAnsi="Times New Roman"/>
          <w:lang w:val="en-US"/>
        </w:rPr>
        <w:t xml:space="preserve"> textualism or positivist interpretation generally will reach the same result as classical legal interpretation. We are not to imagine that classical interpreters are constantly invoking higher law or claiming that cases are extraordinary; in the great bul</w:t>
      </w:r>
      <w:r>
        <w:rPr>
          <w:rFonts w:ascii="Times New Roman" w:hAnsi="Times New Roman"/>
          <w:lang w:val="en-US"/>
        </w:rPr>
        <w:t xml:space="preserve">k of ordinary cases, they proceed </w:t>
      </w:r>
      <w:proofErr w:type="gramStart"/>
      <w:r>
        <w:rPr>
          <w:rFonts w:ascii="Times New Roman" w:hAnsi="Times New Roman"/>
          <w:lang w:val="en-US"/>
        </w:rPr>
        <w:t>on the basis of</w:t>
      </w:r>
      <w:proofErr w:type="gramEnd"/>
      <w:r>
        <w:rPr>
          <w:rFonts w:ascii="Times New Roman" w:hAnsi="Times New Roman"/>
          <w:lang w:val="en-US"/>
        </w:rPr>
        <w:t xml:space="preserve"> a respect for text, albeit justified on different grounds than modern positivism. In easy cases, then, there is no difference between originalist and classical interpretation from the standpoint of consider</w:t>
      </w:r>
      <w:r>
        <w:rPr>
          <w:rFonts w:ascii="Times New Roman" w:hAnsi="Times New Roman"/>
          <w:lang w:val="en-US"/>
        </w:rPr>
        <w:t>ations of legal predictability,</w:t>
      </w:r>
      <w:r>
        <w:rPr>
          <w:rFonts w:ascii="Times New Roman" w:hAnsi="Times New Roman"/>
          <w:lang w:val="en-US"/>
        </w:rPr>
        <w:t xml:space="preserve"> settlement</w:t>
      </w:r>
      <w:r>
        <w:rPr>
          <w:rFonts w:ascii="Times New Roman" w:hAnsi="Times New Roman"/>
          <w:lang w:val="en-US"/>
        </w:rPr>
        <w:t xml:space="preserve">, </w:t>
      </w:r>
      <w:proofErr w:type="gramStart"/>
      <w:r>
        <w:rPr>
          <w:rFonts w:ascii="Times New Roman" w:hAnsi="Times New Roman"/>
          <w:lang w:val="en-US"/>
        </w:rPr>
        <w:t>durability</w:t>
      </w:r>
      <w:proofErr w:type="gramEnd"/>
      <w:r>
        <w:rPr>
          <w:rFonts w:ascii="Times New Roman" w:hAnsi="Times New Roman"/>
          <w:lang w:val="en-US"/>
        </w:rPr>
        <w:t xml:space="preserve"> and stability.</w:t>
      </w:r>
      <w:r>
        <w:rPr>
          <w:rFonts w:ascii="Times New Roman" w:hAnsi="Times New Roman"/>
          <w:lang w:val="en-US"/>
        </w:rPr>
        <w:t xml:space="preserve"> Classical theory builds in a form of textualism in easy cases, which is to say most cases.</w:t>
      </w:r>
    </w:p>
    <w:p w14:paraId="61B39DBD" w14:textId="4365C269" w:rsidR="00357B22" w:rsidRDefault="00062FEC">
      <w:pPr>
        <w:pStyle w:val="Default"/>
        <w:spacing w:before="0" w:line="480" w:lineRule="auto"/>
        <w:jc w:val="both"/>
        <w:rPr>
          <w:rFonts w:ascii="Times New Roman" w:eastAsia="Times New Roman" w:hAnsi="Times New Roman" w:cs="Times New Roman"/>
          <w:shd w:val="clear" w:color="auto" w:fill="FEFFFE"/>
        </w:rPr>
      </w:pPr>
      <w:r>
        <w:rPr>
          <w:rFonts w:ascii="Times New Roman" w:eastAsia="Times New Roman" w:hAnsi="Times New Roman" w:cs="Times New Roman"/>
          <w:color w:val="302205"/>
          <w:u w:color="302205"/>
          <w:shd w:val="clear" w:color="auto" w:fill="FEFFFE"/>
        </w:rPr>
        <w:tab/>
      </w:r>
      <w:r>
        <w:rPr>
          <w:rFonts w:ascii="Times New Roman" w:hAnsi="Times New Roman"/>
          <w:shd w:val="clear" w:color="auto" w:fill="FEFFFE"/>
        </w:rPr>
        <w:t>However, when due to the limits of the lawmakers</w:t>
      </w:r>
      <w:r>
        <w:rPr>
          <w:rFonts w:ascii="Times New Roman" w:hAnsi="Times New Roman"/>
          <w:shd w:val="clear" w:color="auto" w:fill="FEFFFE"/>
        </w:rPr>
        <w:t xml:space="preserve">’ </w:t>
      </w:r>
      <w:r>
        <w:rPr>
          <w:rFonts w:ascii="Times New Roman" w:hAnsi="Times New Roman"/>
          <w:shd w:val="clear" w:color="auto" w:fill="FEFFFE"/>
        </w:rPr>
        <w:t>foresight legal texts (</w:t>
      </w:r>
      <w:r>
        <w:rPr>
          <w:rFonts w:ascii="Times New Roman" w:hAnsi="Times New Roman"/>
          <w:i/>
          <w:iCs/>
          <w:shd w:val="clear" w:color="auto" w:fill="FEFFFE"/>
        </w:rPr>
        <w:t>lex</w:t>
      </w:r>
      <w:r>
        <w:rPr>
          <w:rFonts w:ascii="Times New Roman" w:hAnsi="Times New Roman"/>
          <w:shd w:val="clear" w:color="auto" w:fill="FEFFFE"/>
        </w:rPr>
        <w:t xml:space="preserve">) are irreducibly ambiguous, </w:t>
      </w:r>
      <w:r>
        <w:rPr>
          <w:rFonts w:ascii="Times New Roman" w:hAnsi="Times New Roman"/>
          <w:shd w:val="clear" w:color="auto" w:fill="FEFFFE"/>
        </w:rPr>
        <w:t xml:space="preserve">can be read at multiple levels of generality, </w:t>
      </w:r>
      <w:r>
        <w:rPr>
          <w:rFonts w:ascii="Times New Roman" w:hAnsi="Times New Roman"/>
          <w:shd w:val="clear" w:color="auto" w:fill="FEFFFE"/>
        </w:rPr>
        <w:t>conflict with powerful principles and background norms of the legal system (</w:t>
      </w:r>
      <w:proofErr w:type="spellStart"/>
      <w:r>
        <w:rPr>
          <w:rFonts w:ascii="Times New Roman" w:hAnsi="Times New Roman"/>
          <w:i/>
          <w:iCs/>
          <w:shd w:val="clear" w:color="auto" w:fill="FEFFFE"/>
        </w:rPr>
        <w:t>ius</w:t>
      </w:r>
      <w:proofErr w:type="spellEnd"/>
      <w:r>
        <w:rPr>
          <w:rFonts w:ascii="Times New Roman" w:hAnsi="Times New Roman"/>
          <w:shd w:val="clear" w:color="auto" w:fill="FEFFFE"/>
        </w:rPr>
        <w:t>), obviously misfire with respect to uncontroversial conceptions of the common good, or otherwise seem absurd as applied to unusual circumstances, a question inevitably arises about how the legal sources are to be appl</w:t>
      </w:r>
      <w:r>
        <w:rPr>
          <w:rFonts w:ascii="Times New Roman" w:hAnsi="Times New Roman"/>
          <w:shd w:val="clear" w:color="auto" w:fill="FEFFFE"/>
        </w:rPr>
        <w:t xml:space="preserve">ied and reconciled. </w:t>
      </w:r>
      <w:r>
        <w:rPr>
          <w:rFonts w:ascii="Times New Roman" w:hAnsi="Times New Roman"/>
          <w:shd w:val="clear" w:color="auto" w:fill="FEFFFE"/>
        </w:rPr>
        <w:t xml:space="preserve">(For more specific comments on the problem for originalism of levels of generality, see our discussion in the next section). </w:t>
      </w:r>
      <w:r>
        <w:rPr>
          <w:rFonts w:ascii="Times New Roman" w:hAnsi="Times New Roman"/>
          <w:shd w:val="clear" w:color="auto" w:fill="FEFFFE"/>
        </w:rPr>
        <w:t xml:space="preserve">Where the specified determinations are ambiguous or in which the core </w:t>
      </w:r>
      <w:proofErr w:type="gramStart"/>
      <w:r>
        <w:rPr>
          <w:rFonts w:ascii="Times New Roman" w:hAnsi="Times New Roman"/>
          <w:shd w:val="clear" w:color="auto" w:fill="FEFFFE"/>
        </w:rPr>
        <w:t>cases</w:t>
      </w:r>
      <w:proofErr w:type="gramEnd"/>
      <w:r>
        <w:rPr>
          <w:rFonts w:ascii="Times New Roman" w:hAnsi="Times New Roman"/>
          <w:shd w:val="clear" w:color="auto" w:fill="FEFFFE"/>
        </w:rPr>
        <w:t xml:space="preserve"> they are intended to address encounter an exceptional situation, the rel</w:t>
      </w:r>
      <w:r>
        <w:rPr>
          <w:rFonts w:ascii="Times New Roman" w:hAnsi="Times New Roman"/>
          <w:shd w:val="clear" w:color="auto" w:fill="FEFFFE"/>
        </w:rPr>
        <w:t>evant determinations must be interpreted</w:t>
      </w:r>
      <w:r>
        <w:rPr>
          <w:rFonts w:ascii="Times New Roman" w:hAnsi="Times New Roman"/>
          <w:shd w:val="clear" w:color="auto" w:fill="FEFFFE"/>
        </w:rPr>
        <w:t>—</w:t>
      </w:r>
      <w:r>
        <w:rPr>
          <w:rFonts w:ascii="Times New Roman" w:hAnsi="Times New Roman"/>
          <w:shd w:val="clear" w:color="auto" w:fill="FEFFFE"/>
        </w:rPr>
        <w:t>a</w:t>
      </w:r>
      <w:r>
        <w:rPr>
          <w:rFonts w:ascii="Times New Roman" w:hAnsi="Times New Roman"/>
          <w:shd w:val="clear" w:color="auto" w:fill="FEFFFE"/>
        </w:rPr>
        <w:t xml:space="preserve">nd in our own legal tradition, </w:t>
      </w:r>
      <w:r>
        <w:rPr>
          <w:rFonts w:ascii="Times New Roman" w:hAnsi="Times New Roman"/>
          <w:shd w:val="clear" w:color="auto" w:fill="FEFFFE"/>
        </w:rPr>
        <w:lastRenderedPageBreak/>
        <w:t>historically speaking, have in fact been interpreted</w:t>
      </w:r>
      <w:r>
        <w:rPr>
          <w:rFonts w:ascii="Times New Roman" w:hAnsi="Times New Roman"/>
          <w:shd w:val="clear" w:color="auto" w:fill="FEFFFE"/>
        </w:rPr>
        <w:t>—</w:t>
      </w:r>
      <w:r>
        <w:rPr>
          <w:rFonts w:ascii="Times New Roman" w:hAnsi="Times New Roman"/>
          <w:shd w:val="clear" w:color="auto" w:fill="FEFFFE"/>
        </w:rPr>
        <w:t xml:space="preserve">in light of background principles of the </w:t>
      </w:r>
      <w:proofErr w:type="spellStart"/>
      <w:r>
        <w:rPr>
          <w:rFonts w:ascii="Times New Roman" w:hAnsi="Times New Roman"/>
          <w:i/>
          <w:iCs/>
          <w:shd w:val="clear" w:color="auto" w:fill="FEFFFE"/>
        </w:rPr>
        <w:t>ius</w:t>
      </w:r>
      <w:proofErr w:type="spellEnd"/>
      <w:r>
        <w:rPr>
          <w:rFonts w:ascii="Times New Roman" w:hAnsi="Times New Roman"/>
          <w:i/>
          <w:iCs/>
          <w:shd w:val="clear" w:color="auto" w:fill="FEFFFE"/>
        </w:rPr>
        <w:t xml:space="preserve"> </w:t>
      </w:r>
      <w:proofErr w:type="spellStart"/>
      <w:r>
        <w:rPr>
          <w:rFonts w:ascii="Times New Roman" w:hAnsi="Times New Roman"/>
          <w:i/>
          <w:iCs/>
          <w:shd w:val="clear" w:color="auto" w:fill="FEFFFE"/>
        </w:rPr>
        <w:t>naturale</w:t>
      </w:r>
      <w:proofErr w:type="spellEnd"/>
      <w:r>
        <w:rPr>
          <w:rFonts w:ascii="Times New Roman" w:hAnsi="Times New Roman"/>
          <w:shd w:val="clear" w:color="auto" w:fill="FEFFFE"/>
        </w:rPr>
        <w:t xml:space="preserve"> and the </w:t>
      </w:r>
      <w:proofErr w:type="spellStart"/>
      <w:r>
        <w:rPr>
          <w:rFonts w:ascii="Times New Roman" w:hAnsi="Times New Roman"/>
          <w:i/>
          <w:iCs/>
          <w:shd w:val="clear" w:color="auto" w:fill="FEFFFE"/>
        </w:rPr>
        <w:t>ius</w:t>
      </w:r>
      <w:proofErr w:type="spellEnd"/>
      <w:r>
        <w:rPr>
          <w:rFonts w:ascii="Times New Roman" w:hAnsi="Times New Roman"/>
          <w:i/>
          <w:iCs/>
          <w:shd w:val="clear" w:color="auto" w:fill="FEFFFE"/>
        </w:rPr>
        <w:t xml:space="preserve"> gentium</w:t>
      </w:r>
      <w:r>
        <w:rPr>
          <w:rFonts w:ascii="Times New Roman" w:hAnsi="Times New Roman"/>
          <w:shd w:val="clear" w:color="auto" w:fill="FEFFFE"/>
        </w:rPr>
        <w:t>, the ends of rightly ordered law, and the larger ends of temporal government. In such cases, crucially, the justification of originalism by reference to certainty and stability loses all force; there is no escape from norm</w:t>
      </w:r>
      <w:r>
        <w:rPr>
          <w:rFonts w:ascii="Times New Roman" w:hAnsi="Times New Roman"/>
          <w:shd w:val="clear" w:color="auto" w:fill="FEFFFE"/>
        </w:rPr>
        <w:t>ative argument, internal to law, to determine what the law provides. When hard cases arise, justifications sounding in legal predictability,</w:t>
      </w:r>
      <w:r>
        <w:rPr>
          <w:rFonts w:ascii="Times New Roman" w:hAnsi="Times New Roman"/>
          <w:shd w:val="clear" w:color="auto" w:fill="FEFFFE"/>
        </w:rPr>
        <w:t xml:space="preserve"> settlemen</w:t>
      </w:r>
      <w:r>
        <w:rPr>
          <w:rFonts w:ascii="Times New Roman" w:hAnsi="Times New Roman"/>
          <w:shd w:val="clear" w:color="auto" w:fill="FEFFFE"/>
        </w:rPr>
        <w:t>t</w:t>
      </w:r>
      <w:r>
        <w:rPr>
          <w:rFonts w:ascii="Times New Roman" w:hAnsi="Times New Roman"/>
          <w:shd w:val="clear" w:color="auto" w:fill="FEFFFE"/>
        </w:rPr>
        <w:t xml:space="preserve">, stability, </w:t>
      </w:r>
      <w:r>
        <w:rPr>
          <w:rFonts w:ascii="Times New Roman" w:hAnsi="Times New Roman"/>
          <w:shd w:val="clear" w:color="auto" w:fill="FEFFFE"/>
        </w:rPr>
        <w:t xml:space="preserve">durability, </w:t>
      </w:r>
      <w:r>
        <w:rPr>
          <w:rFonts w:ascii="Times New Roman" w:hAnsi="Times New Roman"/>
          <w:shd w:val="clear" w:color="auto" w:fill="FEFFFE"/>
        </w:rPr>
        <w:t xml:space="preserve">and the like have </w:t>
      </w:r>
      <w:r>
        <w:rPr>
          <w:rFonts w:ascii="Times New Roman" w:hAnsi="Times New Roman"/>
          <w:i/>
          <w:iCs/>
          <w:shd w:val="clear" w:color="auto" w:fill="FEFFFE"/>
        </w:rPr>
        <w:t>already</w:t>
      </w:r>
      <w:r>
        <w:rPr>
          <w:rFonts w:ascii="Times New Roman" w:hAnsi="Times New Roman"/>
          <w:shd w:val="clear" w:color="auto" w:fill="FEFFFE"/>
        </w:rPr>
        <w:t xml:space="preserve"> failed.</w:t>
      </w:r>
    </w:p>
    <w:p w14:paraId="42B73533" w14:textId="77777777" w:rsidR="00357B22" w:rsidRDefault="00062FEC">
      <w:pPr>
        <w:pStyle w:val="Default"/>
        <w:spacing w:before="0" w:line="480" w:lineRule="auto"/>
        <w:jc w:val="both"/>
        <w:rPr>
          <w:rFonts w:ascii="Times New Roman" w:eastAsia="Times New Roman" w:hAnsi="Times New Roman" w:cs="Times New Roman"/>
          <w:shd w:val="clear" w:color="auto" w:fill="FEFFFE"/>
        </w:rPr>
      </w:pPr>
      <w:r>
        <w:rPr>
          <w:rFonts w:ascii="Times New Roman" w:eastAsia="Times New Roman" w:hAnsi="Times New Roman" w:cs="Times New Roman"/>
          <w:color w:val="302205"/>
          <w:u w:color="302205"/>
          <w:shd w:val="clear" w:color="auto" w:fill="FEFFFE"/>
        </w:rPr>
        <w:tab/>
      </w:r>
      <w:r>
        <w:rPr>
          <w:rFonts w:ascii="Times New Roman" w:hAnsi="Times New Roman"/>
          <w:shd w:val="clear" w:color="auto" w:fill="FEFFFE"/>
        </w:rPr>
        <w:t>Finally, institutional settlement and stability, however important, are hardly</w:t>
      </w:r>
      <w:r>
        <w:rPr>
          <w:rFonts w:ascii="Times New Roman" w:hAnsi="Times New Roman"/>
          <w:shd w:val="clear" w:color="auto" w:fill="FEFFFE"/>
        </w:rPr>
        <w:t xml:space="preserve"> the only common goods. This sort of second-order consideration is important, but so too are first-order ones. The classical tradition emphasizes that justice is the </w:t>
      </w:r>
      <w:proofErr w:type="gramStart"/>
      <w:r>
        <w:rPr>
          <w:rFonts w:ascii="Times New Roman" w:hAnsi="Times New Roman"/>
          <w:shd w:val="clear" w:color="auto" w:fill="FEFFFE"/>
        </w:rPr>
        <w:t>ultimate aim</w:t>
      </w:r>
      <w:proofErr w:type="gramEnd"/>
      <w:r>
        <w:rPr>
          <w:rFonts w:ascii="Times New Roman" w:hAnsi="Times New Roman"/>
          <w:shd w:val="clear" w:color="auto" w:fill="FEFFFE"/>
        </w:rPr>
        <w:t xml:space="preserve"> of law, and that peace and </w:t>
      </w:r>
      <w:r>
        <w:rPr>
          <w:rFonts w:ascii="Times New Roman" w:hAnsi="Times New Roman"/>
          <w:shd w:val="clear" w:color="auto" w:fill="FEFFFE"/>
          <w:lang w:val="fr-FR"/>
        </w:rPr>
        <w:t xml:space="preserve">justice </w:t>
      </w:r>
      <w:r>
        <w:rPr>
          <w:rFonts w:ascii="Times New Roman" w:hAnsi="Times New Roman"/>
          <w:shd w:val="clear" w:color="auto" w:fill="FEFFFE"/>
        </w:rPr>
        <w:t xml:space="preserve">are both fundamental aims of law. If the originalist regime yields </w:t>
      </w:r>
      <w:r>
        <w:rPr>
          <w:rFonts w:ascii="Times New Roman" w:hAnsi="Times New Roman"/>
          <w:shd w:val="clear" w:color="auto" w:fill="FEFFFE"/>
        </w:rPr>
        <w:t>“</w:t>
      </w:r>
      <w:r>
        <w:rPr>
          <w:rFonts w:ascii="Times New Roman" w:hAnsi="Times New Roman"/>
          <w:shd w:val="clear" w:color="auto" w:fill="FEFFFE"/>
        </w:rPr>
        <w:t>stability</w:t>
      </w:r>
      <w:r>
        <w:rPr>
          <w:rFonts w:ascii="Times New Roman" w:hAnsi="Times New Roman"/>
          <w:shd w:val="clear" w:color="auto" w:fill="FEFFFE"/>
        </w:rPr>
        <w:t xml:space="preserve">” </w:t>
      </w:r>
      <w:r>
        <w:rPr>
          <w:rFonts w:ascii="Times New Roman" w:hAnsi="Times New Roman"/>
          <w:shd w:val="clear" w:color="auto" w:fill="FEFFFE"/>
        </w:rPr>
        <w:t>of a sort by producing a steady, predictable stream of deeply unjust first-order results, o</w:t>
      </w:r>
      <w:r>
        <w:rPr>
          <w:rFonts w:ascii="Times New Roman" w:hAnsi="Times New Roman"/>
          <w:shd w:val="clear" w:color="auto" w:fill="FEFFFE"/>
        </w:rPr>
        <w:t>r merely fails to prevent such results, then the common good condemns rather than supports originalism. At a minimum there should be some reflective equilibrium between the second-order goods of settlement and durability, on the one hand, and evaluation of</w:t>
      </w:r>
      <w:r>
        <w:rPr>
          <w:rFonts w:ascii="Times New Roman" w:hAnsi="Times New Roman"/>
          <w:shd w:val="clear" w:color="auto" w:fill="FEFFFE"/>
        </w:rPr>
        <w:t xml:space="preserve"> the justice of first-order outcomes, on the other. </w:t>
      </w:r>
      <w:proofErr w:type="gramStart"/>
      <w:r>
        <w:rPr>
          <w:rFonts w:ascii="Times New Roman" w:hAnsi="Times New Roman"/>
          <w:shd w:val="clear" w:color="auto" w:fill="FEFFFE"/>
        </w:rPr>
        <w:t>Otherwise</w:t>
      </w:r>
      <w:proofErr w:type="gramEnd"/>
      <w:r>
        <w:rPr>
          <w:rFonts w:ascii="Times New Roman" w:hAnsi="Times New Roman"/>
          <w:shd w:val="clear" w:color="auto" w:fill="FEFFFE"/>
        </w:rPr>
        <w:t xml:space="preserve"> the praise of second-order goods threatens to become a kind of sacred fetish, overriding all first-order considerations in the name of a partial and myopic account of what justice requires.</w:t>
      </w:r>
    </w:p>
    <w:p w14:paraId="0980C1B1" w14:textId="7BC3A8DD" w:rsidR="00357B22" w:rsidRDefault="00062FEC">
      <w:pPr>
        <w:pStyle w:val="Default"/>
        <w:spacing w:before="0" w:line="480" w:lineRule="auto"/>
        <w:jc w:val="both"/>
        <w:rPr>
          <w:rFonts w:ascii="Times New Roman" w:eastAsia="Times New Roman" w:hAnsi="Times New Roman" w:cs="Times New Roman"/>
          <w:i/>
          <w:iCs/>
          <w:color w:val="302205"/>
          <w:u w:color="302205"/>
        </w:rPr>
      </w:pPr>
      <w:r>
        <w:rPr>
          <w:rFonts w:ascii="Times New Roman" w:eastAsia="Times New Roman" w:hAnsi="Times New Roman" w:cs="Times New Roman"/>
          <w:color w:val="302205"/>
          <w:u w:color="302205"/>
          <w:shd w:val="clear" w:color="auto" w:fill="FEFFFE"/>
        </w:rPr>
        <w:tab/>
      </w:r>
      <w:r>
        <w:rPr>
          <w:rFonts w:ascii="Times New Roman" w:hAnsi="Times New Roman"/>
          <w:shd w:val="clear" w:color="auto" w:fill="FEFFFE"/>
        </w:rPr>
        <w:t xml:space="preserve">The sting in this dilemma, of course, is that if (and to the extent that) the view we are discussing </w:t>
      </w:r>
      <w:r>
        <w:rPr>
          <w:rFonts w:ascii="Times New Roman" w:hAnsi="Times New Roman"/>
          <w:i/>
          <w:iCs/>
          <w:shd w:val="clear" w:color="auto" w:fill="FEFFFE"/>
        </w:rPr>
        <w:t>ever</w:t>
      </w:r>
      <w:r>
        <w:rPr>
          <w:rFonts w:ascii="Times New Roman" w:hAnsi="Times New Roman"/>
          <w:shd w:val="clear" w:color="auto" w:fill="FEFFFE"/>
        </w:rPr>
        <w:t xml:space="preserve"> allows interpreters to consider broader principles of legal morality (</w:t>
      </w:r>
      <w:proofErr w:type="spellStart"/>
      <w:r>
        <w:rPr>
          <w:rFonts w:ascii="Times New Roman" w:hAnsi="Times New Roman"/>
          <w:i/>
          <w:iCs/>
          <w:shd w:val="clear" w:color="auto" w:fill="FEFFFE"/>
        </w:rPr>
        <w:t>ius</w:t>
      </w:r>
      <w:proofErr w:type="spellEnd"/>
      <w:r>
        <w:rPr>
          <w:rFonts w:ascii="Times New Roman" w:hAnsi="Times New Roman"/>
          <w:shd w:val="clear" w:color="auto" w:fill="FEFFFE"/>
        </w:rPr>
        <w:t>) in hard cases, then the game is up. At that point,</w:t>
      </w:r>
      <w:r>
        <w:rPr>
          <w:rFonts w:ascii="Times New Roman" w:hAnsi="Times New Roman"/>
          <w:shd w:val="clear" w:color="auto" w:fill="FEFFFE"/>
        </w:rPr>
        <w:t xml:space="preserve"> one is merely arguing over the precise scope of discretion for interpreters in what is essentially a regime of common-good constitutionalism. The theoretical distinctiveness of the originalist view grounded in stability has already been forfeited. To the </w:t>
      </w:r>
      <w:r>
        <w:rPr>
          <w:rFonts w:ascii="Times New Roman" w:hAnsi="Times New Roman"/>
          <w:shd w:val="clear" w:color="auto" w:fill="FEFFFE"/>
        </w:rPr>
        <w:t>extent it tries to exclude consideration of principles of law</w:t>
      </w:r>
      <w:r>
        <w:rPr>
          <w:rFonts w:ascii="Times New Roman" w:hAnsi="Times New Roman"/>
          <w:shd w:val="clear" w:color="auto" w:fill="FEFFFE"/>
        </w:rPr>
        <w:t>’</w:t>
      </w:r>
      <w:r>
        <w:rPr>
          <w:rFonts w:ascii="Times New Roman" w:hAnsi="Times New Roman"/>
          <w:shd w:val="clear" w:color="auto" w:fill="FEFFFE"/>
        </w:rPr>
        <w:t xml:space="preserve">s morality, </w:t>
      </w:r>
      <w:r>
        <w:rPr>
          <w:rFonts w:ascii="Times New Roman" w:hAnsi="Times New Roman"/>
          <w:shd w:val="clear" w:color="auto" w:fill="FEFFFE"/>
        </w:rPr>
        <w:lastRenderedPageBreak/>
        <w:t>originalism tries to banish what cannot be banished.</w:t>
      </w:r>
      <w:r>
        <w:rPr>
          <w:rFonts w:ascii="Times New Roman" w:eastAsia="Times New Roman" w:hAnsi="Times New Roman" w:cs="Times New Roman"/>
          <w:vertAlign w:val="superscript"/>
        </w:rPr>
        <w:footnoteReference w:id="75"/>
      </w:r>
      <w:r>
        <w:rPr>
          <w:rFonts w:ascii="Times New Roman" w:hAnsi="Times New Roman"/>
          <w:shd w:val="clear" w:color="auto" w:fill="FEFFFE"/>
        </w:rPr>
        <w:t xml:space="preserve"> But to the extent forms of originalism explicitly do not seek t</w:t>
      </w:r>
      <w:r>
        <w:rPr>
          <w:rFonts w:ascii="Times New Roman" w:hAnsi="Times New Roman"/>
          <w:shd w:val="clear" w:color="auto" w:fill="FEFFFE"/>
        </w:rPr>
        <w:t xml:space="preserve">o do this, they become half-measures </w:t>
      </w:r>
      <w:r>
        <w:rPr>
          <w:rFonts w:ascii="Times New Roman" w:hAnsi="Times New Roman"/>
          <w:shd w:val="clear" w:color="auto" w:fill="FEFFFE"/>
        </w:rPr>
        <w:t xml:space="preserve">– </w:t>
      </w:r>
      <w:r>
        <w:rPr>
          <w:rFonts w:ascii="Times New Roman" w:hAnsi="Times New Roman"/>
          <w:shd w:val="clear" w:color="auto" w:fill="FEFFFE"/>
        </w:rPr>
        <w:t>ori</w:t>
      </w:r>
      <w:r>
        <w:rPr>
          <w:rFonts w:ascii="Times New Roman" w:hAnsi="Times New Roman"/>
          <w:shd w:val="clear" w:color="auto" w:fill="FEFFFE"/>
        </w:rPr>
        <w:t xml:space="preserve">ginalism in name and rhetoric only </w:t>
      </w:r>
      <w:r>
        <w:rPr>
          <w:rFonts w:ascii="Times New Roman" w:hAnsi="Times New Roman"/>
          <w:shd w:val="clear" w:color="auto" w:fill="FEFFFE"/>
        </w:rPr>
        <w:t xml:space="preserve">– </w:t>
      </w:r>
      <w:r>
        <w:rPr>
          <w:rFonts w:ascii="Times New Roman" w:hAnsi="Times New Roman"/>
          <w:shd w:val="clear" w:color="auto" w:fill="FEFFFE"/>
        </w:rPr>
        <w:t>and c</w:t>
      </w:r>
      <w:r>
        <w:rPr>
          <w:rFonts w:ascii="Times New Roman" w:hAnsi="Times New Roman"/>
          <w:shd w:val="clear" w:color="auto" w:fill="FEFFFE"/>
        </w:rPr>
        <w:t xml:space="preserve">onceptually indistinguishable from frameworks </w:t>
      </w:r>
      <w:r>
        <w:rPr>
          <w:rFonts w:ascii="Times New Roman" w:hAnsi="Times New Roman"/>
          <w:shd w:val="clear" w:color="auto" w:fill="FEFFFE"/>
        </w:rPr>
        <w:t xml:space="preserve">within which </w:t>
      </w:r>
      <w:r>
        <w:rPr>
          <w:rFonts w:ascii="Times New Roman" w:hAnsi="Times New Roman"/>
          <w:shd w:val="clear" w:color="auto" w:fill="FEFFFE"/>
        </w:rPr>
        <w:t xml:space="preserve">historical modes </w:t>
      </w:r>
      <w:r>
        <w:rPr>
          <w:rFonts w:ascii="Times New Roman" w:hAnsi="Times New Roman"/>
          <w:shd w:val="clear" w:color="auto" w:fill="FEFFFE"/>
        </w:rPr>
        <w:t xml:space="preserve">of interpretation are given serious, but not decisive, weight. If the name of </w:t>
      </w:r>
      <w:r>
        <w:rPr>
          <w:rFonts w:ascii="Times New Roman" w:hAnsi="Times New Roman"/>
          <w:shd w:val="clear" w:color="auto" w:fill="FEFFFE"/>
        </w:rPr>
        <w:t>“</w:t>
      </w:r>
      <w:r>
        <w:rPr>
          <w:rFonts w:ascii="Times New Roman" w:hAnsi="Times New Roman"/>
          <w:shd w:val="clear" w:color="auto" w:fill="FEFFFE"/>
        </w:rPr>
        <w:t>originalism</w:t>
      </w:r>
      <w:r>
        <w:rPr>
          <w:rFonts w:ascii="Times New Roman" w:hAnsi="Times New Roman"/>
          <w:shd w:val="clear" w:color="auto" w:fill="FEFFFE"/>
        </w:rPr>
        <w:t xml:space="preserve">” </w:t>
      </w:r>
      <w:r>
        <w:rPr>
          <w:rFonts w:ascii="Times New Roman" w:hAnsi="Times New Roman"/>
          <w:shd w:val="clear" w:color="auto" w:fill="FEFFFE"/>
        </w:rPr>
        <w:t>is retained as merely an empty statement of sociological identity, but all the content is classical, our view will have prevailed.</w:t>
      </w:r>
    </w:p>
    <w:p w14:paraId="23EA1EB9" w14:textId="77777777" w:rsidR="00357B22" w:rsidRDefault="00357B22">
      <w:pPr>
        <w:pStyle w:val="Default"/>
        <w:spacing w:before="0" w:line="480" w:lineRule="auto"/>
        <w:jc w:val="both"/>
        <w:rPr>
          <w:rFonts w:ascii="Times New Roman" w:eastAsia="Times New Roman" w:hAnsi="Times New Roman" w:cs="Times New Roman"/>
          <w:i/>
          <w:iCs/>
          <w:color w:val="302205"/>
          <w:u w:color="302205"/>
        </w:rPr>
      </w:pPr>
    </w:p>
    <w:p w14:paraId="67A970E0" w14:textId="77777777" w:rsidR="00357B22" w:rsidRDefault="00062FEC">
      <w:pPr>
        <w:pStyle w:val="Default"/>
        <w:spacing w:before="0" w:line="480" w:lineRule="auto"/>
        <w:jc w:val="both"/>
        <w:rPr>
          <w:rFonts w:ascii="Times New Roman" w:eastAsia="Times New Roman" w:hAnsi="Times New Roman" w:cs="Times New Roman"/>
          <w:i/>
          <w:iCs/>
          <w:color w:val="302205"/>
          <w:u w:color="302205"/>
          <w:shd w:val="clear" w:color="auto" w:fill="FEFFFE"/>
        </w:rPr>
      </w:pPr>
      <w:r>
        <w:rPr>
          <w:rFonts w:ascii="Times New Roman" w:hAnsi="Times New Roman"/>
          <w:i/>
          <w:iCs/>
          <w:color w:val="302205"/>
          <w:u w:color="302205"/>
          <w:shd w:val="clear" w:color="auto" w:fill="FEFFFE"/>
        </w:rPr>
        <w:t xml:space="preserve">The constitutional oath poses, rather than resolves, the question how </w:t>
      </w:r>
      <w:r>
        <w:rPr>
          <w:rFonts w:ascii="Times New Roman" w:hAnsi="Times New Roman"/>
          <w:i/>
          <w:iCs/>
          <w:color w:val="302205"/>
          <w:u w:color="302205"/>
          <w:shd w:val="clear" w:color="auto" w:fill="FEFFFE"/>
          <w:rtl/>
          <w:lang w:val="ar-SA"/>
        </w:rPr>
        <w:t>“</w:t>
      </w:r>
      <w:r>
        <w:rPr>
          <w:rFonts w:ascii="Times New Roman" w:hAnsi="Times New Roman"/>
          <w:i/>
          <w:iCs/>
          <w:color w:val="302205"/>
          <w:u w:color="302205"/>
          <w:shd w:val="clear" w:color="auto" w:fill="FEFFFE"/>
        </w:rPr>
        <w:t>the Constitution and laws</w:t>
      </w:r>
      <w:r>
        <w:rPr>
          <w:rFonts w:ascii="Times New Roman" w:hAnsi="Times New Roman"/>
          <w:i/>
          <w:iCs/>
          <w:color w:val="302205"/>
          <w:u w:color="302205"/>
          <w:shd w:val="clear" w:color="auto" w:fill="FEFFFE"/>
        </w:rPr>
        <w:t xml:space="preserve">” </w:t>
      </w:r>
      <w:r>
        <w:rPr>
          <w:rFonts w:ascii="Times New Roman" w:hAnsi="Times New Roman"/>
          <w:i/>
          <w:iCs/>
          <w:color w:val="302205"/>
          <w:u w:color="302205"/>
          <w:shd w:val="clear" w:color="auto" w:fill="FEFFFE"/>
        </w:rPr>
        <w:t>should be interpreted.</w:t>
      </w:r>
    </w:p>
    <w:p w14:paraId="6A5C4120" w14:textId="77777777" w:rsidR="00357B22" w:rsidRDefault="00062FEC">
      <w:pPr>
        <w:pStyle w:val="BodyA"/>
        <w:spacing w:after="20" w:line="480" w:lineRule="auto"/>
        <w:ind w:firstLine="720"/>
        <w:jc w:val="both"/>
        <w:rPr>
          <w:rFonts w:ascii="Times New Roman" w:eastAsia="Times New Roman" w:hAnsi="Times New Roman" w:cs="Times New Roman"/>
        </w:rPr>
      </w:pPr>
      <w:r>
        <w:rPr>
          <w:rFonts w:ascii="Times New Roman" w:hAnsi="Times New Roman"/>
          <w:lang w:val="en-US"/>
        </w:rPr>
        <w:t>The argument for positivism and originalism from the constitutional oath is transparently circul</w:t>
      </w:r>
      <w:r>
        <w:rPr>
          <w:rFonts w:ascii="Times New Roman" w:hAnsi="Times New Roman"/>
          <w:lang w:val="en-US"/>
        </w:rPr>
        <w:t>ar, despite elaborate efforts to infuse it with methodological content.</w:t>
      </w:r>
      <w:bookmarkStart w:id="19" w:name="_Ref92035559"/>
      <w:r>
        <w:rPr>
          <w:rFonts w:ascii="Times New Roman" w:eastAsia="Times New Roman" w:hAnsi="Times New Roman" w:cs="Times New Roman"/>
          <w:vertAlign w:val="superscript"/>
          <w:lang w:val="en-US"/>
        </w:rPr>
        <w:footnoteReference w:id="76"/>
      </w:r>
      <w:bookmarkEnd w:id="19"/>
      <w:r>
        <w:rPr>
          <w:rFonts w:ascii="Times New Roman" w:hAnsi="Times New Roman"/>
          <w:lang w:val="en-US"/>
        </w:rPr>
        <w:t xml:space="preserve"> In itself, swearing to respect </w:t>
      </w:r>
      <w:r>
        <w:rPr>
          <w:rFonts w:ascii="Times New Roman" w:hAnsi="Times New Roman"/>
          <w:rtl/>
          <w:lang w:val="ar-SA"/>
        </w:rPr>
        <w:t>“</w:t>
      </w:r>
      <w:r>
        <w:rPr>
          <w:rFonts w:ascii="Times New Roman" w:hAnsi="Times New Roman"/>
          <w:lang w:val="en-US"/>
        </w:rPr>
        <w:t>the Constitution and laws,</w:t>
      </w:r>
      <w:r>
        <w:rPr>
          <w:rFonts w:ascii="Times New Roman" w:hAnsi="Times New Roman"/>
          <w:lang w:val="en-US"/>
        </w:rPr>
        <w:t xml:space="preserve">” </w:t>
      </w:r>
      <w:r>
        <w:rPr>
          <w:rFonts w:ascii="Times New Roman" w:hAnsi="Times New Roman"/>
          <w:lang w:val="en-US"/>
        </w:rPr>
        <w:t>or any similar vow, says nothing at all about how the Constitution should be interpreted.</w:t>
      </w:r>
      <w:r>
        <w:rPr>
          <w:rFonts w:ascii="Times New Roman" w:eastAsia="Times New Roman" w:hAnsi="Times New Roman" w:cs="Times New Roman"/>
          <w:vertAlign w:val="superscript"/>
          <w:lang w:val="en-US"/>
        </w:rPr>
        <w:footnoteReference w:id="77"/>
      </w:r>
      <w:r>
        <w:rPr>
          <w:rFonts w:ascii="Times New Roman" w:hAnsi="Times New Roman"/>
          <w:lang w:val="en-US"/>
        </w:rPr>
        <w:t xml:space="preserve"> Any such argument is always pa</w:t>
      </w:r>
      <w:r>
        <w:rPr>
          <w:rFonts w:ascii="Times New Roman" w:hAnsi="Times New Roman"/>
          <w:lang w:val="en-US"/>
        </w:rPr>
        <w:t>rasitic on independent assumptions. It is immaterial whether those assumptions are made explicit or, as is usually the case, left implicit and smuggled in. In either case, it remains true that the oath by itself is simply incapable of doing the work that o</w:t>
      </w:r>
      <w:r>
        <w:rPr>
          <w:rFonts w:ascii="Times New Roman" w:hAnsi="Times New Roman"/>
          <w:lang w:val="en-US"/>
        </w:rPr>
        <w:t>riginalist proponents hope to force it to do.</w:t>
      </w:r>
    </w:p>
    <w:p w14:paraId="66684259" w14:textId="77777777" w:rsidR="00357B22" w:rsidRDefault="00062FEC">
      <w:pPr>
        <w:pStyle w:val="Body"/>
        <w:spacing w:line="480" w:lineRule="auto"/>
        <w:jc w:val="both"/>
      </w:pPr>
      <w:r>
        <w:rPr>
          <w:lang w:val="en-US"/>
        </w:rPr>
        <w:tab/>
        <w:t xml:space="preserve">An amazing amount of ink has been spilled in attempts to avoid this obvious conclusion. A remarkable example is an effort by one John </w:t>
      </w:r>
      <w:proofErr w:type="spellStart"/>
      <w:r>
        <w:rPr>
          <w:lang w:val="en-US"/>
        </w:rPr>
        <w:t>Ehrett</w:t>
      </w:r>
      <w:proofErr w:type="spellEnd"/>
      <w:r>
        <w:rPr>
          <w:lang w:val="en-US"/>
        </w:rPr>
        <w:t>, who argues that</w:t>
      </w:r>
    </w:p>
    <w:p w14:paraId="48C6382F" w14:textId="77777777" w:rsidR="00357B22" w:rsidRDefault="00062FEC">
      <w:pPr>
        <w:pStyle w:val="Body"/>
        <w:ind w:left="720"/>
        <w:rPr>
          <w:shd w:val="clear" w:color="auto" w:fill="FFFFFF"/>
        </w:rPr>
      </w:pPr>
      <w:r>
        <w:rPr>
          <w:shd w:val="clear" w:color="auto" w:fill="FFFFFF"/>
          <w:lang w:val="en-US"/>
        </w:rPr>
        <w:t xml:space="preserve">[W]hen the political leader pledges to </w:t>
      </w:r>
      <w:r>
        <w:rPr>
          <w:shd w:val="clear" w:color="auto" w:fill="FFFFFF"/>
          <w:rtl/>
          <w:lang w:val="ar-SA"/>
        </w:rPr>
        <w:t>“</w:t>
      </w:r>
      <w:r>
        <w:rPr>
          <w:shd w:val="clear" w:color="auto" w:fill="FFFFFF"/>
          <w:lang w:val="en-US"/>
        </w:rPr>
        <w:t xml:space="preserve">support </w:t>
      </w:r>
      <w:r>
        <w:rPr>
          <w:shd w:val="clear" w:color="auto" w:fill="FFFFFF"/>
          <w:lang w:val="en-US"/>
        </w:rPr>
        <w:t>and defend the Constitution of the United States</w:t>
      </w:r>
      <w:r>
        <w:rPr>
          <w:shd w:val="clear" w:color="auto" w:fill="FFFFFF"/>
        </w:rPr>
        <w:t xml:space="preserve">” </w:t>
      </w:r>
      <w:r>
        <w:rPr>
          <w:shd w:val="clear" w:color="auto" w:fill="FFFFFF"/>
          <w:lang w:val="en-US"/>
        </w:rPr>
        <w:t xml:space="preserve">the most natural (and historical) understanding of that commitment is that </w:t>
      </w:r>
      <w:r>
        <w:rPr>
          <w:shd w:val="clear" w:color="auto" w:fill="FFFFFF"/>
          <w:rtl/>
          <w:lang w:val="ar-SA"/>
        </w:rPr>
        <w:t>“</w:t>
      </w:r>
      <w:r>
        <w:rPr>
          <w:shd w:val="clear" w:color="auto" w:fill="FFFFFF"/>
          <w:lang w:val="en-US"/>
        </w:rPr>
        <w:t xml:space="preserve">support and </w:t>
      </w:r>
      <w:r>
        <w:rPr>
          <w:shd w:val="clear" w:color="auto" w:fill="FFFFFF"/>
          <w:rtl/>
          <w:lang w:val="ar-SA"/>
        </w:rPr>
        <w:t>“</w:t>
      </w:r>
      <w:proofErr w:type="spellStart"/>
      <w:r>
        <w:rPr>
          <w:shd w:val="clear" w:color="auto" w:fill="FFFFFF"/>
          <w:lang w:val="pt-PT"/>
        </w:rPr>
        <w:t>defen</w:t>
      </w:r>
      <w:proofErr w:type="spellEnd"/>
      <w:r>
        <w:rPr>
          <w:shd w:val="clear" w:color="auto" w:fill="FFFFFF"/>
          <w:lang w:val="pt-PT"/>
        </w:rPr>
        <w:t>[se]</w:t>
      </w:r>
      <w:r>
        <w:rPr>
          <w:shd w:val="clear" w:color="auto" w:fill="FFFFFF"/>
        </w:rPr>
        <w:t xml:space="preserve">” </w:t>
      </w:r>
      <w:r>
        <w:rPr>
          <w:shd w:val="clear" w:color="auto" w:fill="FFFFFF"/>
          <w:lang w:val="en-US"/>
        </w:rPr>
        <w:t>entails allegiance to the original public meaning of the Constitution. Put more straightforwardly: a judge</w:t>
      </w:r>
      <w:r>
        <w:rPr>
          <w:shd w:val="clear" w:color="auto" w:fill="FFFFFF"/>
          <w:lang w:val="en-US"/>
        </w:rPr>
        <w:t xml:space="preserve"> embracing the stable textual </w:t>
      </w:r>
      <w:r>
        <w:rPr>
          <w:shd w:val="clear" w:color="auto" w:fill="FFFFFF"/>
          <w:lang w:val="en-US"/>
        </w:rPr>
        <w:lastRenderedPageBreak/>
        <w:t>meaning principle, when she takes the oath of office,</w:t>
      </w:r>
      <w:r>
        <w:rPr>
          <w:shd w:val="clear" w:color="auto" w:fill="FFFFFF"/>
        </w:rPr>
        <w:t> </w:t>
      </w:r>
      <w:r>
        <w:rPr>
          <w:i/>
          <w:iCs/>
          <w:lang w:val="en-US"/>
        </w:rPr>
        <w:t>vows before God</w:t>
      </w:r>
      <w:r>
        <w:rPr>
          <w:i/>
          <w:iCs/>
        </w:rPr>
        <w:t> </w:t>
      </w:r>
      <w:r>
        <w:rPr>
          <w:shd w:val="clear" w:color="auto" w:fill="FFFFFF"/>
          <w:lang w:val="en-US"/>
        </w:rPr>
        <w:t>that she will uphold the Constitution</w:t>
      </w:r>
      <w:r>
        <w:rPr>
          <w:shd w:val="clear" w:color="auto" w:fill="FFFFFF"/>
          <w:rtl/>
        </w:rPr>
        <w:t>’</w:t>
      </w:r>
      <w:r>
        <w:rPr>
          <w:shd w:val="clear" w:color="auto" w:fill="FFFFFF"/>
          <w:lang w:val="en-US"/>
        </w:rPr>
        <w:t>s original public meaning.</w:t>
      </w:r>
      <w:r>
        <w:rPr>
          <w:shd w:val="clear" w:color="auto" w:fill="FFFFFF"/>
          <w:vertAlign w:val="superscript"/>
        </w:rPr>
        <w:footnoteReference w:id="78"/>
      </w:r>
    </w:p>
    <w:p w14:paraId="26D17EFA" w14:textId="77777777" w:rsidR="00357B22" w:rsidRDefault="00357B22">
      <w:pPr>
        <w:pStyle w:val="Body"/>
        <w:ind w:left="720"/>
      </w:pPr>
    </w:p>
    <w:p w14:paraId="4E010460"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hAnsi="Times New Roman"/>
          <w:lang w:val="en-US"/>
        </w:rPr>
        <w:t xml:space="preserve">This comes close to suggesting that it is both a sin and treason not to adopt an originalist mode of interpretation </w:t>
      </w:r>
      <w:r>
        <w:rPr>
          <w:rFonts w:ascii="Times New Roman" w:hAnsi="Times New Roman"/>
          <w:lang w:val="en-US"/>
        </w:rPr>
        <w:t xml:space="preserve">— </w:t>
      </w:r>
      <w:r>
        <w:rPr>
          <w:rFonts w:ascii="Times New Roman" w:hAnsi="Times New Roman"/>
          <w:lang w:val="en-US"/>
        </w:rPr>
        <w:t>a fascinating stance, if only at the level of rhetoric and legal sociology. As a matter of interpretive theory and legal history, however,</w:t>
      </w:r>
      <w:r>
        <w:rPr>
          <w:rFonts w:ascii="Times New Roman" w:hAnsi="Times New Roman"/>
          <w:lang w:val="en-US"/>
        </w:rPr>
        <w:t xml:space="preserve"> </w:t>
      </w:r>
      <w:proofErr w:type="spellStart"/>
      <w:r>
        <w:rPr>
          <w:rFonts w:ascii="Times New Roman" w:hAnsi="Times New Roman"/>
          <w:lang w:val="en-US"/>
        </w:rPr>
        <w:t>Ehrett</w:t>
      </w:r>
      <w:r>
        <w:rPr>
          <w:rFonts w:ascii="Times New Roman" w:hAnsi="Times New Roman"/>
          <w:lang w:val="en-US"/>
        </w:rPr>
        <w:t>’</w:t>
      </w:r>
      <w:r>
        <w:rPr>
          <w:rFonts w:ascii="Times New Roman" w:hAnsi="Times New Roman"/>
          <w:lang w:val="en-US"/>
        </w:rPr>
        <w:t>s</w:t>
      </w:r>
      <w:proofErr w:type="spellEnd"/>
      <w:r>
        <w:rPr>
          <w:rFonts w:ascii="Times New Roman" w:hAnsi="Times New Roman"/>
          <w:lang w:val="en-US"/>
        </w:rPr>
        <w:t xml:space="preserve"> view that attempts to ground originalism in a </w:t>
      </w:r>
      <w:r>
        <w:rPr>
          <w:rFonts w:ascii="Times New Roman" w:hAnsi="Times New Roman"/>
          <w:lang w:val="en-US"/>
        </w:rPr>
        <w:t>“</w:t>
      </w:r>
      <w:r>
        <w:rPr>
          <w:rFonts w:ascii="Times New Roman" w:hAnsi="Times New Roman"/>
          <w:lang w:val="en-US"/>
        </w:rPr>
        <w:t>stable textual meaning</w:t>
      </w:r>
      <w:r>
        <w:rPr>
          <w:rFonts w:ascii="Times New Roman" w:hAnsi="Times New Roman"/>
          <w:lang w:val="en-US"/>
        </w:rPr>
        <w:t xml:space="preserve">” </w:t>
      </w:r>
      <w:r>
        <w:rPr>
          <w:rFonts w:ascii="Times New Roman" w:hAnsi="Times New Roman"/>
          <w:lang w:val="en-US"/>
        </w:rPr>
        <w:t>principle is silly, for two reasons (in addition to the reasons given above).</w:t>
      </w:r>
    </w:p>
    <w:p w14:paraId="1811C2A0" w14:textId="4840DA82"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 xml:space="preserve">First, </w:t>
      </w:r>
      <w:proofErr w:type="gramStart"/>
      <w:r>
        <w:rPr>
          <w:rFonts w:ascii="Times New Roman" w:hAnsi="Times New Roman"/>
          <w:lang w:val="en-US"/>
        </w:rPr>
        <w:t>the vast majority of</w:t>
      </w:r>
      <w:proofErr w:type="gramEnd"/>
      <w:r>
        <w:rPr>
          <w:rFonts w:ascii="Times New Roman" w:hAnsi="Times New Roman"/>
          <w:lang w:val="en-US"/>
        </w:rPr>
        <w:t xml:space="preserve"> the word</w:t>
      </w:r>
      <w:r>
        <w:rPr>
          <w:rFonts w:ascii="Times New Roman" w:hAnsi="Times New Roman"/>
          <w:lang w:val="en-US"/>
        </w:rPr>
        <w:t>’</w:t>
      </w:r>
      <w:r>
        <w:rPr>
          <w:rFonts w:ascii="Times New Roman" w:hAnsi="Times New Roman"/>
          <w:lang w:val="en-US"/>
        </w:rPr>
        <w:t>s legal systems are not originalist,</w:t>
      </w:r>
      <w:r>
        <w:rPr>
          <w:rFonts w:ascii="Times New Roman" w:eastAsia="Times New Roman" w:hAnsi="Times New Roman" w:cs="Times New Roman"/>
          <w:vertAlign w:val="superscript"/>
          <w:lang w:val="en-US"/>
        </w:rPr>
        <w:footnoteReference w:id="79"/>
      </w:r>
      <w:r>
        <w:rPr>
          <w:rFonts w:ascii="Times New Roman" w:hAnsi="Times New Roman"/>
          <w:lang w:val="en-US"/>
        </w:rPr>
        <w:t xml:space="preserve"> and our own legal sys</w:t>
      </w:r>
      <w:r>
        <w:rPr>
          <w:rFonts w:ascii="Times New Roman" w:hAnsi="Times New Roman"/>
          <w:lang w:val="en-US"/>
        </w:rPr>
        <w:t>tem was not originalist, at least in anything like the modern sense, for much</w:t>
      </w:r>
      <w:r>
        <w:rPr>
          <w:rFonts w:ascii="Times New Roman" w:hAnsi="Times New Roman"/>
          <w:lang w:val="en-US"/>
        </w:rPr>
        <w:t xml:space="preserve"> of</w:t>
      </w:r>
      <w:r>
        <w:rPr>
          <w:rFonts w:ascii="Times New Roman" w:hAnsi="Times New Roman"/>
          <w:lang w:val="en-US"/>
        </w:rPr>
        <w:t xml:space="preserve"> the greater part of its history. Neither has had any real difficulty maintaining </w:t>
      </w:r>
      <w:r>
        <w:rPr>
          <w:rFonts w:ascii="Times New Roman" w:hAnsi="Times New Roman"/>
          <w:lang w:val="en-US"/>
        </w:rPr>
        <w:t>“</w:t>
      </w:r>
      <w:r>
        <w:rPr>
          <w:rFonts w:ascii="Times New Roman" w:hAnsi="Times New Roman"/>
          <w:lang w:val="en-US"/>
        </w:rPr>
        <w:t>stable meanings</w:t>
      </w:r>
      <w:r>
        <w:rPr>
          <w:rFonts w:ascii="Times New Roman" w:hAnsi="Times New Roman"/>
          <w:lang w:val="en-US"/>
        </w:rPr>
        <w:t xml:space="preserve">” </w:t>
      </w:r>
      <w:r>
        <w:rPr>
          <w:rFonts w:ascii="Times New Roman" w:hAnsi="Times New Roman"/>
          <w:lang w:val="en-US"/>
        </w:rPr>
        <w:t>for legal texts over time; the constitutional oath argument is both spati</w:t>
      </w:r>
      <w:r>
        <w:rPr>
          <w:rFonts w:ascii="Times New Roman" w:hAnsi="Times New Roman"/>
          <w:lang w:val="en-US"/>
        </w:rPr>
        <w:t xml:space="preserve">ally and temporally parochial in the extreme. In </w:t>
      </w:r>
      <w:proofErr w:type="gramStart"/>
      <w:r>
        <w:rPr>
          <w:rFonts w:ascii="Times New Roman" w:hAnsi="Times New Roman"/>
          <w:lang w:val="en-US"/>
        </w:rPr>
        <w:t>the vast majority of</w:t>
      </w:r>
      <w:proofErr w:type="gramEnd"/>
      <w:r>
        <w:rPr>
          <w:rFonts w:ascii="Times New Roman" w:hAnsi="Times New Roman"/>
          <w:lang w:val="en-US"/>
        </w:rPr>
        <w:t xml:space="preserve"> cases, there is no divergence between supposedly fixed </w:t>
      </w:r>
      <w:r>
        <w:rPr>
          <w:rFonts w:ascii="Times New Roman" w:hAnsi="Times New Roman"/>
          <w:lang w:val="en-US"/>
        </w:rPr>
        <w:t>“</w:t>
      </w:r>
      <w:r>
        <w:rPr>
          <w:rFonts w:ascii="Times New Roman" w:hAnsi="Times New Roman"/>
          <w:lang w:val="en-US"/>
        </w:rPr>
        <w:t>original meaning</w:t>
      </w:r>
      <w:r>
        <w:rPr>
          <w:rFonts w:ascii="Times New Roman" w:hAnsi="Times New Roman"/>
          <w:lang w:val="en-US"/>
        </w:rPr>
        <w:t xml:space="preserve">” </w:t>
      </w:r>
      <w:r>
        <w:rPr>
          <w:rFonts w:ascii="Times New Roman" w:hAnsi="Times New Roman"/>
          <w:lang w:val="en-US"/>
        </w:rPr>
        <w:t xml:space="preserve">and the meaning at the time of application. Most cases are, in this sense, </w:t>
      </w:r>
      <w:r>
        <w:rPr>
          <w:rFonts w:ascii="Times New Roman" w:hAnsi="Times New Roman"/>
          <w:lang w:val="en-US"/>
        </w:rPr>
        <w:t>easy cases.</w:t>
      </w:r>
      <w:r>
        <w:rPr>
          <w:rFonts w:ascii="Times New Roman" w:hAnsi="Times New Roman"/>
          <w:lang w:val="en-US"/>
        </w:rPr>
        <w:t xml:space="preserve"> Second, originalism its</w:t>
      </w:r>
      <w:r>
        <w:rPr>
          <w:rFonts w:ascii="Times New Roman" w:hAnsi="Times New Roman"/>
          <w:lang w:val="en-US"/>
        </w:rPr>
        <w:t>elf fails utterly in protecting the stability of meaning, because it cannot, by itself, answer the question at what level of generality meaning should be read.</w:t>
      </w:r>
      <w:r>
        <w:rPr>
          <w:rFonts w:ascii="Times New Roman" w:eastAsia="Times New Roman" w:hAnsi="Times New Roman" w:cs="Times New Roman"/>
          <w:vertAlign w:val="superscript"/>
          <w:lang w:val="en-US"/>
        </w:rPr>
        <w:footnoteReference w:id="80"/>
      </w:r>
      <w:r>
        <w:rPr>
          <w:rFonts w:ascii="Times New Roman" w:hAnsi="Times New Roman"/>
          <w:lang w:val="en-US"/>
        </w:rPr>
        <w:t xml:space="preserve"> When progressive originalists like Professor Jack Balkin read constitutional texts at a suffic</w:t>
      </w:r>
      <w:r>
        <w:rPr>
          <w:rFonts w:ascii="Times New Roman" w:hAnsi="Times New Roman"/>
          <w:lang w:val="en-US"/>
        </w:rPr>
        <w:t>iently high level of generality to encompass abortion,</w:t>
      </w:r>
      <w:r>
        <w:rPr>
          <w:rFonts w:ascii="Times New Roman" w:eastAsia="Times New Roman" w:hAnsi="Times New Roman" w:cs="Times New Roman"/>
          <w:vertAlign w:val="superscript"/>
          <w:lang w:val="en-US"/>
        </w:rPr>
        <w:footnoteReference w:id="81"/>
      </w:r>
      <w:r>
        <w:rPr>
          <w:rFonts w:ascii="Times New Roman" w:hAnsi="Times New Roman"/>
          <w:lang w:val="en-US"/>
        </w:rPr>
        <w:t xml:space="preserve"> and when libertarian originalists like Professor Steven Calabresi read constitutional texts at a sufficiently high level of generality to encompass same-sex marriage,</w:t>
      </w:r>
      <w:r>
        <w:rPr>
          <w:rFonts w:ascii="Times New Roman" w:eastAsia="Times New Roman" w:hAnsi="Times New Roman" w:cs="Times New Roman"/>
          <w:vertAlign w:val="superscript"/>
          <w:lang w:val="en-US"/>
        </w:rPr>
        <w:footnoteReference w:id="82"/>
      </w:r>
      <w:r>
        <w:rPr>
          <w:rFonts w:ascii="Times New Roman" w:hAnsi="Times New Roman"/>
          <w:lang w:val="en-US"/>
        </w:rPr>
        <w:t xml:space="preserve"> it should be clear that the</w:t>
      </w:r>
      <w:r>
        <w:rPr>
          <w:rFonts w:ascii="Times New Roman" w:hAnsi="Times New Roman"/>
          <w:lang w:val="en-US"/>
        </w:rPr>
        <w:t xml:space="preserve"> stabilizing effect of originalism is illusory.</w:t>
      </w:r>
      <w:r>
        <w:rPr>
          <w:rFonts w:ascii="Times New Roman" w:eastAsia="Times New Roman" w:hAnsi="Times New Roman" w:cs="Times New Roman"/>
          <w:vertAlign w:val="superscript"/>
          <w:lang w:val="en-US"/>
        </w:rPr>
        <w:footnoteReference w:id="83"/>
      </w:r>
      <w:r>
        <w:rPr>
          <w:rFonts w:ascii="Times New Roman" w:hAnsi="Times New Roman"/>
          <w:lang w:val="en-US"/>
        </w:rPr>
        <w:t xml:space="preserve"> Importantly, neither Professor Balkin nor Professor Calabresi argues for a </w:t>
      </w:r>
      <w:r>
        <w:rPr>
          <w:rFonts w:ascii="Times New Roman" w:hAnsi="Times New Roman"/>
          <w:lang w:val="en-US"/>
        </w:rPr>
        <w:t>“</w:t>
      </w:r>
      <w:r>
        <w:rPr>
          <w:rFonts w:ascii="Times New Roman" w:hAnsi="Times New Roman"/>
          <w:lang w:val="en-US"/>
        </w:rPr>
        <w:t>change in meaning.</w:t>
      </w:r>
      <w:r>
        <w:rPr>
          <w:rFonts w:ascii="Times New Roman" w:hAnsi="Times New Roman"/>
          <w:lang w:val="en-US"/>
        </w:rPr>
        <w:t xml:space="preserve">” </w:t>
      </w:r>
      <w:r>
        <w:rPr>
          <w:rFonts w:ascii="Times New Roman" w:hAnsi="Times New Roman"/>
          <w:lang w:val="en-US"/>
        </w:rPr>
        <w:t xml:space="preserve">Rather they are offering arguments about what the original meaning </w:t>
      </w:r>
      <w:r>
        <w:rPr>
          <w:rFonts w:ascii="Times New Roman" w:hAnsi="Times New Roman"/>
          <w:lang w:val="en-US"/>
        </w:rPr>
        <w:lastRenderedPageBreak/>
        <w:t>has always been; they argue that the mea</w:t>
      </w:r>
      <w:r>
        <w:rPr>
          <w:rFonts w:ascii="Times New Roman" w:hAnsi="Times New Roman"/>
          <w:lang w:val="en-US"/>
        </w:rPr>
        <w:t xml:space="preserve">ning has always embodied principles cast at such a high level of abstraction that they encompass any moral novelties the legal professoriate can dream up today. But perhaps </w:t>
      </w:r>
      <w:proofErr w:type="spellStart"/>
      <w:r>
        <w:rPr>
          <w:rFonts w:ascii="Times New Roman" w:hAnsi="Times New Roman"/>
          <w:lang w:val="en-US"/>
        </w:rPr>
        <w:t>Ehrett</w:t>
      </w:r>
      <w:proofErr w:type="spellEnd"/>
      <w:r>
        <w:rPr>
          <w:rFonts w:ascii="Times New Roman" w:hAnsi="Times New Roman"/>
          <w:lang w:val="en-US"/>
        </w:rPr>
        <w:t xml:space="preserve"> means to exclude the most-cited originalist scholar (Balkin)</w:t>
      </w:r>
      <w:r>
        <w:rPr>
          <w:rFonts w:ascii="Times New Roman" w:eastAsia="Times New Roman" w:hAnsi="Times New Roman" w:cs="Times New Roman"/>
          <w:vertAlign w:val="superscript"/>
          <w:lang w:val="en-US"/>
        </w:rPr>
        <w:footnoteReference w:id="84"/>
      </w:r>
      <w:r>
        <w:rPr>
          <w:rFonts w:ascii="Times New Roman" w:hAnsi="Times New Roman"/>
          <w:lang w:val="en-US"/>
        </w:rPr>
        <w:t xml:space="preserve"> and a foundin</w:t>
      </w:r>
      <w:r>
        <w:rPr>
          <w:rFonts w:ascii="Times New Roman" w:hAnsi="Times New Roman"/>
          <w:lang w:val="en-US"/>
        </w:rPr>
        <w:t>g member of the Federalist Society (Calabresi)</w:t>
      </w:r>
      <w:r>
        <w:rPr>
          <w:rFonts w:ascii="Times New Roman" w:eastAsia="Times New Roman" w:hAnsi="Times New Roman" w:cs="Times New Roman"/>
          <w:vertAlign w:val="superscript"/>
          <w:lang w:val="en-US"/>
        </w:rPr>
        <w:footnoteReference w:id="85"/>
      </w:r>
      <w:r>
        <w:rPr>
          <w:rFonts w:ascii="Times New Roman" w:hAnsi="Times New Roman"/>
          <w:lang w:val="en-US"/>
        </w:rPr>
        <w:t xml:space="preserve"> from his account of originalism, in which case his argument is also eccentric.</w:t>
      </w:r>
    </w:p>
    <w:p w14:paraId="24A9FE24"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Indeed, and more broadly, the constitutional oath argument for originalism is self-refuting, for the same reason originalism ge</w:t>
      </w:r>
      <w:r>
        <w:rPr>
          <w:rFonts w:ascii="Times New Roman" w:eastAsia="Times New Roman" w:hAnsi="Times New Roman" w:cs="Times New Roman"/>
          <w:lang w:val="en-US"/>
        </w:rPr>
        <w:t xml:space="preserve">nerally is self-refuting: as has been made indisputably clear by recent scholarship, the </w:t>
      </w:r>
      <w:proofErr w:type="gramStart"/>
      <w:r>
        <w:rPr>
          <w:rFonts w:ascii="Times New Roman" w:eastAsia="Times New Roman" w:hAnsi="Times New Roman" w:cs="Times New Roman"/>
          <w:lang w:val="en-US"/>
        </w:rPr>
        <w:t>lawyers</w:t>
      </w:r>
      <w:proofErr w:type="gramEnd"/>
      <w:r>
        <w:rPr>
          <w:rFonts w:ascii="Times New Roman" w:eastAsia="Times New Roman" w:hAnsi="Times New Roman" w:cs="Times New Roman"/>
          <w:lang w:val="en-US"/>
        </w:rPr>
        <w:t xml:space="preserve"> and politicians of the founding generation, and for a long time afterwards, were themselves </w:t>
      </w:r>
      <w:r>
        <w:rPr>
          <w:rFonts w:ascii="Times New Roman" w:hAnsi="Times New Roman"/>
          <w:i/>
          <w:iCs/>
          <w:lang w:val="en-US"/>
        </w:rPr>
        <w:t>not</w:t>
      </w:r>
      <w:r>
        <w:rPr>
          <w:rFonts w:ascii="Times New Roman" w:hAnsi="Times New Roman"/>
          <w:lang w:val="en-US"/>
        </w:rPr>
        <w:t xml:space="preserve"> originalists.</w:t>
      </w:r>
      <w:r>
        <w:rPr>
          <w:rFonts w:ascii="Times New Roman" w:eastAsia="Times New Roman" w:hAnsi="Times New Roman" w:cs="Times New Roman"/>
          <w:vertAlign w:val="superscript"/>
          <w:lang w:val="en-US"/>
        </w:rPr>
        <w:footnoteReference w:id="86"/>
      </w:r>
      <w:r>
        <w:rPr>
          <w:rFonts w:ascii="Times New Roman" w:hAnsi="Times New Roman"/>
          <w:lang w:val="en-US"/>
        </w:rPr>
        <w:t xml:space="preserve"> Whether or not the framers and ratifiers had any legal training, their fundamental legal assumptions were those of the classical law. They believed that the law (</w:t>
      </w:r>
      <w:proofErr w:type="spellStart"/>
      <w:r>
        <w:rPr>
          <w:rFonts w:ascii="Times New Roman" w:hAnsi="Times New Roman"/>
          <w:i/>
          <w:iCs/>
          <w:lang w:val="en-US"/>
        </w:rPr>
        <w:t>ius</w:t>
      </w:r>
      <w:proofErr w:type="spellEnd"/>
      <w:r>
        <w:rPr>
          <w:rFonts w:ascii="Times New Roman" w:hAnsi="Times New Roman"/>
          <w:lang w:val="en-US"/>
        </w:rPr>
        <w:t xml:space="preserve">) had objective, discernible content beyond, or above, that specified </w:t>
      </w:r>
      <w:proofErr w:type="gramStart"/>
      <w:r>
        <w:rPr>
          <w:rFonts w:ascii="Times New Roman" w:hAnsi="Times New Roman"/>
          <w:lang w:val="en-US"/>
        </w:rPr>
        <w:t>in particular positi</w:t>
      </w:r>
      <w:r>
        <w:rPr>
          <w:rFonts w:ascii="Times New Roman" w:hAnsi="Times New Roman"/>
          <w:lang w:val="en-US"/>
        </w:rPr>
        <w:t>ve</w:t>
      </w:r>
      <w:proofErr w:type="gramEnd"/>
      <w:r>
        <w:rPr>
          <w:rFonts w:ascii="Times New Roman" w:hAnsi="Times New Roman"/>
          <w:lang w:val="en-US"/>
        </w:rPr>
        <w:t xml:space="preserve"> texts (</w:t>
      </w:r>
      <w:r>
        <w:rPr>
          <w:rFonts w:ascii="Times New Roman" w:hAnsi="Times New Roman"/>
          <w:i/>
          <w:iCs/>
          <w:lang w:val="en-US"/>
        </w:rPr>
        <w:t>lex</w:t>
      </w:r>
      <w:r>
        <w:rPr>
          <w:rFonts w:ascii="Times New Roman" w:hAnsi="Times New Roman"/>
          <w:lang w:val="en-US"/>
        </w:rPr>
        <w:t xml:space="preserve">). They did not share the modern positivist assumption that the </w:t>
      </w:r>
      <w:proofErr w:type="spellStart"/>
      <w:r>
        <w:rPr>
          <w:rFonts w:ascii="Times New Roman" w:hAnsi="Times New Roman"/>
          <w:i/>
          <w:iCs/>
          <w:lang w:val="en-US"/>
        </w:rPr>
        <w:t>ius</w:t>
      </w:r>
      <w:proofErr w:type="spellEnd"/>
      <w:r>
        <w:rPr>
          <w:rFonts w:ascii="Times New Roman" w:hAnsi="Times New Roman"/>
          <w:i/>
          <w:iCs/>
          <w:lang w:val="en-US"/>
        </w:rPr>
        <w:t xml:space="preserve"> </w:t>
      </w:r>
      <w:proofErr w:type="spellStart"/>
      <w:r>
        <w:rPr>
          <w:rFonts w:ascii="Times New Roman" w:hAnsi="Times New Roman"/>
          <w:i/>
          <w:iCs/>
          <w:lang w:val="en-US"/>
        </w:rPr>
        <w:t>naturale</w:t>
      </w:r>
      <w:proofErr w:type="spellEnd"/>
      <w:r>
        <w:rPr>
          <w:rFonts w:ascii="Times New Roman" w:hAnsi="Times New Roman"/>
          <w:lang w:val="en-US"/>
        </w:rPr>
        <w:t xml:space="preserve"> is </w:t>
      </w:r>
      <w:r>
        <w:rPr>
          <w:rFonts w:ascii="Times New Roman" w:hAnsi="Times New Roman"/>
          <w:lang w:val="en-US"/>
        </w:rPr>
        <w:t>“</w:t>
      </w:r>
      <w:r>
        <w:rPr>
          <w:rFonts w:ascii="Times New Roman" w:hAnsi="Times New Roman"/>
          <w:lang w:val="en-US"/>
        </w:rPr>
        <w:t>nothing more than subjective preferences</w:t>
      </w:r>
      <w:r>
        <w:rPr>
          <w:rFonts w:ascii="Times New Roman" w:hAnsi="Times New Roman"/>
          <w:lang w:val="en-US"/>
        </w:rPr>
        <w:t xml:space="preserve">” </w:t>
      </w:r>
      <w:r>
        <w:rPr>
          <w:rFonts w:ascii="Times New Roman" w:hAnsi="Times New Roman"/>
          <w:lang w:val="en-US"/>
        </w:rPr>
        <w:t>or is somehow riven by fatal and intractable disagreements.</w:t>
      </w:r>
      <w:r>
        <w:rPr>
          <w:rFonts w:ascii="Times New Roman" w:eastAsia="Times New Roman" w:hAnsi="Times New Roman" w:cs="Times New Roman"/>
          <w:vertAlign w:val="superscript"/>
          <w:lang w:val="en-US"/>
        </w:rPr>
        <w:footnoteReference w:id="87"/>
      </w:r>
    </w:p>
    <w:p w14:paraId="59D51992"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It is no answer to this that the Reconstruction Amendm</w:t>
      </w:r>
      <w:r>
        <w:rPr>
          <w:rFonts w:ascii="Times New Roman" w:eastAsia="Times New Roman" w:hAnsi="Times New Roman" w:cs="Times New Roman"/>
          <w:lang w:val="en-US"/>
        </w:rPr>
        <w:t>ents were enacted later. Even if the framers and ratifiers of those amendments were not classical lawyers, the point would remain untouched for large and critical stretches of the written Constitution, involving its central structural and institutional pro</w:t>
      </w:r>
      <w:r>
        <w:rPr>
          <w:rFonts w:ascii="Times New Roman" w:eastAsia="Times New Roman" w:hAnsi="Times New Roman" w:cs="Times New Roman"/>
          <w:lang w:val="en-US"/>
        </w:rPr>
        <w:t xml:space="preserve">visions and the Bill of Rights (at least as applied to the </w:t>
      </w:r>
      <w:r>
        <w:rPr>
          <w:rFonts w:ascii="Times New Roman" w:eastAsia="Times New Roman" w:hAnsi="Times New Roman" w:cs="Times New Roman"/>
          <w:lang w:val="en-US"/>
        </w:rPr>
        <w:lastRenderedPageBreak/>
        <w:t>federal government). In any event, the point is wrong; the classical legal world did not begin to break down until well after the Civil War, with the flowering of legal positivism.</w:t>
      </w:r>
      <w:r>
        <w:rPr>
          <w:rFonts w:ascii="Times New Roman" w:eastAsia="Times New Roman" w:hAnsi="Times New Roman" w:cs="Times New Roman"/>
          <w:vertAlign w:val="superscript"/>
          <w:lang w:val="en-US"/>
        </w:rPr>
        <w:footnoteReference w:id="88"/>
      </w:r>
    </w:p>
    <w:p w14:paraId="2591A9D8" w14:textId="04D082C6" w:rsidR="00357B22" w:rsidRDefault="00062FEC">
      <w:pPr>
        <w:pStyle w:val="p1"/>
        <w:spacing w:line="480" w:lineRule="auto"/>
        <w:ind w:firstLine="720"/>
        <w:rPr>
          <w:sz w:val="24"/>
          <w:szCs w:val="24"/>
        </w:rPr>
      </w:pPr>
      <w:r>
        <w:rPr>
          <w:sz w:val="24"/>
          <w:szCs w:val="24"/>
        </w:rPr>
        <w:t>As for origina</w:t>
      </w:r>
      <w:r>
        <w:rPr>
          <w:sz w:val="24"/>
          <w:szCs w:val="24"/>
        </w:rPr>
        <w:t xml:space="preserve">lism, in its theoretically elaborated form it is a creation of the post-WWII era, and indeed </w:t>
      </w:r>
      <w:r>
        <w:rPr>
          <w:sz w:val="24"/>
          <w:szCs w:val="24"/>
        </w:rPr>
        <w:t xml:space="preserve">did </w:t>
      </w:r>
      <w:r>
        <w:rPr>
          <w:sz w:val="24"/>
          <w:szCs w:val="24"/>
        </w:rPr>
        <w:t>not fully flower as a theory until the 1970s and after. In one account, its genesis lies in the desire of political actors for a constitutional tool to</w:t>
      </w:r>
      <w:r>
        <w:rPr>
          <w:sz w:val="24"/>
          <w:szCs w:val="24"/>
        </w:rPr>
        <w:t xml:space="preserve"> fight desegregation.</w:t>
      </w:r>
      <w:bookmarkStart w:id="20" w:name="_Ref92043992"/>
      <w:r>
        <w:rPr>
          <w:sz w:val="24"/>
          <w:szCs w:val="24"/>
          <w:vertAlign w:val="superscript"/>
        </w:rPr>
        <w:footnoteReference w:id="89"/>
      </w:r>
      <w:bookmarkEnd w:id="20"/>
      <w:r>
        <w:rPr>
          <w:sz w:val="24"/>
          <w:szCs w:val="24"/>
        </w:rPr>
        <w:t xml:space="preserve"> In a somewhat different but compatible account, it was theoretically elaborated by jurists like Robert Bork</w:t>
      </w:r>
      <w:r>
        <w:rPr>
          <w:sz w:val="24"/>
          <w:szCs w:val="24"/>
          <w:vertAlign w:val="superscript"/>
        </w:rPr>
        <w:footnoteReference w:id="90"/>
      </w:r>
      <w:r>
        <w:rPr>
          <w:sz w:val="24"/>
          <w:szCs w:val="24"/>
        </w:rPr>
        <w:t xml:space="preserve"> in the 1970s who needed a tool to appeal over the heads of the Warren Court.</w:t>
      </w:r>
      <w:r>
        <w:rPr>
          <w:sz w:val="24"/>
          <w:szCs w:val="24"/>
          <w:vertAlign w:val="superscript"/>
        </w:rPr>
        <w:footnoteReference w:id="91"/>
      </w:r>
      <w:r>
        <w:rPr>
          <w:sz w:val="24"/>
          <w:szCs w:val="24"/>
        </w:rPr>
        <w:t xml:space="preserve"> On either view,</w:t>
      </w:r>
      <w:r>
        <w:rPr>
          <w:sz w:val="24"/>
          <w:szCs w:val="24"/>
        </w:rPr>
        <w:t xml:space="preserve"> the claim of originalism to represent the original approach to interpretation, as it were, is bogus; originalism has instead invented a tradition</w:t>
      </w:r>
      <w:r>
        <w:rPr>
          <w:sz w:val="24"/>
          <w:szCs w:val="24"/>
          <w:vertAlign w:val="superscript"/>
        </w:rPr>
        <w:footnoteReference w:id="92"/>
      </w:r>
      <w:r>
        <w:rPr>
          <w:sz w:val="24"/>
          <w:szCs w:val="24"/>
        </w:rPr>
        <w:t xml:space="preserve"> projecting itself back onto the past.</w:t>
      </w:r>
    </w:p>
    <w:p w14:paraId="6705A6AA" w14:textId="77777777" w:rsidR="00357B22" w:rsidRDefault="00062FEC">
      <w:pPr>
        <w:pStyle w:val="p1"/>
        <w:spacing w:line="480" w:lineRule="auto"/>
        <w:ind w:firstLine="720"/>
        <w:rPr>
          <w:sz w:val="24"/>
          <w:szCs w:val="24"/>
        </w:rPr>
      </w:pPr>
      <w:r>
        <w:rPr>
          <w:sz w:val="24"/>
          <w:szCs w:val="24"/>
        </w:rPr>
        <w:t>To be sure, originalism has its precursors in caselaw and commentary.</w:t>
      </w:r>
      <w:r>
        <w:rPr>
          <w:sz w:val="24"/>
          <w:szCs w:val="24"/>
        </w:rPr>
        <w:t xml:space="preserve"> The law is vast and messy, and never speaks entirely with a single voice, in a single note. Perhaps the clearest and most prominent originalist precursor is </w:t>
      </w:r>
      <w:r>
        <w:rPr>
          <w:i/>
          <w:iCs/>
          <w:sz w:val="24"/>
          <w:szCs w:val="24"/>
        </w:rPr>
        <w:t>Dred Scott v. Sanford</w:t>
      </w:r>
      <w:r>
        <w:rPr>
          <w:sz w:val="24"/>
          <w:szCs w:val="24"/>
        </w:rPr>
        <w:t>,</w:t>
      </w:r>
      <w:r>
        <w:rPr>
          <w:sz w:val="24"/>
          <w:szCs w:val="24"/>
          <w:vertAlign w:val="superscript"/>
        </w:rPr>
        <w:footnoteReference w:id="93"/>
      </w:r>
      <w:r>
        <w:rPr>
          <w:sz w:val="24"/>
          <w:szCs w:val="24"/>
        </w:rPr>
        <w:t xml:space="preserve"> the decision that excluded persons of African descent from citizenship. L</w:t>
      </w:r>
      <w:r>
        <w:rPr>
          <w:sz w:val="24"/>
          <w:szCs w:val="24"/>
        </w:rPr>
        <w:t xml:space="preserve">ater decisions in an originalist register relied heavily upon </w:t>
      </w:r>
      <w:r>
        <w:rPr>
          <w:i/>
          <w:iCs/>
          <w:sz w:val="24"/>
          <w:szCs w:val="24"/>
        </w:rPr>
        <w:t>Dred Scott</w:t>
      </w:r>
      <w:r>
        <w:rPr>
          <w:sz w:val="24"/>
          <w:szCs w:val="24"/>
        </w:rPr>
        <w:t>.</w:t>
      </w:r>
      <w:r>
        <w:rPr>
          <w:sz w:val="24"/>
          <w:szCs w:val="24"/>
          <w:vertAlign w:val="superscript"/>
        </w:rPr>
        <w:footnoteReference w:id="94"/>
      </w:r>
      <w:r>
        <w:rPr>
          <w:sz w:val="24"/>
          <w:szCs w:val="24"/>
        </w:rPr>
        <w:t xml:space="preserve"> But this 19</w:t>
      </w:r>
      <w:r>
        <w:rPr>
          <w:sz w:val="24"/>
          <w:szCs w:val="24"/>
          <w:vertAlign w:val="superscript"/>
        </w:rPr>
        <w:t>th</w:t>
      </w:r>
      <w:r>
        <w:rPr>
          <w:sz w:val="24"/>
          <w:szCs w:val="24"/>
        </w:rPr>
        <w:t xml:space="preserve"> Century </w:t>
      </w:r>
      <w:proofErr w:type="gramStart"/>
      <w:r>
        <w:rPr>
          <w:sz w:val="24"/>
          <w:szCs w:val="24"/>
        </w:rPr>
        <w:t>proto-originalism</w:t>
      </w:r>
      <w:proofErr w:type="gramEnd"/>
      <w:r>
        <w:rPr>
          <w:sz w:val="24"/>
          <w:szCs w:val="24"/>
        </w:rPr>
        <w:t xml:space="preserve"> does not closely resemble the current, theoretically elaborated version, and was never an established approach. It was at most merely one mo</w:t>
      </w:r>
      <w:r>
        <w:rPr>
          <w:sz w:val="24"/>
          <w:szCs w:val="24"/>
        </w:rPr>
        <w:t xml:space="preserve">dality among </w:t>
      </w:r>
      <w:proofErr w:type="gramStart"/>
      <w:r>
        <w:rPr>
          <w:sz w:val="24"/>
          <w:szCs w:val="24"/>
        </w:rPr>
        <w:t>others, and</w:t>
      </w:r>
      <w:proofErr w:type="gramEnd"/>
      <w:r>
        <w:rPr>
          <w:sz w:val="24"/>
          <w:szCs w:val="24"/>
        </w:rPr>
        <w:t xml:space="preserve"> did not claim to be inconsistent with the classical </w:t>
      </w:r>
      <w:r>
        <w:rPr>
          <w:sz w:val="24"/>
          <w:szCs w:val="24"/>
        </w:rPr>
        <w:lastRenderedPageBreak/>
        <w:t>legal framework or to represent the exclusive method of interpretation.</w:t>
      </w:r>
      <w:r>
        <w:rPr>
          <w:sz w:val="24"/>
          <w:szCs w:val="24"/>
          <w:vertAlign w:val="superscript"/>
        </w:rPr>
        <w:footnoteReference w:id="95"/>
      </w:r>
      <w:r>
        <w:rPr>
          <w:sz w:val="24"/>
          <w:szCs w:val="24"/>
        </w:rPr>
        <w:t xml:space="preserve"> “Unlike their ideological descenda</w:t>
      </w:r>
      <w:r>
        <w:rPr>
          <w:sz w:val="24"/>
          <w:szCs w:val="24"/>
        </w:rPr>
        <w:t>nts . . . [19</w:t>
      </w:r>
      <w:r>
        <w:rPr>
          <w:sz w:val="24"/>
          <w:szCs w:val="24"/>
          <w:vertAlign w:val="superscript"/>
        </w:rPr>
        <w:t>th</w:t>
      </w:r>
      <w:r>
        <w:rPr>
          <w:sz w:val="24"/>
          <w:szCs w:val="24"/>
        </w:rPr>
        <w:t xml:space="preserve"> Century originalists] did not understand themselv</w:t>
      </w:r>
      <w:r>
        <w:rPr>
          <w:sz w:val="24"/>
          <w:szCs w:val="24"/>
        </w:rPr>
        <w:t>es as self-consciously setting forth a ‘theory.’ Such as it was, the intent construct was invoked at a high level of generality.”</w:t>
      </w:r>
      <w:r>
        <w:rPr>
          <w:sz w:val="24"/>
          <w:szCs w:val="24"/>
          <w:vertAlign w:val="superscript"/>
        </w:rPr>
        <w:footnoteReference w:id="96"/>
      </w:r>
      <w:r>
        <w:rPr>
          <w:sz w:val="24"/>
          <w:szCs w:val="24"/>
        </w:rPr>
        <w:t xml:space="preserve"> Those examples, as a class, are thus unlike modern originalism,</w:t>
      </w:r>
      <w:r>
        <w:rPr>
          <w:sz w:val="24"/>
          <w:szCs w:val="24"/>
          <w:vertAlign w:val="superscript"/>
        </w:rPr>
        <w:footnoteReference w:id="97"/>
      </w:r>
      <w:r>
        <w:rPr>
          <w:sz w:val="24"/>
          <w:szCs w:val="24"/>
        </w:rPr>
        <w:t xml:space="preserve"> an elaborate body of theory allied to a particular, legal-</w:t>
      </w:r>
      <w:r>
        <w:rPr>
          <w:sz w:val="24"/>
          <w:szCs w:val="24"/>
        </w:rPr>
        <w:t>political movement with distinctive commitments.</w:t>
      </w:r>
      <w:r>
        <w:rPr>
          <w:sz w:val="24"/>
          <w:szCs w:val="24"/>
          <w:vertAlign w:val="superscript"/>
        </w:rPr>
        <w:footnoteReference w:id="98"/>
      </w:r>
    </w:p>
    <w:p w14:paraId="01A301A2" w14:textId="77777777" w:rsidR="00357B22" w:rsidRDefault="00062FEC">
      <w:pPr>
        <w:pStyle w:val="BodyA"/>
        <w:spacing w:after="20" w:line="480" w:lineRule="auto"/>
        <w:jc w:val="both"/>
        <w:rPr>
          <w:rFonts w:ascii="Times New Roman" w:eastAsia="Times New Roman" w:hAnsi="Times New Roman" w:cs="Times New Roman"/>
          <w:i/>
          <w:iCs/>
          <w:lang w:val="en-US"/>
        </w:rPr>
      </w:pPr>
      <w:r>
        <w:rPr>
          <w:rFonts w:ascii="Times New Roman" w:hAnsi="Times New Roman"/>
          <w:i/>
          <w:iCs/>
          <w:lang w:val="en-US"/>
        </w:rPr>
        <w:t>Common good constitutionalism does not equate to judicial or executive supremacy.</w:t>
      </w:r>
    </w:p>
    <w:p w14:paraId="65826723" w14:textId="77777777" w:rsidR="00357B22" w:rsidRDefault="00062FE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480" w:lineRule="auto"/>
        <w:jc w:val="both"/>
        <w:rPr>
          <w:rFonts w:ascii="Times New Roman" w:eastAsia="Times New Roman" w:hAnsi="Times New Roman" w:cs="Times New Roman"/>
        </w:rPr>
      </w:pPr>
      <w:r>
        <w:rPr>
          <w:rFonts w:ascii="Times New Roman" w:eastAsia="Times New Roman" w:hAnsi="Times New Roman" w:cs="Times New Roman"/>
        </w:rPr>
        <w:tab/>
        <w:t>There is one argument against common good constitutionalism that has lingered on despite being clearly and utterly rejecte</w:t>
      </w:r>
      <w:r>
        <w:rPr>
          <w:rFonts w:ascii="Times New Roman" w:eastAsia="Times New Roman" w:hAnsi="Times New Roman" w:cs="Times New Roman"/>
        </w:rPr>
        <w:t>d and refuted. This is argument that common good constitutionalism is somehow synonymous with judicial supremacy or executive authoritarianism.</w:t>
      </w:r>
      <w:r>
        <w:rPr>
          <w:rFonts w:ascii="Times New Roman" w:eastAsia="Times New Roman" w:hAnsi="Times New Roman" w:cs="Times New Roman"/>
          <w:vertAlign w:val="superscript"/>
        </w:rPr>
        <w:footnoteReference w:id="99"/>
      </w:r>
      <w:r>
        <w:rPr>
          <w:rFonts w:ascii="Times New Roman" w:hAnsi="Times New Roman"/>
        </w:rPr>
        <w:t xml:space="preserve"> There is simply no substance to these kinds of arguments. The simple fact is that advocacy of common good constitutionalism, and the classic legal tradition underpinning it, is emphatically not the same as advocating a particular allocation of institution</w:t>
      </w:r>
      <w:r>
        <w:rPr>
          <w:rFonts w:ascii="Times New Roman" w:hAnsi="Times New Roman"/>
        </w:rPr>
        <w:t>al and interpretive power among different branches of government.</w:t>
      </w:r>
    </w:p>
    <w:p w14:paraId="73597438" w14:textId="78F4C054" w:rsidR="00357B22" w:rsidRDefault="00062FEC">
      <w:pPr>
        <w:pStyle w:val="BodyA"/>
        <w:spacing w:after="120" w:line="480" w:lineRule="auto"/>
        <w:ind w:firstLine="720"/>
        <w:jc w:val="both"/>
        <w:rPr>
          <w:rFonts w:ascii="Times New Roman" w:eastAsia="Times New Roman" w:hAnsi="Times New Roman" w:cs="Times New Roman"/>
          <w:lang w:val="en-US"/>
        </w:rPr>
      </w:pPr>
      <w:r>
        <w:rPr>
          <w:rFonts w:ascii="Times New Roman" w:hAnsi="Times New Roman"/>
          <w:lang w:val="en-US"/>
        </w:rPr>
        <w:t xml:space="preserve">As noted above, the concept of </w:t>
      </w:r>
      <w:r>
        <w:rPr>
          <w:rFonts w:ascii="Times New Roman" w:hAnsi="Times New Roman"/>
          <w:i/>
          <w:iCs/>
          <w:lang w:val="en-US"/>
        </w:rPr>
        <w:t xml:space="preserve">determination </w:t>
      </w:r>
      <w:r>
        <w:rPr>
          <w:rFonts w:ascii="Times New Roman" w:hAnsi="Times New Roman"/>
          <w:lang w:val="en-US"/>
        </w:rPr>
        <w:t xml:space="preserve">is critical to the classic legal tradition, and this includes determination at the level of institutional design, indeed the </w:t>
      </w:r>
      <w:r>
        <w:rPr>
          <w:rFonts w:ascii="Times New Roman" w:hAnsi="Times New Roman"/>
          <w:lang w:val="en-US"/>
        </w:rPr>
        <w:t xml:space="preserve">specification of the whole constitutional order. The common good in its capacity as the fundamental end of temporal government shapes and constrains, but does not fully determine, the nature of </w:t>
      </w:r>
      <w:r>
        <w:rPr>
          <w:rFonts w:ascii="Times New Roman" w:hAnsi="Times New Roman"/>
          <w:lang w:val="en-US"/>
        </w:rPr>
        <w:lastRenderedPageBreak/>
        <w:t>institutions and the allocation of lawmaking authority between</w:t>
      </w:r>
      <w:r>
        <w:rPr>
          <w:rFonts w:ascii="Times New Roman" w:hAnsi="Times New Roman"/>
          <w:lang w:val="en-US"/>
        </w:rPr>
        <w:t xml:space="preserve"> and among them in any given polity. But aside from the loose constraints imposed by this conceptual frame, the design of institutions and allocation of authority between and among them in any given polity will be within a wide scope of reasonable determin</w:t>
      </w:r>
      <w:r>
        <w:rPr>
          <w:rFonts w:ascii="Times New Roman" w:hAnsi="Times New Roman"/>
          <w:lang w:val="en-US"/>
        </w:rPr>
        <w:t xml:space="preserve">ation. A range of regime types can be ordered to the common good, or not. If they are, then they are just, and if they are not, they are tyrannical, but their justice is not defined by or inherent in any </w:t>
      </w:r>
      <w:proofErr w:type="gramStart"/>
      <w:r>
        <w:rPr>
          <w:rFonts w:ascii="Times New Roman" w:hAnsi="Times New Roman"/>
          <w:lang w:val="en-US"/>
        </w:rPr>
        <w:t>particular set</w:t>
      </w:r>
      <w:proofErr w:type="gramEnd"/>
      <w:r>
        <w:rPr>
          <w:rFonts w:ascii="Times New Roman" w:hAnsi="Times New Roman"/>
          <w:lang w:val="en-US"/>
        </w:rPr>
        <w:t xml:space="preserve"> of institutional forms.</w:t>
      </w:r>
      <w:r>
        <w:rPr>
          <w:rFonts w:ascii="Times New Roman" w:eastAsia="Times New Roman" w:hAnsi="Times New Roman" w:cs="Times New Roman"/>
          <w:vertAlign w:val="superscript"/>
          <w:lang w:val="en-US"/>
        </w:rPr>
        <w:footnoteReference w:id="100"/>
      </w:r>
      <w:r>
        <w:rPr>
          <w:rFonts w:ascii="Times New Roman" w:hAnsi="Times New Roman"/>
          <w:lang w:val="en-US"/>
        </w:rPr>
        <w:t xml:space="preserve"> Thus, parli</w:t>
      </w:r>
      <w:r>
        <w:rPr>
          <w:rFonts w:ascii="Times New Roman" w:hAnsi="Times New Roman"/>
          <w:lang w:val="en-US"/>
        </w:rPr>
        <w:t>amentary, semi-presidential, and presidential systems, monarchies and republics</w:t>
      </w:r>
      <w:r>
        <w:rPr>
          <w:rFonts w:ascii="Times New Roman" w:hAnsi="Times New Roman"/>
          <w:lang w:val="en-US"/>
        </w:rPr>
        <w:t xml:space="preserve"> - </w:t>
      </w:r>
      <w:r>
        <w:rPr>
          <w:rFonts w:ascii="Times New Roman" w:hAnsi="Times New Roman"/>
          <w:lang w:val="en-US"/>
        </w:rPr>
        <w:t xml:space="preserve">all these and more can in principle be ordered to the common good. </w:t>
      </w:r>
    </w:p>
    <w:p w14:paraId="6325920D" w14:textId="2AD914A0" w:rsidR="00357B22" w:rsidRDefault="00062FEC">
      <w:pPr>
        <w:pStyle w:val="BodyA"/>
        <w:spacing w:after="120" w:line="480" w:lineRule="auto"/>
        <w:ind w:firstLine="720"/>
        <w:jc w:val="both"/>
        <w:rPr>
          <w:rFonts w:ascii="Times New Roman" w:eastAsia="Times New Roman" w:hAnsi="Times New Roman" w:cs="Times New Roman"/>
          <w:lang w:val="en-US"/>
        </w:rPr>
      </w:pPr>
      <w:r>
        <w:rPr>
          <w:rFonts w:ascii="Times New Roman" w:hAnsi="Times New Roman"/>
          <w:lang w:val="en-US"/>
        </w:rPr>
        <w:t xml:space="preserve">Likewise, the common good does not, by itself, entail any </w:t>
      </w:r>
      <w:proofErr w:type="gramStart"/>
      <w:r>
        <w:rPr>
          <w:rFonts w:ascii="Times New Roman" w:hAnsi="Times New Roman"/>
          <w:lang w:val="en-US"/>
        </w:rPr>
        <w:t>particular scheme</w:t>
      </w:r>
      <w:proofErr w:type="gramEnd"/>
      <w:r>
        <w:rPr>
          <w:rFonts w:ascii="Times New Roman" w:hAnsi="Times New Roman"/>
          <w:lang w:val="en-US"/>
        </w:rPr>
        <w:t xml:space="preserve"> of (for example) judicial</w:t>
      </w:r>
      <w:r>
        <w:rPr>
          <w:rFonts w:ascii="Times New Roman" w:hAnsi="Times New Roman"/>
          <w:lang w:val="en-US"/>
        </w:rPr>
        <w:t xml:space="preserve"> review of constitutional questions. The common good takes no stand, </w:t>
      </w:r>
      <w:r>
        <w:rPr>
          <w:rFonts w:ascii="Times New Roman" w:hAnsi="Times New Roman"/>
          <w:i/>
          <w:iCs/>
          <w:lang w:val="en-US"/>
        </w:rPr>
        <w:t>a priori</w:t>
      </w:r>
      <w:r>
        <w:rPr>
          <w:rFonts w:ascii="Times New Roman" w:hAnsi="Times New Roman"/>
          <w:lang w:val="en-US"/>
        </w:rPr>
        <w:t xml:space="preserve">, on the well-known and worn debate over political constitutionalism </w:t>
      </w:r>
      <w:r>
        <w:rPr>
          <w:rFonts w:ascii="Times New Roman" w:hAnsi="Times New Roman"/>
          <w:i/>
          <w:iCs/>
          <w:lang w:val="en-US"/>
        </w:rPr>
        <w:t>versus</w:t>
      </w:r>
      <w:r>
        <w:rPr>
          <w:rFonts w:ascii="Times New Roman" w:hAnsi="Times New Roman"/>
          <w:lang w:val="en-US"/>
        </w:rPr>
        <w:t xml:space="preserve"> legal constitutionalism,</w:t>
      </w:r>
      <w:r>
        <w:rPr>
          <w:rFonts w:ascii="Times New Roman" w:eastAsia="Times New Roman" w:hAnsi="Times New Roman" w:cs="Times New Roman"/>
          <w:vertAlign w:val="superscript"/>
          <w:lang w:val="en-US"/>
        </w:rPr>
        <w:footnoteReference w:id="101"/>
      </w:r>
      <w:r>
        <w:rPr>
          <w:rFonts w:ascii="Times New Roman" w:hAnsi="Times New Roman"/>
          <w:lang w:val="en-US"/>
        </w:rPr>
        <w:t xml:space="preserve"> so long as the polity is ordered to the good of the community through ration</w:t>
      </w:r>
      <w:r>
        <w:rPr>
          <w:rFonts w:ascii="Times New Roman" w:hAnsi="Times New Roman"/>
          <w:lang w:val="en-US"/>
        </w:rPr>
        <w:t xml:space="preserve">al principles of legality. A constitutional order </w:t>
      </w:r>
      <w:r>
        <w:rPr>
          <w:rFonts w:ascii="Times New Roman" w:hAnsi="Times New Roman"/>
          <w:lang w:val="en-US"/>
        </w:rPr>
        <w:t xml:space="preserve">in which </w:t>
      </w:r>
      <w:r>
        <w:rPr>
          <w:rFonts w:ascii="Times New Roman" w:hAnsi="Times New Roman"/>
          <w:lang w:val="en-US"/>
        </w:rPr>
        <w:t>judges are bound to respect reasonable determinations in the public interest by the legislature and executive (perhaps under legislative delegation) can be entirely conducive to the common</w:t>
      </w:r>
      <w:r>
        <w:rPr>
          <w:rFonts w:ascii="Times New Roman" w:hAnsi="Times New Roman"/>
          <w:lang w:val="en-US"/>
        </w:rPr>
        <w:t xml:space="preserve"> good,</w:t>
      </w:r>
      <w:bookmarkStart w:id="21" w:name="_Ref92048943"/>
      <w:r>
        <w:rPr>
          <w:rFonts w:ascii="Times New Roman" w:eastAsia="Times New Roman" w:hAnsi="Times New Roman" w:cs="Times New Roman"/>
          <w:vertAlign w:val="superscript"/>
          <w:lang w:val="en-US"/>
        </w:rPr>
        <w:footnoteReference w:id="102"/>
      </w:r>
      <w:bookmarkEnd w:id="21"/>
      <w:r>
        <w:rPr>
          <w:rFonts w:ascii="Times New Roman" w:hAnsi="Times New Roman"/>
          <w:lang w:val="en-US"/>
        </w:rPr>
        <w:t xml:space="preserve"> as can similar distributions of interpretive authority like Thayerian deference</w:t>
      </w:r>
      <w:r>
        <w:rPr>
          <w:rFonts w:ascii="Times New Roman" w:eastAsia="Times New Roman" w:hAnsi="Times New Roman" w:cs="Times New Roman"/>
          <w:vertAlign w:val="superscript"/>
          <w:lang w:val="en-US"/>
        </w:rPr>
        <w:footnoteReference w:id="103"/>
      </w:r>
      <w:r>
        <w:rPr>
          <w:rFonts w:ascii="Times New Roman" w:hAnsi="Times New Roman"/>
          <w:lang w:val="en-US"/>
        </w:rPr>
        <w:t xml:space="preserve"> or departmentalism of various stripes.</w:t>
      </w:r>
      <w:r>
        <w:rPr>
          <w:rFonts w:ascii="Times New Roman" w:eastAsia="Times New Roman" w:hAnsi="Times New Roman" w:cs="Times New Roman"/>
          <w:vertAlign w:val="superscript"/>
          <w:lang w:val="en-US"/>
        </w:rPr>
        <w:footnoteReference w:id="104"/>
      </w:r>
    </w:p>
    <w:p w14:paraId="5BC128EA" w14:textId="409DECFC" w:rsidR="00357B22" w:rsidRDefault="00062FEC">
      <w:pPr>
        <w:pStyle w:val="BodyB"/>
        <w:spacing w:line="480" w:lineRule="auto"/>
        <w:ind w:firstLine="720"/>
        <w:jc w:val="both"/>
      </w:pPr>
      <w:r>
        <w:rPr>
          <w:shd w:val="clear" w:color="auto" w:fill="FFFFFF"/>
        </w:rPr>
        <w:t>Promotion of the common good is a duty incumbent upon all officials in the system</w:t>
      </w:r>
      <w:r>
        <w:rPr>
          <w:shd w:val="clear" w:color="auto" w:fill="FFFFFF"/>
        </w:rPr>
        <w:t xml:space="preserve">: </w:t>
      </w:r>
      <w:r>
        <w:rPr>
          <w:shd w:val="clear" w:color="auto" w:fill="FFFFFF"/>
        </w:rPr>
        <w:t xml:space="preserve">on </w:t>
      </w:r>
      <w:r>
        <w:rPr>
          <w:shd w:val="clear" w:color="auto" w:fill="FFFFFF"/>
        </w:rPr>
        <w:t>legislators</w:t>
      </w:r>
      <w:r>
        <w:rPr>
          <w:shd w:val="clear" w:color="auto" w:fill="FFFFFF"/>
        </w:rPr>
        <w:t xml:space="preserve">, </w:t>
      </w:r>
      <w:r>
        <w:rPr>
          <w:shd w:val="clear" w:color="auto" w:fill="FFFFFF"/>
        </w:rPr>
        <w:t>executive</w:t>
      </w:r>
      <w:r>
        <w:rPr>
          <w:shd w:val="clear" w:color="auto" w:fill="FFFFFF"/>
        </w:rPr>
        <w:t xml:space="preserve">, and </w:t>
      </w:r>
      <w:r>
        <w:rPr>
          <w:shd w:val="clear" w:color="auto" w:fill="FFFFFF"/>
        </w:rPr>
        <w:t>bureaucrati</w:t>
      </w:r>
      <w:r>
        <w:rPr>
          <w:shd w:val="clear" w:color="auto" w:fill="FFFFFF"/>
        </w:rPr>
        <w:t>c</w:t>
      </w:r>
      <w:r>
        <w:rPr>
          <w:shd w:val="clear" w:color="auto" w:fill="FFFFFF"/>
        </w:rPr>
        <w:t xml:space="preserve"> officers as well as judges. </w:t>
      </w:r>
      <w:r>
        <w:rPr>
          <w:shd w:val="clear" w:color="auto" w:fill="FFFFFF"/>
        </w:rPr>
        <w:t xml:space="preserve">As a logical matter, however, </w:t>
      </w:r>
      <w:r>
        <w:rPr>
          <w:shd w:val="clear" w:color="auto" w:fill="FFFFFF"/>
        </w:rPr>
        <w:lastRenderedPageBreak/>
        <w:t>it does not follow that each official or institution in the system, taken separately, must make unfettered judgments about the common good for itself. The legal morality of the commo</w:t>
      </w:r>
      <w:r>
        <w:rPr>
          <w:shd w:val="clear" w:color="auto" w:fill="FFFFFF"/>
        </w:rPr>
        <w:t>n good itself includes role morality and division of functions.</w:t>
      </w:r>
      <w:r>
        <w:rPr>
          <w:shd w:val="clear" w:color="auto" w:fill="FFFFFF"/>
          <w:vertAlign w:val="superscript"/>
        </w:rPr>
        <w:footnoteReference w:id="105"/>
      </w:r>
      <w:r>
        <w:rPr>
          <w:shd w:val="clear" w:color="auto" w:fill="FFFFFF"/>
        </w:rPr>
        <w:t xml:space="preserve"> How a constitution should be interpreted and how judges should decide cases are not necessarily the same question. A system that conduces to promoting the common good overall may do so preci</w:t>
      </w:r>
      <w:r>
        <w:rPr>
          <w:shd w:val="clear" w:color="auto" w:fill="FFFFFF"/>
        </w:rPr>
        <w:t>sely </w:t>
      </w:r>
      <w:r>
        <w:rPr>
          <w:i/>
          <w:iCs/>
          <w:shd w:val="clear" w:color="auto" w:fill="FFFFFF"/>
        </w:rPr>
        <w:t>because</w:t>
      </w:r>
      <w:r>
        <w:rPr>
          <w:shd w:val="clear" w:color="auto" w:fill="FFFFFF"/>
        </w:rPr>
        <w:t> there is a division of roles across institutions, such that not every institution aims directly to promote the common good. Indeed, many deferential frameworks suppose that judicial deference is itself conducive to the common good, because pub</w:t>
      </w:r>
      <w:r>
        <w:rPr>
          <w:shd w:val="clear" w:color="auto" w:fill="FFFFFF"/>
        </w:rPr>
        <w:t>lic authorities make better judgments of determination, within reasonable boundaries, than do courts.</w:t>
      </w:r>
      <w:r>
        <w:rPr>
          <w:vertAlign w:val="superscript"/>
        </w:rPr>
        <w:footnoteReference w:id="106"/>
      </w:r>
      <w:r>
        <w:rPr>
          <w:shd w:val="clear" w:color="auto" w:fill="FFFFFF"/>
        </w:rPr>
        <w:t xml:space="preserve"> </w:t>
      </w:r>
      <w:r>
        <w:t xml:space="preserve">All of which is to say it takes serious illiteracy about the classical legal tradition to suggest it mandates a form of strong judicial supremacy where </w:t>
      </w:r>
      <w:r>
        <w:t xml:space="preserve">judges can overturn legislative determinations as inconsistent with the Court’s </w:t>
      </w:r>
      <w:r>
        <w:rPr>
          <w:i/>
          <w:iCs/>
        </w:rPr>
        <w:t>de novo</w:t>
      </w:r>
      <w:r>
        <w:t xml:space="preserve"> understanding of the </w:t>
      </w:r>
      <w:proofErr w:type="spellStart"/>
      <w:r>
        <w:rPr>
          <w:i/>
          <w:iCs/>
        </w:rPr>
        <w:t>ius</w:t>
      </w:r>
      <w:proofErr w:type="spellEnd"/>
      <w:r>
        <w:rPr>
          <w:i/>
          <w:iCs/>
        </w:rPr>
        <w:t xml:space="preserve"> </w:t>
      </w:r>
      <w:proofErr w:type="spellStart"/>
      <w:r>
        <w:rPr>
          <w:i/>
          <w:iCs/>
        </w:rPr>
        <w:t>naturale</w:t>
      </w:r>
      <w:proofErr w:type="spellEnd"/>
      <w:r>
        <w:t>.</w:t>
      </w:r>
      <w:r>
        <w:rPr>
          <w:vertAlign w:val="superscript"/>
        </w:rPr>
        <w:footnoteReference w:id="107"/>
      </w:r>
    </w:p>
    <w:p w14:paraId="3EC59E6C" w14:textId="77777777" w:rsidR="00357B22" w:rsidRDefault="00062FEC">
      <w:pPr>
        <w:pStyle w:val="BodyA"/>
        <w:spacing w:after="120" w:line="480" w:lineRule="auto"/>
        <w:ind w:firstLine="720"/>
        <w:jc w:val="both"/>
        <w:rPr>
          <w:rFonts w:ascii="Times New Roman" w:eastAsia="Times New Roman" w:hAnsi="Times New Roman" w:cs="Times New Roman"/>
          <w:lang w:val="en-US"/>
        </w:rPr>
      </w:pPr>
      <w:r>
        <w:rPr>
          <w:rFonts w:ascii="Times New Roman" w:hAnsi="Times New Roman"/>
          <w:lang w:val="en-US"/>
        </w:rPr>
        <w:t>This broad agnosticism does not mean that there are no boundaries whatsoever; it just means that the boundaries are set by the natu</w:t>
      </w:r>
      <w:r>
        <w:rPr>
          <w:rFonts w:ascii="Times New Roman" w:hAnsi="Times New Roman"/>
          <w:lang w:val="en-US"/>
        </w:rPr>
        <w:t>re of law itself, as an ordination of reason to the common good. Certain institutional arrangements, mostly science-fictional and horrific, will be clearly ruled out even if no one set of arrangements is uniquely specified. But they will be ruled out becau</w:t>
      </w:r>
      <w:r>
        <w:rPr>
          <w:rFonts w:ascii="Times New Roman" w:hAnsi="Times New Roman"/>
          <w:lang w:val="en-US"/>
        </w:rPr>
        <w:t xml:space="preserve">se they are arbitrary and unreasoned, and thus do not participate </w:t>
      </w:r>
      <w:proofErr w:type="gramStart"/>
      <w:r>
        <w:rPr>
          <w:rFonts w:ascii="Times New Roman" w:hAnsi="Times New Roman"/>
          <w:lang w:val="en-US"/>
        </w:rPr>
        <w:t>in the nature of law</w:t>
      </w:r>
      <w:proofErr w:type="gramEnd"/>
      <w:r>
        <w:rPr>
          <w:rFonts w:ascii="Times New Roman" w:hAnsi="Times New Roman"/>
          <w:lang w:val="en-US"/>
        </w:rPr>
        <w:t>, not because the common good directly commands particular institutional forms. Likewise, strictly aggregative-utilitarian arrangements will be ruled out by the non-aggre</w:t>
      </w:r>
      <w:r>
        <w:rPr>
          <w:rFonts w:ascii="Times New Roman" w:hAnsi="Times New Roman"/>
          <w:lang w:val="en-US"/>
        </w:rPr>
        <w:t xml:space="preserve">gative </w:t>
      </w:r>
      <w:r>
        <w:rPr>
          <w:rFonts w:ascii="Times New Roman" w:hAnsi="Times New Roman"/>
          <w:lang w:val="en-US"/>
        </w:rPr>
        <w:lastRenderedPageBreak/>
        <w:t>nature of the common good, an example being a substantial class of invisible-hand arrangements justified as an indirect way of maximizing aggregate utility.</w:t>
      </w:r>
      <w:r>
        <w:rPr>
          <w:rFonts w:ascii="Times New Roman" w:eastAsia="Times New Roman" w:hAnsi="Times New Roman" w:cs="Times New Roman"/>
          <w:vertAlign w:val="superscript"/>
          <w:lang w:val="en-US"/>
        </w:rPr>
        <w:footnoteReference w:id="108"/>
      </w:r>
      <w:r>
        <w:rPr>
          <w:rFonts w:ascii="Times New Roman" w:hAnsi="Times New Roman"/>
          <w:lang w:val="en-US"/>
        </w:rPr>
        <w:t xml:space="preserve"> But the ruling out of certain arrangements, and the need to put concern for the common goo</w:t>
      </w:r>
      <w:r>
        <w:rPr>
          <w:rFonts w:ascii="Times New Roman" w:hAnsi="Times New Roman"/>
          <w:lang w:val="en-US"/>
        </w:rPr>
        <w:t>d at the heart of determinations of institutional design, still leaves a very wide scope for choice that adapts institutional forms to local circumstances.</w:t>
      </w:r>
    </w:p>
    <w:p w14:paraId="53E3A788" w14:textId="77777777" w:rsidR="00357B22" w:rsidRDefault="00062FEC">
      <w:pPr>
        <w:pStyle w:val="BodyA"/>
        <w:spacing w:after="120" w:line="480" w:lineRule="auto"/>
        <w:ind w:firstLine="720"/>
        <w:jc w:val="both"/>
        <w:rPr>
          <w:rFonts w:ascii="Times New Roman" w:eastAsia="Times New Roman" w:hAnsi="Times New Roman" w:cs="Times New Roman"/>
          <w:lang w:val="en-US"/>
        </w:rPr>
      </w:pPr>
      <w:r>
        <w:rPr>
          <w:rFonts w:ascii="Times New Roman" w:hAnsi="Times New Roman"/>
          <w:lang w:val="en-US"/>
        </w:rPr>
        <w:t>As it is for Large-C Constitutional design, so it is equally the case for small-c unwritten constitu</w:t>
      </w:r>
      <w:r>
        <w:rPr>
          <w:rFonts w:ascii="Times New Roman" w:hAnsi="Times New Roman"/>
          <w:lang w:val="en-US"/>
        </w:rPr>
        <w:t>tional ordering.</w:t>
      </w:r>
      <w:r>
        <w:rPr>
          <w:rFonts w:ascii="Times New Roman" w:eastAsia="Times New Roman" w:hAnsi="Times New Roman" w:cs="Times New Roman"/>
          <w:vertAlign w:val="superscript"/>
          <w:lang w:val="en-US"/>
        </w:rPr>
        <w:footnoteReference w:id="109"/>
      </w:r>
      <w:r>
        <w:rPr>
          <w:rFonts w:ascii="Times New Roman" w:hAnsi="Times New Roman"/>
          <w:lang w:val="en-US"/>
        </w:rPr>
        <w:t xml:space="preserve"> Many different evolving institutional allocations of decision-making authority are consistent with the common good. To be sure, both</w:t>
      </w:r>
      <w:r>
        <w:rPr>
          <w:rFonts w:ascii="Times New Roman" w:eastAsia="Times New Roman" w:hAnsi="Times New Roman" w:cs="Times New Roman"/>
          <w:vertAlign w:val="superscript"/>
          <w:lang w:val="en-US"/>
        </w:rPr>
        <w:footnoteReference w:id="110"/>
      </w:r>
      <w:r>
        <w:rPr>
          <w:rFonts w:ascii="Times New Roman" w:hAnsi="Times New Roman"/>
          <w:lang w:val="en-US"/>
        </w:rPr>
        <w:t xml:space="preserve"> of us</w:t>
      </w:r>
      <w:r>
        <w:rPr>
          <w:rFonts w:ascii="Times New Roman" w:eastAsia="Times New Roman" w:hAnsi="Times New Roman" w:cs="Times New Roman"/>
          <w:vertAlign w:val="superscript"/>
          <w:lang w:val="en-US"/>
        </w:rPr>
        <w:footnoteReference w:id="111"/>
      </w:r>
      <w:r>
        <w:rPr>
          <w:rFonts w:ascii="Times New Roman" w:hAnsi="Times New Roman"/>
          <w:lang w:val="en-US"/>
        </w:rPr>
        <w:t xml:space="preserve"> are sympathetic to the view that there are forms of constitutional ordering </w:t>
      </w:r>
      <w:r>
        <w:rPr>
          <w:rFonts w:ascii="Times New Roman" w:hAnsi="Times New Roman"/>
          <w:lang w:val="en-US"/>
        </w:rPr>
        <w:t xml:space="preserve">– </w:t>
      </w:r>
      <w:r>
        <w:rPr>
          <w:rFonts w:ascii="Times New Roman" w:hAnsi="Times New Roman"/>
          <w:lang w:val="en-US"/>
        </w:rPr>
        <w:t>centered on</w:t>
      </w:r>
      <w:r>
        <w:rPr>
          <w:rFonts w:ascii="Times New Roman" w:hAnsi="Times New Roman"/>
          <w:lang w:val="en-US"/>
        </w:rPr>
        <w:t xml:space="preserve"> robust executive go</w:t>
      </w:r>
      <w:r>
        <w:rPr>
          <w:rFonts w:ascii="Times New Roman" w:hAnsi="Times New Roman"/>
          <w:lang w:val="en-US"/>
        </w:rPr>
        <w:t xml:space="preserve">vernment </w:t>
      </w:r>
      <w:r>
        <w:rPr>
          <w:rFonts w:ascii="Times New Roman" w:hAnsi="Times New Roman"/>
          <w:lang w:val="en-US"/>
        </w:rPr>
        <w:t xml:space="preserve">– </w:t>
      </w:r>
      <w:r>
        <w:rPr>
          <w:rFonts w:ascii="Times New Roman" w:hAnsi="Times New Roman"/>
          <w:lang w:val="en-US"/>
        </w:rPr>
        <w:t xml:space="preserve">that are likely to be particularly conducive to pursuing the common good under contemporary socio-economic conditions. We do not take this position because the executive has claim to be the </w:t>
      </w:r>
      <w:r>
        <w:rPr>
          <w:rFonts w:ascii="Times New Roman" w:hAnsi="Times New Roman"/>
          <w:lang w:val="en-US"/>
        </w:rPr>
        <w:t>“</w:t>
      </w:r>
      <w:r>
        <w:rPr>
          <w:rFonts w:ascii="Times New Roman" w:hAnsi="Times New Roman"/>
          <w:lang w:val="en-US"/>
        </w:rPr>
        <w:t>most accountable and democratic</w:t>
      </w:r>
      <w:r>
        <w:rPr>
          <w:rFonts w:ascii="Times New Roman" w:hAnsi="Times New Roman"/>
          <w:lang w:val="en-US"/>
        </w:rPr>
        <w:t xml:space="preserve">” </w:t>
      </w:r>
      <w:r>
        <w:rPr>
          <w:rFonts w:ascii="Times New Roman" w:hAnsi="Times New Roman"/>
          <w:lang w:val="en-US"/>
        </w:rPr>
        <w:t>branch due to its nat</w:t>
      </w:r>
      <w:r>
        <w:rPr>
          <w:rFonts w:ascii="Times New Roman" w:hAnsi="Times New Roman"/>
          <w:lang w:val="en-US"/>
        </w:rPr>
        <w:t>ional constituency,</w:t>
      </w:r>
      <w:r>
        <w:rPr>
          <w:rFonts w:ascii="Times New Roman" w:eastAsia="Times New Roman" w:hAnsi="Times New Roman" w:cs="Times New Roman"/>
          <w:vertAlign w:val="superscript"/>
          <w:lang w:val="en-US"/>
        </w:rPr>
        <w:footnoteReference w:id="112"/>
      </w:r>
      <w:r>
        <w:rPr>
          <w:rFonts w:ascii="Times New Roman" w:hAnsi="Times New Roman"/>
          <w:lang w:val="en-US"/>
        </w:rPr>
        <w:t xml:space="preserve"> or for the sheer fact it can act with more expedition and flexibility than the legislature.</w:t>
      </w:r>
      <w:r>
        <w:rPr>
          <w:rFonts w:ascii="Times New Roman" w:eastAsia="Times New Roman" w:hAnsi="Times New Roman" w:cs="Times New Roman"/>
          <w:vertAlign w:val="superscript"/>
          <w:lang w:val="en-US"/>
        </w:rPr>
        <w:footnoteReference w:id="113"/>
      </w:r>
      <w:r>
        <w:rPr>
          <w:rFonts w:ascii="Times New Roman" w:hAnsi="Times New Roman"/>
          <w:lang w:val="en-US"/>
        </w:rPr>
        <w:t xml:space="preserve"> Instead, we agree with the premise that </w:t>
      </w:r>
      <w:r>
        <w:rPr>
          <w:rFonts w:ascii="Times New Roman" w:hAnsi="Times New Roman"/>
          <w:lang w:val="en-US"/>
        </w:rPr>
        <w:t xml:space="preserve">– </w:t>
      </w:r>
      <w:r>
        <w:rPr>
          <w:rFonts w:ascii="Times New Roman" w:hAnsi="Times New Roman"/>
          <w:lang w:val="en-US"/>
        </w:rPr>
        <w:t>unlike diffuse and procedurally cumbersome legislative assemblies, or low-capacity judicial bodies</w:t>
      </w:r>
      <w:r>
        <w:rPr>
          <w:rFonts w:ascii="Times New Roman" w:hAnsi="Times New Roman"/>
          <w:lang w:val="en-US"/>
        </w:rPr>
        <w:t xml:space="preserve"> </w:t>
      </w:r>
      <w:r>
        <w:rPr>
          <w:rFonts w:ascii="Times New Roman" w:hAnsi="Times New Roman"/>
          <w:lang w:val="en-US"/>
        </w:rPr>
        <w:t xml:space="preserve">– </w:t>
      </w:r>
      <w:r>
        <w:rPr>
          <w:rFonts w:ascii="Times New Roman" w:hAnsi="Times New Roman"/>
          <w:lang w:val="en-US"/>
        </w:rPr>
        <w:t xml:space="preserve">hierarchical bureaucracies with very wide regulatory reach, when commanded by an energetic and </w:t>
      </w:r>
      <w:r>
        <w:rPr>
          <w:rFonts w:ascii="Times New Roman" w:hAnsi="Times New Roman"/>
          <w:lang w:val="en-US"/>
        </w:rPr>
        <w:lastRenderedPageBreak/>
        <w:t>motivated political executive, are better suited to promoting the integration of substantive and valuable moral precepts into legal ordinances.</w:t>
      </w:r>
      <w:r>
        <w:rPr>
          <w:rFonts w:ascii="Times New Roman" w:eastAsia="Times New Roman" w:hAnsi="Times New Roman" w:cs="Times New Roman"/>
          <w:vertAlign w:val="superscript"/>
          <w:lang w:val="en-US"/>
        </w:rPr>
        <w:footnoteReference w:id="114"/>
      </w:r>
      <w:r>
        <w:rPr>
          <w:rFonts w:ascii="Times New Roman" w:hAnsi="Times New Roman"/>
          <w:lang w:val="en-US"/>
        </w:rPr>
        <w:t xml:space="preserve"> From the </w:t>
      </w:r>
      <w:r>
        <w:rPr>
          <w:rFonts w:ascii="Times New Roman" w:hAnsi="Times New Roman"/>
          <w:lang w:val="en-US"/>
        </w:rPr>
        <w:t>perspective of common good constitutionalism, then, a core advantage of an executive-led separation of powers above other ways of allocating authority is that it can allow the executive to better infuse the technocratic work of the administrative state wit</w:t>
      </w:r>
      <w:r>
        <w:rPr>
          <w:rFonts w:ascii="Times New Roman" w:hAnsi="Times New Roman"/>
          <w:lang w:val="en-US"/>
        </w:rPr>
        <w:t>h an explicit political vision oriented to the common good, aligning its extensive regulatory outputs to goals conducive to this end.</w:t>
      </w:r>
      <w:r>
        <w:rPr>
          <w:rFonts w:ascii="Times New Roman" w:eastAsia="Times New Roman" w:hAnsi="Times New Roman" w:cs="Times New Roman"/>
          <w:vertAlign w:val="superscript"/>
          <w:lang w:val="en-US"/>
        </w:rPr>
        <w:footnoteReference w:id="115"/>
      </w:r>
      <w:r>
        <w:rPr>
          <w:rFonts w:ascii="Times New Roman" w:hAnsi="Times New Roman"/>
          <w:lang w:val="en-US"/>
        </w:rPr>
        <w:t xml:space="preserve"> </w:t>
      </w:r>
    </w:p>
    <w:p w14:paraId="69B9E520" w14:textId="77777777" w:rsidR="00357B22" w:rsidRDefault="00062FEC">
      <w:pPr>
        <w:pStyle w:val="BodyA"/>
        <w:spacing w:after="120" w:line="480" w:lineRule="auto"/>
        <w:ind w:firstLine="720"/>
        <w:jc w:val="both"/>
        <w:rPr>
          <w:rFonts w:ascii="Times New Roman" w:eastAsia="Times New Roman" w:hAnsi="Times New Roman" w:cs="Times New Roman"/>
          <w:lang w:val="en-US"/>
        </w:rPr>
      </w:pPr>
      <w:r>
        <w:rPr>
          <w:rFonts w:ascii="Times New Roman" w:hAnsi="Times New Roman"/>
          <w:lang w:val="en-US"/>
        </w:rPr>
        <w:t xml:space="preserve">Crucially, this sort of view is not itself dictated by the classical legal tradition and certainly not by myopic appeals to </w:t>
      </w:r>
      <w:r>
        <w:rPr>
          <w:rFonts w:ascii="Times New Roman" w:hAnsi="Times New Roman"/>
          <w:lang w:val="en-US"/>
        </w:rPr>
        <w:t>“</w:t>
      </w:r>
      <w:r>
        <w:rPr>
          <w:rFonts w:ascii="Times New Roman" w:hAnsi="Times New Roman"/>
          <w:lang w:val="en-US"/>
        </w:rPr>
        <w:t>democracy</w:t>
      </w:r>
      <w:r>
        <w:rPr>
          <w:rFonts w:ascii="Times New Roman" w:hAnsi="Times New Roman"/>
          <w:lang w:val="en-US"/>
        </w:rPr>
        <w:t xml:space="preserve">” </w:t>
      </w:r>
      <w:r>
        <w:rPr>
          <w:rFonts w:ascii="Times New Roman" w:hAnsi="Times New Roman"/>
          <w:lang w:val="en-US"/>
        </w:rPr>
        <w:t xml:space="preserve">or </w:t>
      </w:r>
      <w:r>
        <w:rPr>
          <w:rFonts w:ascii="Times New Roman" w:hAnsi="Times New Roman"/>
          <w:lang w:val="en-US"/>
        </w:rPr>
        <w:t>“</w:t>
      </w:r>
      <w:r>
        <w:rPr>
          <w:rFonts w:ascii="Times New Roman" w:hAnsi="Times New Roman"/>
          <w:lang w:val="en-US"/>
        </w:rPr>
        <w:t>efficiency.</w:t>
      </w:r>
      <w:r>
        <w:rPr>
          <w:rFonts w:ascii="Times New Roman" w:hAnsi="Times New Roman"/>
          <w:lang w:val="en-US"/>
        </w:rPr>
        <w:t xml:space="preserve">” </w:t>
      </w:r>
      <w:r>
        <w:rPr>
          <w:rFonts w:ascii="Times New Roman" w:hAnsi="Times New Roman"/>
          <w:lang w:val="en-US"/>
        </w:rPr>
        <w:t xml:space="preserve">It is an independent, constructive interpretation of the path of the law in some </w:t>
      </w:r>
      <w:proofErr w:type="gramStart"/>
      <w:r>
        <w:rPr>
          <w:rFonts w:ascii="Times New Roman" w:hAnsi="Times New Roman"/>
          <w:lang w:val="en-US"/>
        </w:rPr>
        <w:t>particular polity</w:t>
      </w:r>
      <w:proofErr w:type="gramEnd"/>
      <w:r>
        <w:rPr>
          <w:rFonts w:ascii="Times New Roman" w:hAnsi="Times New Roman"/>
          <w:lang w:val="en-US"/>
        </w:rPr>
        <w:t xml:space="preserve"> or o</w:t>
      </w:r>
      <w:r>
        <w:rPr>
          <w:rFonts w:ascii="Times New Roman" w:hAnsi="Times New Roman"/>
          <w:lang w:val="en-US"/>
        </w:rPr>
        <w:t xml:space="preserve">ther. The critics miss </w:t>
      </w:r>
      <w:proofErr w:type="gramStart"/>
      <w:r>
        <w:rPr>
          <w:rFonts w:ascii="Times New Roman" w:hAnsi="Times New Roman"/>
          <w:lang w:val="en-US"/>
        </w:rPr>
        <w:t>that questions of institutional design</w:t>
      </w:r>
      <w:proofErr w:type="gramEnd"/>
      <w:r>
        <w:rPr>
          <w:rFonts w:ascii="Times New Roman" w:hAnsi="Times New Roman"/>
          <w:lang w:val="en-US"/>
        </w:rPr>
        <w:t xml:space="preserve"> are largely prudential ones, guided by the concept of determination</w:t>
      </w:r>
      <w:r>
        <w:rPr>
          <w:rFonts w:ascii="Times New Roman" w:hAnsi="Times New Roman"/>
          <w:i/>
          <w:iCs/>
          <w:lang w:val="en-US"/>
        </w:rPr>
        <w:t xml:space="preserve"> after </w:t>
      </w:r>
      <w:r>
        <w:rPr>
          <w:rFonts w:ascii="Times New Roman" w:hAnsi="Times New Roman"/>
          <w:lang w:val="en-US"/>
        </w:rPr>
        <w:t>careful consideration of which form of institutional structure is most suited to securing the common good in a particula</w:t>
      </w:r>
      <w:r>
        <w:rPr>
          <w:rFonts w:ascii="Times New Roman" w:hAnsi="Times New Roman"/>
          <w:lang w:val="en-US"/>
        </w:rPr>
        <w:t xml:space="preserve">r polity in light of its socio-economic conditions.  Institutional forms are not settled </w:t>
      </w:r>
      <w:r>
        <w:rPr>
          <w:rFonts w:ascii="Times New Roman" w:hAnsi="Times New Roman"/>
          <w:i/>
          <w:iCs/>
          <w:lang w:val="en-US"/>
        </w:rPr>
        <w:t xml:space="preserve">a priori </w:t>
      </w:r>
      <w:r>
        <w:rPr>
          <w:rFonts w:ascii="Times New Roman" w:hAnsi="Times New Roman"/>
          <w:lang w:val="en-US"/>
        </w:rPr>
        <w:t>but involve determination, ideally following painstaking and non-myopic analysis of the trade-offs between different political risks</w:t>
      </w:r>
      <w:r>
        <w:rPr>
          <w:rFonts w:ascii="Times New Roman" w:eastAsia="Times New Roman" w:hAnsi="Times New Roman" w:cs="Times New Roman"/>
          <w:vertAlign w:val="superscript"/>
          <w:lang w:val="en-US"/>
        </w:rPr>
        <w:footnoteReference w:id="116"/>
      </w:r>
      <w:r>
        <w:rPr>
          <w:rFonts w:ascii="Times New Roman" w:hAnsi="Times New Roman"/>
          <w:lang w:val="en-US"/>
        </w:rPr>
        <w:t>—</w:t>
      </w:r>
      <w:r>
        <w:rPr>
          <w:rFonts w:ascii="Times New Roman" w:hAnsi="Times New Roman"/>
          <w:lang w:val="en-US"/>
        </w:rPr>
        <w:t xml:space="preserve">the </w:t>
      </w:r>
      <w:r>
        <w:rPr>
          <w:rFonts w:ascii="Times New Roman" w:hAnsi="Times New Roman"/>
          <w:lang w:val="en-US"/>
        </w:rPr>
        <w:t>“</w:t>
      </w:r>
      <w:r>
        <w:rPr>
          <w:rFonts w:ascii="Times New Roman" w:hAnsi="Times New Roman"/>
          <w:lang w:val="en-US"/>
        </w:rPr>
        <w:t>dangers on a</w:t>
      </w:r>
      <w:r>
        <w:rPr>
          <w:rFonts w:ascii="Times New Roman" w:hAnsi="Times New Roman"/>
          <w:lang w:val="en-US"/>
        </w:rPr>
        <w:t>ll sides</w:t>
      </w:r>
      <w:r>
        <w:rPr>
          <w:rFonts w:ascii="Times New Roman" w:hAnsi="Times New Roman"/>
          <w:lang w:val="en-US"/>
        </w:rPr>
        <w:t xml:space="preserve">” </w:t>
      </w:r>
      <w:r>
        <w:rPr>
          <w:rFonts w:ascii="Times New Roman" w:hAnsi="Times New Roman"/>
          <w:lang w:val="en-US"/>
        </w:rPr>
        <w:t>which invariably attend institutional design, of which thinkers like Aquinas were clearly cognizant.</w:t>
      </w:r>
      <w:r>
        <w:rPr>
          <w:rFonts w:ascii="Times New Roman" w:eastAsia="Times New Roman" w:hAnsi="Times New Roman" w:cs="Times New Roman"/>
          <w:vertAlign w:val="superscript"/>
          <w:lang w:val="en-US"/>
        </w:rPr>
        <w:footnoteReference w:id="117"/>
      </w:r>
    </w:p>
    <w:p w14:paraId="6B35065B"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hAnsi="Times New Roman"/>
          <w:i/>
          <w:iCs/>
          <w:lang w:val="en-US"/>
        </w:rPr>
        <w:t>Rights (properly understood) are critical to common good constitutionalism</w:t>
      </w:r>
    </w:p>
    <w:p w14:paraId="6C41D348"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 xml:space="preserve">Rights are critically important to common good constitutionalism. The crucial distinction, however, between classical legal and modern juristic conceptions involves the </w:t>
      </w:r>
      <w:r>
        <w:rPr>
          <w:rFonts w:ascii="Times New Roman" w:eastAsia="Times New Roman" w:hAnsi="Times New Roman" w:cs="Times New Roman"/>
          <w:lang w:val="en-US"/>
        </w:rPr>
        <w:lastRenderedPageBreak/>
        <w:t xml:space="preserve">question of the </w:t>
      </w:r>
      <w:r>
        <w:rPr>
          <w:rFonts w:ascii="Times New Roman" w:hAnsi="Times New Roman"/>
          <w:i/>
          <w:iCs/>
          <w:lang w:val="en-US"/>
        </w:rPr>
        <w:t>justification</w:t>
      </w:r>
      <w:r>
        <w:rPr>
          <w:rFonts w:ascii="Times New Roman" w:hAnsi="Times New Roman"/>
          <w:lang w:val="en-US"/>
        </w:rPr>
        <w:t xml:space="preserve"> of rights.</w:t>
      </w:r>
      <w:r>
        <w:rPr>
          <w:rFonts w:ascii="Times New Roman" w:eastAsia="Times New Roman" w:hAnsi="Times New Roman" w:cs="Times New Roman"/>
          <w:vertAlign w:val="superscript"/>
          <w:lang w:val="en-US"/>
        </w:rPr>
        <w:footnoteReference w:id="118"/>
      </w:r>
      <w:r>
        <w:rPr>
          <w:rFonts w:ascii="Times New Roman" w:hAnsi="Times New Roman"/>
          <w:lang w:val="en-US"/>
        </w:rPr>
        <w:t xml:space="preserve"> </w:t>
      </w:r>
      <w:r>
        <w:rPr>
          <w:rFonts w:ascii="Times New Roman" w:hAnsi="Times New Roman"/>
          <w:lang w:val="en-US"/>
        </w:rPr>
        <w:t>Even where rights may be held and asserte</w:t>
      </w:r>
      <w:r>
        <w:rPr>
          <w:rFonts w:ascii="Times New Roman" w:hAnsi="Times New Roman"/>
          <w:lang w:val="en-US"/>
        </w:rPr>
        <w:t>d by individuals, such rights may be justified in strictly individualist terms or instead in terms of the common good, which is also the good of individuals, their highest good.</w:t>
      </w:r>
      <w:r>
        <w:rPr>
          <w:rFonts w:ascii="Times New Roman" w:eastAsia="Times New Roman" w:hAnsi="Times New Roman" w:cs="Times New Roman"/>
          <w:vertAlign w:val="superscript"/>
          <w:lang w:val="en-US"/>
        </w:rPr>
        <w:footnoteReference w:id="119"/>
      </w:r>
      <w:r>
        <w:rPr>
          <w:rFonts w:ascii="Times New Roman" w:hAnsi="Times New Roman"/>
          <w:lang w:val="en-US"/>
        </w:rPr>
        <w:t xml:space="preserve"> Property or speech rights, for example, may be justified either on individua</w:t>
      </w:r>
      <w:r>
        <w:rPr>
          <w:rFonts w:ascii="Times New Roman" w:hAnsi="Times New Roman"/>
          <w:lang w:val="en-US"/>
        </w:rPr>
        <w:t>list and autonomy-based grounds, or instead on grounds that emphasize their contribution to the flourishing of the community.</w:t>
      </w:r>
      <w:r>
        <w:rPr>
          <w:rFonts w:ascii="Times New Roman" w:eastAsia="Times New Roman" w:hAnsi="Times New Roman" w:cs="Times New Roman"/>
          <w:vertAlign w:val="superscript"/>
          <w:lang w:val="en-US"/>
        </w:rPr>
        <w:footnoteReference w:id="120"/>
      </w:r>
    </w:p>
    <w:p w14:paraId="5DDEB130"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The latter sort of justification for rights is the ordinary case for the classical account of law. Contemporary accounts of con</w:t>
      </w:r>
      <w:r>
        <w:rPr>
          <w:rFonts w:ascii="Times New Roman" w:eastAsia="Times New Roman" w:hAnsi="Times New Roman" w:cs="Times New Roman"/>
          <w:lang w:val="en-US"/>
        </w:rPr>
        <w:t xml:space="preserve">stitutional rights and of rights adjudication differ from the classical account </w:t>
      </w:r>
      <w:r>
        <w:rPr>
          <w:rFonts w:ascii="Times New Roman" w:hAnsi="Times New Roman"/>
          <w:lang w:val="en-US"/>
        </w:rPr>
        <w:t>“</w:t>
      </w:r>
      <w:r>
        <w:rPr>
          <w:rFonts w:ascii="Times New Roman" w:hAnsi="Times New Roman"/>
          <w:lang w:val="en-US"/>
        </w:rPr>
        <w:t xml:space="preserve">primarily because they have lost sight of the truth that justice, law, and </w:t>
      </w:r>
      <w:proofErr w:type="spellStart"/>
      <w:r>
        <w:rPr>
          <w:rFonts w:ascii="Times New Roman" w:hAnsi="Times New Roman"/>
          <w:i/>
          <w:iCs/>
          <w:lang w:val="en-US"/>
        </w:rPr>
        <w:t>ius</w:t>
      </w:r>
      <w:proofErr w:type="spellEnd"/>
      <w:r>
        <w:rPr>
          <w:rFonts w:ascii="Times New Roman" w:hAnsi="Times New Roman"/>
          <w:lang w:val="en-US"/>
        </w:rPr>
        <w:t xml:space="preserve"> all depend on, and are facets of, a wise or reasoned ordering of individuals to the good.</w:t>
      </w:r>
      <w:r>
        <w:rPr>
          <w:rFonts w:ascii="Times New Roman" w:hAnsi="Times New Roman"/>
          <w:lang w:val="en-US"/>
        </w:rPr>
        <w:t>”</w:t>
      </w:r>
      <w:r>
        <w:rPr>
          <w:rFonts w:ascii="Times New Roman" w:eastAsia="Times New Roman" w:hAnsi="Times New Roman" w:cs="Times New Roman"/>
          <w:vertAlign w:val="superscript"/>
          <w:lang w:val="en-US"/>
        </w:rPr>
        <w:footnoteReference w:id="121"/>
      </w:r>
      <w:r>
        <w:rPr>
          <w:rFonts w:ascii="Times New Roman" w:hAnsi="Times New Roman"/>
          <w:lang w:val="en-US"/>
        </w:rPr>
        <w:t xml:space="preserve"> On </w:t>
      </w:r>
      <w:r>
        <w:rPr>
          <w:rFonts w:ascii="Times New Roman" w:hAnsi="Times New Roman"/>
          <w:lang w:val="en-US"/>
        </w:rPr>
        <w:t xml:space="preserve">the classical conception, rights are </w:t>
      </w:r>
      <w:proofErr w:type="spellStart"/>
      <w:r>
        <w:rPr>
          <w:rFonts w:ascii="Times New Roman" w:hAnsi="Times New Roman"/>
          <w:i/>
          <w:iCs/>
          <w:lang w:val="en-US"/>
        </w:rPr>
        <w:t>iura</w:t>
      </w:r>
      <w:proofErr w:type="spellEnd"/>
      <w:r>
        <w:rPr>
          <w:rFonts w:ascii="Times New Roman" w:hAnsi="Times New Roman"/>
          <w:lang w:val="en-US"/>
        </w:rPr>
        <w:t xml:space="preserve"> (the plural of </w:t>
      </w:r>
      <w:proofErr w:type="spellStart"/>
      <w:r>
        <w:rPr>
          <w:rFonts w:ascii="Times New Roman" w:hAnsi="Times New Roman"/>
          <w:i/>
          <w:iCs/>
          <w:lang w:val="en-US"/>
        </w:rPr>
        <w:t>ius</w:t>
      </w:r>
      <w:proofErr w:type="spellEnd"/>
      <w:r>
        <w:rPr>
          <w:rFonts w:ascii="Times New Roman" w:hAnsi="Times New Roman"/>
          <w:lang w:val="en-US"/>
        </w:rPr>
        <w:t xml:space="preserve">) because </w:t>
      </w:r>
      <w:proofErr w:type="spellStart"/>
      <w:r>
        <w:rPr>
          <w:rFonts w:ascii="Times New Roman" w:hAnsi="Times New Roman"/>
          <w:i/>
          <w:iCs/>
          <w:lang w:val="en-US"/>
        </w:rPr>
        <w:t>ius</w:t>
      </w:r>
      <w:proofErr w:type="spellEnd"/>
      <w:r>
        <w:rPr>
          <w:rFonts w:ascii="Times New Roman" w:hAnsi="Times New Roman"/>
          <w:lang w:val="en-US"/>
        </w:rPr>
        <w:t xml:space="preserve"> is justice</w:t>
      </w:r>
      <w:r>
        <w:rPr>
          <w:rFonts w:ascii="Times New Roman" w:hAnsi="Times New Roman"/>
          <w:lang w:val="en-US"/>
        </w:rPr>
        <w:t>—</w:t>
      </w:r>
      <w:r>
        <w:rPr>
          <w:rFonts w:ascii="Times New Roman" w:hAnsi="Times New Roman"/>
          <w:lang w:val="en-US"/>
        </w:rPr>
        <w:t>affording to each what is due to each. Crucially, what is due to each</w:t>
      </w:r>
      <w:r>
        <w:rPr>
          <w:rFonts w:ascii="Times New Roman" w:hAnsi="Times New Roman"/>
          <w:lang w:val="en-US"/>
        </w:rPr>
        <w:t>—</w:t>
      </w:r>
      <w:r>
        <w:rPr>
          <w:rFonts w:ascii="Times New Roman" w:hAnsi="Times New Roman"/>
          <w:lang w:val="en-US"/>
        </w:rPr>
        <w:t>to individuals, families, associations</w:t>
      </w:r>
      <w:r>
        <w:rPr>
          <w:rFonts w:ascii="Times New Roman" w:hAnsi="Times New Roman"/>
          <w:lang w:val="en-US"/>
        </w:rPr>
        <w:t>—</w:t>
      </w:r>
      <w:r>
        <w:rPr>
          <w:rFonts w:ascii="Times New Roman" w:hAnsi="Times New Roman"/>
          <w:lang w:val="en-US"/>
        </w:rPr>
        <w:t>on the classical view, is itself determined by the common good</w:t>
      </w:r>
      <w:r>
        <w:rPr>
          <w:rFonts w:ascii="Times New Roman" w:hAnsi="Times New Roman"/>
          <w:lang w:val="en-US"/>
        </w:rPr>
        <w:t xml:space="preserve">, right from the ground up. Rights are due to persons as they are states of affairs and arrangements within a polity that are </w:t>
      </w:r>
      <w:r>
        <w:rPr>
          <w:rFonts w:ascii="Times New Roman" w:hAnsi="Times New Roman"/>
          <w:lang w:val="en-US"/>
        </w:rPr>
        <w:t>“</w:t>
      </w:r>
      <w:r>
        <w:rPr>
          <w:rFonts w:ascii="Times New Roman" w:hAnsi="Times New Roman"/>
          <w:lang w:val="en-US"/>
        </w:rPr>
        <w:t>just, in the right</w:t>
      </w:r>
      <w:r>
        <w:rPr>
          <w:rFonts w:ascii="Times New Roman" w:hAnsi="Times New Roman"/>
          <w:lang w:val="en-US"/>
        </w:rPr>
        <w:t>”</w:t>
      </w:r>
      <w:r>
        <w:rPr>
          <w:rFonts w:ascii="Times New Roman" w:eastAsia="Times New Roman" w:hAnsi="Times New Roman" w:cs="Times New Roman"/>
          <w:vertAlign w:val="superscript"/>
          <w:lang w:val="en-US"/>
        </w:rPr>
        <w:footnoteReference w:id="122"/>
      </w:r>
      <w:r>
        <w:rPr>
          <w:rFonts w:ascii="Times New Roman" w:hAnsi="Times New Roman"/>
          <w:lang w:val="en-US"/>
        </w:rPr>
        <w:t xml:space="preserve"> and help conduce to the flourishing of each and all. </w:t>
      </w:r>
    </w:p>
    <w:p w14:paraId="198CECD8" w14:textId="65776E9C"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Here the contrast with prominent strands of liberal t</w:t>
      </w:r>
      <w:r>
        <w:rPr>
          <w:rFonts w:ascii="Times New Roman" w:hAnsi="Times New Roman"/>
          <w:lang w:val="en-US"/>
        </w:rPr>
        <w:t>heory is critical. In mainstream liberal accounts, respect for personal autonomy is the conceptual anchor of individual rights, powers, and liberties.</w:t>
      </w:r>
      <w:r>
        <w:rPr>
          <w:rFonts w:ascii="Times New Roman" w:eastAsia="Times New Roman" w:hAnsi="Times New Roman" w:cs="Times New Roman"/>
          <w:vertAlign w:val="superscript"/>
          <w:lang w:val="en-US"/>
        </w:rPr>
        <w:footnoteReference w:id="123"/>
      </w:r>
      <w:r>
        <w:rPr>
          <w:rFonts w:ascii="Times New Roman" w:hAnsi="Times New Roman"/>
          <w:lang w:val="en-US"/>
        </w:rPr>
        <w:t xml:space="preserve"> The need to respect autonomy on this account often ensures the scope of these rights is interpreted in </w:t>
      </w:r>
      <w:r>
        <w:rPr>
          <w:rFonts w:ascii="Times New Roman" w:hAnsi="Times New Roman"/>
          <w:lang w:val="en-US"/>
        </w:rPr>
        <w:t>an expansive and open-ended manner,</w:t>
      </w:r>
      <w:r>
        <w:rPr>
          <w:rFonts w:ascii="Times New Roman" w:eastAsia="Times New Roman" w:hAnsi="Times New Roman" w:cs="Times New Roman"/>
          <w:vertAlign w:val="superscript"/>
          <w:lang w:val="en-US"/>
        </w:rPr>
        <w:footnoteReference w:id="124"/>
      </w:r>
      <w:r>
        <w:rPr>
          <w:rFonts w:ascii="Times New Roman" w:hAnsi="Times New Roman"/>
          <w:lang w:val="en-US"/>
        </w:rPr>
        <w:t xml:space="preserve"> even if they appear to </w:t>
      </w:r>
      <w:r>
        <w:rPr>
          <w:rFonts w:ascii="Times New Roman" w:hAnsi="Times New Roman"/>
          <w:lang w:val="en-US"/>
        </w:rPr>
        <w:lastRenderedPageBreak/>
        <w:t xml:space="preserve">be prima facie claims to engage in </w:t>
      </w:r>
      <w:r>
        <w:rPr>
          <w:rFonts w:ascii="Times New Roman" w:hAnsi="Times New Roman"/>
          <w:lang w:val="en-US"/>
        </w:rPr>
        <w:t xml:space="preserve">activities </w:t>
      </w:r>
      <w:r>
        <w:rPr>
          <w:rFonts w:ascii="Times New Roman" w:hAnsi="Times New Roman"/>
          <w:lang w:val="en-US"/>
        </w:rPr>
        <w:t xml:space="preserve">which clearly </w:t>
      </w:r>
      <w:r>
        <w:rPr>
          <w:rFonts w:ascii="Times New Roman" w:hAnsi="Times New Roman"/>
          <w:lang w:val="en-US"/>
        </w:rPr>
        <w:t>“</w:t>
      </w:r>
      <w:r>
        <w:rPr>
          <w:rFonts w:ascii="Times New Roman" w:hAnsi="Times New Roman"/>
          <w:lang w:val="en-US"/>
        </w:rPr>
        <w:t>threaten</w:t>
      </w:r>
      <w:r>
        <w:rPr>
          <w:rFonts w:ascii="Times New Roman" w:hAnsi="Times New Roman"/>
          <w:lang w:val="en-US"/>
        </w:rPr>
        <w:t xml:space="preserve"> </w:t>
      </w:r>
      <w:r>
        <w:rPr>
          <w:rFonts w:ascii="Times New Roman" w:hAnsi="Times New Roman"/>
          <w:lang w:val="en-US"/>
        </w:rPr>
        <w:t>the social fabric.</w:t>
      </w:r>
      <w:r>
        <w:rPr>
          <w:rFonts w:ascii="Times New Roman" w:hAnsi="Times New Roman"/>
          <w:lang w:val="en-US"/>
        </w:rPr>
        <w:t>”</w:t>
      </w:r>
      <w:r>
        <w:rPr>
          <w:rFonts w:ascii="Times New Roman" w:eastAsia="Times New Roman" w:hAnsi="Times New Roman" w:cs="Times New Roman"/>
          <w:vertAlign w:val="superscript"/>
          <w:lang w:val="en-US"/>
        </w:rPr>
        <w:footnoteReference w:id="125"/>
      </w:r>
      <w:r>
        <w:rPr>
          <w:rFonts w:ascii="Times New Roman" w:hAnsi="Times New Roman"/>
          <w:lang w:val="en-US"/>
        </w:rPr>
        <w:t xml:space="preserve"> For Webber, it is only a </w:t>
      </w:r>
      <w:r>
        <w:rPr>
          <w:rFonts w:ascii="Times New Roman" w:hAnsi="Times New Roman"/>
          <w:lang w:val="en-US"/>
        </w:rPr>
        <w:t>“</w:t>
      </w:r>
      <w:r>
        <w:rPr>
          <w:rFonts w:ascii="Times New Roman" w:hAnsi="Times New Roman"/>
          <w:lang w:val="en-US"/>
        </w:rPr>
        <w:t>partial exaggeration</w:t>
      </w:r>
      <w:r>
        <w:rPr>
          <w:rFonts w:ascii="Times New Roman" w:hAnsi="Times New Roman"/>
          <w:lang w:val="en-US"/>
        </w:rPr>
        <w:t xml:space="preserve">” </w:t>
      </w:r>
      <w:r>
        <w:rPr>
          <w:rFonts w:ascii="Times New Roman" w:hAnsi="Times New Roman"/>
          <w:lang w:val="en-US"/>
        </w:rPr>
        <w:t xml:space="preserve">to say that some jurists and courts approach rights from the premise that </w:t>
      </w:r>
      <w:r>
        <w:rPr>
          <w:rFonts w:ascii="Times New Roman" w:hAnsi="Times New Roman"/>
          <w:lang w:val="en-US"/>
        </w:rPr>
        <w:t>“</w:t>
      </w:r>
      <w:r>
        <w:rPr>
          <w:rFonts w:ascii="Times New Roman" w:hAnsi="Times New Roman"/>
          <w:lang w:val="en-US"/>
        </w:rPr>
        <w:t xml:space="preserve">each and </w:t>
      </w:r>
      <w:proofErr w:type="spellStart"/>
      <w:r>
        <w:rPr>
          <w:rFonts w:ascii="Times New Roman" w:hAnsi="Times New Roman"/>
          <w:lang w:val="en-US"/>
        </w:rPr>
        <w:t>everyone</w:t>
      </w:r>
      <w:proofErr w:type="spellEnd"/>
      <w:r>
        <w:rPr>
          <w:rFonts w:ascii="Times New Roman" w:hAnsi="Times New Roman"/>
          <w:lang w:val="en-US"/>
        </w:rPr>
        <w:t xml:space="preserve"> has the right to do whatever each and </w:t>
      </w:r>
      <w:proofErr w:type="spellStart"/>
      <w:r>
        <w:rPr>
          <w:rFonts w:ascii="Times New Roman" w:hAnsi="Times New Roman"/>
          <w:lang w:val="en-US"/>
        </w:rPr>
        <w:t>everyone</w:t>
      </w:r>
      <w:proofErr w:type="spellEnd"/>
      <w:r>
        <w:rPr>
          <w:rFonts w:ascii="Times New Roman" w:hAnsi="Times New Roman"/>
          <w:lang w:val="en-US"/>
        </w:rPr>
        <w:t xml:space="preserve"> wishes to do</w:t>
      </w:r>
      <w:r>
        <w:rPr>
          <w:rFonts w:ascii="Times New Roman" w:hAnsi="Times New Roman"/>
          <w:lang w:val="en-US"/>
        </w:rPr>
        <w:t>”</w:t>
      </w:r>
      <w:r>
        <w:rPr>
          <w:rFonts w:ascii="Times New Roman" w:eastAsia="Times New Roman" w:hAnsi="Times New Roman" w:cs="Times New Roman"/>
          <w:vertAlign w:val="superscript"/>
          <w:lang w:val="en-US"/>
        </w:rPr>
        <w:footnoteReference w:id="126"/>
      </w:r>
      <w:r>
        <w:rPr>
          <w:rFonts w:ascii="Times New Roman" w:hAnsi="Times New Roman"/>
          <w:lang w:val="en-US"/>
        </w:rPr>
        <w:t xml:space="preserve"> under broad headings like liberty, privacy, property, speech, and association.</w:t>
      </w:r>
      <w:r>
        <w:rPr>
          <w:rFonts w:ascii="Times New Roman" w:eastAsia="Times New Roman" w:hAnsi="Times New Roman" w:cs="Times New Roman"/>
          <w:vertAlign w:val="superscript"/>
          <w:lang w:val="en-US"/>
        </w:rPr>
        <w:footnoteReference w:id="127"/>
      </w:r>
    </w:p>
    <w:p w14:paraId="32B6C38B" w14:textId="77777777" w:rsidR="00357B22" w:rsidRDefault="00062FEC">
      <w:pPr>
        <w:pStyle w:val="Body"/>
        <w:spacing w:after="20" w:line="480" w:lineRule="auto"/>
        <w:ind w:firstLine="720"/>
        <w:jc w:val="both"/>
        <w:rPr>
          <w:vertAlign w:val="superscript"/>
        </w:rPr>
      </w:pPr>
      <w:r>
        <w:rPr>
          <w:lang w:val="en-US"/>
        </w:rPr>
        <w:t xml:space="preserve">This does </w:t>
      </w:r>
      <w:r>
        <w:rPr>
          <w:lang w:val="en-US"/>
        </w:rPr>
        <w:t>not, of course, mean that rights claims are absolute. Once the scope of a right is ascertained,</w:t>
      </w:r>
      <w:r>
        <w:rPr>
          <w:vertAlign w:val="superscript"/>
        </w:rPr>
        <w:footnoteReference w:id="128"/>
      </w:r>
      <w:r>
        <w:rPr>
          <w:lang w:val="en-US"/>
        </w:rPr>
        <w:t xml:space="preserve"> courts will proceed to probe whether their exercise has been subject to justifiable </w:t>
      </w:r>
      <w:r>
        <w:rPr>
          <w:rtl/>
          <w:lang w:val="ar-SA"/>
        </w:rPr>
        <w:t>“</w:t>
      </w:r>
      <w:proofErr w:type="spellStart"/>
      <w:r>
        <w:rPr>
          <w:lang w:val="fr-FR"/>
        </w:rPr>
        <w:t>interference</w:t>
      </w:r>
      <w:proofErr w:type="spellEnd"/>
      <w:r>
        <w:t xml:space="preserve">” </w:t>
      </w:r>
      <w:r>
        <w:rPr>
          <w:lang w:val="en-US"/>
        </w:rPr>
        <w:t xml:space="preserve">by the State to </w:t>
      </w:r>
      <w:r>
        <w:rPr>
          <w:rtl/>
          <w:lang w:val="ar-SA"/>
        </w:rPr>
        <w:t>“</w:t>
      </w:r>
      <w:r>
        <w:rPr>
          <w:lang w:val="en-US"/>
        </w:rPr>
        <w:t>balance</w:t>
      </w:r>
      <w:r>
        <w:t xml:space="preserve">” </w:t>
      </w:r>
      <w:r>
        <w:rPr>
          <w:lang w:val="en-US"/>
        </w:rPr>
        <w:t xml:space="preserve">conflicting rights, or to advance collective goals in the </w:t>
      </w:r>
      <w:r>
        <w:rPr>
          <w:rtl/>
          <w:lang w:val="ar-SA"/>
        </w:rPr>
        <w:t>“</w:t>
      </w:r>
      <w:r>
        <w:t>public interest.”</w:t>
      </w:r>
      <w:r>
        <w:rPr>
          <w:vertAlign w:val="superscript"/>
        </w:rPr>
        <w:footnoteReference w:id="129"/>
      </w:r>
      <w:r>
        <w:rPr>
          <w:lang w:val="en-US"/>
        </w:rPr>
        <w:t xml:space="preserve"> In practice, Greene notes that in many systems a </w:t>
      </w:r>
      <w:r>
        <w:rPr>
          <w:rtl/>
          <w:lang w:val="ar-SA"/>
        </w:rPr>
        <w:t>“</w:t>
      </w:r>
      <w:r>
        <w:rPr>
          <w:lang w:val="en-US"/>
        </w:rPr>
        <w:t xml:space="preserve">certain promiscuity in declaring rights to exist is accompanied by a certain austerity in elevating interference with </w:t>
      </w:r>
      <w:r>
        <w:rPr>
          <w:lang w:val="en-US"/>
        </w:rPr>
        <w:t>rights into violations of them.</w:t>
      </w:r>
      <w:r>
        <w:t>”</w:t>
      </w:r>
      <w:r>
        <w:rPr>
          <w:vertAlign w:val="superscript"/>
        </w:rPr>
        <w:footnoteReference w:id="130"/>
      </w:r>
    </w:p>
    <w:p w14:paraId="71D838D3" w14:textId="77777777" w:rsidR="00357B22" w:rsidRDefault="00062FEC">
      <w:pPr>
        <w:pStyle w:val="Body"/>
        <w:spacing w:after="20" w:line="480" w:lineRule="auto"/>
        <w:ind w:firstLine="720"/>
        <w:jc w:val="both"/>
      </w:pPr>
      <w:r>
        <w:rPr>
          <w:lang w:val="en-US"/>
        </w:rPr>
        <w:lastRenderedPageBreak/>
        <w:t xml:space="preserve">In American law, the courts say—roughly speaking, but in a typical formulation—that individual rights can be trumped or overridden when there is a </w:t>
      </w:r>
      <w:r>
        <w:rPr>
          <w:rtl/>
          <w:lang w:val="ar-SA"/>
        </w:rPr>
        <w:t>“</w:t>
      </w:r>
      <w:r>
        <w:rPr>
          <w:lang w:val="en-US"/>
        </w:rPr>
        <w:t>compelling governmental interest</w:t>
      </w:r>
      <w:r>
        <w:t xml:space="preserve">” </w:t>
      </w:r>
      <w:r>
        <w:rPr>
          <w:lang w:val="en-US"/>
        </w:rPr>
        <w:t>and the government can show that the la</w:t>
      </w:r>
      <w:r>
        <w:rPr>
          <w:lang w:val="en-US"/>
        </w:rPr>
        <w:t xml:space="preserve">w at issue is the </w:t>
      </w:r>
      <w:r>
        <w:rPr>
          <w:rtl/>
          <w:lang w:val="ar-SA"/>
        </w:rPr>
        <w:t>“</w:t>
      </w:r>
      <w:r>
        <w:rPr>
          <w:lang w:val="en-US"/>
        </w:rPr>
        <w:t xml:space="preserve">least restrictive </w:t>
      </w:r>
      <w:r>
        <w:rPr>
          <w:lang w:val="fr-FR"/>
        </w:rPr>
        <w:t>alternative.</w:t>
      </w:r>
      <w:r>
        <w:t>”</w:t>
      </w:r>
      <w:r>
        <w:rPr>
          <w:vertAlign w:val="superscript"/>
        </w:rPr>
        <w:footnoteReference w:id="131"/>
      </w:r>
      <w:r>
        <w:rPr>
          <w:lang w:val="en-US"/>
        </w:rPr>
        <w:t xml:space="preserve"> The implicit premise of this framework is that the interests of </w:t>
      </w:r>
      <w:r>
        <w:rPr>
          <w:rtl/>
          <w:lang w:val="ar-SA"/>
        </w:rPr>
        <w:t>“</w:t>
      </w:r>
      <w:r>
        <w:rPr>
          <w:lang w:val="en-US"/>
        </w:rPr>
        <w:t>government</w:t>
      </w:r>
      <w:r>
        <w:t xml:space="preserve">” </w:t>
      </w:r>
      <w:r>
        <w:rPr>
          <w:lang w:val="en-US"/>
        </w:rPr>
        <w:t xml:space="preserve">as representative of the political collective, on the one hand, and the rights of individuals on the other are </w:t>
      </w:r>
      <w:r>
        <w:rPr>
          <w:lang w:val="en-US"/>
        </w:rPr>
        <w:t>opposed and must be balanced against each other. It is, implicitly but unmistakably, an aggregative conception of rights.</w:t>
      </w:r>
    </w:p>
    <w:p w14:paraId="1B8AFD5A" w14:textId="77777777" w:rsidR="00357B22" w:rsidRDefault="00062FEC">
      <w:pPr>
        <w:pStyle w:val="Body"/>
        <w:spacing w:after="20" w:line="480" w:lineRule="auto"/>
        <w:ind w:firstLine="720"/>
        <w:jc w:val="both"/>
      </w:pPr>
      <w:r>
        <w:rPr>
          <w:lang w:val="en-US"/>
        </w:rPr>
        <w:t xml:space="preserve">A similar point can be made about the proportionality test that is broadly characteristic of European constitutional and human rights </w:t>
      </w:r>
      <w:r>
        <w:rPr>
          <w:lang w:val="en-US"/>
        </w:rPr>
        <w:t>law.</w:t>
      </w:r>
      <w:r>
        <w:rPr>
          <w:vertAlign w:val="superscript"/>
        </w:rPr>
        <w:footnoteReference w:id="132"/>
      </w:r>
      <w:r>
        <w:rPr>
          <w:lang w:val="en-US"/>
        </w:rPr>
        <w:t xml:space="preserve"> At root the test is designed to provide a rigorous analytical tool for judges and officials to probe whether the </w:t>
      </w:r>
      <w:r>
        <w:rPr>
          <w:rtl/>
          <w:lang w:val="ar-SA"/>
        </w:rPr>
        <w:t>“</w:t>
      </w:r>
      <w:r>
        <w:rPr>
          <w:lang w:val="en-US"/>
        </w:rPr>
        <w:t>interests of society as a whole</w:t>
      </w:r>
      <w:r>
        <w:t xml:space="preserve">” </w:t>
      </w:r>
      <w:r>
        <w:rPr>
          <w:lang w:val="en-US"/>
        </w:rPr>
        <w:t xml:space="preserve">justifiably </w:t>
      </w:r>
      <w:r>
        <w:rPr>
          <w:rtl/>
          <w:lang w:val="ar-SA"/>
        </w:rPr>
        <w:t>“</w:t>
      </w:r>
      <w:r>
        <w:rPr>
          <w:lang w:val="en-US"/>
        </w:rPr>
        <w:t>override the interests of the individual.</w:t>
      </w:r>
      <w:r>
        <w:t>”</w:t>
      </w:r>
      <w:r>
        <w:rPr>
          <w:vertAlign w:val="superscript"/>
        </w:rPr>
        <w:footnoteReference w:id="133"/>
      </w:r>
      <w:r>
        <w:rPr>
          <w:lang w:val="en-US"/>
        </w:rPr>
        <w:t xml:space="preserve"> Under most formulations of the proportionali</w:t>
      </w:r>
      <w:r>
        <w:rPr>
          <w:lang w:val="en-US"/>
        </w:rPr>
        <w:t xml:space="preserve">ty test, roughly speaking, an acknowledged right can be overridden and an interference </w:t>
      </w:r>
      <w:r>
        <w:rPr>
          <w:rtl/>
          <w:lang w:val="ar-SA"/>
        </w:rPr>
        <w:t>“</w:t>
      </w:r>
      <w:r>
        <w:rPr>
          <w:lang w:val="en-US"/>
        </w:rPr>
        <w:t>justified</w:t>
      </w:r>
      <w:r>
        <w:t xml:space="preserve">” </w:t>
      </w:r>
      <w:r>
        <w:rPr>
          <w:lang w:val="en-US"/>
        </w:rPr>
        <w:t>when but only when the government acts in accordance with law, for a legitimate public or democratic aim, in the least intrusive manner necessary, and withou</w:t>
      </w:r>
      <w:r>
        <w:rPr>
          <w:lang w:val="en-US"/>
        </w:rPr>
        <w:t xml:space="preserve">t imposing gratuitous or disproportionate harm on individuals. At the heart of proportionality is a concern for balance: whether the cost of an </w:t>
      </w:r>
      <w:r>
        <w:rPr>
          <w:rtl/>
          <w:lang w:val="ar-SA"/>
        </w:rPr>
        <w:t>“</w:t>
      </w:r>
      <w:r>
        <w:rPr>
          <w:lang w:val="en-US"/>
        </w:rPr>
        <w:t>interference with the right is justified in light of the gain in the protection for the competing right or inte</w:t>
      </w:r>
      <w:r>
        <w:rPr>
          <w:lang w:val="en-US"/>
        </w:rPr>
        <w:t>rest</w:t>
      </w:r>
      <w:r>
        <w:t>”</w:t>
      </w:r>
      <w:r>
        <w:rPr>
          <w:vertAlign w:val="superscript"/>
        </w:rPr>
        <w:footnoteReference w:id="134"/>
      </w:r>
      <w:r>
        <w:t xml:space="preserve"> </w:t>
      </w:r>
      <w:r>
        <w:rPr>
          <w:lang w:val="en-US"/>
        </w:rPr>
        <w:t xml:space="preserve">at stake. </w:t>
      </w:r>
      <w:r>
        <w:rPr>
          <w:lang w:val="en-US"/>
        </w:rPr>
        <w:t xml:space="preserve">Here too, talk of </w:t>
      </w:r>
      <w:r>
        <w:rPr>
          <w:rtl/>
          <w:lang w:val="ar-SA"/>
        </w:rPr>
        <w:t>“</w:t>
      </w:r>
      <w:proofErr w:type="spellStart"/>
      <w:r>
        <w:rPr>
          <w:lang w:val="it-IT"/>
        </w:rPr>
        <w:t>balancing</w:t>
      </w:r>
      <w:proofErr w:type="spellEnd"/>
      <w:r>
        <w:t xml:space="preserve">” </w:t>
      </w:r>
      <w:r>
        <w:rPr>
          <w:lang w:val="en-US"/>
        </w:rPr>
        <w:t>collective and individual interests already betrays a departure from the classical conception.</w:t>
      </w:r>
    </w:p>
    <w:p w14:paraId="3697C997" w14:textId="77777777" w:rsidR="00357B22" w:rsidRDefault="00062FEC">
      <w:pPr>
        <w:pStyle w:val="BodyA"/>
        <w:spacing w:after="20" w:line="480" w:lineRule="auto"/>
        <w:ind w:firstLine="720"/>
        <w:jc w:val="both"/>
        <w:rPr>
          <w:lang w:val="en-US"/>
        </w:rPr>
      </w:pPr>
      <w:r>
        <w:rPr>
          <w:rFonts w:ascii="Times New Roman" w:hAnsi="Times New Roman"/>
          <w:lang w:val="en-US"/>
        </w:rPr>
        <w:lastRenderedPageBreak/>
        <w:t>It is not true, therefore, that liberal legalism takes no account of collective interests. But</w:t>
      </w:r>
      <w:r>
        <w:rPr>
          <w:rFonts w:ascii="Times New Roman" w:hAnsi="Times New Roman"/>
          <w:lang w:val="en-US"/>
        </w:rPr>
        <w:t>—</w:t>
      </w:r>
      <w:r>
        <w:rPr>
          <w:rFonts w:ascii="Times New Roman" w:hAnsi="Times New Roman"/>
          <w:lang w:val="en-US"/>
        </w:rPr>
        <w:t xml:space="preserve">at least in </w:t>
      </w:r>
      <w:r>
        <w:rPr>
          <w:rFonts w:ascii="Times New Roman" w:hAnsi="Times New Roman"/>
          <w:lang w:val="en-US"/>
        </w:rPr>
        <w:t>actually-existing liberalism, reflected in the practice and argument of constitutional courts in liberal regimes,</w:t>
      </w:r>
      <w:r>
        <w:rPr>
          <w:rFonts w:ascii="Times New Roman" w:eastAsia="Times New Roman" w:hAnsi="Times New Roman" w:cs="Times New Roman"/>
          <w:vertAlign w:val="superscript"/>
          <w:lang w:val="en-US"/>
        </w:rPr>
        <w:footnoteReference w:id="135"/>
      </w:r>
      <w:r>
        <w:rPr>
          <w:rFonts w:ascii="Times New Roman" w:hAnsi="Times New Roman"/>
          <w:lang w:val="en-US"/>
        </w:rPr>
        <w:t xml:space="preserve"> as opposed to the recondite nth-decimal liberal theory of the academies</w:t>
      </w:r>
      <w:r>
        <w:rPr>
          <w:rFonts w:ascii="Times New Roman" w:eastAsia="Times New Roman" w:hAnsi="Times New Roman" w:cs="Times New Roman"/>
          <w:vertAlign w:val="superscript"/>
          <w:lang w:val="en-US"/>
        </w:rPr>
        <w:footnoteReference w:id="136"/>
      </w:r>
      <w:r>
        <w:rPr>
          <w:rFonts w:ascii="Times New Roman" w:hAnsi="Times New Roman"/>
          <w:lang w:val="en-US"/>
        </w:rPr>
        <w:t>—</w:t>
      </w:r>
      <w:r>
        <w:rPr>
          <w:rFonts w:ascii="Times New Roman" w:hAnsi="Times New Roman"/>
          <w:lang w:val="en-US"/>
        </w:rPr>
        <w:t xml:space="preserve">it takes account of them (1) </w:t>
      </w:r>
      <w:proofErr w:type="spellStart"/>
      <w:r>
        <w:rPr>
          <w:rFonts w:ascii="Times New Roman" w:hAnsi="Times New Roman"/>
          <w:lang w:val="en-US"/>
        </w:rPr>
        <w:t>aggregatively</w:t>
      </w:r>
      <w:proofErr w:type="spellEnd"/>
      <w:r>
        <w:rPr>
          <w:rFonts w:ascii="Times New Roman" w:hAnsi="Times New Roman"/>
          <w:lang w:val="en-US"/>
        </w:rPr>
        <w:t>, as a summation o</w:t>
      </w:r>
      <w:r>
        <w:rPr>
          <w:rFonts w:ascii="Times New Roman" w:hAnsi="Times New Roman"/>
          <w:lang w:val="en-US"/>
        </w:rPr>
        <w:t>f individual interests (</w:t>
      </w:r>
      <w:r>
        <w:rPr>
          <w:rFonts w:ascii="Times New Roman" w:hAnsi="Times New Roman"/>
          <w:lang w:val="en-US"/>
        </w:rPr>
        <w:t>“</w:t>
      </w:r>
      <w:r>
        <w:rPr>
          <w:rFonts w:ascii="Times New Roman" w:hAnsi="Times New Roman"/>
          <w:lang w:val="en-US"/>
        </w:rPr>
        <w:t xml:space="preserve">weighing the greater good the </w:t>
      </w:r>
      <w:r>
        <w:rPr>
          <w:rFonts w:ascii="Times New Roman" w:hAnsi="Times New Roman"/>
          <w:lang w:val="en-US"/>
        </w:rPr>
        <w:t>‘</w:t>
      </w:r>
      <w:r>
        <w:rPr>
          <w:rFonts w:ascii="Times New Roman" w:hAnsi="Times New Roman"/>
          <w:lang w:val="en-US"/>
        </w:rPr>
        <w:t>interfering</w:t>
      </w:r>
      <w:r>
        <w:rPr>
          <w:rFonts w:ascii="Times New Roman" w:hAnsi="Times New Roman"/>
          <w:lang w:val="en-US"/>
        </w:rPr>
        <w:t xml:space="preserve">’ </w:t>
      </w:r>
      <w:r>
        <w:rPr>
          <w:rFonts w:ascii="Times New Roman" w:hAnsi="Times New Roman"/>
          <w:lang w:val="en-US"/>
        </w:rPr>
        <w:t>measure is purporting to achieve against the harm done to the individual right at issue</w:t>
      </w:r>
      <w:r>
        <w:rPr>
          <w:rFonts w:ascii="Times New Roman" w:hAnsi="Times New Roman"/>
          <w:lang w:val="en-US"/>
        </w:rPr>
        <w:t>”</w:t>
      </w:r>
      <w:r>
        <w:rPr>
          <w:rFonts w:ascii="Times New Roman" w:hAnsi="Times New Roman"/>
          <w:lang w:val="en-US"/>
        </w:rPr>
        <w:t>) or (2) as a collective override to rights justified in individualist terms, as when liberal juris</w:t>
      </w:r>
      <w:r>
        <w:rPr>
          <w:rFonts w:ascii="Times New Roman" w:hAnsi="Times New Roman"/>
          <w:lang w:val="en-US"/>
        </w:rPr>
        <w:t xml:space="preserve">prudence talks of a </w:t>
      </w:r>
      <w:r>
        <w:rPr>
          <w:rFonts w:ascii="Times New Roman" w:hAnsi="Times New Roman"/>
          <w:lang w:val="en-US"/>
        </w:rPr>
        <w:t>“</w:t>
      </w:r>
      <w:r>
        <w:rPr>
          <w:rFonts w:ascii="Times New Roman" w:hAnsi="Times New Roman"/>
          <w:lang w:val="en-US"/>
        </w:rPr>
        <w:t>public order</w:t>
      </w:r>
      <w:r>
        <w:rPr>
          <w:rFonts w:ascii="Times New Roman" w:hAnsi="Times New Roman"/>
          <w:lang w:val="en-US"/>
        </w:rPr>
        <w:t xml:space="preserve">” </w:t>
      </w:r>
      <w:r>
        <w:rPr>
          <w:rFonts w:ascii="Times New Roman" w:hAnsi="Times New Roman"/>
          <w:lang w:val="en-US"/>
        </w:rPr>
        <w:t>override to rights whose scope is determined elsewhere.</w:t>
      </w:r>
      <w:r>
        <w:rPr>
          <w:rFonts w:ascii="Times New Roman" w:eastAsia="Times New Roman" w:hAnsi="Times New Roman" w:cs="Times New Roman"/>
          <w:vertAlign w:val="superscript"/>
          <w:lang w:val="en-US"/>
        </w:rPr>
        <w:footnoteReference w:id="137"/>
      </w:r>
      <w:r>
        <w:rPr>
          <w:rFonts w:ascii="Times New Roman" w:hAnsi="Times New Roman"/>
          <w:lang w:val="en-US"/>
        </w:rPr>
        <w:t xml:space="preserve">  As </w:t>
      </w:r>
      <w:proofErr w:type="spellStart"/>
      <w:r>
        <w:rPr>
          <w:rFonts w:ascii="Times New Roman" w:hAnsi="Times New Roman"/>
          <w:lang w:val="en-US"/>
        </w:rPr>
        <w:t>Yowell</w:t>
      </w:r>
      <w:proofErr w:type="spellEnd"/>
      <w:r>
        <w:rPr>
          <w:rFonts w:ascii="Times New Roman" w:hAnsi="Times New Roman"/>
          <w:lang w:val="en-US"/>
        </w:rPr>
        <w:t xml:space="preserve"> surmises, this approach works from the premise that </w:t>
      </w:r>
      <w:r>
        <w:rPr>
          <w:rFonts w:ascii="Times New Roman" w:hAnsi="Times New Roman"/>
          <w:lang w:val="en-US"/>
        </w:rPr>
        <w:t>“</w:t>
      </w:r>
      <w:r>
        <w:rPr>
          <w:rFonts w:ascii="Times New Roman" w:hAnsi="Times New Roman"/>
          <w:lang w:val="en-US"/>
        </w:rPr>
        <w:t xml:space="preserve">sufficiently strong general or </w:t>
      </w:r>
      <w:r>
        <w:rPr>
          <w:rFonts w:ascii="Times New Roman" w:hAnsi="Times New Roman"/>
          <w:lang w:val="en-US"/>
        </w:rPr>
        <w:t>‘</w:t>
      </w:r>
      <w:r>
        <w:rPr>
          <w:rFonts w:ascii="Times New Roman" w:hAnsi="Times New Roman"/>
          <w:lang w:val="en-US"/>
        </w:rPr>
        <w:t>state</w:t>
      </w:r>
      <w:r>
        <w:rPr>
          <w:rFonts w:ascii="Times New Roman" w:hAnsi="Times New Roman"/>
          <w:lang w:val="en-US"/>
        </w:rPr>
        <w:t xml:space="preserve">’ </w:t>
      </w:r>
      <w:r>
        <w:rPr>
          <w:rFonts w:ascii="Times New Roman" w:hAnsi="Times New Roman"/>
          <w:lang w:val="en-US"/>
        </w:rPr>
        <w:t>interests can override human rights</w:t>
      </w:r>
      <w:r>
        <w:rPr>
          <w:rFonts w:ascii="Times New Roman" w:hAnsi="Times New Roman"/>
          <w:lang w:val="en-US"/>
        </w:rPr>
        <w:t>.</w:t>
      </w:r>
      <w:r>
        <w:rPr>
          <w:rFonts w:ascii="Times New Roman" w:hAnsi="Times New Roman"/>
          <w:lang w:val="en-US"/>
        </w:rPr>
        <w:t>”</w:t>
      </w:r>
      <w:r>
        <w:rPr>
          <w:rFonts w:ascii="Times New Roman" w:eastAsia="Times New Roman" w:hAnsi="Times New Roman" w:cs="Times New Roman"/>
          <w:vertAlign w:val="superscript"/>
          <w:lang w:val="en-US"/>
        </w:rPr>
        <w:footnoteReference w:id="138"/>
      </w:r>
      <w:r>
        <w:rPr>
          <w:rFonts w:ascii="Times New Roman" w:hAnsi="Times New Roman"/>
          <w:lang w:val="en-US"/>
        </w:rPr>
        <w:t xml:space="preserve"> A striking aspect of this way of conceiving of rights and their limits, is that it puts rights squarely in tension with the common good, and the good of individuals in opposition to the common good of the polity.</w:t>
      </w:r>
      <w:r>
        <w:rPr>
          <w:rFonts w:ascii="Times New Roman" w:eastAsia="Times New Roman" w:hAnsi="Times New Roman" w:cs="Times New Roman"/>
          <w:vertAlign w:val="superscript"/>
          <w:lang w:val="en-US"/>
        </w:rPr>
        <w:footnoteReference w:id="139"/>
      </w:r>
      <w:r>
        <w:rPr>
          <w:rFonts w:ascii="Times New Roman" w:hAnsi="Times New Roman"/>
          <w:lang w:val="en-US"/>
        </w:rPr>
        <w:t xml:space="preserve"> </w:t>
      </w:r>
    </w:p>
    <w:p w14:paraId="3DE0603E" w14:textId="77777777" w:rsidR="00357B22" w:rsidRDefault="00062FEC">
      <w:pPr>
        <w:pStyle w:val="BodyA"/>
        <w:spacing w:after="20" w:line="480" w:lineRule="auto"/>
        <w:ind w:firstLine="720"/>
        <w:jc w:val="both"/>
        <w:rPr>
          <w:rFonts w:ascii="Times New Roman" w:eastAsia="Times New Roman" w:hAnsi="Times New Roman" w:cs="Times New Roman"/>
        </w:rPr>
      </w:pPr>
      <w:r>
        <w:rPr>
          <w:rFonts w:ascii="Times New Roman" w:hAnsi="Times New Roman"/>
          <w:lang w:val="en-US"/>
        </w:rPr>
        <w:t xml:space="preserve">The classical conception is entirely different. The common good </w:t>
      </w:r>
      <w:proofErr w:type="gramStart"/>
      <w:r>
        <w:rPr>
          <w:rFonts w:ascii="Times New Roman" w:hAnsi="Times New Roman"/>
          <w:lang w:val="en-US"/>
        </w:rPr>
        <w:t>enters into</w:t>
      </w:r>
      <w:proofErr w:type="gramEnd"/>
      <w:r>
        <w:rPr>
          <w:rFonts w:ascii="Times New Roman" w:hAnsi="Times New Roman"/>
          <w:lang w:val="en-US"/>
        </w:rPr>
        <w:t xml:space="preserve"> the very definition of rights themselves, from the beginning. There is no question of </w:t>
      </w:r>
      <w:r>
        <w:rPr>
          <w:rFonts w:ascii="Times New Roman" w:hAnsi="Times New Roman"/>
          <w:lang w:val="en-US"/>
        </w:rPr>
        <w:t>“</w:t>
      </w:r>
      <w:r>
        <w:rPr>
          <w:rFonts w:ascii="Times New Roman" w:hAnsi="Times New Roman"/>
          <w:lang w:val="en-US"/>
        </w:rPr>
        <w:t>overriding</w:t>
      </w:r>
      <w:r>
        <w:rPr>
          <w:rFonts w:ascii="Times New Roman" w:hAnsi="Times New Roman"/>
          <w:lang w:val="en-US"/>
        </w:rPr>
        <w:t xml:space="preserve">” </w:t>
      </w:r>
      <w:r>
        <w:rPr>
          <w:rFonts w:ascii="Times New Roman" w:hAnsi="Times New Roman"/>
          <w:lang w:val="en-US"/>
        </w:rPr>
        <w:t xml:space="preserve">or </w:t>
      </w:r>
      <w:r>
        <w:rPr>
          <w:rFonts w:ascii="Times New Roman" w:hAnsi="Times New Roman"/>
          <w:lang w:val="en-US"/>
        </w:rPr>
        <w:t>“</w:t>
      </w:r>
      <w:r>
        <w:rPr>
          <w:rFonts w:ascii="Times New Roman" w:hAnsi="Times New Roman"/>
          <w:lang w:val="en-US"/>
        </w:rPr>
        <w:t>interfering</w:t>
      </w:r>
      <w:r>
        <w:rPr>
          <w:rFonts w:ascii="Times New Roman" w:hAnsi="Times New Roman"/>
          <w:lang w:val="en-US"/>
        </w:rPr>
        <w:t xml:space="preserve">” </w:t>
      </w:r>
      <w:r>
        <w:rPr>
          <w:rFonts w:ascii="Times New Roman" w:hAnsi="Times New Roman"/>
          <w:lang w:val="en-US"/>
        </w:rPr>
        <w:t xml:space="preserve">with the rights of individuals and families </w:t>
      </w:r>
      <w:r>
        <w:rPr>
          <w:rFonts w:ascii="Times New Roman" w:hAnsi="Times New Roman"/>
          <w:lang w:val="en-US"/>
        </w:rPr>
        <w:t xml:space="preserve">– </w:t>
      </w:r>
      <w:r>
        <w:rPr>
          <w:rFonts w:ascii="Times New Roman" w:hAnsi="Times New Roman"/>
          <w:lang w:val="en-US"/>
        </w:rPr>
        <w:t xml:space="preserve">what is due to them </w:t>
      </w:r>
      <w:r>
        <w:rPr>
          <w:rFonts w:ascii="Times New Roman" w:hAnsi="Times New Roman"/>
          <w:lang w:val="en-US"/>
        </w:rPr>
        <w:t xml:space="preserve">– </w:t>
      </w:r>
      <w:r>
        <w:rPr>
          <w:rFonts w:ascii="Times New Roman" w:hAnsi="Times New Roman"/>
          <w:lang w:val="en-US"/>
        </w:rPr>
        <w:t>for the common good. Rather it is a question of tailoring the scope of rights to the common good because that is the justification that already animates those rights, at every stage. The i</w:t>
      </w:r>
      <w:r>
        <w:rPr>
          <w:rFonts w:ascii="Times New Roman" w:hAnsi="Times New Roman"/>
          <w:lang w:val="en-US"/>
        </w:rPr>
        <w:t xml:space="preserve">ssue is not balancing, </w:t>
      </w:r>
      <w:r>
        <w:rPr>
          <w:rFonts w:ascii="Times New Roman" w:hAnsi="Times New Roman"/>
          <w:lang w:val="en-US"/>
        </w:rPr>
        <w:lastRenderedPageBreak/>
        <w:t>but reasonable specification and reasonable determination of the right</w:t>
      </w:r>
      <w:r>
        <w:rPr>
          <w:rFonts w:ascii="Times New Roman" w:hAnsi="Times New Roman"/>
          <w:rtl/>
          <w:lang w:val="ar-SA"/>
        </w:rPr>
        <w:t>’</w:t>
      </w:r>
      <w:r>
        <w:rPr>
          <w:rFonts w:ascii="Times New Roman" w:hAnsi="Times New Roman"/>
          <w:lang w:val="en-US"/>
        </w:rPr>
        <w:t>s proper ends and, therefore, its boundaries or limits.</w:t>
      </w:r>
      <w:r>
        <w:rPr>
          <w:rFonts w:ascii="Times New Roman" w:eastAsia="Times New Roman" w:hAnsi="Times New Roman" w:cs="Times New Roman"/>
          <w:vertAlign w:val="superscript"/>
          <w:lang w:val="en-US"/>
        </w:rPr>
        <w:footnoteReference w:id="140"/>
      </w:r>
      <w:r>
        <w:rPr>
          <w:rFonts w:ascii="Times New Roman" w:hAnsi="Times New Roman"/>
          <w:lang w:val="en-US"/>
        </w:rPr>
        <w:t xml:space="preserve"> Deference to the political authority within reasonable limits</w:t>
      </w:r>
      <w:r>
        <w:rPr>
          <w:rFonts w:ascii="Times New Roman" w:hAnsi="Times New Roman"/>
          <w:lang w:val="en-US"/>
        </w:rPr>
        <w:t>—</w:t>
      </w:r>
      <w:r>
        <w:rPr>
          <w:rFonts w:ascii="Times New Roman" w:hAnsi="Times New Roman"/>
          <w:lang w:val="en-US"/>
        </w:rPr>
        <w:t xml:space="preserve">analogous to the </w:t>
      </w:r>
      <w:r>
        <w:rPr>
          <w:rFonts w:ascii="Times New Roman" w:hAnsi="Times New Roman"/>
          <w:rtl/>
          <w:lang w:val="ar-SA"/>
        </w:rPr>
        <w:t>“</w:t>
      </w:r>
      <w:r>
        <w:rPr>
          <w:rFonts w:ascii="Times New Roman" w:hAnsi="Times New Roman"/>
          <w:lang w:val="en-US"/>
        </w:rPr>
        <w:t>margin of appreciation</w:t>
      </w:r>
      <w:r>
        <w:rPr>
          <w:rFonts w:ascii="Times New Roman" w:hAnsi="Times New Roman"/>
          <w:lang w:val="en-US"/>
        </w:rPr>
        <w:t xml:space="preserve">” </w:t>
      </w:r>
      <w:r>
        <w:rPr>
          <w:rFonts w:ascii="Times New Roman" w:hAnsi="Times New Roman"/>
          <w:lang w:val="en-US"/>
        </w:rPr>
        <w:t>of human rights law</w:t>
      </w:r>
      <w:r>
        <w:rPr>
          <w:rFonts w:ascii="Times New Roman" w:hAnsi="Times New Roman"/>
          <w:lang w:val="en-US"/>
        </w:rPr>
        <w:t>—</w:t>
      </w:r>
      <w:r>
        <w:rPr>
          <w:rFonts w:ascii="Times New Roman" w:hAnsi="Times New Roman"/>
          <w:lang w:val="en-US"/>
        </w:rPr>
        <w:t>is built into this conception from the start, rather than tacked on as a controversial addition.</w:t>
      </w:r>
      <w:r>
        <w:rPr>
          <w:rFonts w:ascii="Times New Roman" w:eastAsia="Times New Roman" w:hAnsi="Times New Roman" w:cs="Times New Roman"/>
          <w:vertAlign w:val="superscript"/>
          <w:lang w:val="en-US"/>
        </w:rPr>
        <w:footnoteReference w:id="141"/>
      </w:r>
      <w:r>
        <w:rPr>
          <w:rFonts w:ascii="Times New Roman" w:hAnsi="Times New Roman"/>
          <w:lang w:val="en-US"/>
        </w:rPr>
        <w:t xml:space="preserve"> The common good of family, city, and the nation, as determined (</w:t>
      </w:r>
      <w:r>
        <w:rPr>
          <w:rFonts w:ascii="Times New Roman" w:hAnsi="Times New Roman"/>
          <w:lang w:val="en-US"/>
        </w:rPr>
        <w:t xml:space="preserve">in a </w:t>
      </w:r>
      <w:r>
        <w:rPr>
          <w:rFonts w:ascii="Times New Roman" w:hAnsi="Times New Roman"/>
          <w:lang w:val="en-US"/>
        </w:rPr>
        <w:t>strict sense</w:t>
      </w:r>
      <w:r>
        <w:rPr>
          <w:rFonts w:ascii="Times New Roman" w:hAnsi="Times New Roman"/>
          <w:lang w:val="en-US"/>
        </w:rPr>
        <w:t xml:space="preserve">) by legitimate political authority, is itself the </w:t>
      </w:r>
      <w:r>
        <w:rPr>
          <w:rFonts w:ascii="Times New Roman" w:hAnsi="Times New Roman"/>
          <w:lang w:val="en-US"/>
        </w:rPr>
        <w:t>good of individuals, and rights must be ordered accordingly.</w:t>
      </w:r>
    </w:p>
    <w:p w14:paraId="1941B632" w14:textId="77777777"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But the fact that rights must be ordered to the common good of each and all also means that they act as real limits on legitimate exercises of State power, limits stemming from the need to give t</w:t>
      </w:r>
      <w:r>
        <w:rPr>
          <w:rFonts w:ascii="Times New Roman" w:hAnsi="Times New Roman"/>
          <w:lang w:val="en-US"/>
        </w:rPr>
        <w:t>o each what is their due in order to have a well-ordered and just polity.</w:t>
      </w:r>
      <w:r>
        <w:rPr>
          <w:rFonts w:ascii="Times New Roman" w:eastAsia="Times New Roman" w:hAnsi="Times New Roman" w:cs="Times New Roman"/>
          <w:vertAlign w:val="superscript"/>
          <w:lang w:val="en-US"/>
        </w:rPr>
        <w:footnoteReference w:id="142"/>
      </w:r>
      <w:r>
        <w:rPr>
          <w:rFonts w:ascii="Times New Roman" w:hAnsi="Times New Roman"/>
          <w:lang w:val="en-US"/>
        </w:rPr>
        <w:t xml:space="preserve"> Intrinsic evils are intrinsic evils, and no government may command them, which includes absolute prohibitions on evils such as intentional killing of the innocent, torture, rape</w:t>
      </w:r>
      <w:r>
        <w:rPr>
          <w:rFonts w:ascii="Times New Roman" w:hAnsi="Times New Roman"/>
          <w:lang w:val="en-US"/>
        </w:rPr>
        <w:t>, or slavery. As already discussed, there are also limits on the scope of reasonable determination that stem from a need to respect more open-ended, but still important principles, like the need to respect subsidiarity</w:t>
      </w:r>
      <w:r>
        <w:rPr>
          <w:rFonts w:ascii="Times New Roman" w:eastAsia="Times New Roman" w:hAnsi="Times New Roman" w:cs="Times New Roman"/>
          <w:vertAlign w:val="superscript"/>
          <w:lang w:val="en-US"/>
        </w:rPr>
        <w:footnoteReference w:id="143"/>
      </w:r>
      <w:r>
        <w:rPr>
          <w:rFonts w:ascii="Times New Roman" w:hAnsi="Times New Roman"/>
          <w:lang w:val="en-US"/>
        </w:rPr>
        <w:t xml:space="preserve"> and the fact families and associati</w:t>
      </w:r>
      <w:r>
        <w:rPr>
          <w:rFonts w:ascii="Times New Roman" w:hAnsi="Times New Roman"/>
          <w:lang w:val="en-US"/>
        </w:rPr>
        <w:t xml:space="preserve">ons have </w:t>
      </w:r>
      <w:r>
        <w:rPr>
          <w:rFonts w:ascii="Times New Roman" w:hAnsi="Times New Roman"/>
          <w:lang w:val="en-US"/>
        </w:rPr>
        <w:t>“</w:t>
      </w:r>
      <w:r>
        <w:rPr>
          <w:rFonts w:ascii="Times New Roman" w:hAnsi="Times New Roman"/>
          <w:lang w:val="en-US"/>
        </w:rPr>
        <w:t>partial ends of their own which cannot be permanently absorbed by the higher community.</w:t>
      </w:r>
      <w:r>
        <w:rPr>
          <w:rFonts w:ascii="Times New Roman" w:hAnsi="Times New Roman"/>
          <w:lang w:val="en-US"/>
        </w:rPr>
        <w:t>”</w:t>
      </w:r>
      <w:r>
        <w:rPr>
          <w:rFonts w:ascii="Times New Roman" w:eastAsia="Times New Roman" w:hAnsi="Times New Roman" w:cs="Times New Roman"/>
          <w:vertAlign w:val="superscript"/>
          <w:lang w:val="en-US"/>
        </w:rPr>
        <w:footnoteReference w:id="144"/>
      </w:r>
      <w:r>
        <w:rPr>
          <w:rFonts w:ascii="Times New Roman" w:hAnsi="Times New Roman"/>
          <w:lang w:val="en-US"/>
        </w:rPr>
        <w:t xml:space="preserve"> For example, it is not within the legitimate scope of State power to usurp the primary role of parents as the natural educators and guardians of their chil</w:t>
      </w:r>
      <w:r>
        <w:rPr>
          <w:rFonts w:ascii="Times New Roman" w:hAnsi="Times New Roman"/>
          <w:lang w:val="en-US"/>
        </w:rPr>
        <w:t xml:space="preserve">dren, even if the political authority has the duty to intervene where </w:t>
      </w:r>
      <w:r>
        <w:rPr>
          <w:rFonts w:ascii="Times New Roman" w:hAnsi="Times New Roman"/>
          <w:lang w:val="en-US"/>
        </w:rPr>
        <w:lastRenderedPageBreak/>
        <w:t>they are delinquent in this duty.</w:t>
      </w:r>
      <w:r>
        <w:rPr>
          <w:rFonts w:ascii="Times New Roman" w:eastAsia="Times New Roman" w:hAnsi="Times New Roman" w:cs="Times New Roman"/>
          <w:vertAlign w:val="superscript"/>
          <w:lang w:val="en-US"/>
        </w:rPr>
        <w:footnoteReference w:id="145"/>
      </w:r>
      <w:r>
        <w:rPr>
          <w:rFonts w:ascii="Times New Roman" w:hAnsi="Times New Roman"/>
          <w:lang w:val="en-US"/>
        </w:rPr>
        <w:t xml:space="preserve"> A more general formulation, with a great deal of support in the classical caselaw,</w:t>
      </w:r>
      <w:r>
        <w:rPr>
          <w:rFonts w:ascii="Times New Roman" w:eastAsia="Times New Roman" w:hAnsi="Times New Roman" w:cs="Times New Roman"/>
          <w:vertAlign w:val="superscript"/>
          <w:lang w:val="en-US"/>
        </w:rPr>
        <w:footnoteReference w:id="146"/>
      </w:r>
      <w:r>
        <w:rPr>
          <w:rFonts w:ascii="Times New Roman" w:hAnsi="Times New Roman"/>
          <w:lang w:val="en-US"/>
        </w:rPr>
        <w:t xml:space="preserve"> is that (1) the public authority acting within its jurisdiction a</w:t>
      </w:r>
      <w:r>
        <w:rPr>
          <w:rFonts w:ascii="Times New Roman" w:hAnsi="Times New Roman"/>
          <w:lang w:val="en-US"/>
        </w:rPr>
        <w:t xml:space="preserve">s a matter of </w:t>
      </w:r>
      <w:proofErr w:type="spellStart"/>
      <w:r>
        <w:rPr>
          <w:rFonts w:ascii="Times New Roman" w:hAnsi="Times New Roman"/>
          <w:i/>
          <w:iCs/>
          <w:lang w:val="en-US"/>
        </w:rPr>
        <w:t>ius</w:t>
      </w:r>
      <w:proofErr w:type="spellEnd"/>
      <w:r>
        <w:rPr>
          <w:rFonts w:ascii="Times New Roman" w:hAnsi="Times New Roman"/>
          <w:lang w:val="en-US"/>
        </w:rPr>
        <w:t>, and its constitutional sphere of competence (2) may act on a reasonable conception of the common good (defined by reference to the legitimate ends of government we have discussed) by (3) making reasonable, non-arbitrary determinations ab</w:t>
      </w:r>
      <w:r>
        <w:rPr>
          <w:rFonts w:ascii="Times New Roman" w:hAnsi="Times New Roman"/>
          <w:lang w:val="en-US"/>
        </w:rPr>
        <w:t>out the means to promote its stated public purposes.</w:t>
      </w:r>
      <w:r>
        <w:rPr>
          <w:rFonts w:ascii="Times New Roman" w:eastAsia="Times New Roman" w:hAnsi="Times New Roman" w:cs="Times New Roman"/>
          <w:vertAlign w:val="superscript"/>
          <w:lang w:val="en-US"/>
        </w:rPr>
        <w:footnoteReference w:id="147"/>
      </w:r>
      <w:r>
        <w:rPr>
          <w:rFonts w:ascii="Times New Roman" w:hAnsi="Times New Roman"/>
          <w:lang w:val="en-US"/>
        </w:rPr>
        <w:t xml:space="preserve"> </w:t>
      </w:r>
    </w:p>
    <w:p w14:paraId="6A164EC7" w14:textId="77777777"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Far from being hostile to the concept of rights then, common good constitutionalism provides a sounder conceptual grasp of their source and a more intelligible account of their point than liberal cons</w:t>
      </w:r>
      <w:r>
        <w:rPr>
          <w:rFonts w:ascii="Times New Roman" w:hAnsi="Times New Roman"/>
          <w:lang w:val="en-US"/>
        </w:rPr>
        <w:t>titutionalist approaches</w:t>
      </w:r>
      <w:r>
        <w:rPr>
          <w:rFonts w:ascii="Times New Roman" w:hAnsi="Times New Roman"/>
          <w:lang w:val="en-US"/>
        </w:rPr>
        <w:t>—</w:t>
      </w:r>
      <w:r>
        <w:rPr>
          <w:rFonts w:ascii="Times New Roman" w:hAnsi="Times New Roman"/>
          <w:lang w:val="en-US"/>
        </w:rPr>
        <w:t xml:space="preserve">their contribution to the flourishing of each and all and the political </w:t>
      </w:r>
      <w:proofErr w:type="gramStart"/>
      <w:r>
        <w:rPr>
          <w:rFonts w:ascii="Times New Roman" w:hAnsi="Times New Roman"/>
          <w:lang w:val="en-US"/>
        </w:rPr>
        <w:t>community as a whole</w:t>
      </w:r>
      <w:proofErr w:type="gramEnd"/>
      <w:r>
        <w:rPr>
          <w:rFonts w:ascii="Times New Roman" w:hAnsi="Times New Roman"/>
          <w:lang w:val="en-US"/>
        </w:rPr>
        <w:t>. Liberal constitutionalist accounts, in contrast, are prone in practice to place the good of the individual and the community in constant tension</w:t>
      </w:r>
      <w:r>
        <w:rPr>
          <w:rFonts w:ascii="Times New Roman" w:hAnsi="Times New Roman"/>
          <w:lang w:val="en-US"/>
        </w:rPr>
        <w:t>,</w:t>
      </w:r>
      <w:r>
        <w:rPr>
          <w:rFonts w:ascii="Times New Roman" w:eastAsia="Times New Roman" w:hAnsi="Times New Roman" w:cs="Times New Roman"/>
          <w:vertAlign w:val="superscript"/>
          <w:lang w:val="en-US"/>
        </w:rPr>
        <w:footnoteReference w:id="148"/>
      </w:r>
      <w:r>
        <w:rPr>
          <w:rFonts w:ascii="Times New Roman" w:hAnsi="Times New Roman"/>
          <w:lang w:val="en-US"/>
        </w:rPr>
        <w:t xml:space="preserve"> and risk ca</w:t>
      </w:r>
      <w:r>
        <w:rPr>
          <w:rFonts w:ascii="Times New Roman" w:hAnsi="Times New Roman"/>
          <w:lang w:val="en-US"/>
        </w:rPr>
        <w:t xml:space="preserve">rrying the concept of rights to the </w:t>
      </w:r>
      <w:r>
        <w:rPr>
          <w:rFonts w:ascii="Times New Roman" w:hAnsi="Times New Roman"/>
          <w:lang w:val="en-US"/>
        </w:rPr>
        <w:t>“</w:t>
      </w:r>
      <w:r>
        <w:rPr>
          <w:rFonts w:ascii="Times New Roman" w:hAnsi="Times New Roman"/>
          <w:lang w:val="en-US"/>
        </w:rPr>
        <w:t>point where one</w:t>
      </w:r>
      <w:r>
        <w:rPr>
          <w:rFonts w:ascii="Times New Roman" w:hAnsi="Times New Roman"/>
          <w:lang w:val="en-US"/>
        </w:rPr>
        <w:t>’</w:t>
      </w:r>
      <w:r>
        <w:rPr>
          <w:rFonts w:ascii="Times New Roman" w:hAnsi="Times New Roman"/>
          <w:lang w:val="en-US"/>
        </w:rPr>
        <w:t xml:space="preserve">s being in community is the </w:t>
      </w:r>
      <w:r>
        <w:rPr>
          <w:rFonts w:ascii="Times New Roman" w:hAnsi="Times New Roman"/>
          <w:i/>
          <w:iCs/>
          <w:lang w:val="en-US"/>
        </w:rPr>
        <w:t xml:space="preserve">source </w:t>
      </w:r>
      <w:r>
        <w:rPr>
          <w:rFonts w:ascii="Times New Roman" w:hAnsi="Times New Roman"/>
          <w:lang w:val="en-US"/>
        </w:rPr>
        <w:t>of the infringement of one</w:t>
      </w:r>
      <w:r>
        <w:rPr>
          <w:rFonts w:ascii="Times New Roman" w:hAnsi="Times New Roman"/>
          <w:lang w:val="en-US"/>
        </w:rPr>
        <w:t>’</w:t>
      </w:r>
      <w:r>
        <w:rPr>
          <w:rFonts w:ascii="Times New Roman" w:hAnsi="Times New Roman"/>
          <w:lang w:val="en-US"/>
        </w:rPr>
        <w:t>s right.</w:t>
      </w:r>
      <w:r>
        <w:rPr>
          <w:rFonts w:ascii="Times New Roman" w:hAnsi="Times New Roman"/>
          <w:lang w:val="en-US"/>
        </w:rPr>
        <w:t>”</w:t>
      </w:r>
      <w:r>
        <w:rPr>
          <w:rFonts w:ascii="Times New Roman" w:eastAsia="Times New Roman" w:hAnsi="Times New Roman" w:cs="Times New Roman"/>
          <w:vertAlign w:val="superscript"/>
          <w:lang w:val="en-US"/>
        </w:rPr>
        <w:footnoteReference w:id="149"/>
      </w:r>
    </w:p>
    <w:p w14:paraId="44E51163"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hAnsi="Times New Roman"/>
          <w:i/>
          <w:iCs/>
          <w:lang w:val="en-US"/>
        </w:rPr>
        <w:t>Common good constitutionalism is fatally indeterminate</w:t>
      </w:r>
    </w:p>
    <w:p w14:paraId="22D8E74C" w14:textId="77777777" w:rsidR="00357B22" w:rsidRDefault="00062FEC">
      <w:pPr>
        <w:pStyle w:val="BodyA"/>
        <w:spacing w:after="20" w:line="48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 xml:space="preserve">It is irrelevant that there was, is and will be disagreement between </w:t>
      </w:r>
      <w:r>
        <w:rPr>
          <w:rFonts w:ascii="Times New Roman" w:eastAsia="Times New Roman" w:hAnsi="Times New Roman" w:cs="Times New Roman"/>
          <w:lang w:val="en-US"/>
        </w:rPr>
        <w:t xml:space="preserve">classical lawyers over the content of the common good and </w:t>
      </w:r>
      <w:proofErr w:type="spellStart"/>
      <w:r>
        <w:rPr>
          <w:rFonts w:ascii="Times New Roman" w:hAnsi="Times New Roman"/>
          <w:i/>
          <w:iCs/>
          <w:lang w:val="en-US"/>
        </w:rPr>
        <w:t>ius</w:t>
      </w:r>
      <w:proofErr w:type="spellEnd"/>
      <w:r>
        <w:rPr>
          <w:rFonts w:ascii="Times New Roman" w:hAnsi="Times New Roman"/>
          <w:lang w:val="en-US"/>
        </w:rPr>
        <w:t xml:space="preserve"> in hard cases. The same is chronically true of the positive civil law, indeed of any body of law (whether </w:t>
      </w:r>
      <w:r>
        <w:rPr>
          <w:rFonts w:ascii="Times New Roman" w:hAnsi="Times New Roman"/>
          <w:i/>
          <w:iCs/>
          <w:lang w:val="en-US"/>
        </w:rPr>
        <w:t>lex</w:t>
      </w:r>
      <w:r>
        <w:rPr>
          <w:rFonts w:ascii="Times New Roman" w:hAnsi="Times New Roman"/>
          <w:lang w:val="en-US"/>
        </w:rPr>
        <w:t xml:space="preserve"> or </w:t>
      </w:r>
      <w:proofErr w:type="spellStart"/>
      <w:r>
        <w:rPr>
          <w:rFonts w:ascii="Times New Roman" w:hAnsi="Times New Roman"/>
          <w:i/>
          <w:iCs/>
          <w:lang w:val="en-US"/>
        </w:rPr>
        <w:t>ius</w:t>
      </w:r>
      <w:proofErr w:type="spellEnd"/>
      <w:r>
        <w:rPr>
          <w:rFonts w:ascii="Times New Roman" w:hAnsi="Times New Roman"/>
          <w:lang w:val="en-US"/>
        </w:rPr>
        <w:t xml:space="preserve"> or both) that is more than trivial. Disagreement, by itself, is neither here </w:t>
      </w:r>
      <w:r>
        <w:rPr>
          <w:rFonts w:ascii="Times New Roman" w:hAnsi="Times New Roman"/>
          <w:lang w:val="en-US"/>
        </w:rPr>
        <w:t xml:space="preserve">nor there, and it is hardly unique to </w:t>
      </w:r>
      <w:proofErr w:type="spellStart"/>
      <w:r>
        <w:rPr>
          <w:rFonts w:ascii="Times New Roman" w:hAnsi="Times New Roman"/>
          <w:i/>
          <w:iCs/>
          <w:lang w:val="en-US"/>
        </w:rPr>
        <w:t>ius</w:t>
      </w:r>
      <w:proofErr w:type="spellEnd"/>
      <w:r>
        <w:rPr>
          <w:rFonts w:ascii="Times New Roman" w:hAnsi="Times New Roman"/>
          <w:lang w:val="en-US"/>
        </w:rPr>
        <w:t xml:space="preserve"> or the common good. Every year apex courts across the world give ample illustration that a body of lawyers may split almost down the middle as to the meaning of positive laws, yet without </w:t>
      </w:r>
      <w:r>
        <w:rPr>
          <w:rFonts w:ascii="Times New Roman" w:hAnsi="Times New Roman"/>
          <w:lang w:val="en-US"/>
        </w:rPr>
        <w:lastRenderedPageBreak/>
        <w:t xml:space="preserve">undermining the belief of </w:t>
      </w:r>
      <w:r>
        <w:rPr>
          <w:rFonts w:ascii="Times New Roman" w:hAnsi="Times New Roman"/>
          <w:lang w:val="en-US"/>
        </w:rPr>
        <w:t xml:space="preserve">any of those judges that there is nonetheless a right answer. Ironically, critics who propound the claim that the common good and </w:t>
      </w:r>
      <w:proofErr w:type="spellStart"/>
      <w:r>
        <w:rPr>
          <w:rFonts w:ascii="Times New Roman" w:hAnsi="Times New Roman"/>
          <w:i/>
          <w:iCs/>
          <w:lang w:val="en-US"/>
        </w:rPr>
        <w:t>ius</w:t>
      </w:r>
      <w:proofErr w:type="spellEnd"/>
      <w:r>
        <w:rPr>
          <w:rFonts w:ascii="Times New Roman" w:hAnsi="Times New Roman"/>
          <w:lang w:val="en-US"/>
        </w:rPr>
        <w:t xml:space="preserve"> are fatally indeterminate rarely ask whether the same claim might be made about abstract constitutional texts such as </w:t>
      </w:r>
      <w:r>
        <w:rPr>
          <w:rFonts w:ascii="Times New Roman" w:hAnsi="Times New Roman"/>
          <w:lang w:val="en-US"/>
        </w:rPr>
        <w:t>“</w:t>
      </w:r>
      <w:r>
        <w:rPr>
          <w:rFonts w:ascii="Times New Roman" w:hAnsi="Times New Roman"/>
          <w:lang w:val="en-US"/>
        </w:rPr>
        <w:t>lib</w:t>
      </w:r>
      <w:r>
        <w:rPr>
          <w:rFonts w:ascii="Times New Roman" w:hAnsi="Times New Roman"/>
          <w:lang w:val="en-US"/>
        </w:rPr>
        <w:t>erty</w:t>
      </w:r>
      <w:r>
        <w:rPr>
          <w:rFonts w:ascii="Times New Roman" w:hAnsi="Times New Roman"/>
          <w:lang w:val="en-US"/>
        </w:rPr>
        <w:t xml:space="preserve">” </w:t>
      </w:r>
      <w:r>
        <w:rPr>
          <w:rFonts w:ascii="Times New Roman" w:hAnsi="Times New Roman"/>
          <w:lang w:val="en-US"/>
        </w:rPr>
        <w:t xml:space="preserve">and </w:t>
      </w:r>
      <w:r>
        <w:rPr>
          <w:rFonts w:ascii="Times New Roman" w:hAnsi="Times New Roman"/>
          <w:lang w:val="en-US"/>
        </w:rPr>
        <w:t>“</w:t>
      </w:r>
      <w:r>
        <w:rPr>
          <w:rFonts w:ascii="Times New Roman" w:hAnsi="Times New Roman"/>
          <w:lang w:val="en-US"/>
        </w:rPr>
        <w:t>equality,</w:t>
      </w:r>
      <w:r>
        <w:rPr>
          <w:rFonts w:ascii="Times New Roman" w:hAnsi="Times New Roman"/>
          <w:lang w:val="en-US"/>
        </w:rPr>
        <w:t xml:space="preserve">” </w:t>
      </w:r>
      <w:r>
        <w:rPr>
          <w:rFonts w:ascii="Times New Roman" w:hAnsi="Times New Roman"/>
          <w:lang w:val="en-US"/>
        </w:rPr>
        <w:t>or abstract statutory texts such as the Administrative Procedure Act</w:t>
      </w:r>
      <w:r>
        <w:rPr>
          <w:rFonts w:ascii="Times New Roman" w:hAnsi="Times New Roman"/>
          <w:lang w:val="en-US"/>
        </w:rPr>
        <w:t>’</w:t>
      </w:r>
      <w:r>
        <w:rPr>
          <w:rFonts w:ascii="Times New Roman" w:hAnsi="Times New Roman"/>
          <w:lang w:val="en-US"/>
        </w:rPr>
        <w:t xml:space="preserve">s injunction to overturn agency action that is </w:t>
      </w:r>
      <w:r>
        <w:rPr>
          <w:rFonts w:ascii="Times New Roman" w:hAnsi="Times New Roman"/>
          <w:lang w:val="en-US"/>
        </w:rPr>
        <w:t>“</w:t>
      </w:r>
      <w:r>
        <w:rPr>
          <w:rFonts w:ascii="Times New Roman" w:hAnsi="Times New Roman"/>
          <w:lang w:val="en-US"/>
        </w:rPr>
        <w:t>arbitrary and capricious.</w:t>
      </w:r>
      <w:r>
        <w:rPr>
          <w:rFonts w:ascii="Times New Roman" w:hAnsi="Times New Roman"/>
          <w:lang w:val="en-US"/>
        </w:rPr>
        <w:t xml:space="preserve">” </w:t>
      </w:r>
      <w:r>
        <w:rPr>
          <w:rFonts w:ascii="Times New Roman" w:hAnsi="Times New Roman"/>
          <w:lang w:val="en-US"/>
        </w:rPr>
        <w:t xml:space="preserve">In those settings, the critics generally trust jurists and public authorities to work out </w:t>
      </w:r>
      <w:r>
        <w:rPr>
          <w:rFonts w:ascii="Times New Roman" w:hAnsi="Times New Roman"/>
          <w:lang w:val="en-US"/>
        </w:rPr>
        <w:t>legal principles and doctrines over time, determining the constitutional abstractions in reasonable and attractive ways. In some contexts, in other words, the critics take preliminary indeterminacy as a project to be worked out through jurisprudence, rathe</w:t>
      </w:r>
      <w:r>
        <w:rPr>
          <w:rFonts w:ascii="Times New Roman" w:hAnsi="Times New Roman"/>
          <w:lang w:val="en-US"/>
        </w:rPr>
        <w:t>r than a conclusive objection to any such project. But their concerns are conspicuously selective.</w:t>
      </w:r>
    </w:p>
    <w:p w14:paraId="762E0A66" w14:textId="77777777" w:rsidR="00357B22" w:rsidRDefault="00062FEC">
      <w:pPr>
        <w:pStyle w:val="BodyA"/>
        <w:spacing w:after="20" w:line="480" w:lineRule="auto"/>
        <w:ind w:firstLine="720"/>
        <w:jc w:val="both"/>
        <w:rPr>
          <w:rFonts w:ascii="Times New Roman" w:eastAsia="Times New Roman" w:hAnsi="Times New Roman" w:cs="Times New Roman"/>
          <w:lang w:val="en-US"/>
        </w:rPr>
      </w:pPr>
      <w:r>
        <w:rPr>
          <w:rFonts w:ascii="Times New Roman" w:hAnsi="Times New Roman"/>
          <w:lang w:val="en-US"/>
        </w:rPr>
        <w:t xml:space="preserve">As Richard </w:t>
      </w:r>
      <w:proofErr w:type="spellStart"/>
      <w:r>
        <w:rPr>
          <w:rFonts w:ascii="Times New Roman" w:hAnsi="Times New Roman"/>
          <w:lang w:val="en-US"/>
        </w:rPr>
        <w:t>Helmholz</w:t>
      </w:r>
      <w:proofErr w:type="spellEnd"/>
      <w:r>
        <w:rPr>
          <w:rFonts w:ascii="Times New Roman" w:hAnsi="Times New Roman"/>
          <w:lang w:val="en-US"/>
        </w:rPr>
        <w:t xml:space="preserve"> puts it, partial indeterminacy </w:t>
      </w:r>
      <w:r>
        <w:rPr>
          <w:rFonts w:ascii="Times New Roman" w:hAnsi="Times New Roman"/>
          <w:lang w:val="en-US"/>
        </w:rPr>
        <w:t>“</w:t>
      </w:r>
      <w:r>
        <w:rPr>
          <w:rFonts w:ascii="Times New Roman" w:hAnsi="Times New Roman"/>
          <w:lang w:val="en-US"/>
        </w:rPr>
        <w:t>is true of virtually all fundamental statements of law</w:t>
      </w:r>
      <w:r>
        <w:rPr>
          <w:rFonts w:ascii="Times New Roman" w:hAnsi="Times New Roman"/>
          <w:lang w:val="en-US"/>
        </w:rPr>
        <w:t>—</w:t>
      </w:r>
      <w:r>
        <w:rPr>
          <w:rFonts w:ascii="Times New Roman" w:hAnsi="Times New Roman"/>
          <w:lang w:val="en-US"/>
        </w:rPr>
        <w:t>Magna Carta, the Bible, the United States Constitu</w:t>
      </w:r>
      <w:r>
        <w:rPr>
          <w:rFonts w:ascii="Times New Roman" w:hAnsi="Times New Roman"/>
          <w:lang w:val="en-US"/>
        </w:rPr>
        <w:t>tion, for instance. They have not lost their value or forfeited their respect among lawyers despite long-continued variations in the conclusions to be drawn from their contents.</w:t>
      </w:r>
      <w:r>
        <w:rPr>
          <w:rFonts w:ascii="Times New Roman" w:hAnsi="Times New Roman"/>
          <w:lang w:val="en-US"/>
        </w:rPr>
        <w:t>”</w:t>
      </w:r>
      <w:r>
        <w:rPr>
          <w:rFonts w:ascii="Times New Roman" w:eastAsia="Times New Roman" w:hAnsi="Times New Roman" w:cs="Times New Roman"/>
          <w:vertAlign w:val="superscript"/>
          <w:lang w:val="en-US"/>
        </w:rPr>
        <w:footnoteReference w:id="150"/>
      </w:r>
      <w:r>
        <w:rPr>
          <w:rFonts w:ascii="Times New Roman" w:hAnsi="Times New Roman"/>
          <w:lang w:val="en-US"/>
        </w:rPr>
        <w:t xml:space="preserve"> And, </w:t>
      </w:r>
      <w:proofErr w:type="spellStart"/>
      <w:r>
        <w:rPr>
          <w:rFonts w:ascii="Times New Roman" w:hAnsi="Times New Roman"/>
          <w:lang w:val="en-US"/>
        </w:rPr>
        <w:t>Helmholz</w:t>
      </w:r>
      <w:proofErr w:type="spellEnd"/>
      <w:r>
        <w:rPr>
          <w:rFonts w:ascii="Times New Roman" w:hAnsi="Times New Roman"/>
          <w:lang w:val="en-US"/>
        </w:rPr>
        <w:t xml:space="preserve"> continues, </w:t>
      </w:r>
      <w:r>
        <w:rPr>
          <w:rFonts w:ascii="Times New Roman" w:hAnsi="Times New Roman"/>
          <w:lang w:val="en-US"/>
        </w:rPr>
        <w:t>“</w:t>
      </w:r>
      <w:r>
        <w:rPr>
          <w:rFonts w:ascii="Times New Roman" w:hAnsi="Times New Roman"/>
          <w:lang w:val="en-US"/>
        </w:rPr>
        <w:t>natural law itself did not claim to provide defin</w:t>
      </w:r>
      <w:r>
        <w:rPr>
          <w:rFonts w:ascii="Times New Roman" w:hAnsi="Times New Roman"/>
          <w:lang w:val="en-US"/>
        </w:rPr>
        <w:t>itive answers to most legal questions that arose in practice.</w:t>
      </w:r>
      <w:r>
        <w:rPr>
          <w:rFonts w:ascii="Times New Roman" w:hAnsi="Times New Roman"/>
          <w:lang w:val="en-US"/>
        </w:rPr>
        <w:t>”</w:t>
      </w:r>
      <w:r>
        <w:rPr>
          <w:rFonts w:ascii="Times New Roman" w:eastAsia="Times New Roman" w:hAnsi="Times New Roman" w:cs="Times New Roman"/>
          <w:vertAlign w:val="superscript"/>
          <w:lang w:val="en-US"/>
        </w:rPr>
        <w:footnoteReference w:id="151"/>
      </w:r>
      <w:r>
        <w:rPr>
          <w:rFonts w:ascii="Times New Roman" w:hAnsi="Times New Roman"/>
          <w:lang w:val="en-US"/>
        </w:rPr>
        <w:t xml:space="preserve"> Rather it provides general principles that must be rendered concrete by determination.</w:t>
      </w:r>
    </w:p>
    <w:p w14:paraId="44F01C68" w14:textId="77777777" w:rsidR="00357B22" w:rsidRDefault="00062FEC">
      <w:pPr>
        <w:pStyle w:val="BodyA"/>
        <w:spacing w:after="20" w:line="480" w:lineRule="auto"/>
        <w:jc w:val="both"/>
        <w:rPr>
          <w:rFonts w:ascii="Times New Roman" w:eastAsia="Times New Roman" w:hAnsi="Times New Roman" w:cs="Times New Roman"/>
          <w:vertAlign w:val="superscript"/>
        </w:rPr>
      </w:pPr>
      <w:r>
        <w:rPr>
          <w:rFonts w:ascii="Times New Roman" w:eastAsia="Times New Roman" w:hAnsi="Times New Roman" w:cs="Times New Roman"/>
          <w:lang w:val="en-US"/>
        </w:rPr>
        <w:tab/>
        <w:t xml:space="preserve">In short, the possibility of </w:t>
      </w:r>
      <w:r>
        <w:rPr>
          <w:rFonts w:ascii="Times New Roman" w:hAnsi="Times New Roman"/>
          <w:rtl/>
          <w:lang w:val="ar-SA"/>
        </w:rPr>
        <w:t>“</w:t>
      </w:r>
      <w:r>
        <w:rPr>
          <w:rFonts w:ascii="Times New Roman" w:hAnsi="Times New Roman"/>
          <w:lang w:val="en-US"/>
        </w:rPr>
        <w:t>disagreement</w:t>
      </w:r>
      <w:r>
        <w:rPr>
          <w:rFonts w:ascii="Times New Roman" w:hAnsi="Times New Roman"/>
          <w:lang w:val="en-US"/>
        </w:rPr>
        <w:t xml:space="preserve">” </w:t>
      </w:r>
      <w:r>
        <w:rPr>
          <w:rFonts w:ascii="Times New Roman" w:hAnsi="Times New Roman"/>
          <w:lang w:val="en-US"/>
        </w:rPr>
        <w:t xml:space="preserve">is a typical nirvana fallacy. It implicitly compares an idealized, even fantastic, image of determinate positive text that yields stable meaning, on the one hand, with an exaggerated image of </w:t>
      </w:r>
      <w:proofErr w:type="spellStart"/>
      <w:r>
        <w:rPr>
          <w:rFonts w:ascii="Times New Roman" w:hAnsi="Times New Roman"/>
          <w:i/>
          <w:iCs/>
          <w:lang w:val="en-US"/>
        </w:rPr>
        <w:t>ius</w:t>
      </w:r>
      <w:proofErr w:type="spellEnd"/>
      <w:r>
        <w:rPr>
          <w:rFonts w:ascii="Times New Roman" w:hAnsi="Times New Roman"/>
          <w:i/>
          <w:iCs/>
          <w:lang w:val="en-US"/>
        </w:rPr>
        <w:t xml:space="preserve"> </w:t>
      </w:r>
      <w:r>
        <w:rPr>
          <w:rFonts w:ascii="Times New Roman" w:hAnsi="Times New Roman"/>
          <w:lang w:val="en-US"/>
        </w:rPr>
        <w:t xml:space="preserve">as </w:t>
      </w:r>
      <w:r>
        <w:rPr>
          <w:rFonts w:ascii="Times New Roman" w:hAnsi="Times New Roman"/>
          <w:lang w:val="en-US"/>
        </w:rPr>
        <w:t>“</w:t>
      </w:r>
      <w:r>
        <w:rPr>
          <w:rFonts w:ascii="Times New Roman" w:hAnsi="Times New Roman"/>
          <w:lang w:val="en-US"/>
        </w:rPr>
        <w:t>a sea of competing, unentrenched norms</w:t>
      </w:r>
      <w:r>
        <w:rPr>
          <w:rFonts w:ascii="Times New Roman" w:hAnsi="Times New Roman"/>
          <w:lang w:val="en-US"/>
        </w:rPr>
        <w:t>”</w:t>
      </w:r>
      <w:r>
        <w:rPr>
          <w:rFonts w:ascii="Times New Roman" w:eastAsia="Times New Roman" w:hAnsi="Times New Roman" w:cs="Times New Roman"/>
          <w:vertAlign w:val="superscript"/>
          <w:lang w:val="en-US"/>
        </w:rPr>
        <w:footnoteReference w:id="152"/>
      </w:r>
      <w:r>
        <w:rPr>
          <w:rFonts w:ascii="Times New Roman" w:hAnsi="Times New Roman"/>
          <w:lang w:val="en-US"/>
        </w:rPr>
        <w:t xml:space="preserve"> on the other. </w:t>
      </w:r>
      <w:r>
        <w:rPr>
          <w:rFonts w:ascii="Times New Roman" w:hAnsi="Times New Roman"/>
          <w:lang w:val="en-US"/>
        </w:rPr>
        <w:t xml:space="preserve">It is almost always cast as an objection to classical constitutionalism by those who ignore profound and systematic disagreements over the positive </w:t>
      </w:r>
      <w:r>
        <w:rPr>
          <w:rFonts w:ascii="Times New Roman" w:hAnsi="Times New Roman"/>
          <w:lang w:val="en-US"/>
        </w:rPr>
        <w:lastRenderedPageBreak/>
        <w:t>constitutional law, and over the best interpretive conception of abstract constitutional concepts embodied i</w:t>
      </w:r>
      <w:r>
        <w:rPr>
          <w:rFonts w:ascii="Times New Roman" w:hAnsi="Times New Roman"/>
          <w:lang w:val="en-US"/>
        </w:rPr>
        <w:t xml:space="preserve">n that law, such as </w:t>
      </w:r>
      <w:r>
        <w:rPr>
          <w:rFonts w:ascii="Times New Roman" w:hAnsi="Times New Roman"/>
          <w:rtl/>
          <w:lang w:val="ar-SA"/>
        </w:rPr>
        <w:t>“</w:t>
      </w:r>
      <w:r>
        <w:rPr>
          <w:rFonts w:ascii="Times New Roman" w:hAnsi="Times New Roman"/>
          <w:lang w:val="en-US"/>
        </w:rPr>
        <w:t>liberty</w:t>
      </w:r>
      <w:r>
        <w:rPr>
          <w:rFonts w:ascii="Times New Roman" w:hAnsi="Times New Roman"/>
          <w:lang w:val="en-US"/>
        </w:rPr>
        <w:t xml:space="preserve">” </w:t>
      </w:r>
      <w:r>
        <w:rPr>
          <w:rFonts w:ascii="Times New Roman" w:hAnsi="Times New Roman"/>
          <w:lang w:val="en-US"/>
        </w:rPr>
        <w:t xml:space="preserve">and </w:t>
      </w:r>
      <w:r>
        <w:rPr>
          <w:rFonts w:ascii="Times New Roman" w:hAnsi="Times New Roman"/>
          <w:rtl/>
          <w:lang w:val="ar-SA"/>
        </w:rPr>
        <w:t>“</w:t>
      </w:r>
      <w:r>
        <w:rPr>
          <w:rFonts w:ascii="Times New Roman" w:hAnsi="Times New Roman"/>
          <w:lang w:val="en-US"/>
        </w:rPr>
        <w:t>equality,</w:t>
      </w:r>
      <w:r>
        <w:rPr>
          <w:rFonts w:ascii="Times New Roman" w:hAnsi="Times New Roman"/>
          <w:lang w:val="en-US"/>
        </w:rPr>
        <w:t xml:space="preserve">” </w:t>
      </w:r>
      <w:r>
        <w:rPr>
          <w:rFonts w:ascii="Times New Roman" w:hAnsi="Times New Roman"/>
          <w:lang w:val="en-US"/>
        </w:rPr>
        <w:t>which are ambiguous or can be read at multiple levels of generality. This arbitrarily selective emphasis on disagreement is an infallible sign of ideology.</w:t>
      </w:r>
    </w:p>
    <w:p w14:paraId="78135E30" w14:textId="77777777" w:rsidR="00357B22" w:rsidRDefault="00062FEC">
      <w:pPr>
        <w:pStyle w:val="BodyA"/>
        <w:spacing w:after="20" w:line="480" w:lineRule="auto"/>
        <w:jc w:val="both"/>
        <w:rPr>
          <w:rFonts w:ascii="Times New Roman" w:eastAsia="Times New Roman" w:hAnsi="Times New Roman" w:cs="Times New Roman"/>
          <w:b/>
          <w:bCs/>
          <w:lang w:val="en-US"/>
        </w:rPr>
      </w:pPr>
      <w:r>
        <w:rPr>
          <w:rFonts w:ascii="Times New Roman" w:hAnsi="Times New Roman"/>
          <w:b/>
          <w:bCs/>
          <w:lang w:val="en-US"/>
        </w:rPr>
        <w:t>Conclusion</w:t>
      </w:r>
    </w:p>
    <w:p w14:paraId="1A1144E9" w14:textId="77777777" w:rsidR="00357B22" w:rsidRDefault="00062FEC">
      <w:pPr>
        <w:pStyle w:val="BodyA"/>
        <w:spacing w:after="20" w:line="480" w:lineRule="auto"/>
        <w:jc w:val="both"/>
      </w:pPr>
      <w:r>
        <w:rPr>
          <w:rFonts w:ascii="Times New Roman" w:eastAsia="Times New Roman" w:hAnsi="Times New Roman" w:cs="Times New Roman"/>
          <w:b/>
          <w:bCs/>
          <w:lang w:val="en-US"/>
        </w:rPr>
        <w:tab/>
      </w:r>
      <w:r>
        <w:rPr>
          <w:rFonts w:ascii="Times New Roman" w:hAnsi="Times New Roman"/>
          <w:lang w:val="en-US"/>
        </w:rPr>
        <w:t>Our hope is that critics of common-good co</w:t>
      </w:r>
      <w:r>
        <w:rPr>
          <w:rFonts w:ascii="Times New Roman" w:hAnsi="Times New Roman"/>
          <w:lang w:val="en-US"/>
        </w:rPr>
        <w:t>nstitutionalism will begin to engage more substantively, forswearing the transparently circular and unsuccessful slogans that have appeared so far. Despite almost two years and an enormous outpouring of words, much of the debate has been ersatz. In any rea</w:t>
      </w:r>
      <w:r>
        <w:rPr>
          <w:rFonts w:ascii="Times New Roman" w:hAnsi="Times New Roman"/>
          <w:lang w:val="en-US"/>
        </w:rPr>
        <w:t xml:space="preserve">l sense, the debate has yet to begin. We hope it will do so. </w:t>
      </w:r>
    </w:p>
    <w:sectPr w:rsidR="00357B22">
      <w:headerReference w:type="default" r:id="rId7"/>
      <w:footerReference w:type="default" r:id="rId8"/>
      <w:pgSz w:w="11900" w:h="16840"/>
      <w:pgMar w:top="1440" w:right="1440"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2C6B" w14:textId="77777777" w:rsidR="00062FEC" w:rsidRDefault="00062FEC">
      <w:r>
        <w:separator/>
      </w:r>
    </w:p>
  </w:endnote>
  <w:endnote w:type="continuationSeparator" w:id="0">
    <w:p w14:paraId="56FB5213" w14:textId="77777777" w:rsidR="00062FEC" w:rsidRDefault="0006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9B21" w14:textId="6D64AFF4" w:rsidR="00357B22" w:rsidRDefault="00062FEC">
    <w:pPr>
      <w:pStyle w:val="Footer"/>
      <w:jc w:val="center"/>
    </w:pPr>
    <w:r>
      <w:fldChar w:fldCharType="begin"/>
    </w:r>
    <w:r>
      <w:instrText xml:space="preserve"> PAGE </w:instrText>
    </w:r>
    <w:r>
      <w:fldChar w:fldCharType="separate"/>
    </w:r>
    <w:r w:rsidR="00A744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AD03" w14:textId="77777777" w:rsidR="00062FEC" w:rsidRDefault="00062FEC">
      <w:r>
        <w:separator/>
      </w:r>
    </w:p>
  </w:footnote>
  <w:footnote w:type="continuationSeparator" w:id="0">
    <w:p w14:paraId="4FF48BA7" w14:textId="77777777" w:rsidR="00062FEC" w:rsidRDefault="00062FEC">
      <w:r>
        <w:continuationSeparator/>
      </w:r>
    </w:p>
  </w:footnote>
  <w:footnote w:type="continuationNotice" w:id="1">
    <w:p w14:paraId="1FB6F966" w14:textId="77777777" w:rsidR="00062FEC" w:rsidRDefault="00062FEC"/>
  </w:footnote>
  <w:footnote w:id="2">
    <w:p w14:paraId="28998C4E" w14:textId="4A160E3F" w:rsidR="00357B22" w:rsidRDefault="00062FEC">
      <w:pPr>
        <w:pStyle w:val="FootnoteText"/>
        <w:jc w:val="both"/>
      </w:pPr>
      <w:r>
        <w:rPr>
          <w:rFonts w:ascii="Times New Roman" w:eastAsia="Times New Roman" w:hAnsi="Times New Roman" w:cs="Times New Roman"/>
          <w:b/>
          <w:bCs/>
          <w:vertAlign w:val="superscript"/>
        </w:rPr>
        <w:footnoteRef/>
      </w:r>
      <w:r>
        <w:rPr>
          <w:rFonts w:ascii="Times New Roman" w:hAnsi="Times New Roman"/>
        </w:rPr>
        <w:t xml:space="preserve"> </w:t>
      </w:r>
      <w:r w:rsidR="007D60BD">
        <w:rPr>
          <w:rFonts w:ascii="Times New Roman" w:hAnsi="Times New Roman"/>
        </w:rPr>
        <w:t>Assistant Professor</w:t>
      </w:r>
      <w:r>
        <w:rPr>
          <w:rFonts w:ascii="Times New Roman" w:hAnsi="Times New Roman"/>
        </w:rPr>
        <w:t xml:space="preserve">, University of Liverpool School of Law &amp; Social Justice.  </w:t>
      </w:r>
    </w:p>
  </w:footnote>
  <w:footnote w:id="3">
    <w:p w14:paraId="25A84821" w14:textId="77777777" w:rsidR="00357B22" w:rsidRDefault="00062FEC">
      <w:pPr>
        <w:pStyle w:val="FootnoteText"/>
        <w:jc w:val="both"/>
      </w:pPr>
      <w:r>
        <w:rPr>
          <w:rFonts w:ascii="Times New Roman" w:eastAsia="Times New Roman" w:hAnsi="Times New Roman" w:cs="Times New Roman"/>
          <w:b/>
          <w:bCs/>
          <w:vertAlign w:val="superscript"/>
        </w:rPr>
        <w:footnoteRef/>
      </w:r>
      <w:r>
        <w:rPr>
          <w:rFonts w:ascii="Times New Roman" w:hAnsi="Times New Roman"/>
        </w:rPr>
        <w:t xml:space="preserve"> Ralph S. Tyler, Jr. Professor of Constitutional Law, Harvard Law School. Some of the text in this post is adapted from Professor Vermeule</w:t>
      </w:r>
      <w:r>
        <w:rPr>
          <w:rFonts w:ascii="Times New Roman" w:hAnsi="Times New Roman"/>
        </w:rPr>
        <w:t>’</w:t>
      </w:r>
      <w:r>
        <w:rPr>
          <w:rFonts w:ascii="Times New Roman" w:hAnsi="Times New Roman"/>
        </w:rPr>
        <w:t xml:space="preserve">s book </w:t>
      </w:r>
      <w:r>
        <w:rPr>
          <w:rFonts w:ascii="Times New Roman" w:hAnsi="Times New Roman"/>
          <w:i/>
          <w:iCs/>
        </w:rPr>
        <w:t xml:space="preserve">Common Good Constitutionalism </w:t>
      </w:r>
      <w:r>
        <w:rPr>
          <w:rFonts w:ascii="Times New Roman" w:hAnsi="Times New Roman"/>
        </w:rPr>
        <w:t xml:space="preserve">(forthcoming 2022). A much shorter version of this article was published at the </w:t>
      </w:r>
      <w:r>
        <w:rPr>
          <w:rFonts w:ascii="Times New Roman" w:hAnsi="Times New Roman"/>
          <w:i/>
          <w:iCs/>
        </w:rPr>
        <w:t>Ius et Iustitium</w:t>
      </w:r>
      <w:r>
        <w:rPr>
          <w:rFonts w:ascii="Times New Roman" w:hAnsi="Times New Roman"/>
        </w:rPr>
        <w:t xml:space="preserve"> blog. </w:t>
      </w:r>
      <w:r>
        <w:rPr>
          <w:rFonts w:ascii="Times New Roman" w:hAnsi="Times New Roman"/>
          <w:i/>
          <w:iCs/>
        </w:rPr>
        <w:t>See</w:t>
      </w:r>
      <w:r>
        <w:rPr>
          <w:rFonts w:ascii="Times New Roman" w:hAnsi="Times New Roman"/>
        </w:rPr>
        <w:t xml:space="preserve"> Conor Casey &amp; Adrian Vermeule, </w:t>
      </w:r>
      <w:r>
        <w:rPr>
          <w:rFonts w:ascii="Times New Roman" w:hAnsi="Times New Roman"/>
          <w:i/>
          <w:iCs/>
        </w:rPr>
        <w:t>Myths of Common-Good Constitutionalism</w:t>
      </w:r>
      <w:r>
        <w:rPr>
          <w:rFonts w:ascii="Times New Roman" w:hAnsi="Times New Roman"/>
        </w:rPr>
        <w:t xml:space="preserve">, </w:t>
      </w:r>
      <w:r>
        <w:rPr>
          <w:rFonts w:ascii="Times New Roman" w:hAnsi="Times New Roman"/>
          <w:smallCaps/>
        </w:rPr>
        <w:t>Ius et Iustitium</w:t>
      </w:r>
      <w:r>
        <w:rPr>
          <w:rFonts w:ascii="Times New Roman" w:hAnsi="Times New Roman"/>
        </w:rPr>
        <w:t xml:space="preserve"> (Sept. 9, 2021), </w:t>
      </w:r>
      <w:r>
        <w:rPr>
          <w:rStyle w:val="Link"/>
          <w:rFonts w:ascii="Times New Roman" w:hAnsi="Times New Roman"/>
        </w:rPr>
        <w:t>https://iusetiustitium</w:t>
      </w:r>
      <w:r>
        <w:rPr>
          <w:rFonts w:ascii="Times New Roman" w:hAnsi="Times New Roman"/>
        </w:rPr>
        <w:t>.com/myths-of-common-good-constitutionalism/ [https://perma.cc/VZQ6-M4K6]. The authors would like to t</w:t>
      </w:r>
      <w:r>
        <w:rPr>
          <w:rFonts w:ascii="Times New Roman" w:hAnsi="Times New Roman"/>
        </w:rPr>
        <w:t xml:space="preserve">hank Ethan Harper for excellent research assistance. </w:t>
      </w:r>
      <w:r>
        <w:rPr>
          <w:rFonts w:ascii="Times New Roman" w:hAnsi="Times New Roman"/>
        </w:rPr>
        <w:t xml:space="preserve">The authors would also like to thank John Acton, Sean Coyle, George Duke, Michael </w:t>
      </w:r>
      <w:proofErr w:type="spellStart"/>
      <w:r>
        <w:rPr>
          <w:rFonts w:ascii="Times New Roman" w:hAnsi="Times New Roman"/>
        </w:rPr>
        <w:t>Foran</w:t>
      </w:r>
      <w:proofErr w:type="spellEnd"/>
      <w:r>
        <w:rPr>
          <w:rFonts w:ascii="Times New Roman" w:hAnsi="Times New Roman"/>
        </w:rPr>
        <w:t xml:space="preserve"> and Gr</w:t>
      </w:r>
      <w:r>
        <w:rPr>
          <w:rFonts w:ascii="Times New Roman" w:hAnsi="Times New Roman"/>
        </w:rPr>
        <w:t>é</w:t>
      </w:r>
      <w:r>
        <w:rPr>
          <w:rFonts w:ascii="Times New Roman" w:hAnsi="Times New Roman"/>
        </w:rPr>
        <w:t>goire Webber for their very helpful comments.</w:t>
      </w:r>
    </w:p>
  </w:footnote>
  <w:footnote w:id="4">
    <w:p w14:paraId="43E3F1E1" w14:textId="77777777" w:rsidR="00357B22" w:rsidRDefault="00062FEC">
      <w:pPr>
        <w:pStyle w:val="BodyB"/>
        <w:jc w:val="both"/>
      </w:pPr>
      <w:r>
        <w:rPr>
          <w:vertAlign w:val="superscript"/>
        </w:rPr>
        <w:footnoteRef/>
      </w:r>
      <w:r>
        <w:rPr>
          <w:sz w:val="20"/>
          <w:szCs w:val="20"/>
        </w:rPr>
        <w:t xml:space="preserve"> Use of the “focal case” or “central case” methodology used b</w:t>
      </w:r>
      <w:r>
        <w:rPr>
          <w:sz w:val="20"/>
          <w:szCs w:val="20"/>
        </w:rPr>
        <w:t>y Aristotle, and more recently deployed by Finnis, allows us to distinguish and pick out explanatorily rich expressions of a social phenomenon or practice and contrast them with poor or diluted expressions. For example, distinguishing between rich examples</w:t>
      </w:r>
      <w:r>
        <w:rPr>
          <w:sz w:val="20"/>
          <w:szCs w:val="20"/>
        </w:rPr>
        <w:t xml:space="preserve"> of social practices like friendship, medicine, or argumentation from their impoverished or less rich imitations: “so-called friends,” unscientific quackery, and illogical ramblings. Focal cases help to shed light on the good reasons people have for engagi</w:t>
      </w:r>
      <w:r>
        <w:rPr>
          <w:sz w:val="20"/>
          <w:szCs w:val="20"/>
        </w:rPr>
        <w:t xml:space="preserve">ng in a social practice – the </w:t>
      </w:r>
      <w:r>
        <w:rPr>
          <w:i/>
          <w:iCs/>
          <w:sz w:val="20"/>
          <w:szCs w:val="20"/>
        </w:rPr>
        <w:t xml:space="preserve">purpose </w:t>
      </w:r>
      <w:r>
        <w:rPr>
          <w:sz w:val="20"/>
          <w:szCs w:val="20"/>
        </w:rPr>
        <w:t>motivating it and sustaining it over time. These reasons can then be used to probe why and how some forms of a practice can be seen as diluted or borderline versions. For example, quack medicine hinders, or at least fa</w:t>
      </w:r>
      <w:r>
        <w:rPr>
          <w:sz w:val="20"/>
          <w:szCs w:val="20"/>
        </w:rPr>
        <w:t xml:space="preserve">ils to promote, the good reasons (to secure life and health) people have for engaging in the practice of medicine in the first place, and this sheds light on why quack medicine can be considered an impoverished version of medical practice. Picking out the </w:t>
      </w:r>
      <w:r>
        <w:rPr>
          <w:sz w:val="20"/>
          <w:szCs w:val="20"/>
        </w:rPr>
        <w:t xml:space="preserve">central or focal case of a phenomenon, including law or constitutionalism, therefore requires the theorist to engage with the question of </w:t>
      </w:r>
      <w:r>
        <w:rPr>
          <w:i/>
          <w:iCs/>
          <w:sz w:val="20"/>
          <w:szCs w:val="20"/>
        </w:rPr>
        <w:t>why</w:t>
      </w:r>
      <w:r>
        <w:rPr>
          <w:sz w:val="20"/>
          <w:szCs w:val="20"/>
        </w:rPr>
        <w:t xml:space="preserve"> practices like law and constitutionalism </w:t>
      </w:r>
      <w:proofErr w:type="gramStart"/>
      <w:r>
        <w:rPr>
          <w:sz w:val="20"/>
          <w:szCs w:val="20"/>
        </w:rPr>
        <w:t>are a good thing</w:t>
      </w:r>
      <w:proofErr w:type="gramEnd"/>
      <w:r>
        <w:rPr>
          <w:sz w:val="20"/>
          <w:szCs w:val="20"/>
        </w:rPr>
        <w:t xml:space="preserve"> to have and what kind of </w:t>
      </w:r>
      <w:r>
        <w:rPr>
          <w:i/>
          <w:iCs/>
          <w:sz w:val="20"/>
          <w:szCs w:val="20"/>
        </w:rPr>
        <w:t>reasons</w:t>
      </w:r>
      <w:r>
        <w:rPr>
          <w:sz w:val="20"/>
          <w:szCs w:val="20"/>
        </w:rPr>
        <w:t xml:space="preserve"> would warrant bringing a legal system into being and sustaining it over time, as opposed to opting for other forms of social ordering. In the classical legal tradition, this “why” and these “reasons” are supplied by reference to the need to secure the com</w:t>
      </w:r>
      <w:r>
        <w:rPr>
          <w:sz w:val="20"/>
          <w:szCs w:val="20"/>
        </w:rPr>
        <w:t xml:space="preserve">mon good of each and all – the sources of man’s highest temporal happiness. </w:t>
      </w:r>
      <w:r>
        <w:rPr>
          <w:i/>
          <w:iCs/>
          <w:sz w:val="20"/>
          <w:szCs w:val="20"/>
        </w:rPr>
        <w:t>See</w:t>
      </w:r>
      <w:r>
        <w:rPr>
          <w:sz w:val="20"/>
          <w:szCs w:val="20"/>
        </w:rPr>
        <w:t xml:space="preserve"> </w:t>
      </w:r>
      <w:r>
        <w:rPr>
          <w:smallCaps/>
          <w:sz w:val="20"/>
          <w:szCs w:val="20"/>
        </w:rPr>
        <w:t>John Finnis, Natural Law and Natural Rights</w:t>
      </w:r>
      <w:r>
        <w:rPr>
          <w:sz w:val="20"/>
          <w:szCs w:val="20"/>
        </w:rPr>
        <w:t xml:space="preserve"> Chapter 1 (2d ed. 2011).</w:t>
      </w:r>
    </w:p>
  </w:footnote>
  <w:footnote w:id="5">
    <w:p w14:paraId="1AC3210D" w14:textId="77777777" w:rsidR="00357B22" w:rsidRDefault="00062FEC">
      <w:pPr>
        <w:pStyle w:val="BodyB"/>
        <w:jc w:val="both"/>
      </w:pPr>
      <w:r>
        <w:rPr>
          <w:vertAlign w:val="superscript"/>
        </w:rPr>
        <w:footnoteRef/>
      </w:r>
      <w:r>
        <w:rPr>
          <w:sz w:val="20"/>
          <w:szCs w:val="20"/>
        </w:rPr>
        <w:t xml:space="preserve"> </w:t>
      </w:r>
      <w:r>
        <w:rPr>
          <w:i/>
          <w:iCs/>
          <w:sz w:val="20"/>
          <w:szCs w:val="20"/>
        </w:rPr>
        <w:t>Ius et Iustitium</w:t>
      </w:r>
      <w:r>
        <w:rPr>
          <w:sz w:val="20"/>
          <w:szCs w:val="20"/>
        </w:rPr>
        <w:t xml:space="preserve"> is a legal theory blog which aims to </w:t>
      </w:r>
      <w:r>
        <w:rPr>
          <w:sz w:val="20"/>
          <w:szCs w:val="20"/>
          <w:shd w:val="clear" w:color="auto" w:fill="FFFFFF"/>
        </w:rPr>
        <w:t xml:space="preserve">demonstrate </w:t>
      </w:r>
      <w:r>
        <w:rPr>
          <w:sz w:val="20"/>
          <w:szCs w:val="20"/>
          <w:shd w:val="clear" w:color="auto" w:fill="FFFFFF"/>
          <w:rtl/>
          <w:lang w:val="ar-SA"/>
        </w:rPr>
        <w:t>“</w:t>
      </w:r>
      <w:r>
        <w:rPr>
          <w:sz w:val="20"/>
          <w:szCs w:val="20"/>
          <w:shd w:val="clear" w:color="auto" w:fill="FFFFFF"/>
        </w:rPr>
        <w:t>that the classical legal tradition pro</w:t>
      </w:r>
      <w:r>
        <w:rPr>
          <w:sz w:val="20"/>
          <w:szCs w:val="20"/>
          <w:shd w:val="clear" w:color="auto" w:fill="FFFFFF"/>
        </w:rPr>
        <w:t xml:space="preserve">vides powerful justifications for the rule of law, morality, and social order.” </w:t>
      </w:r>
      <w:r>
        <w:rPr>
          <w:i/>
          <w:iCs/>
          <w:sz w:val="20"/>
          <w:szCs w:val="20"/>
          <w:shd w:val="clear" w:color="auto" w:fill="FFFFFF"/>
        </w:rPr>
        <w:t>About Us</w:t>
      </w:r>
      <w:r>
        <w:rPr>
          <w:sz w:val="20"/>
          <w:szCs w:val="20"/>
          <w:shd w:val="clear" w:color="auto" w:fill="FFFFFF"/>
        </w:rPr>
        <w:t xml:space="preserve">, </w:t>
      </w:r>
      <w:r>
        <w:rPr>
          <w:smallCaps/>
          <w:sz w:val="20"/>
          <w:szCs w:val="20"/>
        </w:rPr>
        <w:t>Ius et Iustitium</w:t>
      </w:r>
      <w:r>
        <w:rPr>
          <w:sz w:val="20"/>
          <w:szCs w:val="20"/>
          <w:shd w:val="clear" w:color="auto" w:fill="FFFFFF"/>
        </w:rPr>
        <w:t xml:space="preserve">, </w:t>
      </w:r>
      <w:r>
        <w:rPr>
          <w:sz w:val="20"/>
          <w:szCs w:val="20"/>
          <w:shd w:val="clear" w:color="auto" w:fill="FFFFFF"/>
        </w:rPr>
        <w:t>https://iusetiustitium.com/about-us/ [https://perma.cc/KT2Z-9JQU] (last visited Dec. 31, 2021)</w:t>
      </w:r>
      <w:r>
        <w:rPr>
          <w:sz w:val="20"/>
          <w:szCs w:val="20"/>
          <w:shd w:val="clear" w:color="auto" w:fill="FFFFFF"/>
        </w:rPr>
        <w:t>.</w:t>
      </w:r>
    </w:p>
  </w:footnote>
  <w:footnote w:id="6">
    <w:p w14:paraId="4AD7C12B" w14:textId="77777777" w:rsidR="00357B22" w:rsidRDefault="00062FEC">
      <w:pPr>
        <w:pStyle w:val="BodyB"/>
        <w:jc w:val="both"/>
      </w:pPr>
      <w:r>
        <w:rPr>
          <w:vertAlign w:val="superscript"/>
        </w:rPr>
        <w:footnoteRef/>
      </w:r>
      <w:r>
        <w:rPr>
          <w:sz w:val="20"/>
          <w:szCs w:val="20"/>
        </w:rPr>
        <w:t xml:space="preserve"> The </w:t>
      </w:r>
      <w:r>
        <w:rPr>
          <w:i/>
          <w:iCs/>
          <w:sz w:val="20"/>
          <w:szCs w:val="20"/>
        </w:rPr>
        <w:t>Common Good Project</w:t>
      </w:r>
      <w:r>
        <w:rPr>
          <w:sz w:val="20"/>
          <w:szCs w:val="20"/>
        </w:rPr>
        <w:t xml:space="preserve"> is a joint initiative of </w:t>
      </w:r>
      <w:proofErr w:type="spellStart"/>
      <w:r>
        <w:rPr>
          <w:sz w:val="20"/>
          <w:szCs w:val="20"/>
        </w:rPr>
        <w:t>B</w:t>
      </w:r>
      <w:r>
        <w:rPr>
          <w:sz w:val="20"/>
          <w:szCs w:val="20"/>
        </w:rPr>
        <w:t>lackfriars</w:t>
      </w:r>
      <w:proofErr w:type="spellEnd"/>
      <w:r>
        <w:rPr>
          <w:sz w:val="20"/>
          <w:szCs w:val="20"/>
        </w:rPr>
        <w:t xml:space="preserve"> College and the Aquinas Institute at the University of Oxford. Its main aim is to </w:t>
      </w:r>
      <w:r>
        <w:rPr>
          <w:sz w:val="20"/>
          <w:szCs w:val="20"/>
          <w:rtl/>
          <w:lang w:val="ar-SA"/>
        </w:rPr>
        <w:t>“</w:t>
      </w:r>
      <w:r>
        <w:rPr>
          <w:sz w:val="20"/>
          <w:szCs w:val="20"/>
        </w:rPr>
        <w:t>foster a discussion of the relationship between law and the common good. The Project explores the notion of common good in law and society from an array of perspe</w:t>
      </w:r>
      <w:r>
        <w:rPr>
          <w:sz w:val="20"/>
          <w:szCs w:val="20"/>
        </w:rPr>
        <w:t xml:space="preserve">ctives.” </w:t>
      </w:r>
      <w:r>
        <w:rPr>
          <w:i/>
          <w:iCs/>
          <w:sz w:val="20"/>
          <w:szCs w:val="20"/>
        </w:rPr>
        <w:t>The Common Good Project</w:t>
      </w:r>
      <w:r>
        <w:rPr>
          <w:sz w:val="20"/>
          <w:szCs w:val="20"/>
        </w:rPr>
        <w:t xml:space="preserve">, </w:t>
      </w:r>
      <w:r>
        <w:rPr>
          <w:smallCaps/>
          <w:sz w:val="20"/>
          <w:szCs w:val="20"/>
        </w:rPr>
        <w:t xml:space="preserve">Univ. of Oxford, Fac. of L., </w:t>
      </w:r>
      <w:r>
        <w:rPr>
          <w:rFonts w:ascii="Arial Unicode MS" w:eastAsia="Arial Unicode MS" w:hAnsi="Arial Unicode MS" w:cs="Arial Unicode MS"/>
          <w:sz w:val="20"/>
          <w:szCs w:val="20"/>
        </w:rPr>
        <w:t>﷟</w:t>
      </w:r>
      <w:r>
        <w:rPr>
          <w:sz w:val="20"/>
          <w:szCs w:val="20"/>
        </w:rPr>
        <w:t>https://www.law.ox.ac.uk/research/common-good-project [https://perma.cc/GN4X-DASY] (last visited Dec. 31, 2021)</w:t>
      </w:r>
      <w:r>
        <w:rPr>
          <w:sz w:val="20"/>
          <w:szCs w:val="20"/>
        </w:rPr>
        <w:t>. For our contributions to the project,</w:t>
      </w:r>
      <w:r>
        <w:rPr>
          <w:i/>
          <w:iCs/>
          <w:sz w:val="20"/>
          <w:szCs w:val="20"/>
        </w:rPr>
        <w:t xml:space="preserve"> </w:t>
      </w:r>
      <w:r>
        <w:rPr>
          <w:sz w:val="20"/>
          <w:szCs w:val="20"/>
        </w:rPr>
        <w:t>s</w:t>
      </w:r>
      <w:r>
        <w:rPr>
          <w:sz w:val="20"/>
          <w:szCs w:val="20"/>
        </w:rPr>
        <w:t xml:space="preserve">ee The Common Good Project, </w:t>
      </w:r>
      <w:r>
        <w:rPr>
          <w:i/>
          <w:iCs/>
          <w:sz w:val="20"/>
          <w:szCs w:val="20"/>
        </w:rPr>
        <w:t>Toward a Common Good Approach to Constitutionalism. A Conversation with Conor Casey</w:t>
      </w:r>
      <w:r>
        <w:rPr>
          <w:sz w:val="20"/>
          <w:szCs w:val="20"/>
        </w:rPr>
        <w:t xml:space="preserve">, </w:t>
      </w:r>
      <w:r>
        <w:rPr>
          <w:smallCaps/>
          <w:sz w:val="20"/>
          <w:szCs w:val="20"/>
        </w:rPr>
        <w:t>YouTube (</w:t>
      </w:r>
      <w:r>
        <w:rPr>
          <w:sz w:val="20"/>
          <w:szCs w:val="20"/>
        </w:rPr>
        <w:t>Mar. 18</w:t>
      </w:r>
      <w:r>
        <w:rPr>
          <w:smallCaps/>
          <w:sz w:val="20"/>
          <w:szCs w:val="20"/>
        </w:rPr>
        <w:t>, 2021),</w:t>
      </w:r>
      <w:r>
        <w:rPr>
          <w:sz w:val="20"/>
          <w:szCs w:val="20"/>
        </w:rPr>
        <w:t xml:space="preserve"> </w:t>
      </w:r>
      <w:r>
        <w:rPr>
          <w:rStyle w:val="Link"/>
        </w:rPr>
        <w:t>https://www</w:t>
      </w:r>
      <w:r>
        <w:rPr>
          <w:sz w:val="20"/>
          <w:szCs w:val="20"/>
        </w:rPr>
        <w:t xml:space="preserve">.youtube.com/watch?v=MpZCKrpE5gw; The Common Good Project, </w:t>
      </w:r>
      <w:proofErr w:type="gramStart"/>
      <w:r>
        <w:rPr>
          <w:i/>
          <w:iCs/>
          <w:sz w:val="20"/>
          <w:szCs w:val="20"/>
        </w:rPr>
        <w:t>What</w:t>
      </w:r>
      <w:proofErr w:type="gramEnd"/>
      <w:r>
        <w:rPr>
          <w:i/>
          <w:iCs/>
          <w:sz w:val="20"/>
          <w:szCs w:val="20"/>
        </w:rPr>
        <w:t xml:space="preserve"> is the Common Good? A Conversation with Adr</w:t>
      </w:r>
      <w:r>
        <w:rPr>
          <w:i/>
          <w:iCs/>
          <w:sz w:val="20"/>
          <w:szCs w:val="20"/>
        </w:rPr>
        <w:t>ian Vermeule</w:t>
      </w:r>
      <w:r>
        <w:rPr>
          <w:sz w:val="20"/>
          <w:szCs w:val="20"/>
        </w:rPr>
        <w:t xml:space="preserve">, </w:t>
      </w:r>
      <w:r>
        <w:rPr>
          <w:smallCaps/>
          <w:sz w:val="20"/>
          <w:szCs w:val="20"/>
        </w:rPr>
        <w:t>YouTube (</w:t>
      </w:r>
      <w:r>
        <w:rPr>
          <w:sz w:val="20"/>
          <w:szCs w:val="20"/>
        </w:rPr>
        <w:t>Feb.</w:t>
      </w:r>
      <w:r>
        <w:rPr>
          <w:smallCaps/>
          <w:sz w:val="20"/>
          <w:szCs w:val="20"/>
        </w:rPr>
        <w:t xml:space="preserve"> 25, 2021),</w:t>
      </w:r>
      <w:r>
        <w:rPr>
          <w:sz w:val="20"/>
          <w:szCs w:val="20"/>
        </w:rPr>
        <w:t xml:space="preserve"> </w:t>
      </w:r>
      <w:r>
        <w:rPr>
          <w:rStyle w:val="Link"/>
        </w:rPr>
        <w:t>https://www</w:t>
      </w:r>
      <w:r>
        <w:rPr>
          <w:sz w:val="20"/>
          <w:szCs w:val="20"/>
        </w:rPr>
        <w:t xml:space="preserve">.youtube.com/watch?v=K89_3Wdi7BA. </w:t>
      </w:r>
    </w:p>
  </w:footnote>
  <w:footnote w:id="7">
    <w:p w14:paraId="521A7978"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Adrian Vermeule, </w:t>
      </w:r>
      <w:r>
        <w:rPr>
          <w:rFonts w:ascii="Times New Roman" w:hAnsi="Times New Roman"/>
          <w:i/>
          <w:iCs/>
        </w:rPr>
        <w:t>Beyond Originalism</w:t>
      </w:r>
      <w:r>
        <w:rPr>
          <w:rFonts w:ascii="Times New Roman" w:hAnsi="Times New Roman"/>
        </w:rPr>
        <w:t xml:space="preserve">, </w:t>
      </w:r>
      <w:r>
        <w:rPr>
          <w:rFonts w:ascii="Times New Roman" w:hAnsi="Times New Roman"/>
          <w:smallCaps/>
        </w:rPr>
        <w:t>The Atlantic</w:t>
      </w:r>
      <w:r>
        <w:rPr>
          <w:rFonts w:ascii="Times New Roman" w:hAnsi="Times New Roman"/>
        </w:rPr>
        <w:t xml:space="preserve"> (Mar. 31, 2020), </w:t>
      </w:r>
      <w:r>
        <w:rPr>
          <w:rFonts w:ascii="Times New Roman" w:hAnsi="Times New Roman"/>
        </w:rPr>
        <w:t>https://www.theatlantic.com/ideas/archive/2020/03/common-good-constitutionalism/609037/ [https://p</w:t>
      </w:r>
      <w:r>
        <w:rPr>
          <w:rFonts w:ascii="Times New Roman" w:hAnsi="Times New Roman"/>
        </w:rPr>
        <w:t>erma.cc/KWB5-DMJH]</w:t>
      </w:r>
      <w:r>
        <w:rPr>
          <w:rFonts w:ascii="Times New Roman" w:hAnsi="Times New Roman"/>
        </w:rPr>
        <w:t xml:space="preserve">. </w:t>
      </w:r>
    </w:p>
  </w:footnote>
  <w:footnote w:id="8">
    <w:p w14:paraId="5CB2CB2E"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 e.g.</w:t>
      </w:r>
      <w:r>
        <w:rPr>
          <w:rFonts w:ascii="Times New Roman" w:hAnsi="Times New Roman"/>
        </w:rPr>
        <w:t xml:space="preserve">, Randy Barnett, </w:t>
      </w:r>
      <w:r>
        <w:rPr>
          <w:rFonts w:ascii="Times New Roman" w:hAnsi="Times New Roman"/>
          <w:i/>
          <w:iCs/>
        </w:rPr>
        <w:t>Common-Good Constitutionalism Reveals the Dangers of Any Non-originalist Approach to the Constitution</w:t>
      </w:r>
      <w:r>
        <w:rPr>
          <w:rFonts w:ascii="Times New Roman" w:hAnsi="Times New Roman"/>
        </w:rPr>
        <w:t xml:space="preserve">, </w:t>
      </w:r>
      <w:r>
        <w:rPr>
          <w:rFonts w:ascii="Times New Roman" w:hAnsi="Times New Roman"/>
          <w:smallCaps/>
        </w:rPr>
        <w:t>The Atlantic</w:t>
      </w:r>
      <w:r>
        <w:rPr>
          <w:rFonts w:ascii="Times New Roman" w:hAnsi="Times New Roman"/>
        </w:rPr>
        <w:t xml:space="preserve">, (Apr. 3, 2020), </w:t>
      </w:r>
      <w:r>
        <w:rPr>
          <w:rStyle w:val="Link"/>
          <w:rFonts w:ascii="Times New Roman" w:hAnsi="Times New Roman"/>
        </w:rPr>
        <w:t>https://www</w:t>
      </w:r>
      <w:r>
        <w:rPr>
          <w:rFonts w:ascii="Times New Roman" w:hAnsi="Times New Roman"/>
        </w:rPr>
        <w:t xml:space="preserve">.theatlantic.com/ideas/archive/2020/04/dangers-any-nonoriginalist-approach-constitution/609382/ [https://perma.cc/NTU7-XDQR]; Richard Epstein, </w:t>
      </w:r>
      <w:r>
        <w:rPr>
          <w:rFonts w:ascii="Times New Roman" w:hAnsi="Times New Roman"/>
          <w:i/>
          <w:iCs/>
        </w:rPr>
        <w:t xml:space="preserve">The Problem with </w:t>
      </w:r>
      <w:r>
        <w:rPr>
          <w:rFonts w:ascii="Times New Roman" w:hAnsi="Times New Roman"/>
          <w:i/>
          <w:iCs/>
        </w:rPr>
        <w:t>“</w:t>
      </w:r>
      <w:r>
        <w:rPr>
          <w:rFonts w:ascii="Times New Roman" w:hAnsi="Times New Roman"/>
          <w:i/>
          <w:iCs/>
        </w:rPr>
        <w:t>Common Good Constitutionalism</w:t>
      </w:r>
      <w:r>
        <w:rPr>
          <w:rFonts w:ascii="Times New Roman" w:hAnsi="Times New Roman"/>
          <w:i/>
          <w:iCs/>
        </w:rPr>
        <w:t>”</w:t>
      </w:r>
      <w:r>
        <w:rPr>
          <w:rFonts w:ascii="Times New Roman" w:hAnsi="Times New Roman"/>
        </w:rPr>
        <w:t xml:space="preserve">, </w:t>
      </w:r>
      <w:r>
        <w:rPr>
          <w:rFonts w:ascii="Times New Roman" w:hAnsi="Times New Roman"/>
          <w:smallCaps/>
        </w:rPr>
        <w:t xml:space="preserve">Hoover Inst. </w:t>
      </w:r>
      <w:r>
        <w:rPr>
          <w:rFonts w:ascii="Times New Roman" w:hAnsi="Times New Roman"/>
        </w:rPr>
        <w:t xml:space="preserve">(Apr. 6 2020), </w:t>
      </w:r>
      <w:r>
        <w:rPr>
          <w:rStyle w:val="Link"/>
          <w:rFonts w:ascii="Times New Roman" w:hAnsi="Times New Roman"/>
        </w:rPr>
        <w:t>https://www</w:t>
      </w:r>
      <w:r>
        <w:rPr>
          <w:rFonts w:ascii="Times New Roman" w:hAnsi="Times New Roman"/>
        </w:rPr>
        <w:t>.hoover.org/research/pro</w:t>
      </w:r>
      <w:r>
        <w:rPr>
          <w:rFonts w:ascii="Times New Roman" w:hAnsi="Times New Roman"/>
        </w:rPr>
        <w:t xml:space="preserve">blem-common-good-constitutionalism [https://perma.cc/PQ88-UXDY]; Jack Balkin, </w:t>
      </w:r>
      <w:r>
        <w:rPr>
          <w:rFonts w:ascii="Times New Roman" w:hAnsi="Times New Roman"/>
          <w:i/>
          <w:iCs/>
        </w:rPr>
        <w:t>Common Good Versus Public Good</w:t>
      </w:r>
      <w:r>
        <w:rPr>
          <w:rFonts w:ascii="Times New Roman" w:hAnsi="Times New Roman"/>
        </w:rPr>
        <w:t>,</w:t>
      </w:r>
      <w:r>
        <w:rPr>
          <w:rFonts w:ascii="Times New Roman" w:hAnsi="Times New Roman"/>
          <w:i/>
          <w:iCs/>
        </w:rPr>
        <w:t xml:space="preserve"> </w:t>
      </w:r>
      <w:r>
        <w:rPr>
          <w:rFonts w:ascii="Times New Roman" w:hAnsi="Times New Roman"/>
          <w:smallCaps/>
        </w:rPr>
        <w:t>Balkinization</w:t>
      </w:r>
      <w:r>
        <w:rPr>
          <w:rFonts w:ascii="Times New Roman" w:hAnsi="Times New Roman"/>
        </w:rPr>
        <w:t xml:space="preserve"> (Apr. 3, 2020), </w:t>
      </w:r>
      <w:r>
        <w:rPr>
          <w:rStyle w:val="Link"/>
          <w:rFonts w:ascii="Times New Roman" w:hAnsi="Times New Roman"/>
        </w:rPr>
        <w:t>https://balkin</w:t>
      </w:r>
      <w:r>
        <w:rPr>
          <w:rFonts w:ascii="Times New Roman" w:hAnsi="Times New Roman"/>
        </w:rPr>
        <w:t>.blogspot.com/2020/04/common-good-versus-public-good.html [https://perma.cc/QA6P-YRBB].</w:t>
      </w:r>
    </w:p>
  </w:footnote>
  <w:footnote w:id="9">
    <w:p w14:paraId="522994B4"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 e.g.</w:t>
      </w:r>
      <w:r>
        <w:rPr>
          <w:rFonts w:ascii="Times New Roman" w:hAnsi="Times New Roman"/>
        </w:rPr>
        <w:t>, G</w:t>
      </w:r>
      <w:r>
        <w:rPr>
          <w:rFonts w:ascii="Times New Roman" w:hAnsi="Times New Roman"/>
        </w:rPr>
        <w:t xml:space="preserve">arrett Epps, </w:t>
      </w:r>
      <w:r>
        <w:rPr>
          <w:rFonts w:ascii="Times New Roman" w:hAnsi="Times New Roman"/>
          <w:i/>
          <w:iCs/>
        </w:rPr>
        <w:t>Common-Good Constitutionalism Is an Idea as Dangerous as They Come,</w:t>
      </w:r>
      <w:r>
        <w:rPr>
          <w:rFonts w:ascii="Times New Roman" w:hAnsi="Times New Roman"/>
        </w:rPr>
        <w:t xml:space="preserve"> </w:t>
      </w:r>
      <w:r>
        <w:rPr>
          <w:rFonts w:ascii="Times New Roman" w:hAnsi="Times New Roman"/>
          <w:smallCaps/>
        </w:rPr>
        <w:t>The Atlantic</w:t>
      </w:r>
      <w:r>
        <w:rPr>
          <w:rFonts w:ascii="Times New Roman" w:hAnsi="Times New Roman"/>
        </w:rPr>
        <w:t xml:space="preserve"> (Apr. 3, 2020), </w:t>
      </w:r>
      <w:r>
        <w:rPr>
          <w:rStyle w:val="Link"/>
          <w:rFonts w:ascii="Times New Roman" w:hAnsi="Times New Roman"/>
        </w:rPr>
        <w:t>https://www</w:t>
      </w:r>
      <w:r>
        <w:rPr>
          <w:rFonts w:ascii="Times New Roman" w:hAnsi="Times New Roman"/>
        </w:rPr>
        <w:t xml:space="preserve">.theatlantic.com/ideas/archive/2020/04/common-good-constitutionalism-dangerous-idea/609385/ [https://perma.cc/L69D-CCVP]; </w:t>
      </w:r>
      <w:proofErr w:type="gramStart"/>
      <w:r>
        <w:rPr>
          <w:rFonts w:ascii="Times New Roman" w:hAnsi="Times New Roman"/>
        </w:rPr>
        <w:t>David  Dyzenhaus</w:t>
      </w:r>
      <w:proofErr w:type="gramEnd"/>
      <w:r>
        <w:rPr>
          <w:rFonts w:ascii="Times New Roman" w:hAnsi="Times New Roman"/>
        </w:rPr>
        <w:t xml:space="preserve">, </w:t>
      </w:r>
      <w:proofErr w:type="spellStart"/>
      <w:r>
        <w:rPr>
          <w:rFonts w:ascii="Times New Roman" w:hAnsi="Times New Roman"/>
          <w:i/>
          <w:iCs/>
        </w:rPr>
        <w:t>Schmitten</w:t>
      </w:r>
      <w:proofErr w:type="spellEnd"/>
      <w:r>
        <w:rPr>
          <w:rFonts w:ascii="Times New Roman" w:hAnsi="Times New Roman"/>
          <w:i/>
          <w:iCs/>
        </w:rPr>
        <w:t xml:space="preserve"> in the USA,</w:t>
      </w:r>
      <w:r>
        <w:rPr>
          <w:rFonts w:ascii="Times New Roman" w:hAnsi="Times New Roman"/>
          <w:smallCaps/>
        </w:rPr>
        <w:t xml:space="preserve"> </w:t>
      </w:r>
      <w:proofErr w:type="spellStart"/>
      <w:r>
        <w:rPr>
          <w:rFonts w:ascii="Times New Roman" w:hAnsi="Times New Roman"/>
          <w:smallCaps/>
        </w:rPr>
        <w:t>Verfassungsblog</w:t>
      </w:r>
      <w:proofErr w:type="spellEnd"/>
      <w:r>
        <w:rPr>
          <w:rFonts w:ascii="Times New Roman" w:hAnsi="Times New Roman"/>
          <w:smallCaps/>
        </w:rPr>
        <w:t xml:space="preserve">: On Matters Const. </w:t>
      </w:r>
      <w:r>
        <w:rPr>
          <w:rFonts w:ascii="Times New Roman" w:hAnsi="Times New Roman"/>
        </w:rPr>
        <w:t xml:space="preserve">(Apr. 4,  2020), </w:t>
      </w:r>
      <w:r>
        <w:rPr>
          <w:rFonts w:ascii="Times New Roman" w:hAnsi="Times New Roman"/>
        </w:rPr>
        <w:t>https://verfassungsblog.de/schmitten-in-th</w:t>
      </w:r>
      <w:r>
        <w:rPr>
          <w:rFonts w:ascii="Times New Roman" w:hAnsi="Times New Roman"/>
        </w:rPr>
        <w:t>e-usa/;</w:t>
      </w:r>
      <w:r>
        <w:rPr>
          <w:rFonts w:ascii="Times New Roman" w:hAnsi="Times New Roman"/>
        </w:rPr>
        <w:t xml:space="preserve"> Blake  Emerson, </w:t>
      </w:r>
      <w:r>
        <w:rPr>
          <w:rFonts w:ascii="Times New Roman" w:hAnsi="Times New Roman"/>
          <w:i/>
          <w:iCs/>
        </w:rPr>
        <w:t>Progressive Democracy and Legislative Form,</w:t>
      </w:r>
      <w:r>
        <w:rPr>
          <w:rFonts w:ascii="Times New Roman" w:hAnsi="Times New Roman"/>
        </w:rPr>
        <w:t xml:space="preserve">  </w:t>
      </w:r>
      <w:r>
        <w:rPr>
          <w:rFonts w:ascii="Times New Roman" w:hAnsi="Times New Roman"/>
          <w:smallCaps/>
        </w:rPr>
        <w:t xml:space="preserve">L. &amp; Pol. Econ. Project </w:t>
      </w:r>
      <w:r>
        <w:rPr>
          <w:rFonts w:ascii="Times New Roman" w:hAnsi="Times New Roman"/>
        </w:rPr>
        <w:t xml:space="preserve">(Apr. 15, 2020), </w:t>
      </w:r>
      <w:r>
        <w:rPr>
          <w:rFonts w:ascii="Times New Roman" w:hAnsi="Times New Roman"/>
        </w:rPr>
        <w:t>https://lpeproject.org/blog/progressive-democracy-and-legislative-form/ [https://perma.cc/S4FP-M3A5].</w:t>
      </w:r>
      <w:r>
        <w:rPr>
          <w:rFonts w:ascii="Times New Roman" w:hAnsi="Times New Roman"/>
        </w:rPr>
        <w:t xml:space="preserve"> </w:t>
      </w:r>
    </w:p>
  </w:footnote>
  <w:footnote w:id="10">
    <w:p w14:paraId="203A93EF"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Conor Casey, </w:t>
      </w:r>
      <w:r>
        <w:rPr>
          <w:rFonts w:ascii="Times New Roman" w:hAnsi="Times New Roman"/>
          <w:i/>
          <w:iCs/>
        </w:rPr>
        <w:t>“</w:t>
      </w:r>
      <w:r>
        <w:rPr>
          <w:rFonts w:ascii="Times New Roman" w:hAnsi="Times New Roman"/>
          <w:i/>
          <w:iCs/>
        </w:rPr>
        <w:t>Common-Good Constitutio</w:t>
      </w:r>
      <w:r>
        <w:rPr>
          <w:rFonts w:ascii="Times New Roman" w:hAnsi="Times New Roman"/>
          <w:i/>
          <w:iCs/>
        </w:rPr>
        <w:t>nalism</w:t>
      </w:r>
      <w:r>
        <w:rPr>
          <w:rFonts w:ascii="Times New Roman" w:hAnsi="Times New Roman"/>
          <w:i/>
          <w:iCs/>
        </w:rPr>
        <w:t xml:space="preserve">” </w:t>
      </w:r>
      <w:r>
        <w:rPr>
          <w:rFonts w:ascii="Times New Roman" w:hAnsi="Times New Roman"/>
          <w:i/>
          <w:iCs/>
        </w:rPr>
        <w:t>and the New Battle Over Constitutional Interpretation in the United States</w:t>
      </w:r>
      <w:r>
        <w:rPr>
          <w:rFonts w:ascii="Times New Roman" w:hAnsi="Times New Roman"/>
        </w:rPr>
        <w:t>,</w:t>
      </w:r>
      <w:r>
        <w:rPr>
          <w:rFonts w:ascii="Times New Roman" w:hAnsi="Times New Roman"/>
          <w:i/>
          <w:iCs/>
        </w:rPr>
        <w:t xml:space="preserve"> </w:t>
      </w:r>
      <w:r>
        <w:rPr>
          <w:rFonts w:ascii="Times New Roman" w:hAnsi="Times New Roman"/>
        </w:rPr>
        <w:t xml:space="preserve">4 </w:t>
      </w:r>
      <w:r>
        <w:rPr>
          <w:rFonts w:ascii="Times New Roman" w:hAnsi="Times New Roman"/>
          <w:smallCaps/>
        </w:rPr>
        <w:t>Pub. L.</w:t>
      </w:r>
      <w:r>
        <w:rPr>
          <w:rFonts w:ascii="Times New Roman" w:hAnsi="Times New Roman"/>
        </w:rPr>
        <w:t xml:space="preserve"> 765 (2021). </w:t>
      </w:r>
    </w:p>
  </w:footnote>
  <w:footnote w:id="11">
    <w:p w14:paraId="024A09CD"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i/>
          <w:iCs/>
        </w:rPr>
        <w:t xml:space="preserve"> See, e.g</w:t>
      </w:r>
      <w:r>
        <w:rPr>
          <w:rFonts w:ascii="Times New Roman" w:hAnsi="Times New Roman"/>
        </w:rPr>
        <w:t>., St</w:t>
      </w:r>
      <w:r>
        <w:rPr>
          <w:rFonts w:ascii="Times New Roman" w:hAnsi="Times New Roman"/>
        </w:rPr>
        <w:t>é</w:t>
      </w:r>
      <w:r>
        <w:rPr>
          <w:rFonts w:ascii="Times New Roman" w:hAnsi="Times New Roman"/>
        </w:rPr>
        <w:t xml:space="preserve">phane </w:t>
      </w:r>
      <w:proofErr w:type="spellStart"/>
      <w:r>
        <w:rPr>
          <w:rFonts w:ascii="Times New Roman" w:hAnsi="Times New Roman"/>
        </w:rPr>
        <w:t>S</w:t>
      </w:r>
      <w:r>
        <w:rPr>
          <w:rFonts w:ascii="Times New Roman" w:hAnsi="Times New Roman"/>
        </w:rPr>
        <w:t>é</w:t>
      </w:r>
      <w:r>
        <w:rPr>
          <w:rFonts w:ascii="Times New Roman" w:hAnsi="Times New Roman"/>
        </w:rPr>
        <w:t>rafin</w:t>
      </w:r>
      <w:proofErr w:type="spellEnd"/>
      <w:r>
        <w:rPr>
          <w:rFonts w:ascii="Times New Roman" w:hAnsi="Times New Roman"/>
        </w:rPr>
        <w:t xml:space="preserve"> et al., </w:t>
      </w:r>
      <w:r>
        <w:rPr>
          <w:rFonts w:ascii="Times New Roman" w:hAnsi="Times New Roman"/>
          <w:i/>
          <w:iCs/>
        </w:rPr>
        <w:t>The Common Good and Legal Interpretation, A Response to Leonid Sirota and Mark Mancini</w:t>
      </w:r>
      <w:r>
        <w:rPr>
          <w:rFonts w:ascii="Times New Roman" w:hAnsi="Times New Roman"/>
        </w:rPr>
        <w:t xml:space="preserve">, 30 </w:t>
      </w:r>
      <w:r>
        <w:rPr>
          <w:rFonts w:ascii="Times New Roman" w:hAnsi="Times New Roman"/>
          <w:smallCaps/>
        </w:rPr>
        <w:t xml:space="preserve">Const. F. </w:t>
      </w:r>
      <w:proofErr w:type="spellStart"/>
      <w:r>
        <w:rPr>
          <w:rFonts w:ascii="Times New Roman" w:hAnsi="Times New Roman"/>
          <w:smallCaps/>
        </w:rPr>
        <w:t>Constitutionnel</w:t>
      </w:r>
      <w:proofErr w:type="spellEnd"/>
      <w:r>
        <w:rPr>
          <w:rFonts w:ascii="Times New Roman" w:hAnsi="Times New Roman"/>
        </w:rPr>
        <w:t xml:space="preserve"> 39 (2021).</w:t>
      </w:r>
    </w:p>
  </w:footnote>
  <w:footnote w:id="12">
    <w:p w14:paraId="6D66A602" w14:textId="77777777" w:rsidR="00357B22" w:rsidRDefault="00062FEC">
      <w:pPr>
        <w:pStyle w:val="Body"/>
        <w:jc w:val="both"/>
      </w:pPr>
      <w:r>
        <w:rPr>
          <w:vertAlign w:val="superscript"/>
          <w:lang w:val="en-US"/>
        </w:rPr>
        <w:footnoteRef/>
      </w:r>
      <w:r>
        <w:rPr>
          <w:sz w:val="20"/>
          <w:szCs w:val="20"/>
        </w:rPr>
        <w:t xml:space="preserve"> </w:t>
      </w:r>
      <w:r>
        <w:rPr>
          <w:i/>
          <w:iCs/>
          <w:sz w:val="20"/>
          <w:szCs w:val="20"/>
          <w:lang w:val="nl-NL"/>
        </w:rPr>
        <w:t>See</w:t>
      </w:r>
      <w:r>
        <w:rPr>
          <w:sz w:val="20"/>
          <w:szCs w:val="20"/>
          <w:lang w:val="de-DE"/>
        </w:rPr>
        <w:t xml:space="preserve"> Michael </w:t>
      </w:r>
      <w:proofErr w:type="spellStart"/>
      <w:r>
        <w:rPr>
          <w:sz w:val="20"/>
          <w:szCs w:val="20"/>
          <w:lang w:val="de-DE"/>
        </w:rPr>
        <w:t>Foran</w:t>
      </w:r>
      <w:proofErr w:type="spellEnd"/>
      <w:r>
        <w:rPr>
          <w:sz w:val="20"/>
          <w:szCs w:val="20"/>
          <w:lang w:val="de-DE"/>
        </w:rPr>
        <w:t xml:space="preserve">, </w:t>
      </w:r>
      <w:r>
        <w:rPr>
          <w:i/>
          <w:iCs/>
          <w:sz w:val="20"/>
          <w:szCs w:val="20"/>
          <w:lang w:val="en-US"/>
        </w:rPr>
        <w:t xml:space="preserve">Rights and the Common Good, </w:t>
      </w:r>
      <w:r>
        <w:rPr>
          <w:smallCaps/>
          <w:sz w:val="20"/>
          <w:szCs w:val="20"/>
          <w:lang w:val="fr-FR"/>
        </w:rPr>
        <w:t>Ius et Iustitium</w:t>
      </w:r>
      <w:r>
        <w:rPr>
          <w:sz w:val="20"/>
          <w:szCs w:val="20"/>
        </w:rPr>
        <w:t xml:space="preserve"> (Sept. 20, 2021), </w:t>
      </w:r>
      <w:r>
        <w:rPr>
          <w:rStyle w:val="Link"/>
          <w:color w:val="000000"/>
          <w:u w:color="000000"/>
        </w:rPr>
        <w:t>https://iusetiustitium.com/rights-and-the-common-good/</w:t>
      </w:r>
      <w:r>
        <w:rPr>
          <w:sz w:val="20"/>
          <w:szCs w:val="20"/>
        </w:rPr>
        <w:t xml:space="preserve"> [https://perma.cc/H684-BNGZ]; Jamie McGowan, </w:t>
      </w:r>
      <w:r>
        <w:rPr>
          <w:i/>
          <w:iCs/>
          <w:sz w:val="20"/>
          <w:szCs w:val="20"/>
          <w:lang w:val="en-US"/>
        </w:rPr>
        <w:t>The Tyranny of Rights,</w:t>
      </w:r>
      <w:r>
        <w:rPr>
          <w:sz w:val="20"/>
          <w:szCs w:val="20"/>
        </w:rPr>
        <w:t xml:space="preserve"> </w:t>
      </w:r>
      <w:r>
        <w:rPr>
          <w:smallCaps/>
          <w:sz w:val="20"/>
          <w:szCs w:val="20"/>
          <w:lang w:val="fr-FR"/>
        </w:rPr>
        <w:t>Ius et Iustitium</w:t>
      </w:r>
      <w:r>
        <w:rPr>
          <w:sz w:val="20"/>
          <w:szCs w:val="20"/>
        </w:rPr>
        <w:t xml:space="preserve"> (Sept</w:t>
      </w:r>
      <w:r>
        <w:rPr>
          <w:sz w:val="20"/>
          <w:szCs w:val="20"/>
        </w:rPr>
        <w:t xml:space="preserve">. 20, 2021), </w:t>
      </w:r>
      <w:r>
        <w:rPr>
          <w:rStyle w:val="Link"/>
          <w:color w:val="000000"/>
          <w:u w:color="000000"/>
          <w:lang w:val="it-IT"/>
        </w:rPr>
        <w:t>https://iusetiustitium</w:t>
      </w:r>
      <w:r>
        <w:rPr>
          <w:sz w:val="20"/>
          <w:szCs w:val="20"/>
          <w:lang w:val="en-US"/>
        </w:rPr>
        <w:t>.com/on-the-tyranny-of-rights/ [https://perma.cc/58N6-FMSD]; Jos</w:t>
      </w:r>
      <w:r>
        <w:rPr>
          <w:sz w:val="20"/>
          <w:szCs w:val="20"/>
          <w:lang w:val="fr-FR"/>
        </w:rPr>
        <w:t xml:space="preserve">é </w:t>
      </w:r>
      <w:r>
        <w:rPr>
          <w:sz w:val="20"/>
          <w:szCs w:val="20"/>
          <w:lang w:val="es-ES_tradnl"/>
        </w:rPr>
        <w:t xml:space="preserve">Ignacio </w:t>
      </w:r>
      <w:proofErr w:type="spellStart"/>
      <w:r>
        <w:rPr>
          <w:sz w:val="20"/>
          <w:szCs w:val="20"/>
          <w:lang w:val="es-ES_tradnl"/>
        </w:rPr>
        <w:t>Hern</w:t>
      </w:r>
      <w:r>
        <w:rPr>
          <w:sz w:val="20"/>
          <w:szCs w:val="20"/>
        </w:rPr>
        <w:t>ández</w:t>
      </w:r>
      <w:proofErr w:type="spellEnd"/>
      <w:r>
        <w:rPr>
          <w:sz w:val="20"/>
          <w:szCs w:val="20"/>
        </w:rPr>
        <w:t xml:space="preserve"> G., </w:t>
      </w:r>
      <w:r>
        <w:rPr>
          <w:i/>
          <w:iCs/>
          <w:sz w:val="20"/>
          <w:szCs w:val="20"/>
          <w:lang w:val="en-US"/>
        </w:rPr>
        <w:t xml:space="preserve">Common-Good Constitutionalism and the </w:t>
      </w:r>
      <w:r>
        <w:rPr>
          <w:i/>
          <w:iCs/>
          <w:sz w:val="20"/>
          <w:szCs w:val="20"/>
          <w:rtl/>
          <w:lang w:val="ar-SA"/>
        </w:rPr>
        <w:t>“</w:t>
      </w:r>
      <w:r>
        <w:rPr>
          <w:i/>
          <w:iCs/>
          <w:sz w:val="20"/>
          <w:szCs w:val="20"/>
          <w:lang w:val="fr-FR"/>
        </w:rPr>
        <w:t xml:space="preserve">Ius </w:t>
      </w:r>
      <w:proofErr w:type="spellStart"/>
      <w:r>
        <w:rPr>
          <w:i/>
          <w:iCs/>
          <w:sz w:val="20"/>
          <w:szCs w:val="20"/>
          <w:lang w:val="fr-FR"/>
        </w:rPr>
        <w:t>Constitutionale</w:t>
      </w:r>
      <w:proofErr w:type="spellEnd"/>
      <w:r>
        <w:rPr>
          <w:i/>
          <w:iCs/>
          <w:sz w:val="20"/>
          <w:szCs w:val="20"/>
          <w:lang w:val="fr-FR"/>
        </w:rPr>
        <w:t xml:space="preserve"> Commune</w:t>
      </w:r>
      <w:r>
        <w:rPr>
          <w:i/>
          <w:iCs/>
          <w:sz w:val="20"/>
          <w:szCs w:val="20"/>
        </w:rPr>
        <w:t xml:space="preserve">” </w:t>
      </w:r>
      <w:r>
        <w:rPr>
          <w:i/>
          <w:iCs/>
          <w:sz w:val="20"/>
          <w:szCs w:val="20"/>
          <w:lang w:val="nl-NL"/>
        </w:rPr>
        <w:t>in Latin America</w:t>
      </w:r>
      <w:r>
        <w:rPr>
          <w:sz w:val="20"/>
          <w:szCs w:val="20"/>
        </w:rPr>
        <w:t>,</w:t>
      </w:r>
      <w:r>
        <w:rPr>
          <w:i/>
          <w:iCs/>
          <w:sz w:val="20"/>
          <w:szCs w:val="20"/>
        </w:rPr>
        <w:t xml:space="preserve"> </w:t>
      </w:r>
      <w:r>
        <w:rPr>
          <w:smallCaps/>
          <w:sz w:val="20"/>
          <w:szCs w:val="20"/>
          <w:lang w:val="fr-FR"/>
        </w:rPr>
        <w:t>Ius et Iustitium</w:t>
      </w:r>
      <w:r>
        <w:rPr>
          <w:sz w:val="20"/>
          <w:szCs w:val="20"/>
        </w:rPr>
        <w:t xml:space="preserve"> (Sept. 28, 2020), </w:t>
      </w:r>
      <w:r>
        <w:rPr>
          <w:rStyle w:val="Link"/>
          <w:color w:val="000000"/>
          <w:u w:color="000000"/>
        </w:rPr>
        <w:t>https://iusetiustitium.com/common-good-constitutionalism-and-the-ius-constitutionale-commune-in-latin-america/</w:t>
      </w:r>
      <w:r>
        <w:rPr>
          <w:sz w:val="20"/>
          <w:szCs w:val="20"/>
          <w:lang w:val="en-US"/>
        </w:rPr>
        <w:t xml:space="preserve"> [https://perma.cc/M3AE-PYM4]</w:t>
      </w:r>
      <w:r>
        <w:rPr>
          <w:rStyle w:val="Link"/>
          <w:color w:val="000000"/>
          <w:u w:color="000000"/>
        </w:rPr>
        <w:t>;</w:t>
      </w:r>
      <w:r>
        <w:rPr>
          <w:sz w:val="20"/>
          <w:szCs w:val="20"/>
        </w:rPr>
        <w:t xml:space="preserve"> Jamie McGowan, </w:t>
      </w:r>
      <w:r>
        <w:rPr>
          <w:i/>
          <w:iCs/>
          <w:sz w:val="20"/>
          <w:szCs w:val="20"/>
          <w:lang w:val="en-US"/>
        </w:rPr>
        <w:t>Against Judicial Dyarchy</w:t>
      </w:r>
      <w:r>
        <w:rPr>
          <w:sz w:val="20"/>
          <w:szCs w:val="20"/>
        </w:rPr>
        <w:t xml:space="preserve">, </w:t>
      </w:r>
      <w:r>
        <w:rPr>
          <w:smallCaps/>
          <w:sz w:val="20"/>
          <w:szCs w:val="20"/>
          <w:lang w:val="fr-FR"/>
        </w:rPr>
        <w:t>Ius et Iustitium</w:t>
      </w:r>
      <w:r>
        <w:rPr>
          <w:sz w:val="20"/>
          <w:szCs w:val="20"/>
        </w:rPr>
        <w:t xml:space="preserve"> (July 16, 2020), </w:t>
      </w:r>
      <w:r>
        <w:rPr>
          <w:rStyle w:val="Link"/>
          <w:color w:val="000000"/>
          <w:u w:color="000000"/>
        </w:rPr>
        <w:t>https://iusetiustitium.com/against-judicial-dyarchy/</w:t>
      </w:r>
      <w:r>
        <w:rPr>
          <w:sz w:val="20"/>
          <w:szCs w:val="20"/>
          <w:lang w:val="en-US"/>
        </w:rPr>
        <w:t xml:space="preserve"> [https://perma.cc/YXT8-MALJ]</w:t>
      </w:r>
      <w:r>
        <w:rPr>
          <w:sz w:val="20"/>
          <w:szCs w:val="20"/>
        </w:rPr>
        <w:t xml:space="preserve">. </w:t>
      </w:r>
    </w:p>
  </w:footnote>
  <w:footnote w:id="13">
    <w:p w14:paraId="15FB7ED6"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 id.</w:t>
      </w:r>
      <w:r>
        <w:rPr>
          <w:rFonts w:ascii="Times New Roman" w:hAnsi="Times New Roman"/>
        </w:rPr>
        <w:t xml:space="preserve">  </w:t>
      </w:r>
    </w:p>
  </w:footnote>
  <w:footnote w:id="14">
    <w:p w14:paraId="6C3D95B5"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smallCaps/>
        </w:rPr>
        <w:t xml:space="preserve">Thomas Aquinas, Summa </w:t>
      </w:r>
      <w:proofErr w:type="spellStart"/>
      <w:r>
        <w:rPr>
          <w:rFonts w:ascii="Times New Roman" w:hAnsi="Times New Roman"/>
          <w:smallCaps/>
        </w:rPr>
        <w:t>Theologiae</w:t>
      </w:r>
      <w:proofErr w:type="spellEnd"/>
      <w:r>
        <w:rPr>
          <w:rFonts w:ascii="Times New Roman" w:hAnsi="Times New Roman"/>
        </w:rPr>
        <w:t>, I-II, Q. 90, Art. 4.</w:t>
      </w:r>
    </w:p>
  </w:footnote>
  <w:footnote w:id="15">
    <w:p w14:paraId="11A522EA"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 e.g.</w:t>
      </w:r>
      <w:r>
        <w:rPr>
          <w:rFonts w:ascii="Times New Roman" w:hAnsi="Times New Roman"/>
        </w:rPr>
        <w:t>,</w:t>
      </w:r>
      <w:r>
        <w:rPr>
          <w:rFonts w:ascii="Times New Roman" w:hAnsi="Times New Roman"/>
          <w:i/>
          <w:iCs/>
        </w:rPr>
        <w:t xml:space="preserve"> </w:t>
      </w:r>
      <w:r>
        <w:rPr>
          <w:rFonts w:ascii="Times New Roman" w:hAnsi="Times New Roman"/>
        </w:rPr>
        <w:t xml:space="preserve">The Communications Act of 1934, Pub. L. No. 73-416, 48 Stat. 1064 (codified as amended at 47 U.S.C. </w:t>
      </w:r>
      <w:r>
        <w:rPr>
          <w:rFonts w:ascii="Times New Roman" w:hAnsi="Times New Roman"/>
        </w:rPr>
        <w:t xml:space="preserve">§ </w:t>
      </w:r>
      <w:r>
        <w:rPr>
          <w:rFonts w:ascii="Times New Roman" w:hAnsi="Times New Roman"/>
        </w:rPr>
        <w:t xml:space="preserve">151 et seq.) (1934); </w:t>
      </w:r>
      <w:r>
        <w:rPr>
          <w:rFonts w:ascii="Times New Roman" w:hAnsi="Times New Roman"/>
          <w:smallCaps/>
        </w:rPr>
        <w:t>Mass. Const.</w:t>
      </w:r>
      <w:r>
        <w:rPr>
          <w:rFonts w:ascii="Times New Roman" w:hAnsi="Times New Roman"/>
        </w:rPr>
        <w:t xml:space="preserve"> art. VII, pt. I; Administrative Procedure Act, Pub. L. No. 79-404, 60 Stat. 237 (1946) at 5 U.S.C. </w:t>
      </w:r>
      <w:r>
        <w:rPr>
          <w:rFonts w:ascii="Times New Roman" w:hAnsi="Times New Roman"/>
        </w:rPr>
        <w:t xml:space="preserve">§ </w:t>
      </w:r>
      <w:r>
        <w:rPr>
          <w:rFonts w:ascii="Times New Roman" w:hAnsi="Times New Roman"/>
        </w:rPr>
        <w:t>553(b)(3)(B).</w:t>
      </w:r>
    </w:p>
  </w:footnote>
  <w:footnote w:id="16">
    <w:p w14:paraId="07391CB0"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John Goyette, </w:t>
      </w:r>
      <w:r>
        <w:rPr>
          <w:rFonts w:ascii="Times New Roman" w:hAnsi="Times New Roman"/>
          <w:i/>
          <w:iCs/>
        </w:rPr>
        <w:t xml:space="preserve">On the Transcendence of the Political Common Good, </w:t>
      </w:r>
      <w:r>
        <w:rPr>
          <w:rFonts w:ascii="Times New Roman" w:hAnsi="Times New Roman"/>
        </w:rPr>
        <w:t xml:space="preserve">13 </w:t>
      </w:r>
      <w:proofErr w:type="spellStart"/>
      <w:r>
        <w:rPr>
          <w:rFonts w:ascii="Times New Roman" w:hAnsi="Times New Roman"/>
          <w:smallCaps/>
        </w:rPr>
        <w:t>Nat</w:t>
      </w:r>
      <w:r>
        <w:rPr>
          <w:rFonts w:ascii="Times New Roman" w:hAnsi="Times New Roman"/>
          <w:smallCaps/>
        </w:rPr>
        <w:t>’</w:t>
      </w:r>
      <w:r>
        <w:rPr>
          <w:rFonts w:ascii="Times New Roman" w:hAnsi="Times New Roman"/>
          <w:smallCaps/>
        </w:rPr>
        <w:t>l</w:t>
      </w:r>
      <w:proofErr w:type="spellEnd"/>
      <w:r>
        <w:rPr>
          <w:rFonts w:ascii="Times New Roman" w:hAnsi="Times New Roman"/>
          <w:smallCaps/>
        </w:rPr>
        <w:t xml:space="preserve"> Cath. Bioethics Q.</w:t>
      </w:r>
      <w:r>
        <w:rPr>
          <w:rFonts w:ascii="Times New Roman" w:hAnsi="Times New Roman"/>
        </w:rPr>
        <w:t xml:space="preserve"> 133, 137 (2013); Louis Dup</w:t>
      </w:r>
      <w:r>
        <w:rPr>
          <w:rFonts w:ascii="Times New Roman" w:hAnsi="Times New Roman"/>
        </w:rPr>
        <w:t>r</w:t>
      </w:r>
      <w:r>
        <w:rPr>
          <w:rFonts w:ascii="Times New Roman" w:hAnsi="Times New Roman"/>
        </w:rPr>
        <w:t>é</w:t>
      </w:r>
      <w:r>
        <w:rPr>
          <w:rFonts w:ascii="Times New Roman" w:hAnsi="Times New Roman"/>
        </w:rPr>
        <w:t xml:space="preserve">, </w:t>
      </w:r>
      <w:r>
        <w:rPr>
          <w:rFonts w:ascii="Times New Roman" w:hAnsi="Times New Roman"/>
          <w:i/>
          <w:iCs/>
        </w:rPr>
        <w:t xml:space="preserve">The Common Good and the Open Society, </w:t>
      </w:r>
      <w:r>
        <w:rPr>
          <w:rFonts w:ascii="Times New Roman" w:hAnsi="Times New Roman"/>
        </w:rPr>
        <w:t xml:space="preserve">55 </w:t>
      </w:r>
      <w:r>
        <w:rPr>
          <w:rFonts w:ascii="Times New Roman" w:hAnsi="Times New Roman"/>
          <w:smallCaps/>
        </w:rPr>
        <w:t>Rev. Pol.</w:t>
      </w:r>
      <w:r>
        <w:rPr>
          <w:rFonts w:ascii="Times New Roman" w:hAnsi="Times New Roman"/>
        </w:rPr>
        <w:t xml:space="preserve"> 687</w:t>
      </w:r>
      <w:r>
        <w:rPr>
          <w:rFonts w:ascii="Times New Roman" w:hAnsi="Times New Roman"/>
          <w:i/>
          <w:iCs/>
        </w:rPr>
        <w:t xml:space="preserve"> </w:t>
      </w:r>
      <w:r>
        <w:rPr>
          <w:rFonts w:ascii="Times New Roman" w:hAnsi="Times New Roman"/>
        </w:rPr>
        <w:t xml:space="preserve">(1993). </w:t>
      </w:r>
    </w:p>
  </w:footnote>
  <w:footnote w:id="17">
    <w:p w14:paraId="350E4FD3"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Paul Brady, </w:t>
      </w:r>
      <w:r>
        <w:rPr>
          <w:rFonts w:ascii="Times New Roman" w:hAnsi="Times New Roman"/>
          <w:i/>
          <w:iCs/>
        </w:rPr>
        <w:t>Coercion, Political Authority and the Common Good</w:t>
      </w:r>
      <w:r>
        <w:rPr>
          <w:rFonts w:ascii="Times New Roman" w:hAnsi="Times New Roman"/>
        </w:rPr>
        <w:t>,</w:t>
      </w:r>
      <w:r>
        <w:rPr>
          <w:rFonts w:ascii="Times New Roman" w:hAnsi="Times New Roman"/>
          <w:i/>
          <w:iCs/>
        </w:rPr>
        <w:t xml:space="preserve"> </w:t>
      </w:r>
      <w:r>
        <w:rPr>
          <w:rFonts w:ascii="Times New Roman" w:hAnsi="Times New Roman"/>
        </w:rPr>
        <w:t xml:space="preserve">62 </w:t>
      </w:r>
      <w:r>
        <w:rPr>
          <w:rFonts w:ascii="Times New Roman" w:hAnsi="Times New Roman"/>
          <w:smallCaps/>
        </w:rPr>
        <w:t>Am. J. of Juris.</w:t>
      </w:r>
      <w:r>
        <w:rPr>
          <w:rFonts w:ascii="Times New Roman" w:hAnsi="Times New Roman"/>
        </w:rPr>
        <w:t xml:space="preserve"> 75, 82-84 (2017).</w:t>
      </w:r>
    </w:p>
  </w:footnote>
  <w:footnote w:id="18">
    <w:p w14:paraId="01191ADD" w14:textId="77777777" w:rsidR="00357B22" w:rsidRDefault="00062FEC">
      <w:pPr>
        <w:pStyle w:val="Body"/>
      </w:pPr>
      <w:r>
        <w:rPr>
          <w:vertAlign w:val="superscript"/>
          <w:lang w:val="en-US"/>
        </w:rPr>
        <w:footnoteRef/>
      </w:r>
      <w:r>
        <w:rPr>
          <w:rFonts w:eastAsia="Arial Unicode MS" w:cs="Arial Unicode MS"/>
          <w:sz w:val="20"/>
          <w:szCs w:val="20"/>
        </w:rPr>
        <w:t xml:space="preserve"> </w:t>
      </w:r>
      <w:r>
        <w:rPr>
          <w:rFonts w:eastAsia="Arial Unicode MS" w:cs="Arial Unicode MS"/>
          <w:i/>
          <w:iCs/>
          <w:sz w:val="20"/>
          <w:szCs w:val="20"/>
          <w:lang w:val="nl-NL"/>
        </w:rPr>
        <w:t>See</w:t>
      </w:r>
      <w:r>
        <w:rPr>
          <w:rFonts w:eastAsia="Arial Unicode MS" w:cs="Arial Unicode MS"/>
          <w:sz w:val="20"/>
          <w:szCs w:val="20"/>
          <w:lang w:val="fr-FR"/>
        </w:rPr>
        <w:t xml:space="preserve"> Donald Morrison, </w:t>
      </w:r>
      <w:r>
        <w:rPr>
          <w:rFonts w:eastAsia="Arial Unicode MS" w:cs="Arial Unicode MS"/>
          <w:i/>
          <w:iCs/>
          <w:sz w:val="20"/>
          <w:szCs w:val="20"/>
          <w:lang w:val="en-US"/>
        </w:rPr>
        <w:t>The Common Good</w:t>
      </w:r>
      <w:r>
        <w:rPr>
          <w:rFonts w:eastAsia="Arial Unicode MS" w:cs="Arial Unicode MS"/>
          <w:smallCaps/>
          <w:sz w:val="20"/>
          <w:szCs w:val="20"/>
        </w:rPr>
        <w:t>,</w:t>
      </w:r>
      <w:r>
        <w:rPr>
          <w:rFonts w:eastAsia="Arial Unicode MS" w:cs="Arial Unicode MS"/>
          <w:i/>
          <w:iCs/>
          <w:sz w:val="20"/>
          <w:szCs w:val="20"/>
        </w:rPr>
        <w:t xml:space="preserve"> in</w:t>
      </w:r>
      <w:r>
        <w:rPr>
          <w:rFonts w:eastAsia="Arial Unicode MS" w:cs="Arial Unicode MS"/>
          <w:sz w:val="20"/>
          <w:szCs w:val="20"/>
        </w:rPr>
        <w:t xml:space="preserve"> </w:t>
      </w:r>
      <w:r>
        <w:rPr>
          <w:rFonts w:eastAsia="Arial Unicode MS" w:cs="Arial Unicode MS"/>
          <w:smallCaps/>
          <w:sz w:val="20"/>
          <w:szCs w:val="20"/>
          <w:lang w:val="en-US"/>
        </w:rPr>
        <w:t xml:space="preserve">The </w:t>
      </w:r>
      <w:r>
        <w:rPr>
          <w:rFonts w:eastAsia="Arial Unicode MS" w:cs="Arial Unicode MS"/>
          <w:smallCaps/>
          <w:sz w:val="20"/>
          <w:szCs w:val="20"/>
          <w:lang w:val="en-US"/>
        </w:rPr>
        <w:t>Cambridge Companion to Aristotle</w:t>
      </w:r>
      <w:r>
        <w:rPr>
          <w:rFonts w:eastAsia="Arial Unicode MS" w:cs="Arial Unicode MS"/>
          <w:smallCaps/>
          <w:sz w:val="20"/>
          <w:szCs w:val="20"/>
          <w:rtl/>
        </w:rPr>
        <w:t>’</w:t>
      </w:r>
      <w:r>
        <w:rPr>
          <w:rFonts w:eastAsia="Arial Unicode MS" w:cs="Arial Unicode MS"/>
          <w:smallCaps/>
          <w:sz w:val="20"/>
          <w:szCs w:val="20"/>
        </w:rPr>
        <w:t xml:space="preserve">s </w:t>
      </w:r>
      <w:r>
        <w:rPr>
          <w:rFonts w:eastAsia="Arial Unicode MS" w:cs="Arial Unicode MS"/>
          <w:i/>
          <w:iCs/>
          <w:smallCaps/>
          <w:sz w:val="20"/>
          <w:szCs w:val="20"/>
          <w:lang w:val="en-US"/>
        </w:rPr>
        <w:t>Politics</w:t>
      </w:r>
      <w:r>
        <w:rPr>
          <w:rFonts w:eastAsia="Arial Unicode MS" w:cs="Arial Unicode MS"/>
          <w:i/>
          <w:iCs/>
          <w:sz w:val="20"/>
          <w:szCs w:val="20"/>
        </w:rPr>
        <w:t xml:space="preserve"> </w:t>
      </w:r>
      <w:r>
        <w:rPr>
          <w:rFonts w:eastAsia="Arial Unicode MS" w:cs="Arial Unicode MS"/>
          <w:sz w:val="20"/>
          <w:szCs w:val="20"/>
        </w:rPr>
        <w:t>176</w:t>
      </w:r>
      <w:r>
        <w:rPr>
          <w:rFonts w:eastAsia="Arial Unicode MS" w:cs="Arial Unicode MS"/>
          <w:i/>
          <w:iCs/>
          <w:sz w:val="20"/>
          <w:szCs w:val="20"/>
        </w:rPr>
        <w:t xml:space="preserve"> </w:t>
      </w:r>
      <w:r>
        <w:rPr>
          <w:rFonts w:eastAsia="Arial Unicode MS" w:cs="Arial Unicode MS"/>
          <w:sz w:val="20"/>
          <w:szCs w:val="20"/>
          <w:lang w:val="fr-FR"/>
        </w:rPr>
        <w:t xml:space="preserve">(Marguerite </w:t>
      </w:r>
      <w:proofErr w:type="spellStart"/>
      <w:r>
        <w:rPr>
          <w:rFonts w:eastAsia="Arial Unicode MS" w:cs="Arial Unicode MS"/>
          <w:sz w:val="20"/>
          <w:szCs w:val="20"/>
          <w:lang w:val="fr-FR"/>
        </w:rPr>
        <w:t>Deslauriers</w:t>
      </w:r>
      <w:proofErr w:type="spellEnd"/>
      <w:r>
        <w:rPr>
          <w:rFonts w:eastAsia="Arial Unicode MS" w:cs="Arial Unicode MS"/>
          <w:sz w:val="20"/>
          <w:szCs w:val="20"/>
          <w:lang w:val="fr-FR"/>
        </w:rPr>
        <w:t xml:space="preserve"> &amp; Pierre </w:t>
      </w:r>
      <w:proofErr w:type="spellStart"/>
      <w:r>
        <w:rPr>
          <w:rFonts w:eastAsia="Arial Unicode MS" w:cs="Arial Unicode MS"/>
          <w:sz w:val="20"/>
          <w:szCs w:val="20"/>
          <w:lang w:val="fr-FR"/>
        </w:rPr>
        <w:t>Destr</w:t>
      </w:r>
      <w:r>
        <w:rPr>
          <w:rFonts w:eastAsia="Arial Unicode MS" w:cs="Arial Unicode MS"/>
          <w:sz w:val="20"/>
          <w:szCs w:val="20"/>
          <w:lang w:val="fr-FR"/>
        </w:rPr>
        <w:t>é</w:t>
      </w:r>
      <w:proofErr w:type="spellEnd"/>
      <w:r>
        <w:rPr>
          <w:rFonts w:eastAsia="Arial Unicode MS" w:cs="Arial Unicode MS"/>
          <w:sz w:val="20"/>
          <w:szCs w:val="20"/>
          <w:lang w:val="pt-PT"/>
        </w:rPr>
        <w:t xml:space="preserve">e eds., 2013); </w:t>
      </w:r>
      <w:r>
        <w:rPr>
          <w:rFonts w:eastAsia="Arial Unicode MS" w:cs="Arial Unicode MS"/>
          <w:i/>
          <w:iCs/>
          <w:sz w:val="20"/>
          <w:szCs w:val="20"/>
          <w:lang w:val="en-US"/>
        </w:rPr>
        <w:t>see also</w:t>
      </w:r>
      <w:r>
        <w:rPr>
          <w:rFonts w:eastAsia="Arial Unicode MS" w:cs="Arial Unicode MS"/>
          <w:sz w:val="20"/>
          <w:szCs w:val="20"/>
        </w:rPr>
        <w:t xml:space="preserve"> </w:t>
      </w:r>
      <w:r>
        <w:rPr>
          <w:rFonts w:eastAsia="Arial Unicode MS" w:cs="Arial Unicode MS"/>
          <w:smallCaps/>
          <w:sz w:val="20"/>
          <w:szCs w:val="20"/>
        </w:rPr>
        <w:t>George Duke,</w:t>
      </w:r>
      <w:r>
        <w:rPr>
          <w:rFonts w:eastAsia="Arial Unicode MS" w:cs="Arial Unicode MS"/>
          <w:sz w:val="20"/>
          <w:szCs w:val="20"/>
        </w:rPr>
        <w:t xml:space="preserve"> </w:t>
      </w:r>
      <w:r>
        <w:rPr>
          <w:rFonts w:eastAsia="Arial Unicode MS" w:cs="Arial Unicode MS"/>
          <w:smallCaps/>
          <w:sz w:val="20"/>
          <w:szCs w:val="20"/>
          <w:lang w:val="en-US"/>
        </w:rPr>
        <w:t>Aristotle and Law: The Politics of Nomos</w:t>
      </w:r>
      <w:r>
        <w:rPr>
          <w:rFonts w:eastAsia="Arial Unicode MS" w:cs="Arial Unicode MS"/>
          <w:sz w:val="20"/>
          <w:szCs w:val="20"/>
        </w:rPr>
        <w:t xml:space="preserve"> (2019).</w:t>
      </w:r>
    </w:p>
  </w:footnote>
  <w:footnote w:id="19">
    <w:p w14:paraId="3B282F28" w14:textId="77777777" w:rsidR="00357B22" w:rsidRDefault="00062FEC">
      <w:pPr>
        <w:pStyle w:val="BodyB"/>
        <w:jc w:val="both"/>
      </w:pPr>
      <w:r>
        <w:rPr>
          <w:vertAlign w:val="superscript"/>
        </w:rPr>
        <w:footnoteRef/>
      </w:r>
      <w:r>
        <w:rPr>
          <w:sz w:val="20"/>
          <w:szCs w:val="20"/>
        </w:rPr>
        <w:t xml:space="preserve"> </w:t>
      </w:r>
      <w:r>
        <w:rPr>
          <w:i/>
          <w:iCs/>
          <w:sz w:val="20"/>
          <w:szCs w:val="20"/>
        </w:rPr>
        <w:t xml:space="preserve">See </w:t>
      </w:r>
      <w:r>
        <w:rPr>
          <w:sz w:val="20"/>
          <w:szCs w:val="20"/>
        </w:rPr>
        <w:t xml:space="preserve">Goyette, </w:t>
      </w:r>
      <w:r>
        <w:rPr>
          <w:i/>
          <w:iCs/>
          <w:sz w:val="20"/>
          <w:szCs w:val="20"/>
        </w:rPr>
        <w:t>supra</w:t>
      </w:r>
      <w:r>
        <w:rPr>
          <w:sz w:val="20"/>
          <w:szCs w:val="20"/>
        </w:rPr>
        <w:t xml:space="preserve"> note 15, at 140-41.</w:t>
      </w:r>
    </w:p>
  </w:footnote>
  <w:footnote w:id="20">
    <w:p w14:paraId="0FA5E515" w14:textId="5097DD85"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i/>
          <w:iCs/>
        </w:rPr>
        <w:t xml:space="preserve"> </w:t>
      </w:r>
      <w:r>
        <w:rPr>
          <w:rFonts w:ascii="Times New Roman" w:hAnsi="Times New Roman"/>
        </w:rPr>
        <w:t>Adrian</w:t>
      </w:r>
      <w:r>
        <w:rPr>
          <w:rFonts w:ascii="Times New Roman" w:hAnsi="Times New Roman"/>
          <w:i/>
          <w:iCs/>
        </w:rPr>
        <w:t xml:space="preserve"> </w:t>
      </w:r>
      <w:r>
        <w:rPr>
          <w:rFonts w:ascii="Times New Roman" w:hAnsi="Times New Roman"/>
        </w:rPr>
        <w:t>Vermeule,</w:t>
      </w:r>
      <w:r>
        <w:rPr>
          <w:rFonts w:ascii="Times New Roman" w:hAnsi="Times New Roman"/>
        </w:rPr>
        <w:t xml:space="preserve"> </w:t>
      </w:r>
      <w:r>
        <w:rPr>
          <w:rFonts w:ascii="Times New Roman" w:hAnsi="Times New Roman"/>
          <w:sz w:val="16"/>
          <w:szCs w:val="16"/>
        </w:rPr>
        <w:t xml:space="preserve">COMMON GOOD </w:t>
      </w:r>
      <w:r>
        <w:rPr>
          <w:rFonts w:ascii="Times New Roman" w:hAnsi="Times New Roman"/>
          <w:sz w:val="16"/>
          <w:szCs w:val="16"/>
        </w:rPr>
        <w:t>CONSTITUTIONALISM</w:t>
      </w:r>
      <w:r>
        <w:rPr>
          <w:rFonts w:ascii="Times New Roman" w:hAnsi="Times New Roman"/>
          <w:sz w:val="16"/>
          <w:szCs w:val="16"/>
        </w:rPr>
        <w:t xml:space="preserve"> </w:t>
      </w:r>
      <w:r>
        <w:rPr>
          <w:rFonts w:ascii="Times New Roman" w:hAnsi="Times New Roman"/>
          <w:sz w:val="16"/>
          <w:szCs w:val="16"/>
        </w:rPr>
        <w:t>Chapter 1</w:t>
      </w:r>
      <w:r>
        <w:rPr>
          <w:rFonts w:ascii="Times New Roman" w:hAnsi="Times New Roman"/>
          <w:i/>
          <w:iCs/>
          <w:sz w:val="16"/>
          <w:szCs w:val="16"/>
        </w:rPr>
        <w:t xml:space="preserve"> </w:t>
      </w:r>
      <w:r>
        <w:rPr>
          <w:rFonts w:ascii="Times New Roman" w:hAnsi="Times New Roman"/>
        </w:rPr>
        <w:t>(Forthcoming 2022)</w:t>
      </w:r>
      <w:r>
        <w:rPr>
          <w:rFonts w:ascii="Times New Roman" w:hAnsi="Times New Roman"/>
        </w:rPr>
        <w:t xml:space="preserve"> </w:t>
      </w:r>
    </w:p>
  </w:footnote>
  <w:footnote w:id="21">
    <w:p w14:paraId="6A520382" w14:textId="1B2827AE" w:rsidR="00357B22" w:rsidRDefault="00062FEC">
      <w:pPr>
        <w:pStyle w:val="BodyB"/>
        <w:spacing w:after="120" w:line="360" w:lineRule="auto"/>
        <w:jc w:val="both"/>
      </w:pPr>
      <w:r>
        <w:rPr>
          <w:vertAlign w:val="superscript"/>
        </w:rPr>
        <w:footnoteRef/>
      </w:r>
      <w:r>
        <w:t xml:space="preserve"> </w:t>
      </w:r>
      <w:r>
        <w:t xml:space="preserve">We speak here only of the natural goods of the temporal order, </w:t>
      </w:r>
      <w:proofErr w:type="gramStart"/>
      <w:r>
        <w:t>so as to</w:t>
      </w:r>
      <w:proofErr w:type="gramEnd"/>
      <w:r>
        <w:t xml:space="preserve"> remain within our competence as civil lawyers. </w:t>
      </w:r>
      <w:r>
        <w:rPr>
          <w:i/>
          <w:iCs/>
        </w:rPr>
        <w:t>Cf.</w:t>
      </w:r>
      <w:r>
        <w:t xml:space="preserve"> </w:t>
      </w:r>
      <w:r>
        <w:rPr>
          <w:smallCaps/>
        </w:rPr>
        <w:t xml:space="preserve">Walter Farrell, O.P., The Natural Law According to </w:t>
      </w:r>
      <w:r>
        <w:rPr>
          <w:smallCaps/>
        </w:rPr>
        <w:t>Aquinas and Suárez</w:t>
      </w:r>
      <w:r>
        <w:t xml:space="preserve"> 13 (Cajetan Cuddy, O.P. ed., Cluny Media 2019) (“The </w:t>
      </w:r>
      <w:proofErr w:type="gramStart"/>
      <w:r>
        <w:t>final end</w:t>
      </w:r>
      <w:proofErr w:type="gramEnd"/>
      <w:r>
        <w:t xml:space="preserve"> of man is his happiness; a supernatural happiness, it is true, but not all communities have to do with leading man to his supernatural end directly. </w:t>
      </w:r>
      <w:proofErr w:type="gramStart"/>
      <w:r>
        <w:t>Nevertheless</w:t>
      </w:r>
      <w:proofErr w:type="gramEnd"/>
      <w:r>
        <w:t xml:space="preserve"> they have at</w:t>
      </w:r>
      <w:r>
        <w:t xml:space="preserve"> least to do with the attainment of his secondary ends of natural or temporal happiness, which are a means to the supernatural final ends.”)</w:t>
      </w:r>
      <w:r>
        <w:t xml:space="preserve"> Just as not every community within the larger polity need concern itself directly with leading man to his supernatu</w:t>
      </w:r>
      <w:r>
        <w:t xml:space="preserve">ral end, not all articles need do so; a scholarly and professional division of labor is perfectly </w:t>
      </w:r>
      <w:proofErr w:type="gramStart"/>
      <w:r>
        <w:t>appropriate, and</w:t>
      </w:r>
      <w:proofErr w:type="gramEnd"/>
      <w:r>
        <w:t xml:space="preserve"> does not entail denying that a comprehensive treatment would examine such questions. </w:t>
      </w:r>
    </w:p>
  </w:footnote>
  <w:footnote w:id="22">
    <w:p w14:paraId="675D8ADC"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mallCaps/>
        </w:rPr>
        <w:t xml:space="preserve">Heinrich A. </w:t>
      </w:r>
      <w:proofErr w:type="spellStart"/>
      <w:r>
        <w:rPr>
          <w:rFonts w:ascii="Times New Roman" w:hAnsi="Times New Roman"/>
          <w:smallCaps/>
        </w:rPr>
        <w:t>R</w:t>
      </w:r>
      <w:r>
        <w:rPr>
          <w:rFonts w:ascii="Times New Roman" w:hAnsi="Times New Roman"/>
          <w:smallCaps/>
        </w:rPr>
        <w:t>ommen</w:t>
      </w:r>
      <w:proofErr w:type="spellEnd"/>
      <w:r>
        <w:rPr>
          <w:rFonts w:ascii="Times New Roman" w:hAnsi="Times New Roman"/>
          <w:smallCaps/>
        </w:rPr>
        <w:t xml:space="preserve">, The State in Catholic Thought: A Treatise On Political Philosophy 274 </w:t>
      </w:r>
      <w:r>
        <w:rPr>
          <w:rFonts w:ascii="Times New Roman" w:hAnsi="Times New Roman"/>
        </w:rPr>
        <w:t>(2016).</w:t>
      </w:r>
    </w:p>
  </w:footnote>
  <w:footnote w:id="23">
    <w:p w14:paraId="0AA504B3" w14:textId="77777777" w:rsidR="00357B22" w:rsidRDefault="00062FEC">
      <w:pPr>
        <w:pStyle w:val="Body"/>
      </w:pPr>
      <w:r>
        <w:rPr>
          <w:vertAlign w:val="superscript"/>
          <w:lang w:val="en-US"/>
        </w:rPr>
        <w:footnoteRef/>
      </w:r>
      <w:r>
        <w:rPr>
          <w:rFonts w:eastAsia="Arial Unicode MS" w:cs="Arial Unicode MS"/>
          <w:sz w:val="20"/>
          <w:szCs w:val="20"/>
        </w:rPr>
        <w:t xml:space="preserve"> </w:t>
      </w:r>
      <w:r>
        <w:rPr>
          <w:rFonts w:eastAsia="Arial Unicode MS" w:cs="Arial Unicode MS"/>
          <w:i/>
          <w:iCs/>
          <w:sz w:val="20"/>
          <w:szCs w:val="20"/>
          <w:lang w:val="nl-NL"/>
        </w:rPr>
        <w:t>See</w:t>
      </w:r>
      <w:r>
        <w:rPr>
          <w:rFonts w:eastAsia="Arial Unicode MS" w:cs="Arial Unicode MS"/>
          <w:sz w:val="20"/>
          <w:szCs w:val="20"/>
        </w:rPr>
        <w:t xml:space="preserve"> George Duke, </w:t>
      </w:r>
      <w:r>
        <w:rPr>
          <w:rFonts w:eastAsia="Arial Unicode MS" w:cs="Arial Unicode MS"/>
          <w:i/>
          <w:iCs/>
          <w:sz w:val="20"/>
          <w:szCs w:val="20"/>
          <w:lang w:val="en-US"/>
        </w:rPr>
        <w:t>Finnis on the Authority of Law and the Common Good</w:t>
      </w:r>
      <w:r>
        <w:rPr>
          <w:rFonts w:eastAsia="Arial Unicode MS" w:cs="Arial Unicode MS"/>
          <w:sz w:val="20"/>
          <w:szCs w:val="20"/>
        </w:rPr>
        <w:t xml:space="preserve">, 19 </w:t>
      </w:r>
      <w:r>
        <w:rPr>
          <w:rFonts w:eastAsia="Arial Unicode MS" w:cs="Arial Unicode MS"/>
          <w:smallCaps/>
          <w:sz w:val="20"/>
          <w:szCs w:val="20"/>
          <w:lang w:val="en-US"/>
        </w:rPr>
        <w:t>Legal Theory</w:t>
      </w:r>
      <w:r>
        <w:rPr>
          <w:rFonts w:eastAsia="Arial Unicode MS" w:cs="Arial Unicode MS"/>
          <w:sz w:val="20"/>
          <w:szCs w:val="20"/>
        </w:rPr>
        <w:t xml:space="preserve"> 44-62 (2013); </w:t>
      </w:r>
      <w:r>
        <w:rPr>
          <w:rFonts w:eastAsia="Arial Unicode MS" w:cs="Arial Unicode MS"/>
          <w:smallCaps/>
          <w:sz w:val="20"/>
          <w:szCs w:val="20"/>
        </w:rPr>
        <w:t xml:space="preserve">John Finnis, </w:t>
      </w:r>
      <w:r>
        <w:rPr>
          <w:rFonts w:eastAsia="Arial Unicode MS" w:cs="Arial Unicode MS"/>
          <w:smallCaps/>
          <w:sz w:val="20"/>
          <w:szCs w:val="20"/>
          <w:lang w:val="en-US"/>
        </w:rPr>
        <w:t xml:space="preserve">Natural Law and Natural Rights </w:t>
      </w:r>
      <w:r>
        <w:rPr>
          <w:rFonts w:eastAsia="Arial Unicode MS" w:cs="Arial Unicode MS"/>
          <w:sz w:val="20"/>
          <w:szCs w:val="20"/>
        </w:rPr>
        <w:t xml:space="preserve">154-155 </w:t>
      </w:r>
      <w:r>
        <w:rPr>
          <w:rFonts w:eastAsia="Arial Unicode MS" w:cs="Arial Unicode MS"/>
          <w:smallCaps/>
          <w:sz w:val="20"/>
          <w:szCs w:val="20"/>
        </w:rPr>
        <w:t>(</w:t>
      </w:r>
      <w:r>
        <w:rPr>
          <w:rFonts w:eastAsia="Arial Unicode MS" w:cs="Arial Unicode MS"/>
          <w:sz w:val="20"/>
          <w:szCs w:val="20"/>
        </w:rPr>
        <w:t xml:space="preserve">2d ed. </w:t>
      </w:r>
      <w:r>
        <w:rPr>
          <w:rFonts w:eastAsia="Arial Unicode MS" w:cs="Arial Unicode MS"/>
          <w:smallCaps/>
          <w:sz w:val="20"/>
          <w:szCs w:val="20"/>
        </w:rPr>
        <w:t>2011)</w:t>
      </w:r>
      <w:r>
        <w:rPr>
          <w:rFonts w:eastAsia="Arial Unicode MS" w:cs="Arial Unicode MS"/>
          <w:sz w:val="20"/>
          <w:szCs w:val="20"/>
          <w:lang w:val="en-US"/>
        </w:rPr>
        <w:t xml:space="preserve">. For the sake of completeness, we note that Professor Finnis has appeared to refine his position on the nature of the common good since </w:t>
      </w:r>
      <w:r>
        <w:rPr>
          <w:rFonts w:eastAsia="Arial Unicode MS" w:cs="Arial Unicode MS"/>
          <w:i/>
          <w:iCs/>
          <w:sz w:val="20"/>
          <w:szCs w:val="20"/>
          <w:lang w:val="en-US"/>
        </w:rPr>
        <w:t>Natural Law and Natural Rights.</w:t>
      </w:r>
      <w:r>
        <w:rPr>
          <w:rFonts w:eastAsia="Arial Unicode MS" w:cs="Arial Unicode MS"/>
          <w:sz w:val="20"/>
          <w:szCs w:val="20"/>
          <w:lang w:val="en-US"/>
        </w:rPr>
        <w:t xml:space="preserve"> More recently, he has suggested that the common good of a political community participates in the good of friendship and is, as such, an </w:t>
      </w:r>
      <w:r>
        <w:rPr>
          <w:rFonts w:eastAsia="Arial Unicode MS" w:cs="Arial Unicode MS"/>
          <w:sz w:val="20"/>
          <w:szCs w:val="20"/>
          <w:rtl/>
          <w:lang w:val="ar-SA"/>
        </w:rPr>
        <w:t>“</w:t>
      </w:r>
      <w:r>
        <w:rPr>
          <w:rFonts w:eastAsia="Arial Unicode MS" w:cs="Arial Unicode MS"/>
          <w:sz w:val="20"/>
          <w:szCs w:val="20"/>
          <w:lang w:val="en-US"/>
        </w:rPr>
        <w:t>intrinsically valuable</w:t>
      </w:r>
      <w:r>
        <w:rPr>
          <w:rFonts w:eastAsia="Arial Unicode MS" w:cs="Arial Unicode MS"/>
          <w:sz w:val="20"/>
          <w:szCs w:val="20"/>
        </w:rPr>
        <w:t xml:space="preserve">” </w:t>
      </w:r>
      <w:r>
        <w:rPr>
          <w:rFonts w:eastAsia="Arial Unicode MS" w:cs="Arial Unicode MS"/>
          <w:sz w:val="20"/>
          <w:szCs w:val="20"/>
          <w:lang w:val="en-US"/>
        </w:rPr>
        <w:t xml:space="preserve">and not merely instrumentally good pursuit. </w:t>
      </w:r>
      <w:r>
        <w:rPr>
          <w:rFonts w:eastAsia="Arial Unicode MS" w:cs="Arial Unicode MS"/>
          <w:i/>
          <w:iCs/>
          <w:sz w:val="20"/>
          <w:szCs w:val="20"/>
          <w:lang w:val="nl-NL"/>
        </w:rPr>
        <w:t>See</w:t>
      </w:r>
      <w:r>
        <w:rPr>
          <w:rFonts w:eastAsia="Arial Unicode MS" w:cs="Arial Unicode MS"/>
          <w:sz w:val="20"/>
          <w:szCs w:val="20"/>
        </w:rPr>
        <w:t xml:space="preserve"> John Finnis, </w:t>
      </w:r>
      <w:r>
        <w:rPr>
          <w:rFonts w:eastAsia="Arial Unicode MS" w:cs="Arial Unicode MS"/>
          <w:i/>
          <w:iCs/>
          <w:sz w:val="20"/>
          <w:szCs w:val="20"/>
          <w:lang w:val="en-US"/>
        </w:rPr>
        <w:t xml:space="preserve">Reflections and </w:t>
      </w:r>
      <w:r>
        <w:rPr>
          <w:rFonts w:eastAsia="Arial Unicode MS" w:cs="Arial Unicode MS"/>
          <w:i/>
          <w:iCs/>
          <w:sz w:val="20"/>
          <w:szCs w:val="20"/>
          <w:lang w:val="en-US"/>
        </w:rPr>
        <w:t>Responses</w:t>
      </w:r>
      <w:r>
        <w:rPr>
          <w:rFonts w:eastAsia="Arial Unicode MS" w:cs="Arial Unicode MS"/>
          <w:sz w:val="20"/>
          <w:szCs w:val="20"/>
        </w:rPr>
        <w:t xml:space="preserve">, </w:t>
      </w:r>
      <w:r>
        <w:rPr>
          <w:rFonts w:eastAsia="Arial Unicode MS" w:cs="Arial Unicode MS"/>
          <w:i/>
          <w:iCs/>
          <w:sz w:val="20"/>
          <w:szCs w:val="20"/>
        </w:rPr>
        <w:t>in</w:t>
      </w:r>
      <w:r>
        <w:rPr>
          <w:rFonts w:eastAsia="Arial Unicode MS" w:cs="Arial Unicode MS"/>
          <w:sz w:val="20"/>
          <w:szCs w:val="20"/>
        </w:rPr>
        <w:t xml:space="preserve"> </w:t>
      </w:r>
      <w:r>
        <w:rPr>
          <w:rFonts w:eastAsia="Arial Unicode MS" w:cs="Arial Unicode MS"/>
          <w:smallCaps/>
          <w:sz w:val="20"/>
          <w:szCs w:val="20"/>
          <w:lang w:val="en-US"/>
        </w:rPr>
        <w:t>Reason, Morality, and Law: The Philosophy of John Finnis 510-15</w:t>
      </w:r>
      <w:r>
        <w:rPr>
          <w:rFonts w:eastAsia="Arial Unicode MS" w:cs="Arial Unicode MS"/>
          <w:sz w:val="20"/>
          <w:szCs w:val="20"/>
          <w:lang w:val="en-US"/>
        </w:rPr>
        <w:t xml:space="preserve"> (John Keown &amp; Robert P. George eds., 2013). We thank Gr</w:t>
      </w:r>
      <w:r>
        <w:rPr>
          <w:rFonts w:eastAsia="Arial Unicode MS" w:cs="Arial Unicode MS"/>
          <w:sz w:val="20"/>
          <w:szCs w:val="20"/>
          <w:lang w:val="fr-FR"/>
        </w:rPr>
        <w:t>é</w:t>
      </w:r>
      <w:proofErr w:type="spellStart"/>
      <w:r>
        <w:rPr>
          <w:rFonts w:eastAsia="Arial Unicode MS" w:cs="Arial Unicode MS"/>
          <w:sz w:val="20"/>
          <w:szCs w:val="20"/>
          <w:lang w:val="en-US"/>
        </w:rPr>
        <w:t>goire</w:t>
      </w:r>
      <w:proofErr w:type="spellEnd"/>
      <w:r>
        <w:rPr>
          <w:rFonts w:eastAsia="Arial Unicode MS" w:cs="Arial Unicode MS"/>
          <w:sz w:val="20"/>
          <w:szCs w:val="20"/>
          <w:lang w:val="en-US"/>
        </w:rPr>
        <w:t xml:space="preserve"> Webber for bringing this to our attention.</w:t>
      </w:r>
    </w:p>
  </w:footnote>
  <w:footnote w:id="24">
    <w:p w14:paraId="77B1F448" w14:textId="77777777" w:rsidR="00357B22" w:rsidRDefault="00062FEC">
      <w:pPr>
        <w:pStyle w:val="Heading"/>
        <w:spacing w:before="0"/>
      </w:pPr>
      <w:r>
        <w:rPr>
          <w:rFonts w:ascii="Times New Roman" w:eastAsia="Times New Roman" w:hAnsi="Times New Roman" w:cs="Times New Roman"/>
          <w:vertAlign w:val="superscript"/>
          <w:lang w:val="en-US"/>
        </w:rPr>
        <w:footnoteRef/>
      </w:r>
      <w:r>
        <w:rPr>
          <w:rFonts w:ascii="Times New Roman" w:hAnsi="Times New Roman"/>
          <w:color w:val="000000"/>
          <w:sz w:val="20"/>
          <w:szCs w:val="20"/>
          <w:u w:color="000000"/>
        </w:rPr>
        <w:t xml:space="preserve"> </w:t>
      </w:r>
      <w:r>
        <w:rPr>
          <w:i/>
          <w:iCs/>
          <w:color w:val="000000"/>
          <w:sz w:val="20"/>
          <w:szCs w:val="20"/>
          <w:u w:color="000000"/>
          <w:lang w:val="nl-NL"/>
        </w:rPr>
        <w:t>See</w:t>
      </w:r>
      <w:r>
        <w:rPr>
          <w:rFonts w:ascii="Times New Roman" w:hAnsi="Times New Roman"/>
          <w:color w:val="000000"/>
          <w:sz w:val="20"/>
          <w:szCs w:val="20"/>
          <w:u w:color="000000"/>
          <w:lang w:val="de-DE"/>
        </w:rPr>
        <w:t xml:space="preserve"> Robert P. George, </w:t>
      </w:r>
      <w:r>
        <w:rPr>
          <w:rFonts w:ascii="Times New Roman" w:hAnsi="Times New Roman"/>
          <w:i/>
          <w:iCs/>
          <w:color w:val="000000"/>
          <w:sz w:val="20"/>
          <w:szCs w:val="20"/>
          <w:u w:color="000000"/>
          <w:lang w:val="en-US"/>
        </w:rPr>
        <w:t xml:space="preserve">The Common Good: Instrumental but Not Just </w:t>
      </w:r>
      <w:r>
        <w:rPr>
          <w:rFonts w:ascii="Times New Roman" w:hAnsi="Times New Roman"/>
          <w:i/>
          <w:iCs/>
          <w:color w:val="000000"/>
          <w:sz w:val="20"/>
          <w:szCs w:val="20"/>
          <w:u w:color="000000"/>
          <w:lang w:val="en-US"/>
        </w:rPr>
        <w:t>Contractual,</w:t>
      </w:r>
      <w:r>
        <w:rPr>
          <w:rFonts w:ascii="Times New Roman" w:hAnsi="Times New Roman"/>
          <w:color w:val="000000"/>
          <w:sz w:val="20"/>
          <w:szCs w:val="20"/>
          <w:u w:color="000000"/>
        </w:rPr>
        <w:t xml:space="preserve"> </w:t>
      </w:r>
      <w:r>
        <w:rPr>
          <w:rFonts w:ascii="Times New Roman" w:hAnsi="Times New Roman"/>
          <w:smallCaps/>
          <w:color w:val="181817"/>
          <w:sz w:val="20"/>
          <w:szCs w:val="20"/>
          <w:u w:color="181817"/>
          <w:lang w:val="fr-FR"/>
        </w:rPr>
        <w:t xml:space="preserve">Pub. </w:t>
      </w:r>
      <w:proofErr w:type="spellStart"/>
      <w:r>
        <w:rPr>
          <w:rFonts w:ascii="Times New Roman" w:hAnsi="Times New Roman"/>
          <w:smallCaps/>
          <w:color w:val="181817"/>
          <w:sz w:val="20"/>
          <w:szCs w:val="20"/>
          <w:u w:color="181817"/>
          <w:lang w:val="fr-FR"/>
        </w:rPr>
        <w:t>Discourse</w:t>
      </w:r>
      <w:proofErr w:type="spellEnd"/>
      <w:r>
        <w:rPr>
          <w:rFonts w:ascii="Times New Roman" w:hAnsi="Times New Roman"/>
          <w:color w:val="000000"/>
          <w:sz w:val="20"/>
          <w:szCs w:val="20"/>
          <w:u w:color="000000"/>
        </w:rPr>
        <w:t xml:space="preserve"> (May 17, 2013), </w:t>
      </w:r>
      <w:r>
        <w:rPr>
          <w:rStyle w:val="Link"/>
          <w:rFonts w:ascii="Times New Roman" w:hAnsi="Times New Roman"/>
          <w:color w:val="000000"/>
          <w:sz w:val="24"/>
          <w:szCs w:val="24"/>
          <w:u w:color="000000"/>
        </w:rPr>
        <w:t>https://www.thepublicdiscourse.com/2013/05/10166/</w:t>
      </w:r>
      <w:r>
        <w:rPr>
          <w:color w:val="000000"/>
          <w:sz w:val="20"/>
          <w:szCs w:val="20"/>
          <w:u w:color="000000"/>
        </w:rPr>
        <w:t xml:space="preserve"> </w:t>
      </w:r>
      <w:r>
        <w:rPr>
          <w:rFonts w:ascii="Times New Roman" w:hAnsi="Times New Roman"/>
          <w:color w:val="000000"/>
          <w:sz w:val="20"/>
          <w:szCs w:val="20"/>
          <w:u w:color="000000"/>
          <w:lang w:val="en-US"/>
        </w:rPr>
        <w:t xml:space="preserve">[https://perma.cc/7P58-UVVX]. </w:t>
      </w:r>
    </w:p>
  </w:footnote>
  <w:footnote w:id="25">
    <w:p w14:paraId="00F56346"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Edmund Waldstein, </w:t>
      </w:r>
      <w:r>
        <w:rPr>
          <w:rFonts w:ascii="Times New Roman" w:hAnsi="Times New Roman"/>
          <w:i/>
          <w:iCs/>
        </w:rPr>
        <w:t>The Good, the Common Good, and the Highest Good</w:t>
      </w:r>
      <w:r>
        <w:rPr>
          <w:rFonts w:ascii="Times New Roman" w:hAnsi="Times New Roman"/>
        </w:rPr>
        <w:t xml:space="preserve">, </w:t>
      </w:r>
      <w:r>
        <w:rPr>
          <w:rFonts w:ascii="Times New Roman" w:hAnsi="Times New Roman"/>
          <w:smallCaps/>
          <w:color w:val="181817"/>
          <w:u w:color="181817"/>
        </w:rPr>
        <w:t>The Josias</w:t>
      </w:r>
      <w:r>
        <w:rPr>
          <w:rFonts w:ascii="Times New Roman" w:hAnsi="Times New Roman"/>
          <w:color w:val="181817"/>
          <w:u w:color="181817"/>
        </w:rPr>
        <w:t xml:space="preserve"> </w:t>
      </w:r>
      <w:r>
        <w:rPr>
          <w:rFonts w:ascii="Times New Roman" w:hAnsi="Times New Roman"/>
        </w:rPr>
        <w:t xml:space="preserve">(Feb. 3, 2015), </w:t>
      </w:r>
      <w:r>
        <w:rPr>
          <w:rStyle w:val="Link"/>
          <w:rFonts w:ascii="Times New Roman" w:hAnsi="Times New Roman"/>
        </w:rPr>
        <w:t>https://thejosias.com/2015/02/03/the-good-the-highest-good-and-the-common-good</w:t>
      </w:r>
      <w:r>
        <w:rPr>
          <w:rFonts w:ascii="Times New Roman" w:hAnsi="Times New Roman"/>
        </w:rPr>
        <w:t xml:space="preserve"> [https://perma.cc/7Z9N-9C63]</w:t>
      </w:r>
      <w:r>
        <w:rPr>
          <w:rStyle w:val="Link"/>
          <w:rFonts w:ascii="Times New Roman" w:hAnsi="Times New Roman"/>
        </w:rPr>
        <w:t>;</w:t>
      </w:r>
      <w:r>
        <w:rPr>
          <w:rFonts w:ascii="Times New Roman" w:hAnsi="Times New Roman"/>
        </w:rPr>
        <w:t xml:space="preserve"> Edmund Waldstein, </w:t>
      </w:r>
      <w:r>
        <w:rPr>
          <w:rFonts w:ascii="Times New Roman" w:hAnsi="Times New Roman"/>
          <w:i/>
          <w:iCs/>
        </w:rPr>
        <w:t>Racial Justice and Social Order</w:t>
      </w:r>
      <w:r>
        <w:rPr>
          <w:rFonts w:ascii="Times New Roman" w:hAnsi="Times New Roman"/>
        </w:rPr>
        <w:t xml:space="preserve">, </w:t>
      </w:r>
      <w:proofErr w:type="spellStart"/>
      <w:proofErr w:type="gramStart"/>
      <w:r>
        <w:rPr>
          <w:rFonts w:ascii="Times New Roman" w:hAnsi="Times New Roman"/>
          <w:smallCaps/>
          <w:color w:val="181817"/>
          <w:u w:color="181817"/>
        </w:rPr>
        <w:t>Sancrucensis</w:t>
      </w:r>
      <w:proofErr w:type="spellEnd"/>
      <w:r>
        <w:rPr>
          <w:rFonts w:ascii="Times New Roman" w:hAnsi="Times New Roman"/>
          <w:smallCaps/>
          <w:color w:val="181817"/>
          <w:u w:color="181817"/>
        </w:rPr>
        <w:t xml:space="preserve"> </w:t>
      </w:r>
      <w:r>
        <w:rPr>
          <w:rFonts w:ascii="Times New Roman" w:hAnsi="Times New Roman"/>
          <w:color w:val="181817"/>
          <w:u w:color="181817"/>
        </w:rPr>
        <w:t xml:space="preserve"> </w:t>
      </w:r>
      <w:r>
        <w:rPr>
          <w:rFonts w:ascii="Times New Roman" w:hAnsi="Times New Roman"/>
        </w:rPr>
        <w:t>(</w:t>
      </w:r>
      <w:proofErr w:type="gramEnd"/>
      <w:r>
        <w:rPr>
          <w:rFonts w:ascii="Times New Roman" w:hAnsi="Times New Roman"/>
        </w:rPr>
        <w:t xml:space="preserve">June 2, 2020), </w:t>
      </w:r>
      <w:r>
        <w:rPr>
          <w:rStyle w:val="Link"/>
          <w:rFonts w:ascii="Times New Roman" w:hAnsi="Times New Roman"/>
        </w:rPr>
        <w:t>https://sancrucensis.wordpress.com/2020/06/02/racial-justice-and-s</w:t>
      </w:r>
      <w:r>
        <w:rPr>
          <w:rStyle w:val="Link"/>
          <w:rFonts w:ascii="Times New Roman" w:hAnsi="Times New Roman"/>
        </w:rPr>
        <w:t>ocial-order</w:t>
      </w:r>
      <w:r>
        <w:rPr>
          <w:rFonts w:ascii="Times New Roman" w:hAnsi="Times New Roman"/>
        </w:rPr>
        <w:t xml:space="preserve"> [https://perma.cc/9Z8Z-YZC3]. </w:t>
      </w:r>
    </w:p>
  </w:footnote>
  <w:footnote w:id="26">
    <w:p w14:paraId="60EE244F"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Goyette, </w:t>
      </w:r>
      <w:r>
        <w:rPr>
          <w:rFonts w:ascii="Times New Roman" w:hAnsi="Times New Roman"/>
          <w:i/>
          <w:iCs/>
        </w:rPr>
        <w:t>supra</w:t>
      </w:r>
      <w:r>
        <w:rPr>
          <w:rFonts w:ascii="Times New Roman" w:hAnsi="Times New Roman"/>
        </w:rPr>
        <w:t xml:space="preserve"> note 15.</w:t>
      </w:r>
    </w:p>
  </w:footnote>
  <w:footnote w:id="27">
    <w:p w14:paraId="2AF3C72A"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 xml:space="preserve">Charles de </w:t>
      </w:r>
      <w:proofErr w:type="spellStart"/>
      <w:r>
        <w:rPr>
          <w:rFonts w:ascii="Times New Roman" w:hAnsi="Times New Roman"/>
          <w:smallCaps/>
        </w:rPr>
        <w:t>Koninck</w:t>
      </w:r>
      <w:proofErr w:type="spellEnd"/>
      <w:r>
        <w:rPr>
          <w:rFonts w:ascii="Times New Roman" w:hAnsi="Times New Roman"/>
        </w:rPr>
        <w:t xml:space="preserve">, </w:t>
      </w:r>
      <w:r>
        <w:rPr>
          <w:rFonts w:ascii="Times New Roman" w:hAnsi="Times New Roman"/>
          <w:i/>
          <w:iCs/>
        </w:rPr>
        <w:t>The Primacy of the Common Good Against the Personalists: The Principle of the New Order</w:t>
      </w:r>
      <w:r>
        <w:rPr>
          <w:rFonts w:ascii="Times New Roman" w:hAnsi="Times New Roman"/>
        </w:rPr>
        <w:t>,</w:t>
      </w:r>
      <w:r>
        <w:rPr>
          <w:rFonts w:ascii="Times New Roman" w:hAnsi="Times New Roman"/>
          <w:i/>
          <w:iCs/>
        </w:rPr>
        <w:t xml:space="preserve"> in </w:t>
      </w:r>
      <w:r>
        <w:rPr>
          <w:rFonts w:ascii="Times New Roman" w:hAnsi="Times New Roman"/>
        </w:rPr>
        <w:t xml:space="preserve">2 </w:t>
      </w:r>
      <w:r>
        <w:rPr>
          <w:rFonts w:ascii="Times New Roman" w:hAnsi="Times New Roman"/>
          <w:smallCaps/>
        </w:rPr>
        <w:t xml:space="preserve">The Writings of Charles de </w:t>
      </w:r>
      <w:proofErr w:type="spellStart"/>
      <w:r>
        <w:rPr>
          <w:rFonts w:ascii="Times New Roman" w:hAnsi="Times New Roman"/>
          <w:smallCaps/>
        </w:rPr>
        <w:t>Koninck</w:t>
      </w:r>
      <w:proofErr w:type="spellEnd"/>
      <w:r>
        <w:rPr>
          <w:rFonts w:ascii="Times New Roman" w:hAnsi="Times New Roman"/>
        </w:rPr>
        <w:t xml:space="preserve"> 63 (Ralph McInerny ed. &amp; tra</w:t>
      </w:r>
      <w:r>
        <w:rPr>
          <w:rFonts w:ascii="Times New Roman" w:hAnsi="Times New Roman"/>
        </w:rPr>
        <w:t>ns., 2016).</w:t>
      </w:r>
    </w:p>
  </w:footnote>
  <w:footnote w:id="28">
    <w:p w14:paraId="652C5ABE"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George Duke</w:t>
      </w:r>
      <w:r>
        <w:rPr>
          <w:rFonts w:ascii="Times New Roman" w:hAnsi="Times New Roman"/>
          <w:smallCaps/>
        </w:rPr>
        <w:t xml:space="preserve">, </w:t>
      </w:r>
      <w:r>
        <w:rPr>
          <w:rFonts w:ascii="Times New Roman" w:hAnsi="Times New Roman"/>
          <w:i/>
          <w:iCs/>
        </w:rPr>
        <w:t>The Common Good</w:t>
      </w:r>
      <w:r>
        <w:rPr>
          <w:rFonts w:ascii="Times New Roman" w:hAnsi="Times New Roman"/>
          <w:smallCaps/>
        </w:rPr>
        <w:t xml:space="preserve">, </w:t>
      </w:r>
      <w:r>
        <w:rPr>
          <w:rFonts w:ascii="Times New Roman" w:hAnsi="Times New Roman"/>
          <w:i/>
          <w:iCs/>
        </w:rPr>
        <w:t>in</w:t>
      </w:r>
      <w:r>
        <w:rPr>
          <w:rFonts w:ascii="Times New Roman" w:hAnsi="Times New Roman"/>
          <w:smallCaps/>
        </w:rPr>
        <w:t xml:space="preserve"> The Cambridge Companion to Natural Law Jurisprudence</w:t>
      </w:r>
      <w:r>
        <w:rPr>
          <w:rFonts w:ascii="Times New Roman" w:hAnsi="Times New Roman"/>
        </w:rPr>
        <w:t xml:space="preserve"> 382 (George Duke &amp; Robert P. George eds., 2017); George Duke, </w:t>
      </w:r>
      <w:r>
        <w:rPr>
          <w:rFonts w:ascii="Times New Roman" w:hAnsi="Times New Roman"/>
          <w:i/>
          <w:iCs/>
        </w:rPr>
        <w:t>The Distinctive Common Good</w:t>
      </w:r>
      <w:r>
        <w:rPr>
          <w:rFonts w:ascii="Times New Roman" w:hAnsi="Times New Roman"/>
        </w:rPr>
        <w:t xml:space="preserve">, 78 </w:t>
      </w:r>
      <w:r>
        <w:rPr>
          <w:rFonts w:ascii="Times New Roman" w:hAnsi="Times New Roman"/>
          <w:smallCaps/>
        </w:rPr>
        <w:t>Rev. Pol.</w:t>
      </w:r>
      <w:r>
        <w:rPr>
          <w:rFonts w:ascii="Times New Roman" w:hAnsi="Times New Roman"/>
        </w:rPr>
        <w:t xml:space="preserve"> 227, 228</w:t>
      </w:r>
      <w:r>
        <w:rPr>
          <w:rFonts w:ascii="Times New Roman" w:hAnsi="Times New Roman"/>
        </w:rPr>
        <w:t>–</w:t>
      </w:r>
      <w:r>
        <w:rPr>
          <w:rFonts w:ascii="Times New Roman" w:hAnsi="Times New Roman"/>
        </w:rPr>
        <w:t xml:space="preserve">33 (2016). A similar observation is made by </w:t>
      </w:r>
      <w:r>
        <w:rPr>
          <w:rFonts w:ascii="Times New Roman" w:hAnsi="Times New Roman"/>
          <w:smallCaps/>
        </w:rPr>
        <w:t>Jonathan Crowe, Natural Law and the Nature of Law</w:t>
      </w:r>
      <w:r>
        <w:rPr>
          <w:rFonts w:ascii="Times New Roman" w:hAnsi="Times New Roman"/>
        </w:rPr>
        <w:t xml:space="preserve"> 90 (2019).</w:t>
      </w:r>
    </w:p>
  </w:footnote>
  <w:footnote w:id="29">
    <w:p w14:paraId="71A2059C" w14:textId="60274028"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Brian M. McCall, The Architecture of Law: Rebuilding Law in the Classical Tradition</w:t>
      </w:r>
      <w:r>
        <w:rPr>
          <w:rFonts w:ascii="Times New Roman" w:hAnsi="Times New Roman"/>
          <w:i/>
          <w:iCs/>
        </w:rPr>
        <w:t xml:space="preserve"> </w:t>
      </w:r>
      <w:r>
        <w:rPr>
          <w:rFonts w:ascii="Times New Roman" w:hAnsi="Times New Roman"/>
        </w:rPr>
        <w:t>34</w:t>
      </w:r>
      <w:r>
        <w:rPr>
          <w:rFonts w:ascii="Times New Roman" w:hAnsi="Times New Roman"/>
          <w:i/>
          <w:iCs/>
        </w:rPr>
        <w:t xml:space="preserve"> </w:t>
      </w:r>
      <w:r>
        <w:rPr>
          <w:rFonts w:ascii="Times New Roman" w:hAnsi="Times New Roman"/>
        </w:rPr>
        <w:t xml:space="preserve">(2018); </w:t>
      </w:r>
      <w:r>
        <w:rPr>
          <w:rFonts w:ascii="Times New Roman" w:hAnsi="Times New Roman"/>
          <w:smallCaps/>
        </w:rPr>
        <w:t xml:space="preserve">Heinrich </w:t>
      </w:r>
      <w:proofErr w:type="spellStart"/>
      <w:r>
        <w:rPr>
          <w:rFonts w:ascii="Times New Roman" w:hAnsi="Times New Roman"/>
          <w:smallCaps/>
        </w:rPr>
        <w:t>Rommen</w:t>
      </w:r>
      <w:proofErr w:type="spellEnd"/>
      <w:r>
        <w:rPr>
          <w:rFonts w:ascii="Times New Roman" w:hAnsi="Times New Roman"/>
          <w:smallCaps/>
        </w:rPr>
        <w:t>, The Natural Law: A Study in Legal</w:t>
      </w:r>
      <w:r>
        <w:rPr>
          <w:rFonts w:ascii="Times New Roman" w:hAnsi="Times New Roman"/>
          <w:smallCaps/>
        </w:rPr>
        <w:t xml:space="preserve"> and Social History and Philosophy</w:t>
      </w:r>
      <w:r>
        <w:rPr>
          <w:rFonts w:ascii="Times New Roman" w:hAnsi="Times New Roman"/>
          <w:i/>
          <w:iCs/>
        </w:rPr>
        <w:t xml:space="preserve"> </w:t>
      </w:r>
      <w:r>
        <w:rPr>
          <w:rFonts w:ascii="Times New Roman" w:hAnsi="Times New Roman"/>
        </w:rPr>
        <w:t>214 (Thomas R. Hanley trans., 1998)</w:t>
      </w:r>
      <w:r>
        <w:rPr>
          <w:rFonts w:ascii="Times New Roman" w:hAnsi="Times New Roman"/>
        </w:rPr>
        <w:t>.</w:t>
      </w:r>
    </w:p>
  </w:footnote>
  <w:footnote w:id="30">
    <w:p w14:paraId="6FBE22A9"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Jacques Maritain, The Person and the Common Good 47</w:t>
      </w:r>
      <w:r>
        <w:rPr>
          <w:rFonts w:ascii="Times New Roman" w:hAnsi="Times New Roman"/>
        </w:rPr>
        <w:t>-</w:t>
      </w:r>
      <w:r>
        <w:rPr>
          <w:rFonts w:ascii="Times New Roman" w:hAnsi="Times New Roman"/>
          <w:smallCaps/>
        </w:rPr>
        <w:t xml:space="preserve">49 </w:t>
      </w:r>
      <w:r>
        <w:rPr>
          <w:rFonts w:ascii="Times New Roman" w:hAnsi="Times New Roman"/>
        </w:rPr>
        <w:t xml:space="preserve">(Univ. of Notre Dame Press 2015). </w:t>
      </w:r>
      <w:proofErr w:type="gramStart"/>
      <w:r>
        <w:rPr>
          <w:rFonts w:ascii="Times New Roman" w:hAnsi="Times New Roman"/>
        </w:rPr>
        <w:t>In reality, for</w:t>
      </w:r>
      <w:proofErr w:type="gramEnd"/>
      <w:r>
        <w:rPr>
          <w:rFonts w:ascii="Times New Roman" w:hAnsi="Times New Roman"/>
        </w:rPr>
        <w:t xml:space="preserve"> the record, the classical trope tha</w:t>
      </w:r>
      <w:r>
        <w:rPr>
          <w:rFonts w:ascii="Times New Roman" w:hAnsi="Times New Roman"/>
        </w:rPr>
        <w:t xml:space="preserve">t envisions the bees and the hive as a centralized absolute monarchy is an entirely erroneous picture of how bees and other social insects operate. </w:t>
      </w:r>
      <w:r>
        <w:rPr>
          <w:rFonts w:ascii="Times New Roman" w:hAnsi="Times New Roman"/>
          <w:i/>
          <w:iCs/>
        </w:rPr>
        <w:t xml:space="preserve">See </w:t>
      </w:r>
      <w:r>
        <w:rPr>
          <w:rFonts w:ascii="Times New Roman" w:hAnsi="Times New Roman"/>
        </w:rPr>
        <w:t xml:space="preserve">Christian List &amp; Adrian Vermeule, </w:t>
      </w:r>
      <w:r>
        <w:rPr>
          <w:rFonts w:ascii="Times New Roman" w:hAnsi="Times New Roman"/>
          <w:i/>
          <w:iCs/>
        </w:rPr>
        <w:t>Independence and interdependence: Lessons from the Hive</w:t>
      </w:r>
      <w:r>
        <w:rPr>
          <w:rFonts w:ascii="Times New Roman" w:hAnsi="Times New Roman"/>
        </w:rPr>
        <w:t xml:space="preserve">, 26 </w:t>
      </w:r>
      <w:r>
        <w:rPr>
          <w:rFonts w:ascii="Times New Roman" w:hAnsi="Times New Roman"/>
          <w:smallCaps/>
        </w:rPr>
        <w:t>Rationalit</w:t>
      </w:r>
      <w:r>
        <w:rPr>
          <w:rFonts w:ascii="Times New Roman" w:hAnsi="Times New Roman"/>
          <w:smallCaps/>
        </w:rPr>
        <w:t xml:space="preserve">y &amp; </w:t>
      </w:r>
      <w:proofErr w:type="gramStart"/>
      <w:r>
        <w:rPr>
          <w:rFonts w:ascii="Times New Roman" w:hAnsi="Times New Roman"/>
          <w:smallCaps/>
        </w:rPr>
        <w:t>Soc</w:t>
      </w:r>
      <w:r>
        <w:rPr>
          <w:rFonts w:ascii="Times New Roman" w:hAnsi="Times New Roman"/>
          <w:smallCaps/>
        </w:rPr>
        <w:t>‘</w:t>
      </w:r>
      <w:proofErr w:type="gramEnd"/>
      <w:r>
        <w:rPr>
          <w:rFonts w:ascii="Times New Roman" w:hAnsi="Times New Roman"/>
          <w:smallCaps/>
        </w:rPr>
        <w:t>y</w:t>
      </w:r>
      <w:r>
        <w:rPr>
          <w:rFonts w:ascii="Times New Roman" w:hAnsi="Times New Roman"/>
        </w:rPr>
        <w:t xml:space="preserve"> 170 (2014). </w:t>
      </w:r>
    </w:p>
  </w:footnote>
  <w:footnote w:id="31">
    <w:p w14:paraId="6C44AA4C" w14:textId="5CD539A3"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Adrian Vermeule, </w:t>
      </w:r>
      <w:r>
        <w:rPr>
          <w:rFonts w:ascii="Times New Roman" w:hAnsi="Times New Roman"/>
          <w:i/>
          <w:iCs/>
        </w:rPr>
        <w:t xml:space="preserve">Echoes of the </w:t>
      </w:r>
      <w:r>
        <w:rPr>
          <w:rFonts w:ascii="Times New Roman" w:hAnsi="Times New Roman"/>
        </w:rPr>
        <w:t xml:space="preserve">Ius Commune, 66 </w:t>
      </w:r>
      <w:r>
        <w:rPr>
          <w:rFonts w:ascii="Times New Roman" w:hAnsi="Times New Roman"/>
          <w:smallCaps/>
        </w:rPr>
        <w:t>Am. J. Juris.</w:t>
      </w:r>
      <w:r>
        <w:rPr>
          <w:rFonts w:ascii="Times New Roman" w:hAnsi="Times New Roman"/>
        </w:rPr>
        <w:t xml:space="preserve"> 85, </w:t>
      </w:r>
      <w:r>
        <w:rPr>
          <w:rFonts w:ascii="Times New Roman" w:hAnsi="Times New Roman"/>
        </w:rPr>
        <w:t>93-94</w:t>
      </w:r>
      <w:r>
        <w:rPr>
          <w:rFonts w:ascii="Times New Roman" w:hAnsi="Times New Roman"/>
        </w:rPr>
        <w:t xml:space="preserve"> (2021). </w:t>
      </w:r>
    </w:p>
  </w:footnote>
  <w:footnote w:id="32">
    <w:p w14:paraId="21461E05"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i/>
          <w:iCs/>
        </w:rPr>
        <w:t xml:space="preserve">See generally </w:t>
      </w:r>
      <w:proofErr w:type="spellStart"/>
      <w:r>
        <w:rPr>
          <w:rFonts w:ascii="Times New Roman" w:hAnsi="Times New Roman"/>
          <w:smallCaps/>
        </w:rPr>
        <w:t>Koninck</w:t>
      </w:r>
      <w:proofErr w:type="spellEnd"/>
      <w:r>
        <w:rPr>
          <w:rFonts w:ascii="Times New Roman" w:hAnsi="Times New Roman"/>
        </w:rPr>
        <w:t xml:space="preserve">, </w:t>
      </w:r>
      <w:r>
        <w:rPr>
          <w:rFonts w:ascii="Times New Roman" w:hAnsi="Times New Roman"/>
          <w:i/>
          <w:iCs/>
        </w:rPr>
        <w:t>supra</w:t>
      </w:r>
      <w:r>
        <w:rPr>
          <w:rFonts w:ascii="Times New Roman" w:hAnsi="Times New Roman"/>
        </w:rPr>
        <w:t xml:space="preserve"> note 26.</w:t>
      </w:r>
    </w:p>
  </w:footnote>
  <w:footnote w:id="33">
    <w:p w14:paraId="19FA7BC3" w14:textId="582379EB" w:rsidR="00357B22" w:rsidRDefault="00062FEC">
      <w:pPr>
        <w:pStyle w:val="Body"/>
      </w:pPr>
      <w:r>
        <w:rPr>
          <w:vertAlign w:val="superscript"/>
        </w:rPr>
        <w:footnoteRef/>
      </w:r>
      <w:r>
        <w:rPr>
          <w:rFonts w:eastAsia="Arial Unicode MS" w:cs="Arial Unicode MS"/>
          <w:sz w:val="20"/>
          <w:szCs w:val="20"/>
        </w:rPr>
        <w:t xml:space="preserve"> </w:t>
      </w:r>
      <w:r>
        <w:rPr>
          <w:rFonts w:eastAsia="Arial Unicode MS" w:cs="Arial Unicode MS"/>
          <w:i/>
          <w:iCs/>
          <w:sz w:val="20"/>
          <w:szCs w:val="20"/>
          <w:lang w:val="nl-NL"/>
        </w:rPr>
        <w:t>See</w:t>
      </w:r>
      <w:r>
        <w:rPr>
          <w:rFonts w:eastAsia="Arial Unicode MS" w:cs="Arial Unicode MS"/>
          <w:sz w:val="20"/>
          <w:szCs w:val="20"/>
        </w:rPr>
        <w:t xml:space="preserve"> </w:t>
      </w:r>
      <w:r>
        <w:rPr>
          <w:rFonts w:eastAsia="Arial Unicode MS" w:cs="Arial Unicode MS"/>
          <w:smallCaps/>
          <w:sz w:val="20"/>
          <w:szCs w:val="20"/>
        </w:rPr>
        <w:t xml:space="preserve">McCall, </w:t>
      </w:r>
      <w:r>
        <w:rPr>
          <w:rFonts w:eastAsia="Arial Unicode MS" w:cs="Arial Unicode MS"/>
          <w:i/>
          <w:iCs/>
          <w:sz w:val="20"/>
          <w:szCs w:val="20"/>
        </w:rPr>
        <w:t xml:space="preserve">supra </w:t>
      </w:r>
      <w:r>
        <w:rPr>
          <w:rFonts w:eastAsia="Arial Unicode MS" w:cs="Arial Unicode MS"/>
          <w:sz w:val="20"/>
          <w:szCs w:val="20"/>
          <w:lang w:val="da-DK"/>
        </w:rPr>
        <w:t xml:space="preserve">note 28, at 34; </w:t>
      </w:r>
      <w:proofErr w:type="spellStart"/>
      <w:r>
        <w:rPr>
          <w:rFonts w:eastAsia="Arial Unicode MS" w:cs="Arial Unicode MS"/>
          <w:smallCaps/>
          <w:sz w:val="20"/>
          <w:szCs w:val="20"/>
          <w:lang w:val="de-DE"/>
        </w:rPr>
        <w:t>Rommen</w:t>
      </w:r>
      <w:proofErr w:type="spellEnd"/>
      <w:r>
        <w:rPr>
          <w:rFonts w:eastAsia="Arial Unicode MS" w:cs="Arial Unicode MS"/>
          <w:smallCaps/>
          <w:sz w:val="20"/>
          <w:szCs w:val="20"/>
          <w:lang w:val="de-DE"/>
        </w:rPr>
        <w:t xml:space="preserve">, </w:t>
      </w:r>
      <w:r>
        <w:rPr>
          <w:rFonts w:eastAsia="Arial Unicode MS" w:cs="Arial Unicode MS"/>
          <w:i/>
          <w:iCs/>
          <w:sz w:val="20"/>
          <w:szCs w:val="20"/>
        </w:rPr>
        <w:t xml:space="preserve">supra </w:t>
      </w:r>
      <w:r>
        <w:rPr>
          <w:rFonts w:eastAsia="Arial Unicode MS" w:cs="Arial Unicode MS"/>
          <w:sz w:val="20"/>
          <w:szCs w:val="20"/>
          <w:lang w:val="en-US"/>
        </w:rPr>
        <w:t>note</w:t>
      </w:r>
      <w:r>
        <w:rPr>
          <w:rFonts w:eastAsia="Arial Unicode MS" w:cs="Arial Unicode MS"/>
          <w:sz w:val="20"/>
          <w:szCs w:val="20"/>
        </w:rPr>
        <w:t>28</w:t>
      </w:r>
      <w:r>
        <w:rPr>
          <w:rFonts w:eastAsia="Arial Unicode MS" w:cs="Arial Unicode MS"/>
          <w:sz w:val="20"/>
          <w:szCs w:val="20"/>
        </w:rPr>
        <w:t>.</w:t>
      </w:r>
    </w:p>
  </w:footnote>
  <w:footnote w:id="34">
    <w:p w14:paraId="396AA86E" w14:textId="77777777" w:rsidR="00357B22" w:rsidRDefault="00062FEC">
      <w:pPr>
        <w:pStyle w:val="Body"/>
      </w:pPr>
      <w:r>
        <w:rPr>
          <w:vertAlign w:val="superscript"/>
          <w:lang w:val="en-US"/>
        </w:rPr>
        <w:footnoteRef/>
      </w:r>
      <w:r>
        <w:rPr>
          <w:rFonts w:eastAsia="Arial Unicode MS" w:cs="Arial Unicode MS"/>
          <w:sz w:val="20"/>
          <w:szCs w:val="20"/>
        </w:rPr>
        <w:t xml:space="preserve"> </w:t>
      </w:r>
      <w:r>
        <w:rPr>
          <w:rFonts w:eastAsia="Arial Unicode MS" w:cs="Arial Unicode MS"/>
          <w:i/>
          <w:iCs/>
          <w:sz w:val="20"/>
          <w:szCs w:val="20"/>
          <w:lang w:val="nl-NL"/>
        </w:rPr>
        <w:t>See</w:t>
      </w:r>
      <w:r>
        <w:rPr>
          <w:rFonts w:eastAsia="Arial Unicode MS" w:cs="Arial Unicode MS"/>
          <w:sz w:val="20"/>
          <w:szCs w:val="20"/>
        </w:rPr>
        <w:t xml:space="preserve"> </w:t>
      </w:r>
      <w:r>
        <w:rPr>
          <w:rFonts w:eastAsia="Arial Unicode MS" w:cs="Arial Unicode MS"/>
          <w:smallCaps/>
          <w:sz w:val="20"/>
          <w:szCs w:val="20"/>
          <w:lang w:val="en-US"/>
        </w:rPr>
        <w:t xml:space="preserve">Patrick Deneen, Why </w:t>
      </w:r>
      <w:r>
        <w:rPr>
          <w:rFonts w:eastAsia="Arial Unicode MS" w:cs="Arial Unicode MS"/>
          <w:smallCaps/>
          <w:sz w:val="20"/>
          <w:szCs w:val="20"/>
          <w:lang w:val="en-US"/>
        </w:rPr>
        <w:t>Liberalism Failed</w:t>
      </w:r>
      <w:r>
        <w:rPr>
          <w:rFonts w:eastAsia="Arial Unicode MS" w:cs="Arial Unicode MS"/>
          <w:sz w:val="20"/>
          <w:szCs w:val="20"/>
        </w:rPr>
        <w:t xml:space="preserve"> 34-35 (2019).</w:t>
      </w:r>
    </w:p>
  </w:footnote>
  <w:footnote w:id="35">
    <w:p w14:paraId="4BCC4D77" w14:textId="6409078F"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Aquinas</w:t>
      </w:r>
      <w:r>
        <w:rPr>
          <w:rFonts w:ascii="Times New Roman" w:hAnsi="Times New Roman"/>
        </w:rPr>
        <w:t xml:space="preserve">, </w:t>
      </w:r>
      <w:r>
        <w:rPr>
          <w:rFonts w:ascii="Times New Roman" w:hAnsi="Times New Roman"/>
          <w:i/>
          <w:iCs/>
        </w:rPr>
        <w:t xml:space="preserve">supra </w:t>
      </w:r>
      <w:r>
        <w:rPr>
          <w:rFonts w:ascii="Times New Roman" w:hAnsi="Times New Roman"/>
        </w:rPr>
        <w:t xml:space="preserve">note 13, at </w:t>
      </w:r>
      <w:proofErr w:type="spellStart"/>
      <w:r>
        <w:rPr>
          <w:rFonts w:ascii="Times New Roman" w:hAnsi="Times New Roman"/>
        </w:rPr>
        <w:t>Ia</w:t>
      </w:r>
      <w:proofErr w:type="spellEnd"/>
      <w:r>
        <w:rPr>
          <w:rFonts w:ascii="Times New Roman" w:hAnsi="Times New Roman"/>
        </w:rPr>
        <w:t xml:space="preserve"> </w:t>
      </w:r>
      <w:proofErr w:type="spellStart"/>
      <w:r>
        <w:rPr>
          <w:rFonts w:ascii="Times New Roman" w:hAnsi="Times New Roman"/>
        </w:rPr>
        <w:t>IIae</w:t>
      </w:r>
      <w:proofErr w:type="spellEnd"/>
      <w:r>
        <w:rPr>
          <w:rFonts w:ascii="Times New Roman" w:hAnsi="Times New Roman"/>
        </w:rPr>
        <w:t xml:space="preserve">, a.2.; </w:t>
      </w:r>
      <w:proofErr w:type="spellStart"/>
      <w:r>
        <w:rPr>
          <w:rFonts w:ascii="Times New Roman" w:hAnsi="Times New Roman"/>
          <w:smallCaps/>
        </w:rPr>
        <w:t>Rommen</w:t>
      </w:r>
      <w:proofErr w:type="spellEnd"/>
      <w:r>
        <w:rPr>
          <w:rFonts w:ascii="Times New Roman" w:hAnsi="Times New Roman"/>
        </w:rPr>
        <w:t xml:space="preserve">, </w:t>
      </w:r>
      <w:r>
        <w:rPr>
          <w:rFonts w:ascii="Times New Roman" w:hAnsi="Times New Roman"/>
          <w:i/>
          <w:iCs/>
        </w:rPr>
        <w:t xml:space="preserve">supra </w:t>
      </w:r>
      <w:r>
        <w:rPr>
          <w:rFonts w:ascii="Times New Roman" w:hAnsi="Times New Roman"/>
        </w:rPr>
        <w:t xml:space="preserve">note </w:t>
      </w:r>
      <w:r>
        <w:rPr>
          <w:rFonts w:ascii="Times New Roman" w:hAnsi="Times New Roman"/>
        </w:rPr>
        <w:t>28</w:t>
      </w:r>
      <w:r>
        <w:rPr>
          <w:rFonts w:ascii="Times New Roman" w:hAnsi="Times New Roman"/>
        </w:rPr>
        <w:t>, at 170.</w:t>
      </w:r>
    </w:p>
  </w:footnote>
  <w:footnote w:id="36">
    <w:p w14:paraId="77C4AF56" w14:textId="4973D4F6"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Cicero</w:t>
      </w:r>
      <w:r>
        <w:rPr>
          <w:rFonts w:ascii="Times New Roman" w:hAnsi="Times New Roman"/>
        </w:rPr>
        <w:t xml:space="preserve">, </w:t>
      </w:r>
      <w:r>
        <w:rPr>
          <w:rFonts w:ascii="Times New Roman" w:hAnsi="Times New Roman"/>
          <w:smallCaps/>
        </w:rPr>
        <w:t xml:space="preserve">The </w:t>
      </w:r>
      <w:proofErr w:type="gramStart"/>
      <w:r>
        <w:rPr>
          <w:rFonts w:ascii="Times New Roman" w:hAnsi="Times New Roman"/>
          <w:smallCaps/>
        </w:rPr>
        <w:t>Republic</w:t>
      </w:r>
      <w:proofErr w:type="gramEnd"/>
      <w:r>
        <w:rPr>
          <w:rFonts w:ascii="Times New Roman" w:hAnsi="Times New Roman"/>
          <w:smallCaps/>
        </w:rPr>
        <w:t xml:space="preserve"> and the Laws 103</w:t>
      </w:r>
      <w:r>
        <w:rPr>
          <w:rFonts w:ascii="Times New Roman" w:hAnsi="Times New Roman"/>
        </w:rPr>
        <w:t xml:space="preserve"> (Niall Rudd trans., Oxford Univ. Press 2008); </w:t>
      </w:r>
      <w:r>
        <w:rPr>
          <w:rFonts w:ascii="Times New Roman" w:hAnsi="Times New Roman"/>
          <w:smallCaps/>
        </w:rPr>
        <w:t>Aquinas</w:t>
      </w:r>
      <w:r>
        <w:rPr>
          <w:rFonts w:ascii="Times New Roman" w:hAnsi="Times New Roman"/>
        </w:rPr>
        <w:t xml:space="preserve">, </w:t>
      </w:r>
      <w:r>
        <w:rPr>
          <w:rFonts w:ascii="Times New Roman" w:hAnsi="Times New Roman"/>
          <w:i/>
          <w:iCs/>
        </w:rPr>
        <w:t>supra</w:t>
      </w:r>
      <w:r>
        <w:rPr>
          <w:rFonts w:ascii="Times New Roman" w:hAnsi="Times New Roman"/>
        </w:rPr>
        <w:t xml:space="preserve"> note 13, at </w:t>
      </w:r>
      <w:r>
        <w:rPr>
          <w:rFonts w:ascii="Times New Roman" w:hAnsi="Times New Roman"/>
        </w:rPr>
        <w:t xml:space="preserve">Q. </w:t>
      </w:r>
      <w:r>
        <w:rPr>
          <w:rFonts w:ascii="Times New Roman" w:hAnsi="Times New Roman"/>
          <w:color w:val="1A1A1A"/>
          <w:u w:color="1A1A1A"/>
        </w:rPr>
        <w:t xml:space="preserve">94, </w:t>
      </w:r>
      <w:r>
        <w:rPr>
          <w:rFonts w:ascii="Times New Roman" w:hAnsi="Times New Roman"/>
          <w:color w:val="1A1A1A"/>
          <w:u w:color="1A1A1A"/>
        </w:rPr>
        <w:t xml:space="preserve">Art. </w:t>
      </w:r>
      <w:r>
        <w:rPr>
          <w:rFonts w:ascii="Times New Roman" w:hAnsi="Times New Roman"/>
          <w:color w:val="1A1A1A"/>
          <w:u w:color="1A1A1A"/>
        </w:rPr>
        <w:t>2.</w:t>
      </w:r>
    </w:p>
  </w:footnote>
  <w:footnote w:id="37">
    <w:p w14:paraId="4F875FAA" w14:textId="4AB13C2A"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Vermeule, </w:t>
      </w:r>
      <w:r>
        <w:rPr>
          <w:rFonts w:ascii="Times New Roman" w:hAnsi="Times New Roman"/>
          <w:i/>
          <w:iCs/>
        </w:rPr>
        <w:t>supra</w:t>
      </w:r>
      <w:r>
        <w:rPr>
          <w:rFonts w:ascii="Times New Roman" w:hAnsi="Times New Roman"/>
        </w:rPr>
        <w:t xml:space="preserve"> note </w:t>
      </w:r>
      <w:r>
        <w:rPr>
          <w:rFonts w:ascii="Times New Roman" w:hAnsi="Times New Roman"/>
        </w:rPr>
        <w:t>19</w:t>
      </w:r>
      <w:r>
        <w:rPr>
          <w:rFonts w:ascii="Times New Roman" w:hAnsi="Times New Roman"/>
        </w:rPr>
        <w:t xml:space="preserve"> </w:t>
      </w:r>
      <w:r>
        <w:rPr>
          <w:rFonts w:ascii="Times New Roman" w:hAnsi="Times New Roman"/>
        </w:rPr>
        <w:t>(drawing on and developing the tradition to identify goods of peace, justice, abundance, health, safety, and a right relationship to the natural environment</w:t>
      </w:r>
      <w:proofErr w:type="gramStart"/>
      <w:r>
        <w:rPr>
          <w:rFonts w:ascii="Times New Roman" w:hAnsi="Times New Roman"/>
        </w:rPr>
        <w:t>)</w:t>
      </w:r>
      <w:r>
        <w:rPr>
          <w:rFonts w:ascii="Times New Roman" w:hAnsi="Times New Roman"/>
        </w:rPr>
        <w:t>;</w:t>
      </w:r>
      <w:r>
        <w:rPr>
          <w:rFonts w:ascii="Times New Roman" w:hAnsi="Times New Roman"/>
          <w:i/>
          <w:iCs/>
        </w:rPr>
        <w:t>S</w:t>
      </w:r>
      <w:r>
        <w:rPr>
          <w:rFonts w:ascii="Times New Roman" w:hAnsi="Times New Roman"/>
          <w:i/>
          <w:iCs/>
        </w:rPr>
        <w:t>ee</w:t>
      </w:r>
      <w:proofErr w:type="gramEnd"/>
      <w:r>
        <w:rPr>
          <w:rFonts w:ascii="Times New Roman" w:hAnsi="Times New Roman"/>
          <w:i/>
          <w:iCs/>
        </w:rPr>
        <w:t xml:space="preserve"> also </w:t>
      </w:r>
      <w:r>
        <w:rPr>
          <w:rFonts w:ascii="Times New Roman" w:hAnsi="Times New Roman"/>
        </w:rPr>
        <w:t xml:space="preserve">Steven A. Long, </w:t>
      </w:r>
      <w:r>
        <w:rPr>
          <w:rFonts w:ascii="Times New Roman" w:hAnsi="Times New Roman"/>
          <w:i/>
          <w:iCs/>
        </w:rPr>
        <w:t>Understanding the Common Good</w:t>
      </w:r>
      <w:r>
        <w:rPr>
          <w:rFonts w:ascii="Times New Roman" w:hAnsi="Times New Roman"/>
        </w:rPr>
        <w:t xml:space="preserve">, 16 </w:t>
      </w:r>
      <w:r>
        <w:rPr>
          <w:rFonts w:ascii="Times New Roman" w:hAnsi="Times New Roman"/>
          <w:smallCaps/>
        </w:rPr>
        <w:t xml:space="preserve">Nova et </w:t>
      </w:r>
      <w:proofErr w:type="spellStart"/>
      <w:r>
        <w:rPr>
          <w:rFonts w:ascii="Times New Roman" w:hAnsi="Times New Roman"/>
          <w:smallCaps/>
        </w:rPr>
        <w:t>Vetera</w:t>
      </w:r>
      <w:proofErr w:type="spellEnd"/>
      <w:r>
        <w:rPr>
          <w:rFonts w:ascii="Times New Roman" w:hAnsi="Times New Roman"/>
        </w:rPr>
        <w:t xml:space="preserve"> 1135 (2018).</w:t>
      </w:r>
    </w:p>
  </w:footnote>
  <w:footnote w:id="38">
    <w:p w14:paraId="176DEC7B" w14:textId="0C5DEF9A"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McCall</w:t>
      </w:r>
      <w:r>
        <w:rPr>
          <w:rFonts w:ascii="Times New Roman" w:hAnsi="Times New Roman"/>
        </w:rPr>
        <w:t xml:space="preserve"> </w:t>
      </w:r>
      <w:r>
        <w:rPr>
          <w:rFonts w:ascii="Times New Roman" w:hAnsi="Times New Roman"/>
          <w:i/>
          <w:iCs/>
        </w:rPr>
        <w:t>supra</w:t>
      </w:r>
      <w:r>
        <w:rPr>
          <w:rFonts w:ascii="Times New Roman" w:hAnsi="Times New Roman"/>
        </w:rPr>
        <w:t xml:space="preserve"> note 28, at 1</w:t>
      </w:r>
      <w:r>
        <w:rPr>
          <w:rFonts w:ascii="Times New Roman" w:hAnsi="Times New Roman"/>
        </w:rPr>
        <w:t>19-120</w:t>
      </w:r>
      <w:r>
        <w:rPr>
          <w:rFonts w:ascii="Times New Roman" w:hAnsi="Times New Roman"/>
        </w:rPr>
        <w:t xml:space="preserve">; </w:t>
      </w:r>
      <w:r>
        <w:rPr>
          <w:rFonts w:ascii="Times New Roman" w:hAnsi="Times New Roman"/>
          <w:smallCaps/>
        </w:rPr>
        <w:t xml:space="preserve">Richard </w:t>
      </w:r>
      <w:proofErr w:type="spellStart"/>
      <w:r>
        <w:rPr>
          <w:rFonts w:ascii="Times New Roman" w:hAnsi="Times New Roman"/>
          <w:smallCaps/>
        </w:rPr>
        <w:t>Berquist</w:t>
      </w:r>
      <w:proofErr w:type="spellEnd"/>
      <w:r>
        <w:rPr>
          <w:rFonts w:ascii="Times New Roman" w:hAnsi="Times New Roman"/>
          <w:smallCaps/>
        </w:rPr>
        <w:t xml:space="preserve">, From Human Dignity To Natural Law: An </w:t>
      </w:r>
      <w:r>
        <w:rPr>
          <w:rFonts w:ascii="Times New Roman" w:hAnsi="Times New Roman"/>
          <w:smallCaps/>
        </w:rPr>
        <w:t>Introduction</w:t>
      </w:r>
      <w:r>
        <w:rPr>
          <w:rFonts w:ascii="Times New Roman" w:hAnsi="Times New Roman"/>
        </w:rPr>
        <w:t xml:space="preserve"> 82 (2019); Steven J. Jensen, </w:t>
      </w:r>
      <w:r>
        <w:rPr>
          <w:rFonts w:ascii="Times New Roman" w:hAnsi="Times New Roman"/>
          <w:i/>
          <w:iCs/>
        </w:rPr>
        <w:t>Aquinas</w:t>
      </w:r>
      <w:r>
        <w:rPr>
          <w:rFonts w:ascii="Times New Roman" w:hAnsi="Times New Roman"/>
        </w:rPr>
        <w:t>,</w:t>
      </w:r>
      <w:r>
        <w:rPr>
          <w:rFonts w:ascii="Times New Roman" w:hAnsi="Times New Roman"/>
          <w:i/>
          <w:iCs/>
        </w:rPr>
        <w:t xml:space="preserve"> in</w:t>
      </w:r>
      <w:r>
        <w:rPr>
          <w:rFonts w:ascii="Times New Roman" w:hAnsi="Times New Roman"/>
        </w:rPr>
        <w:t xml:space="preserve"> </w:t>
      </w:r>
      <w:r>
        <w:rPr>
          <w:rFonts w:ascii="Times New Roman" w:hAnsi="Times New Roman"/>
          <w:smallCaps/>
        </w:rPr>
        <w:t>The Cambridge Companion to Natural Law Ethics</w:t>
      </w:r>
      <w:r>
        <w:rPr>
          <w:rFonts w:ascii="Times New Roman" w:hAnsi="Times New Roman"/>
        </w:rPr>
        <w:t xml:space="preserve"> 31 (Tom Angier ed., 2019).</w:t>
      </w:r>
    </w:p>
  </w:footnote>
  <w:footnote w:id="39">
    <w:p w14:paraId="6F15D77D"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The fact that the classical legal tradition is built on a conception of the meaning of the nature of man and his good is, of co</w:t>
      </w:r>
      <w:r>
        <w:rPr>
          <w:rFonts w:ascii="Times New Roman" w:hAnsi="Times New Roman"/>
        </w:rPr>
        <w:t xml:space="preserve">urse, not unique to it. As Kahn notes, political theories invariably differ more on their </w:t>
      </w:r>
      <w:r>
        <w:rPr>
          <w:rFonts w:ascii="Times New Roman" w:hAnsi="Times New Roman"/>
        </w:rPr>
        <w:t>“</w:t>
      </w:r>
      <w:r>
        <w:rPr>
          <w:rFonts w:ascii="Times New Roman" w:hAnsi="Times New Roman"/>
        </w:rPr>
        <w:t>radically different understandings of the nature of man</w:t>
      </w:r>
      <w:r>
        <w:rPr>
          <w:rFonts w:ascii="Times New Roman" w:hAnsi="Times New Roman"/>
        </w:rPr>
        <w:t xml:space="preserve">” </w:t>
      </w:r>
      <w:r>
        <w:rPr>
          <w:rFonts w:ascii="Times New Roman" w:hAnsi="Times New Roman"/>
        </w:rPr>
        <w:t xml:space="preserve">than on </w:t>
      </w:r>
      <w:r>
        <w:rPr>
          <w:rFonts w:ascii="Times New Roman" w:hAnsi="Times New Roman"/>
        </w:rPr>
        <w:t>“</w:t>
      </w:r>
      <w:r>
        <w:rPr>
          <w:rFonts w:ascii="Times New Roman" w:hAnsi="Times New Roman"/>
        </w:rPr>
        <w:t>different visions of programmatic reform or institutional organization.</w:t>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Paul W. Kahn, Politica</w:t>
      </w:r>
      <w:r>
        <w:rPr>
          <w:rFonts w:ascii="Times New Roman" w:hAnsi="Times New Roman"/>
          <w:smallCaps/>
        </w:rPr>
        <w:t>l Theology: Four New Chapters on the Concept of Sovereignty</w:t>
      </w:r>
      <w:r>
        <w:rPr>
          <w:rFonts w:ascii="Times New Roman" w:hAnsi="Times New Roman"/>
        </w:rPr>
        <w:t xml:space="preserve"> 124 (2011).</w:t>
      </w:r>
    </w:p>
  </w:footnote>
  <w:footnote w:id="40">
    <w:p w14:paraId="33F8C814" w14:textId="77777777" w:rsidR="00357B22" w:rsidRDefault="00062FEC">
      <w:pPr>
        <w:pStyle w:val="FootnoteText"/>
        <w:jc w:val="both"/>
      </w:pPr>
      <w:r>
        <w:rPr>
          <w:vertAlign w:val="superscript"/>
        </w:rPr>
        <w:footnoteRef/>
      </w:r>
      <w:r>
        <w:rPr>
          <w:rFonts w:ascii="Times New Roman" w:hAnsi="Times New Roman"/>
        </w:rPr>
        <w:t xml:space="preserve"> </w:t>
      </w:r>
      <w:r>
        <w:rPr>
          <w:rFonts w:ascii="Times New Roman" w:hAnsi="Times New Roman"/>
          <w:i/>
          <w:iCs/>
          <w14:textOutline w14:w="12700" w14:cap="flat" w14:cmpd="sng" w14:algn="ctr">
            <w14:noFill/>
            <w14:prstDash w14:val="solid"/>
            <w14:miter w14:lim="400000"/>
          </w14:textOutline>
        </w:rPr>
        <w:t xml:space="preserve">See </w:t>
      </w:r>
      <w:r>
        <w:rPr>
          <w:rFonts w:ascii="Times New Roman" w:hAnsi="Times New Roman"/>
          <w:smallCaps/>
          <w14:textOutline w14:w="12700" w14:cap="flat" w14:cmpd="sng" w14:algn="ctr">
            <w14:noFill/>
            <w14:prstDash w14:val="solid"/>
            <w14:miter w14:lim="400000"/>
          </w14:textOutline>
        </w:rPr>
        <w:t>Giovanni Botero, The Reason of State 71</w:t>
      </w:r>
      <w:r>
        <w:rPr>
          <w:rFonts w:ascii="Times New Roman" w:hAnsi="Times New Roman"/>
          <w14:textOutline w14:w="12700" w14:cap="flat" w14:cmpd="sng" w14:algn="ctr">
            <w14:noFill/>
            <w14:prstDash w14:val="solid"/>
            <w14:miter w14:lim="400000"/>
          </w14:textOutline>
        </w:rPr>
        <w:t xml:space="preserve"> (Robert </w:t>
      </w:r>
      <w:proofErr w:type="spellStart"/>
      <w:r>
        <w:rPr>
          <w:rFonts w:ascii="Times New Roman" w:hAnsi="Times New Roman"/>
          <w14:textOutline w14:w="12700" w14:cap="flat" w14:cmpd="sng" w14:algn="ctr">
            <w14:noFill/>
            <w14:prstDash w14:val="solid"/>
            <w14:miter w14:lim="400000"/>
          </w14:textOutline>
        </w:rPr>
        <w:t>B</w:t>
      </w:r>
      <w:r>
        <w:rPr>
          <w:rFonts w:ascii="Times New Roman" w:hAnsi="Times New Roman"/>
          <w14:textOutline w14:w="12700" w14:cap="flat" w14:cmpd="sng" w14:algn="ctr">
            <w14:noFill/>
            <w14:prstDash w14:val="solid"/>
            <w14:miter w14:lim="400000"/>
          </w14:textOutline>
        </w:rPr>
        <w:t>ireley</w:t>
      </w:r>
      <w:proofErr w:type="spellEnd"/>
      <w:r>
        <w:rPr>
          <w:rFonts w:ascii="Times New Roman" w:hAnsi="Times New Roman"/>
          <w14:textOutline w14:w="12700" w14:cap="flat" w14:cmpd="sng" w14:algn="ctr">
            <w14:noFill/>
            <w14:prstDash w14:val="solid"/>
            <w14:miter w14:lim="400000"/>
          </w14:textOutline>
        </w:rPr>
        <w:t xml:space="preserve"> ed. &amp; trans., 2017).</w:t>
      </w:r>
    </w:p>
  </w:footnote>
  <w:footnote w:id="41">
    <w:p w14:paraId="6A206FDE" w14:textId="77777777" w:rsidR="00357B22" w:rsidRDefault="00062FEC">
      <w:pPr>
        <w:pStyle w:val="FootnoteText"/>
        <w:jc w:val="both"/>
      </w:pPr>
      <w:r>
        <w:rPr>
          <w:vertAlign w:val="superscript"/>
        </w:rPr>
        <w:footnoteRef/>
      </w:r>
      <w:r>
        <w:rPr>
          <w:rFonts w:ascii="Times New Roman" w:hAnsi="Times New Roman"/>
        </w:rPr>
        <w:t xml:space="preserve"> </w:t>
      </w:r>
      <w:r>
        <w:rPr>
          <w:rFonts w:ascii="Times New Roman" w:hAnsi="Times New Roman"/>
          <w:smallCaps/>
        </w:rPr>
        <w:t>The Institutes of Justinian, Book I Title I</w:t>
      </w:r>
      <w:r>
        <w:rPr>
          <w:rFonts w:ascii="Times New Roman" w:hAnsi="Times New Roman"/>
        </w:rPr>
        <w:t xml:space="preserve"> (J.B. Moyle ed. &amp; trans., 5th ed. 1915). </w:t>
      </w:r>
    </w:p>
  </w:footnote>
  <w:footnote w:id="42">
    <w:p w14:paraId="79709839" w14:textId="77777777" w:rsidR="00357B22" w:rsidRDefault="00062FEC">
      <w:pPr>
        <w:pStyle w:val="FootnoteText"/>
      </w:pPr>
      <w:r>
        <w:rPr>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Sean Coyle, </w:t>
      </w:r>
      <w:r>
        <w:rPr>
          <w:rFonts w:ascii="Times New Roman" w:hAnsi="Times New Roman"/>
          <w:i/>
          <w:iCs/>
        </w:rPr>
        <w:t>Natural Law and Goodness in Thomistic Ethics</w:t>
      </w:r>
      <w:r>
        <w:rPr>
          <w:rFonts w:ascii="Times New Roman" w:hAnsi="Times New Roman"/>
        </w:rPr>
        <w:t xml:space="preserve">, 30 </w:t>
      </w:r>
      <w:r>
        <w:rPr>
          <w:rFonts w:ascii="Times New Roman" w:hAnsi="Times New Roman"/>
          <w:smallCaps/>
        </w:rPr>
        <w:t>Canadian J.L. &amp; Juris</w:t>
      </w:r>
      <w:r>
        <w:rPr>
          <w:rFonts w:ascii="Times New Roman" w:hAnsi="Times New Roman"/>
        </w:rPr>
        <w:t>. 77, 89 (2017).</w:t>
      </w:r>
    </w:p>
  </w:footnote>
  <w:footnote w:id="43">
    <w:p w14:paraId="6F8CB738" w14:textId="77777777" w:rsidR="00357B22" w:rsidRDefault="00062FEC">
      <w:pPr>
        <w:pStyle w:val="Body"/>
      </w:pPr>
      <w:r>
        <w:rPr>
          <w:vertAlign w:val="superscript"/>
        </w:rPr>
        <w:footnoteRef/>
      </w:r>
      <w:r>
        <w:rPr>
          <w:rFonts w:eastAsia="Arial Unicode MS" w:cs="Arial Unicode MS"/>
          <w:sz w:val="20"/>
          <w:szCs w:val="20"/>
        </w:rPr>
        <w:t xml:space="preserve"> </w:t>
      </w:r>
      <w:r>
        <w:rPr>
          <w:rFonts w:eastAsia="Arial Unicode MS" w:cs="Arial Unicode MS"/>
          <w:smallCaps/>
          <w:sz w:val="20"/>
          <w:szCs w:val="20"/>
          <w:lang w:val="it-IT"/>
        </w:rPr>
        <w:t xml:space="preserve">Thomas </w:t>
      </w:r>
      <w:proofErr w:type="spellStart"/>
      <w:r>
        <w:rPr>
          <w:rFonts w:eastAsia="Arial Unicode MS" w:cs="Arial Unicode MS"/>
          <w:smallCaps/>
          <w:sz w:val="20"/>
          <w:szCs w:val="20"/>
          <w:lang w:val="it-IT"/>
        </w:rPr>
        <w:t>Aquinas</w:t>
      </w:r>
      <w:proofErr w:type="spellEnd"/>
      <w:r>
        <w:rPr>
          <w:rFonts w:eastAsia="Arial Unicode MS" w:cs="Arial Unicode MS"/>
          <w:smallCaps/>
          <w:sz w:val="20"/>
          <w:szCs w:val="20"/>
          <w:lang w:val="it-IT"/>
        </w:rPr>
        <w:t xml:space="preserve">, De Regno: Ad </w:t>
      </w:r>
      <w:proofErr w:type="spellStart"/>
      <w:r>
        <w:rPr>
          <w:rFonts w:eastAsia="Arial Unicode MS" w:cs="Arial Unicode MS"/>
          <w:smallCaps/>
          <w:sz w:val="20"/>
          <w:szCs w:val="20"/>
          <w:lang w:val="it-IT"/>
        </w:rPr>
        <w:t>Regem</w:t>
      </w:r>
      <w:proofErr w:type="spellEnd"/>
      <w:r>
        <w:rPr>
          <w:rFonts w:eastAsia="Arial Unicode MS" w:cs="Arial Unicode MS"/>
          <w:smallCaps/>
          <w:sz w:val="20"/>
          <w:szCs w:val="20"/>
          <w:lang w:val="it-IT"/>
        </w:rPr>
        <w:t xml:space="preserve"> </w:t>
      </w:r>
      <w:proofErr w:type="spellStart"/>
      <w:r>
        <w:rPr>
          <w:rFonts w:eastAsia="Arial Unicode MS" w:cs="Arial Unicode MS"/>
          <w:smallCaps/>
          <w:sz w:val="20"/>
          <w:szCs w:val="20"/>
          <w:lang w:val="it-IT"/>
        </w:rPr>
        <w:t>Cypri</w:t>
      </w:r>
      <w:proofErr w:type="spellEnd"/>
      <w:r>
        <w:rPr>
          <w:rFonts w:eastAsia="Arial Unicode MS" w:cs="Arial Unicode MS"/>
          <w:smallCaps/>
          <w:sz w:val="20"/>
          <w:szCs w:val="20"/>
          <w:lang w:val="it-IT"/>
        </w:rPr>
        <w:t xml:space="preserve"> </w:t>
      </w:r>
      <w:r>
        <w:rPr>
          <w:rFonts w:eastAsia="Arial Unicode MS" w:cs="Arial Unicode MS"/>
          <w:sz w:val="20"/>
          <w:szCs w:val="20"/>
          <w:lang w:val="en-US"/>
        </w:rPr>
        <w:t xml:space="preserve">6-13 (Gerald Phelan ed. &amp; trans., Divine Providence Press 2014); </w:t>
      </w:r>
      <w:r>
        <w:rPr>
          <w:rFonts w:eastAsia="Arial Unicode MS" w:cs="Arial Unicode MS"/>
          <w:smallCaps/>
          <w:sz w:val="20"/>
          <w:szCs w:val="20"/>
          <w:lang w:val="en-US"/>
        </w:rPr>
        <w:t xml:space="preserve">J.M. Kelly, A Short History of Western Legal Theory </w:t>
      </w:r>
      <w:r>
        <w:rPr>
          <w:rFonts w:eastAsia="Arial Unicode MS" w:cs="Arial Unicode MS"/>
          <w:sz w:val="20"/>
          <w:szCs w:val="20"/>
        </w:rPr>
        <w:t>125 (2013).</w:t>
      </w:r>
    </w:p>
  </w:footnote>
  <w:footnote w:id="44">
    <w:p w14:paraId="045DCA92" w14:textId="77777777" w:rsidR="00357B22" w:rsidRDefault="00062FEC">
      <w:pPr>
        <w:pStyle w:val="FootnoteText"/>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 xml:space="preserve">James </w:t>
      </w:r>
      <w:proofErr w:type="spellStart"/>
      <w:r>
        <w:rPr>
          <w:rFonts w:ascii="Times New Roman" w:hAnsi="Times New Roman"/>
          <w:smallCaps/>
        </w:rPr>
        <w:t>Fitzjames</w:t>
      </w:r>
      <w:proofErr w:type="spellEnd"/>
      <w:r>
        <w:rPr>
          <w:rFonts w:ascii="Times New Roman" w:hAnsi="Times New Roman"/>
          <w:smallCaps/>
        </w:rPr>
        <w:t xml:space="preserve"> Stephen, Liberty, Equality, Fraternity </w:t>
      </w:r>
      <w:r>
        <w:rPr>
          <w:rFonts w:ascii="Times New Roman" w:hAnsi="Times New Roman"/>
        </w:rPr>
        <w:t xml:space="preserve">(Stuart D. Warner ed., 1993); </w:t>
      </w:r>
      <w:proofErr w:type="spellStart"/>
      <w:r>
        <w:rPr>
          <w:rFonts w:ascii="Times New Roman" w:hAnsi="Times New Roman"/>
        </w:rPr>
        <w:t>Sherif</w:t>
      </w:r>
      <w:proofErr w:type="spellEnd"/>
      <w:r>
        <w:rPr>
          <w:rFonts w:ascii="Times New Roman" w:hAnsi="Times New Roman"/>
        </w:rPr>
        <w:t xml:space="preserve"> Girgis &amp; Robert P. George, </w:t>
      </w:r>
      <w:r>
        <w:rPr>
          <w:rFonts w:ascii="Times New Roman" w:hAnsi="Times New Roman"/>
          <w:i/>
          <w:iCs/>
        </w:rPr>
        <w:t>Civil Rights and Liberties</w:t>
      </w:r>
      <w:r>
        <w:rPr>
          <w:rFonts w:ascii="Times New Roman" w:hAnsi="Times New Roman"/>
        </w:rPr>
        <w:t xml:space="preserve">, </w:t>
      </w:r>
      <w:r>
        <w:rPr>
          <w:rFonts w:ascii="Times New Roman" w:hAnsi="Times New Roman"/>
          <w:i/>
          <w:iCs/>
        </w:rPr>
        <w:t>in</w:t>
      </w:r>
      <w:r>
        <w:rPr>
          <w:rFonts w:ascii="Times New Roman" w:hAnsi="Times New Roman"/>
        </w:rPr>
        <w:t xml:space="preserve"> </w:t>
      </w:r>
      <w:r>
        <w:rPr>
          <w:rFonts w:ascii="Times New Roman" w:hAnsi="Times New Roman"/>
          <w:smallCaps/>
        </w:rPr>
        <w:t>The Cambridge Companion to the Legal Philosophy of Law</w:t>
      </w:r>
      <w:r>
        <w:rPr>
          <w:rFonts w:ascii="Times New Roman" w:hAnsi="Times New Roman"/>
        </w:rPr>
        <w:t xml:space="preserve"> 311-12 (</w:t>
      </w:r>
      <w:r>
        <w:rPr>
          <w:rFonts w:ascii="Times New Roman" w:hAnsi="Times New Roman"/>
        </w:rPr>
        <w:t xml:space="preserve">John </w:t>
      </w:r>
      <w:proofErr w:type="spellStart"/>
      <w:r>
        <w:rPr>
          <w:rFonts w:ascii="Times New Roman" w:hAnsi="Times New Roman"/>
        </w:rPr>
        <w:t>Tasioulas</w:t>
      </w:r>
      <w:proofErr w:type="spellEnd"/>
      <w:r>
        <w:rPr>
          <w:rFonts w:ascii="Times New Roman" w:hAnsi="Times New Roman"/>
        </w:rPr>
        <w:t xml:space="preserve"> ed.,</w:t>
      </w:r>
      <w:r>
        <w:rPr>
          <w:rFonts w:ascii="Times New Roman" w:hAnsi="Times New Roman"/>
          <w:smallCaps/>
        </w:rPr>
        <w:t xml:space="preserve"> </w:t>
      </w:r>
      <w:r>
        <w:rPr>
          <w:rFonts w:ascii="Times New Roman" w:hAnsi="Times New Roman"/>
        </w:rPr>
        <w:t>2020).</w:t>
      </w:r>
    </w:p>
  </w:footnote>
  <w:footnote w:id="45">
    <w:p w14:paraId="1D30F3D2" w14:textId="77777777" w:rsidR="00357B22" w:rsidRDefault="00062FEC">
      <w:pPr>
        <w:pStyle w:val="Body"/>
      </w:pPr>
      <w:r>
        <w:rPr>
          <w:vertAlign w:val="superscript"/>
        </w:rPr>
        <w:footnoteRef/>
      </w:r>
      <w:r>
        <w:rPr>
          <w:rFonts w:eastAsia="Arial Unicode MS" w:cs="Arial Unicode MS"/>
          <w:sz w:val="20"/>
          <w:szCs w:val="20"/>
        </w:rPr>
        <w:t xml:space="preserve"> </w:t>
      </w:r>
      <w:r>
        <w:rPr>
          <w:rFonts w:eastAsia="Arial Unicode MS" w:cs="Arial Unicode MS"/>
          <w:i/>
          <w:iCs/>
          <w:sz w:val="20"/>
          <w:szCs w:val="20"/>
          <w:lang w:val="en-US"/>
        </w:rPr>
        <w:t xml:space="preserve">See Summa </w:t>
      </w:r>
      <w:proofErr w:type="spellStart"/>
      <w:r>
        <w:rPr>
          <w:rFonts w:eastAsia="Arial Unicode MS" w:cs="Arial Unicode MS"/>
          <w:i/>
          <w:iCs/>
          <w:sz w:val="20"/>
          <w:szCs w:val="20"/>
          <w:lang w:val="en-US"/>
        </w:rPr>
        <w:t>Theo</w:t>
      </w:r>
      <w:r>
        <w:rPr>
          <w:rFonts w:eastAsia="Arial Unicode MS" w:cs="Arial Unicode MS"/>
          <w:i/>
          <w:iCs/>
          <w:sz w:val="20"/>
          <w:szCs w:val="20"/>
          <w:lang w:val="en-US"/>
        </w:rPr>
        <w:t>logiae</w:t>
      </w:r>
      <w:proofErr w:type="spellEnd"/>
      <w:r>
        <w:rPr>
          <w:rFonts w:eastAsia="Arial Unicode MS" w:cs="Arial Unicode MS"/>
          <w:sz w:val="20"/>
          <w:szCs w:val="20"/>
        </w:rPr>
        <w:t xml:space="preserve"> </w:t>
      </w:r>
      <w:proofErr w:type="spellStart"/>
      <w:r>
        <w:rPr>
          <w:rFonts w:eastAsia="Arial Unicode MS" w:cs="Arial Unicode MS"/>
          <w:sz w:val="20"/>
          <w:szCs w:val="20"/>
        </w:rPr>
        <w:t>IaIIae</w:t>
      </w:r>
      <w:proofErr w:type="spellEnd"/>
      <w:r>
        <w:rPr>
          <w:rFonts w:eastAsia="Arial Unicode MS" w:cs="Arial Unicode MS"/>
          <w:sz w:val="20"/>
          <w:szCs w:val="20"/>
        </w:rPr>
        <w:t xml:space="preserve"> 96 art. 3; J</w:t>
      </w:r>
      <w:r>
        <w:rPr>
          <w:rFonts w:eastAsia="Arial Unicode MS" w:cs="Arial Unicode MS"/>
          <w:smallCaps/>
          <w:sz w:val="20"/>
          <w:szCs w:val="20"/>
        </w:rPr>
        <w:t xml:space="preserve">. </w:t>
      </w:r>
      <w:proofErr w:type="spellStart"/>
      <w:r>
        <w:rPr>
          <w:rFonts w:eastAsia="Arial Unicode MS" w:cs="Arial Unicode MS"/>
          <w:smallCaps/>
          <w:sz w:val="20"/>
          <w:szCs w:val="20"/>
        </w:rPr>
        <w:t>Budziszewski</w:t>
      </w:r>
      <w:proofErr w:type="spellEnd"/>
      <w:r>
        <w:rPr>
          <w:rFonts w:eastAsia="Arial Unicode MS" w:cs="Arial Unicode MS"/>
          <w:smallCaps/>
          <w:sz w:val="20"/>
          <w:szCs w:val="20"/>
        </w:rPr>
        <w:t>, Commentary on Thomas Aquinas</w:t>
      </w:r>
      <w:r>
        <w:rPr>
          <w:rFonts w:eastAsia="Arial Unicode MS" w:cs="Arial Unicode MS"/>
          <w:smallCaps/>
          <w:sz w:val="20"/>
          <w:szCs w:val="20"/>
          <w:rtl/>
        </w:rPr>
        <w:t>’</w:t>
      </w:r>
      <w:r>
        <w:rPr>
          <w:rFonts w:eastAsia="Arial Unicode MS" w:cs="Arial Unicode MS"/>
          <w:smallCaps/>
          <w:sz w:val="20"/>
          <w:szCs w:val="20"/>
          <w:lang w:val="en-US"/>
        </w:rPr>
        <w:t xml:space="preserve">s Treatise on Law </w:t>
      </w:r>
      <w:r>
        <w:rPr>
          <w:rFonts w:eastAsia="Arial Unicode MS" w:cs="Arial Unicode MS"/>
          <w:sz w:val="20"/>
          <w:szCs w:val="20"/>
        </w:rPr>
        <w:t>368-79 (2014).</w:t>
      </w:r>
    </w:p>
  </w:footnote>
  <w:footnote w:id="46">
    <w:p w14:paraId="7A067C47" w14:textId="77777777" w:rsidR="00357B22" w:rsidRDefault="00062FEC">
      <w:pPr>
        <w:pStyle w:val="BodyB"/>
        <w:jc w:val="both"/>
      </w:pPr>
      <w:r>
        <w:rPr>
          <w:shd w:val="clear" w:color="auto" w:fill="FFFFFF"/>
          <w:vertAlign w:val="superscript"/>
        </w:rPr>
        <w:footnoteRef/>
      </w:r>
      <w:r>
        <w:rPr>
          <w:sz w:val="20"/>
          <w:szCs w:val="20"/>
        </w:rPr>
        <w:t xml:space="preserve"> Legal authority “address[es] one of the pervasive needs of human life, since without a whole range of shared activities, we as rational, social animal</w:t>
      </w:r>
      <w:r>
        <w:rPr>
          <w:sz w:val="20"/>
          <w:szCs w:val="20"/>
        </w:rPr>
        <w:t xml:space="preserve">s could not live—fully, or perhaps at all—in the way characteristic to us as a specific kind of living creature.” </w:t>
      </w:r>
      <w:r>
        <w:rPr>
          <w:smallCaps/>
          <w:sz w:val="20"/>
          <w:szCs w:val="20"/>
        </w:rPr>
        <w:t>Jean Porter, Ministers of The Law: A Natural Law Theory of Legal Authority</w:t>
      </w:r>
      <w:r>
        <w:rPr>
          <w:sz w:val="20"/>
          <w:szCs w:val="20"/>
        </w:rPr>
        <w:t xml:space="preserve"> 82 (2010).</w:t>
      </w:r>
    </w:p>
  </w:footnote>
  <w:footnote w:id="47">
    <w:p w14:paraId="65DAAA73" w14:textId="77777777" w:rsidR="00357B22" w:rsidRDefault="00062FEC">
      <w:pPr>
        <w:pStyle w:val="FootnoteText"/>
        <w:jc w:val="both"/>
      </w:pPr>
      <w:r>
        <w:rPr>
          <w:vertAlign w:val="superscript"/>
        </w:rPr>
        <w:footnoteRef/>
      </w:r>
      <w:r>
        <w:rPr>
          <w:rFonts w:ascii="Times New Roman" w:hAnsi="Times New Roman"/>
        </w:rPr>
        <w:t xml:space="preserve"> </w:t>
      </w:r>
      <w:r>
        <w:rPr>
          <w:rFonts w:ascii="Times New Roman" w:hAnsi="Times New Roman"/>
          <w:smallCaps/>
        </w:rPr>
        <w:t>McCall</w:t>
      </w:r>
      <w:r>
        <w:rPr>
          <w:rFonts w:ascii="Times New Roman" w:hAnsi="Times New Roman"/>
        </w:rPr>
        <w:t xml:space="preserve">, </w:t>
      </w:r>
      <w:r>
        <w:rPr>
          <w:rFonts w:ascii="Times New Roman" w:hAnsi="Times New Roman"/>
          <w:i/>
          <w:iCs/>
        </w:rPr>
        <w:t>supra</w:t>
      </w:r>
      <w:r>
        <w:rPr>
          <w:rFonts w:ascii="Times New Roman" w:hAnsi="Times New Roman"/>
        </w:rPr>
        <w:t xml:space="preserve"> note 28.</w:t>
      </w:r>
    </w:p>
  </w:footnote>
  <w:footnote w:id="48">
    <w:p w14:paraId="10C9E4F5" w14:textId="27BD08B1" w:rsidR="00357B22" w:rsidRDefault="00062FEC">
      <w:pPr>
        <w:pStyle w:val="FootnoteText"/>
      </w:pPr>
      <w:r>
        <w:rPr>
          <w:shd w:val="clear" w:color="auto" w:fill="FFFFFF"/>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Aquinas</w:t>
      </w:r>
      <w:r>
        <w:rPr>
          <w:rFonts w:ascii="Times New Roman" w:hAnsi="Times New Roman"/>
        </w:rPr>
        <w:t xml:space="preserve">, </w:t>
      </w:r>
      <w:r>
        <w:rPr>
          <w:rFonts w:ascii="Times New Roman" w:hAnsi="Times New Roman"/>
          <w:i/>
          <w:iCs/>
        </w:rPr>
        <w:t xml:space="preserve">supra </w:t>
      </w:r>
      <w:r>
        <w:rPr>
          <w:rFonts w:ascii="Times New Roman" w:hAnsi="Times New Roman"/>
        </w:rPr>
        <w:t>note</w:t>
      </w:r>
      <w:r>
        <w:rPr>
          <w:rFonts w:ascii="Times New Roman" w:hAnsi="Times New Roman"/>
        </w:rPr>
        <w:t>13</w:t>
      </w:r>
      <w:r>
        <w:rPr>
          <w:rFonts w:ascii="Times New Roman" w:hAnsi="Times New Roman"/>
        </w:rPr>
        <w:t xml:space="preserve">; Maris </w:t>
      </w:r>
      <w:proofErr w:type="spellStart"/>
      <w:r>
        <w:rPr>
          <w:rFonts w:ascii="Times New Roman" w:hAnsi="Times New Roman"/>
        </w:rPr>
        <w:t>K</w:t>
      </w:r>
      <w:r>
        <w:rPr>
          <w:rFonts w:ascii="Times New Roman" w:hAnsi="Times New Roman"/>
        </w:rPr>
        <w:t>ö</w:t>
      </w:r>
      <w:r>
        <w:rPr>
          <w:rFonts w:ascii="Times New Roman" w:hAnsi="Times New Roman"/>
        </w:rPr>
        <w:t>pcke</w:t>
      </w:r>
      <w:proofErr w:type="spellEnd"/>
      <w:r>
        <w:rPr>
          <w:rFonts w:ascii="Times New Roman" w:hAnsi="Times New Roman"/>
        </w:rPr>
        <w:t xml:space="preserve"> </w:t>
      </w:r>
      <w:proofErr w:type="spellStart"/>
      <w:r>
        <w:rPr>
          <w:rFonts w:ascii="Times New Roman" w:hAnsi="Times New Roman"/>
        </w:rPr>
        <w:t>Tintur</w:t>
      </w:r>
      <w:r>
        <w:rPr>
          <w:rFonts w:ascii="Times New Roman" w:hAnsi="Times New Roman"/>
        </w:rPr>
        <w:t>é</w:t>
      </w:r>
      <w:proofErr w:type="spellEnd"/>
      <w:r>
        <w:rPr>
          <w:rFonts w:ascii="Times New Roman" w:hAnsi="Times New Roman"/>
        </w:rPr>
        <w:t xml:space="preserve">, </w:t>
      </w:r>
      <w:r>
        <w:rPr>
          <w:rFonts w:ascii="Times New Roman" w:hAnsi="Times New Roman"/>
          <w:i/>
          <w:iCs/>
        </w:rPr>
        <w:t>Positive Law</w:t>
      </w:r>
      <w:r>
        <w:rPr>
          <w:rFonts w:ascii="Times New Roman" w:hAnsi="Times New Roman"/>
          <w:i/>
          <w:iCs/>
        </w:rPr>
        <w:t>’</w:t>
      </w:r>
      <w:r>
        <w:rPr>
          <w:rFonts w:ascii="Times New Roman" w:hAnsi="Times New Roman"/>
          <w:i/>
          <w:iCs/>
        </w:rPr>
        <w:t xml:space="preserve">s Moral Purpose(s): Towards a New </w:t>
      </w:r>
      <w:proofErr w:type="gramStart"/>
      <w:r>
        <w:rPr>
          <w:rFonts w:ascii="Times New Roman" w:hAnsi="Times New Roman"/>
          <w:i/>
          <w:iCs/>
        </w:rPr>
        <w:t>Consensus?</w:t>
      </w:r>
      <w:r>
        <w:rPr>
          <w:rFonts w:ascii="Times New Roman" w:hAnsi="Times New Roman"/>
        </w:rPr>
        <w:t>,</w:t>
      </w:r>
      <w:proofErr w:type="gramEnd"/>
      <w:r>
        <w:rPr>
          <w:rFonts w:ascii="Times New Roman" w:hAnsi="Times New Roman"/>
        </w:rPr>
        <w:t xml:space="preserve"> 56 </w:t>
      </w:r>
      <w:r>
        <w:rPr>
          <w:rFonts w:ascii="Times New Roman" w:hAnsi="Times New Roman"/>
          <w:smallCaps/>
        </w:rPr>
        <w:t>Am. J. Juris.</w:t>
      </w:r>
      <w:r>
        <w:rPr>
          <w:rFonts w:ascii="Times New Roman" w:hAnsi="Times New Roman"/>
        </w:rPr>
        <w:t xml:space="preserve"> 183, 193 (2011).</w:t>
      </w:r>
    </w:p>
  </w:footnote>
  <w:footnote w:id="49">
    <w:p w14:paraId="2C61430D" w14:textId="77777777" w:rsidR="00357B22" w:rsidRDefault="00062FEC">
      <w:pPr>
        <w:pStyle w:val="FootnoteText"/>
        <w:jc w:val="both"/>
      </w:pPr>
      <w:r>
        <w:rPr>
          <w:vertAlign w:val="superscript"/>
        </w:rPr>
        <w:footnoteRef/>
      </w:r>
      <w:r>
        <w:rPr>
          <w:rFonts w:ascii="Times New Roman" w:hAnsi="Times New Roman"/>
        </w:rPr>
        <w:t xml:space="preserve"> Timothy Endicott, </w:t>
      </w:r>
      <w:r>
        <w:rPr>
          <w:rFonts w:ascii="Times New Roman" w:hAnsi="Times New Roman"/>
          <w:i/>
          <w:iCs/>
        </w:rPr>
        <w:t>The Irony of Law</w:t>
      </w:r>
      <w:r>
        <w:rPr>
          <w:rFonts w:ascii="Times New Roman" w:hAnsi="Times New Roman"/>
        </w:rPr>
        <w:t xml:space="preserve">, </w:t>
      </w:r>
      <w:r>
        <w:rPr>
          <w:rFonts w:ascii="Times New Roman" w:hAnsi="Times New Roman"/>
          <w:i/>
          <w:iCs/>
        </w:rPr>
        <w:t>in</w:t>
      </w:r>
      <w:r>
        <w:rPr>
          <w:rFonts w:ascii="Times New Roman" w:hAnsi="Times New Roman"/>
        </w:rPr>
        <w:t xml:space="preserve"> </w:t>
      </w:r>
      <w:r>
        <w:rPr>
          <w:rFonts w:ascii="Times New Roman" w:hAnsi="Times New Roman"/>
          <w:smallCaps/>
        </w:rPr>
        <w:t xml:space="preserve">Reason, Morality, and Law: The Philosophy of John Finnis 337 </w:t>
      </w:r>
      <w:r>
        <w:rPr>
          <w:rFonts w:ascii="Times New Roman" w:hAnsi="Times New Roman"/>
        </w:rPr>
        <w:t>(John Keown and Robert P. Ge</w:t>
      </w:r>
      <w:r>
        <w:rPr>
          <w:rFonts w:ascii="Times New Roman" w:hAnsi="Times New Roman"/>
        </w:rPr>
        <w:t>orge eds., 2013).</w:t>
      </w:r>
    </w:p>
  </w:footnote>
  <w:footnote w:id="50">
    <w:p w14:paraId="2A561E78" w14:textId="77777777" w:rsidR="00357B22" w:rsidRDefault="00062FEC">
      <w:pPr>
        <w:pStyle w:val="FootnoteText"/>
        <w:jc w:val="both"/>
      </w:pPr>
      <w:r>
        <w:rPr>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smallCaps/>
        </w:rPr>
        <w:t>Aquinas,</w:t>
      </w:r>
      <w:r>
        <w:rPr>
          <w:rFonts w:ascii="Times New Roman" w:hAnsi="Times New Roman"/>
        </w:rPr>
        <w:t xml:space="preserve"> </w:t>
      </w:r>
      <w:r>
        <w:rPr>
          <w:rFonts w:ascii="Times New Roman" w:hAnsi="Times New Roman"/>
          <w:i/>
          <w:iCs/>
        </w:rPr>
        <w:t>supra</w:t>
      </w:r>
      <w:r>
        <w:rPr>
          <w:rFonts w:ascii="Times New Roman" w:hAnsi="Times New Roman"/>
        </w:rPr>
        <w:t xml:space="preserve"> note 13, at pt. I-II, q. 95, art. 1.</w:t>
      </w:r>
    </w:p>
  </w:footnote>
  <w:footnote w:id="51">
    <w:p w14:paraId="44DBA5C7" w14:textId="77777777" w:rsidR="00357B22" w:rsidRDefault="00062FEC">
      <w:pPr>
        <w:pStyle w:val="FootnoteText"/>
        <w:jc w:val="both"/>
      </w:pPr>
      <w:r>
        <w:rPr>
          <w:vertAlign w:val="superscript"/>
        </w:rPr>
        <w:footnoteRef/>
      </w:r>
      <w:r>
        <w:rPr>
          <w:rFonts w:ascii="Times New Roman" w:hAnsi="Times New Roman"/>
        </w:rPr>
        <w:t xml:space="preserve"> Thomas Pink, </w:t>
      </w:r>
      <w:proofErr w:type="gramStart"/>
      <w:r>
        <w:rPr>
          <w:rFonts w:ascii="Times New Roman" w:hAnsi="Times New Roman"/>
          <w:i/>
          <w:iCs/>
        </w:rPr>
        <w:t>Law</w:t>
      </w:r>
      <w:proofErr w:type="gramEnd"/>
      <w:r>
        <w:rPr>
          <w:rFonts w:ascii="Times New Roman" w:hAnsi="Times New Roman"/>
          <w:i/>
          <w:iCs/>
        </w:rPr>
        <w:t xml:space="preserve"> and the Normativity of Obligation</w:t>
      </w:r>
      <w:r>
        <w:rPr>
          <w:rFonts w:ascii="Times New Roman" w:hAnsi="Times New Roman"/>
        </w:rPr>
        <w:t xml:space="preserve">, 5 </w:t>
      </w:r>
      <w:r>
        <w:rPr>
          <w:rFonts w:ascii="Times New Roman" w:hAnsi="Times New Roman"/>
          <w:smallCaps/>
        </w:rPr>
        <w:t>Juris.</w:t>
      </w:r>
      <w:r>
        <w:rPr>
          <w:rFonts w:ascii="Times New Roman" w:hAnsi="Times New Roman"/>
        </w:rPr>
        <w:t xml:space="preserve"> 1, 28 (2014).</w:t>
      </w:r>
    </w:p>
  </w:footnote>
  <w:footnote w:id="52">
    <w:p w14:paraId="3973A85F" w14:textId="77777777" w:rsidR="00357B22" w:rsidRDefault="00062FEC">
      <w:pPr>
        <w:pStyle w:val="Body"/>
      </w:pPr>
      <w:r>
        <w:rPr>
          <w:vertAlign w:val="superscript"/>
        </w:rPr>
        <w:footnoteRef/>
      </w:r>
      <w:r>
        <w:rPr>
          <w:rFonts w:eastAsia="Arial Unicode MS" w:cs="Arial Unicode MS"/>
          <w:sz w:val="20"/>
          <w:szCs w:val="20"/>
        </w:rPr>
        <w:t xml:space="preserve"> </w:t>
      </w:r>
      <w:r>
        <w:rPr>
          <w:rFonts w:eastAsia="Arial Unicode MS" w:cs="Arial Unicode MS"/>
          <w:i/>
          <w:iCs/>
          <w:sz w:val="20"/>
          <w:szCs w:val="20"/>
          <w:lang w:val="nl-NL"/>
        </w:rPr>
        <w:t>See</w:t>
      </w:r>
      <w:r>
        <w:rPr>
          <w:rFonts w:eastAsia="Arial Unicode MS" w:cs="Arial Unicode MS"/>
          <w:sz w:val="20"/>
          <w:szCs w:val="20"/>
        </w:rPr>
        <w:t xml:space="preserve"> </w:t>
      </w:r>
      <w:r>
        <w:rPr>
          <w:rFonts w:eastAsia="Arial Unicode MS" w:cs="Arial Unicode MS"/>
          <w:smallCaps/>
          <w:sz w:val="20"/>
          <w:szCs w:val="20"/>
          <w:lang w:val="en-US"/>
        </w:rPr>
        <w:t>Mary M. Keys, Aquinas, Aristotle, and the Promise of The Common Good 80-82</w:t>
      </w:r>
      <w:r>
        <w:rPr>
          <w:rFonts w:eastAsia="Arial Unicode MS" w:cs="Arial Unicode MS"/>
          <w:sz w:val="20"/>
          <w:szCs w:val="20"/>
        </w:rPr>
        <w:t xml:space="preserve"> (Cambridge Univ. Press 2006).</w:t>
      </w:r>
    </w:p>
  </w:footnote>
  <w:footnote w:id="53">
    <w:p w14:paraId="250F1FA0" w14:textId="77777777" w:rsidR="00357B22" w:rsidRDefault="00062FEC">
      <w:pPr>
        <w:pStyle w:val="FootnoteText"/>
        <w:jc w:val="both"/>
      </w:pPr>
      <w:r>
        <w:rPr>
          <w:vertAlign w:val="superscript"/>
        </w:rPr>
        <w:footnoteRef/>
      </w:r>
      <w:r>
        <w:rPr>
          <w:rFonts w:ascii="Times New Roman" w:hAnsi="Times New Roman"/>
        </w:rPr>
        <w:t xml:space="preserve"> </w:t>
      </w:r>
      <w:r>
        <w:rPr>
          <w:rFonts w:ascii="Times New Roman" w:hAnsi="Times New Roman"/>
          <w:smallCaps/>
        </w:rPr>
        <w:t xml:space="preserve">Richard Ekins, The Nature Of Legislative Intent </w:t>
      </w:r>
      <w:r>
        <w:rPr>
          <w:rFonts w:ascii="Times New Roman" w:hAnsi="Times New Roman"/>
        </w:rPr>
        <w:t>130-31 (Oxford Univ. Press 2012).</w:t>
      </w:r>
    </w:p>
  </w:footnote>
  <w:footnote w:id="54">
    <w:p w14:paraId="503D122B"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mallCaps/>
          <w14:textOutline w14:w="12700" w14:cap="flat" w14:cmpd="sng" w14:algn="ctr">
            <w14:noFill/>
            <w14:prstDash w14:val="solid"/>
            <w14:miter w14:lim="400000"/>
          </w14:textOutline>
        </w:rPr>
        <w:t>Thomas Aquinas</w:t>
      </w:r>
      <w:r>
        <w:rPr>
          <w:rFonts w:ascii="Times New Roman" w:hAnsi="Times New Roman"/>
          <w14:textOutline w14:w="12700" w14:cap="flat" w14:cmpd="sng" w14:algn="ctr">
            <w14:noFill/>
            <w14:prstDash w14:val="solid"/>
            <w14:miter w14:lim="400000"/>
          </w14:textOutline>
        </w:rPr>
        <w:t xml:space="preserve">, </w:t>
      </w:r>
      <w:r>
        <w:rPr>
          <w:rFonts w:ascii="Times New Roman" w:hAnsi="Times New Roman"/>
          <w:i/>
          <w:iCs/>
          <w14:textOutline w14:w="12700" w14:cap="flat" w14:cmpd="sng" w14:algn="ctr">
            <w14:noFill/>
            <w14:prstDash w14:val="solid"/>
            <w14:miter w14:lim="400000"/>
          </w14:textOutline>
        </w:rPr>
        <w:t xml:space="preserve">Summa </w:t>
      </w:r>
      <w:proofErr w:type="spellStart"/>
      <w:r>
        <w:rPr>
          <w:rFonts w:ascii="Times New Roman" w:hAnsi="Times New Roman"/>
          <w:i/>
          <w:iCs/>
          <w14:textOutline w14:w="12700" w14:cap="flat" w14:cmpd="sng" w14:algn="ctr">
            <w14:noFill/>
            <w14:prstDash w14:val="solid"/>
            <w14:miter w14:lim="400000"/>
          </w14:textOutline>
        </w:rPr>
        <w:t>Theologiae</w:t>
      </w:r>
      <w:proofErr w:type="spellEnd"/>
      <w:r>
        <w:rPr>
          <w:rFonts w:ascii="Times New Roman" w:hAnsi="Times New Roman"/>
          <w:i/>
          <w:iCs/>
          <w14:textOutline w14:w="12700" w14:cap="flat" w14:cmpd="sng" w14:algn="ctr">
            <w14:noFill/>
            <w14:prstDash w14:val="solid"/>
            <w14:miter w14:lim="400000"/>
          </w14:textOutline>
        </w:rPr>
        <w:t xml:space="preserve"> </w:t>
      </w:r>
      <w:proofErr w:type="spellStart"/>
      <w:r>
        <w:rPr>
          <w:rFonts w:ascii="Times New Roman" w:hAnsi="Times New Roman"/>
          <w:i/>
          <w:iCs/>
          <w14:textOutline w14:w="12700" w14:cap="flat" w14:cmpd="sng" w14:algn="ctr">
            <w14:noFill/>
            <w14:prstDash w14:val="solid"/>
            <w14:miter w14:lim="400000"/>
          </w14:textOutline>
        </w:rPr>
        <w:t>IaIIae</w:t>
      </w:r>
      <w:proofErr w:type="spellEnd"/>
      <w:r>
        <w:rPr>
          <w:rFonts w:ascii="Times New Roman" w:hAnsi="Times New Roman"/>
          <w:i/>
          <w:iCs/>
          <w14:textOutline w14:w="12700" w14:cap="flat" w14:cmpd="sng" w14:algn="ctr">
            <w14:noFill/>
            <w14:prstDash w14:val="solid"/>
            <w14:miter w14:lim="400000"/>
          </w14:textOutline>
        </w:rPr>
        <w:t xml:space="preserve"> </w:t>
      </w:r>
      <w:r>
        <w:rPr>
          <w:rFonts w:ascii="Times New Roman" w:hAnsi="Times New Roman"/>
          <w14:textOutline w14:w="12700" w14:cap="flat" w14:cmpd="sng" w14:algn="ctr">
            <w14:noFill/>
            <w14:prstDash w14:val="solid"/>
            <w14:miter w14:lim="400000"/>
          </w14:textOutline>
        </w:rPr>
        <w:t xml:space="preserve">95, </w:t>
      </w:r>
      <w:r>
        <w:rPr>
          <w:rFonts w:ascii="Times New Roman" w:hAnsi="Times New Roman"/>
          <w:i/>
          <w:iCs/>
          <w14:textOutline w14:w="12700" w14:cap="flat" w14:cmpd="sng" w14:algn="ctr">
            <w14:noFill/>
            <w14:prstDash w14:val="solid"/>
            <w14:miter w14:lim="400000"/>
          </w14:textOutline>
        </w:rPr>
        <w:t xml:space="preserve">in </w:t>
      </w:r>
      <w:r>
        <w:rPr>
          <w:rFonts w:ascii="Times New Roman" w:hAnsi="Times New Roman"/>
          <w:smallCaps/>
          <w14:textOutline w14:w="12700" w14:cap="flat" w14:cmpd="sng" w14:algn="ctr">
            <w14:noFill/>
            <w14:prstDash w14:val="solid"/>
            <w14:miter w14:lim="400000"/>
          </w14:textOutline>
        </w:rPr>
        <w:t>Political Writings</w:t>
      </w:r>
      <w:r>
        <w:rPr>
          <w:rFonts w:ascii="Times New Roman" w:hAnsi="Times New Roman"/>
          <w14:textOutline w14:w="12700" w14:cap="flat" w14:cmpd="sng" w14:algn="ctr">
            <w14:noFill/>
            <w14:prstDash w14:val="solid"/>
            <w14:miter w14:lim="400000"/>
          </w14:textOutline>
        </w:rPr>
        <w:t xml:space="preserve"> 130 (R.W. Dyson ed. &amp; trans., 2002) (emphasis added).</w:t>
      </w:r>
    </w:p>
  </w:footnote>
  <w:footnote w:id="55">
    <w:p w14:paraId="51EEDBAE" w14:textId="77777777" w:rsidR="00357B22" w:rsidRDefault="00062FEC">
      <w:pPr>
        <w:pStyle w:val="FootnoteText"/>
      </w:pPr>
      <w:r>
        <w:rPr>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Coyle, </w:t>
      </w:r>
      <w:r>
        <w:rPr>
          <w:rFonts w:ascii="Times New Roman" w:hAnsi="Times New Roman"/>
          <w:i/>
          <w:iCs/>
        </w:rPr>
        <w:t>supra</w:t>
      </w:r>
      <w:r>
        <w:rPr>
          <w:rFonts w:ascii="Times New Roman" w:hAnsi="Times New Roman"/>
        </w:rPr>
        <w:t xml:space="preserve"> note 41, at 90.</w:t>
      </w:r>
    </w:p>
  </w:footnote>
  <w:footnote w:id="56">
    <w:p w14:paraId="536E76CE" w14:textId="77777777" w:rsidR="00357B22" w:rsidRDefault="00062FEC">
      <w:pPr>
        <w:pStyle w:val="FootnoteText"/>
      </w:pPr>
      <w:r>
        <w:rPr>
          <w:vertAlign w:val="superscript"/>
        </w:rPr>
        <w:footnoteRef/>
      </w:r>
      <w:r>
        <w:rPr>
          <w:rFonts w:ascii="Times New Roman" w:hAnsi="Times New Roman"/>
        </w:rPr>
        <w:t xml:space="preserve"> However, we note that even these examples may be only superficially straightforward. For example, even after concretizing a natural law prohibition against the intentional destruction of life, decisions must still be made on a myriad of closely related qu</w:t>
      </w:r>
      <w:r>
        <w:rPr>
          <w:rFonts w:ascii="Times New Roman" w:hAnsi="Times New Roman"/>
        </w:rPr>
        <w:t>estions the answers to which are not dictated by the natural law, like whether there are different degrees of culpability that affect the gravity of homicide, the precise bounds of self-defense, and when lethal force may be permissible or impermissibly use</w:t>
      </w:r>
      <w:r>
        <w:rPr>
          <w:rFonts w:ascii="Times New Roman" w:hAnsi="Times New Roman"/>
        </w:rPr>
        <w:t xml:space="preserve">d, or the appropriate sentence for those convicted of such an offense. These are all intimately related to the natural law injunction to safeguard innocent </w:t>
      </w:r>
      <w:proofErr w:type="gramStart"/>
      <w:r>
        <w:rPr>
          <w:rFonts w:ascii="Times New Roman" w:hAnsi="Times New Roman"/>
        </w:rPr>
        <w:t>life, but</w:t>
      </w:r>
      <w:proofErr w:type="gramEnd"/>
      <w:r>
        <w:rPr>
          <w:rFonts w:ascii="Times New Roman" w:hAnsi="Times New Roman"/>
        </w:rPr>
        <w:t xml:space="preserve"> respecting it through posited law inescapably involves large degrees of prudential choice.</w:t>
      </w:r>
      <w:r>
        <w:rPr>
          <w:rFonts w:ascii="Times New Roman" w:hAnsi="Times New Roman"/>
        </w:rPr>
        <w:t xml:space="preserve"> </w:t>
      </w:r>
    </w:p>
  </w:footnote>
  <w:footnote w:id="57">
    <w:p w14:paraId="4FD09972" w14:textId="5D634B05" w:rsidR="00357B22" w:rsidRDefault="00062FEC">
      <w:pPr>
        <w:pStyle w:val="FootnoteText"/>
        <w:jc w:val="both"/>
      </w:pPr>
      <w:r>
        <w:rPr>
          <w:shd w:val="clear" w:color="auto" w:fill="FFFFFF"/>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Aquinas</w:t>
      </w:r>
      <w:r>
        <w:rPr>
          <w:rFonts w:ascii="Times New Roman" w:hAnsi="Times New Roman"/>
        </w:rPr>
        <w:t xml:space="preserve">, </w:t>
      </w:r>
      <w:r>
        <w:rPr>
          <w:rFonts w:ascii="Times New Roman" w:hAnsi="Times New Roman"/>
          <w:i/>
          <w:iCs/>
        </w:rPr>
        <w:t>supr</w:t>
      </w:r>
      <w:r>
        <w:rPr>
          <w:rFonts w:ascii="Times New Roman" w:hAnsi="Times New Roman"/>
        </w:rPr>
        <w:t xml:space="preserve">a note </w:t>
      </w:r>
      <w:r>
        <w:rPr>
          <w:rFonts w:ascii="Times New Roman" w:hAnsi="Times New Roman"/>
        </w:rPr>
        <w:t>53</w:t>
      </w:r>
      <w:r>
        <w:rPr>
          <w:rFonts w:ascii="Times New Roman" w:hAnsi="Times New Roman"/>
        </w:rPr>
        <w:t xml:space="preserve">. </w:t>
      </w:r>
    </w:p>
  </w:footnote>
  <w:footnote w:id="58">
    <w:p w14:paraId="109B97BD" w14:textId="77777777" w:rsidR="00357B22" w:rsidRDefault="00062FEC">
      <w:pPr>
        <w:pStyle w:val="Body"/>
      </w:pPr>
      <w:r>
        <w:rPr>
          <w:vertAlign w:val="superscript"/>
        </w:rPr>
        <w:footnoteRef/>
      </w:r>
      <w:r>
        <w:rPr>
          <w:rFonts w:eastAsia="Arial Unicode MS" w:cs="Arial Unicode MS"/>
          <w:sz w:val="20"/>
          <w:szCs w:val="20"/>
        </w:rPr>
        <w:t xml:space="preserve"> </w:t>
      </w:r>
      <w:r>
        <w:rPr>
          <w:rFonts w:eastAsia="Arial Unicode MS" w:cs="Arial Unicode MS"/>
          <w:smallCaps/>
          <w:sz w:val="20"/>
          <w:szCs w:val="20"/>
        </w:rPr>
        <w:t>Gr</w:t>
      </w:r>
      <w:r>
        <w:rPr>
          <w:rFonts w:eastAsia="Arial Unicode MS" w:cs="Arial Unicode MS"/>
          <w:smallCaps/>
          <w:sz w:val="20"/>
          <w:szCs w:val="20"/>
          <w:lang w:val="fr-FR"/>
        </w:rPr>
        <w:t>é</w:t>
      </w:r>
      <w:proofErr w:type="spellStart"/>
      <w:r>
        <w:rPr>
          <w:rFonts w:eastAsia="Arial Unicode MS" w:cs="Arial Unicode MS"/>
          <w:smallCaps/>
          <w:sz w:val="20"/>
          <w:szCs w:val="20"/>
          <w:lang w:val="en-US"/>
        </w:rPr>
        <w:t>goire</w:t>
      </w:r>
      <w:proofErr w:type="spellEnd"/>
      <w:r>
        <w:rPr>
          <w:rFonts w:eastAsia="Arial Unicode MS" w:cs="Arial Unicode MS"/>
          <w:smallCaps/>
          <w:sz w:val="20"/>
          <w:szCs w:val="20"/>
          <w:lang w:val="en-US"/>
        </w:rPr>
        <w:t xml:space="preserve"> Webber et al., Legislated Rights: Securing Human Rights Through Legislation</w:t>
      </w:r>
      <w:r>
        <w:rPr>
          <w:rFonts w:eastAsia="Arial Unicode MS" w:cs="Arial Unicode MS"/>
          <w:i/>
          <w:iCs/>
          <w:smallCaps/>
          <w:sz w:val="20"/>
          <w:szCs w:val="20"/>
        </w:rPr>
        <w:t xml:space="preserve"> </w:t>
      </w:r>
      <w:r>
        <w:rPr>
          <w:rFonts w:eastAsia="Arial Unicode MS" w:cs="Arial Unicode MS"/>
          <w:smallCaps/>
          <w:sz w:val="20"/>
          <w:szCs w:val="20"/>
        </w:rPr>
        <w:t>49 (</w:t>
      </w:r>
      <w:r>
        <w:rPr>
          <w:rFonts w:eastAsia="Arial Unicode MS" w:cs="Arial Unicode MS"/>
          <w:sz w:val="20"/>
          <w:szCs w:val="20"/>
        </w:rPr>
        <w:t>Cambridge Univ. Press 2018).</w:t>
      </w:r>
    </w:p>
  </w:footnote>
  <w:footnote w:id="59">
    <w:p w14:paraId="3C18E1A9" w14:textId="77777777" w:rsidR="00357B22" w:rsidRDefault="00062FEC">
      <w:pPr>
        <w:pStyle w:val="FootnoteText"/>
        <w:jc w:val="both"/>
      </w:pPr>
      <w:r>
        <w:rPr>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John Finnis</w:t>
      </w:r>
      <w:r>
        <w:rPr>
          <w:rFonts w:ascii="Times New Roman" w:hAnsi="Times New Roman"/>
        </w:rPr>
        <w:t xml:space="preserve">, </w:t>
      </w:r>
      <w:r>
        <w:rPr>
          <w:rFonts w:ascii="Times New Roman" w:hAnsi="Times New Roman"/>
          <w:i/>
          <w:iCs/>
        </w:rPr>
        <w:t>Critical Legal Studies</w:t>
      </w:r>
      <w:r>
        <w:rPr>
          <w:rFonts w:ascii="Times New Roman" w:hAnsi="Times New Roman"/>
        </w:rPr>
        <w:t xml:space="preserve">, </w:t>
      </w:r>
      <w:r>
        <w:rPr>
          <w:rFonts w:ascii="Times New Roman" w:hAnsi="Times New Roman"/>
          <w:i/>
          <w:iCs/>
        </w:rPr>
        <w:t>in</w:t>
      </w:r>
      <w:r>
        <w:rPr>
          <w:rFonts w:ascii="Times New Roman" w:hAnsi="Times New Roman"/>
        </w:rPr>
        <w:t xml:space="preserve"> </w:t>
      </w:r>
      <w:r>
        <w:rPr>
          <w:rFonts w:ascii="Times New Roman" w:hAnsi="Times New Roman"/>
          <w:smallCaps/>
        </w:rPr>
        <w:t xml:space="preserve">Philosophy Of Law: Collected Essays Volume IV </w:t>
      </w:r>
      <w:r>
        <w:rPr>
          <w:rFonts w:ascii="Times New Roman" w:hAnsi="Times New Roman"/>
        </w:rPr>
        <w:t>301</w:t>
      </w:r>
      <w:r>
        <w:rPr>
          <w:rFonts w:ascii="Times New Roman" w:hAnsi="Times New Roman"/>
          <w:i/>
          <w:iCs/>
        </w:rPr>
        <w:t xml:space="preserve"> </w:t>
      </w:r>
      <w:r>
        <w:rPr>
          <w:rFonts w:ascii="Times New Roman" w:hAnsi="Times New Roman"/>
        </w:rPr>
        <w:t>(Oxford Univ. Press 2011).</w:t>
      </w:r>
    </w:p>
  </w:footnote>
  <w:footnote w:id="60">
    <w:p w14:paraId="2195EC7C" w14:textId="77777777" w:rsidR="00357B22" w:rsidRDefault="00062FEC">
      <w:pPr>
        <w:pStyle w:val="FootnoteText"/>
      </w:pPr>
      <w:r>
        <w:rPr>
          <w:shd w:val="clear" w:color="auto" w:fill="FFFFFF"/>
          <w:vertAlign w:val="superscript"/>
        </w:rPr>
        <w:footnoteRef/>
      </w:r>
      <w:r>
        <w:rPr>
          <w:rFonts w:ascii="Times New Roman" w:hAnsi="Times New Roman"/>
        </w:rPr>
        <w:t xml:space="preserve"> John Finnis, </w:t>
      </w:r>
      <w:r>
        <w:rPr>
          <w:rFonts w:ascii="Times New Roman" w:hAnsi="Times New Roman"/>
          <w:i/>
          <w:iCs/>
        </w:rPr>
        <w:t xml:space="preserve">Natural Law Theories, </w:t>
      </w:r>
      <w:r>
        <w:rPr>
          <w:rFonts w:ascii="Times New Roman" w:hAnsi="Times New Roman"/>
          <w:smallCaps/>
        </w:rPr>
        <w:t>Stan. Encyclopedia of Phil.</w:t>
      </w:r>
      <w:r>
        <w:rPr>
          <w:rFonts w:ascii="Times New Roman" w:hAnsi="Times New Roman"/>
        </w:rPr>
        <w:t xml:space="preserve"> (June 3, 2020), </w:t>
      </w:r>
      <w:r>
        <w:rPr>
          <w:rFonts w:ascii="Times New Roman" w:hAnsi="Times New Roman"/>
        </w:rPr>
        <w:t>https://plato.stanford.edu/entries/natural-law-theories [https://perma.cc/KG3R-SNBX]</w:t>
      </w:r>
      <w:r>
        <w:rPr>
          <w:rFonts w:ascii="Times New Roman" w:hAnsi="Times New Roman"/>
        </w:rPr>
        <w:t>.</w:t>
      </w:r>
    </w:p>
  </w:footnote>
  <w:footnote w:id="61">
    <w:p w14:paraId="0F9E0D98" w14:textId="77777777" w:rsidR="00357B22" w:rsidRDefault="00062FEC">
      <w:pPr>
        <w:pStyle w:val="FootnoteText"/>
        <w:jc w:val="both"/>
      </w:pPr>
      <w:r>
        <w:rPr>
          <w:shd w:val="clear" w:color="auto" w:fill="FFFFFF"/>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Webber et al.</w:t>
      </w:r>
      <w:r>
        <w:rPr>
          <w:rFonts w:ascii="Times New Roman" w:hAnsi="Times New Roman"/>
        </w:rPr>
        <w:t xml:space="preserve">, </w:t>
      </w:r>
      <w:r>
        <w:rPr>
          <w:rFonts w:ascii="Times New Roman" w:hAnsi="Times New Roman"/>
          <w:i/>
          <w:iCs/>
        </w:rPr>
        <w:t>supra</w:t>
      </w:r>
      <w:r>
        <w:rPr>
          <w:rFonts w:ascii="Times New Roman" w:hAnsi="Times New Roman"/>
        </w:rPr>
        <w:t xml:space="preserve"> note 57. </w:t>
      </w:r>
      <w:r>
        <w:rPr>
          <w:rFonts w:ascii="Times New Roman" w:hAnsi="Times New Roman"/>
          <w:smallCaps/>
        </w:rPr>
        <w:t>Maritain</w:t>
      </w:r>
      <w:r>
        <w:rPr>
          <w:rFonts w:ascii="Times New Roman" w:hAnsi="Times New Roman"/>
        </w:rPr>
        <w:t xml:space="preserve">, </w:t>
      </w:r>
      <w:r>
        <w:rPr>
          <w:rFonts w:ascii="Times New Roman" w:hAnsi="Times New Roman"/>
          <w:i/>
          <w:iCs/>
        </w:rPr>
        <w:t>supra</w:t>
      </w:r>
      <w:r>
        <w:rPr>
          <w:rFonts w:ascii="Times New Roman" w:hAnsi="Times New Roman"/>
        </w:rPr>
        <w:t xml:space="preserve"> note 29.</w:t>
      </w:r>
    </w:p>
  </w:footnote>
  <w:footnote w:id="62">
    <w:p w14:paraId="3D7C2AB4" w14:textId="77777777" w:rsidR="00357B22" w:rsidRDefault="00062FEC">
      <w:pPr>
        <w:pStyle w:val="FootnoteText"/>
        <w:jc w:val="both"/>
      </w:pPr>
      <w:r>
        <w:rPr>
          <w:shd w:val="clear" w:color="auto" w:fill="FFFFFF"/>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McCall</w:t>
      </w:r>
      <w:r>
        <w:rPr>
          <w:rFonts w:ascii="Times New Roman" w:hAnsi="Times New Roman"/>
        </w:rPr>
        <w:t xml:space="preserve">, </w:t>
      </w:r>
      <w:r>
        <w:rPr>
          <w:rFonts w:ascii="Times New Roman" w:hAnsi="Times New Roman"/>
          <w:i/>
          <w:iCs/>
        </w:rPr>
        <w:t>supra</w:t>
      </w:r>
      <w:r>
        <w:rPr>
          <w:rFonts w:ascii="Times New Roman" w:hAnsi="Times New Roman"/>
        </w:rPr>
        <w:t xml:space="preserve"> note 28. </w:t>
      </w:r>
    </w:p>
  </w:footnote>
  <w:footnote w:id="63">
    <w:p w14:paraId="5F7F14DA" w14:textId="77777777" w:rsidR="00357B22" w:rsidRDefault="00062FEC">
      <w:pPr>
        <w:pStyle w:val="FootnoteText"/>
      </w:pPr>
      <w:r>
        <w:rPr>
          <w:vertAlign w:val="superscript"/>
        </w:rPr>
        <w:footnoteRef/>
      </w:r>
      <w:r>
        <w:rPr>
          <w:rFonts w:ascii="Times New Roman" w:hAnsi="Times New Roman"/>
        </w:rPr>
        <w:t xml:space="preserve"> </w:t>
      </w:r>
      <w:r>
        <w:rPr>
          <w:rFonts w:ascii="Times New Roman" w:hAnsi="Times New Roman"/>
          <w14:textOutline w14:w="12700" w14:cap="flat" w14:cmpd="sng" w14:algn="ctr">
            <w14:noFill/>
            <w14:prstDash w14:val="solid"/>
            <w14:miter w14:lim="400000"/>
          </w14:textOutline>
        </w:rPr>
        <w:t xml:space="preserve">For the connections between prudence and natural law, </w:t>
      </w:r>
      <w:r>
        <w:rPr>
          <w:rFonts w:ascii="Times New Roman" w:hAnsi="Times New Roman"/>
          <w:i/>
          <w:iCs/>
          <w14:textOutline w14:w="12700" w14:cap="flat" w14:cmpd="sng" w14:algn="ctr">
            <w14:noFill/>
            <w14:prstDash w14:val="solid"/>
            <w14:miter w14:lim="400000"/>
          </w14:textOutline>
        </w:rPr>
        <w:t>see generally</w:t>
      </w:r>
      <w:r>
        <w:rPr>
          <w:rFonts w:ascii="Times New Roman" w:hAnsi="Times New Roman"/>
          <w14:textOutline w14:w="12700" w14:cap="flat" w14:cmpd="sng" w14:algn="ctr">
            <w14:noFill/>
            <w14:prstDash w14:val="solid"/>
            <w14:miter w14:lim="400000"/>
          </w14:textOutline>
        </w:rPr>
        <w:t xml:space="preserve"> </w:t>
      </w:r>
      <w:r>
        <w:rPr>
          <w:rFonts w:ascii="Times New Roman" w:hAnsi="Times New Roman"/>
          <w:smallCaps/>
          <w14:textOutline w14:w="12700" w14:cap="flat" w14:cmpd="sng" w14:algn="ctr">
            <w14:noFill/>
            <w14:prstDash w14:val="solid"/>
            <w14:miter w14:lim="400000"/>
          </w14:textOutline>
        </w:rPr>
        <w:t xml:space="preserve">Ferenc </w:t>
      </w:r>
      <w:proofErr w:type="spellStart"/>
      <w:r>
        <w:rPr>
          <w:rFonts w:ascii="Times New Roman" w:hAnsi="Times New Roman"/>
          <w:smallCaps/>
          <w14:textOutline w14:w="12700" w14:cap="flat" w14:cmpd="sng" w14:algn="ctr">
            <w14:noFill/>
            <w14:prstDash w14:val="solid"/>
            <w14:miter w14:lim="400000"/>
          </w14:textOutline>
        </w:rPr>
        <w:t>H</w:t>
      </w:r>
      <w:r>
        <w:rPr>
          <w:rFonts w:ascii="Times New Roman" w:hAnsi="Times New Roman"/>
          <w:smallCaps/>
          <w14:textOutline w14:w="12700" w14:cap="flat" w14:cmpd="sng" w14:algn="ctr">
            <w14:noFill/>
            <w14:prstDash w14:val="solid"/>
            <w14:miter w14:lim="400000"/>
          </w14:textOutline>
        </w:rPr>
        <w:t>ö</w:t>
      </w:r>
      <w:r>
        <w:rPr>
          <w:rFonts w:ascii="Times New Roman" w:hAnsi="Times New Roman"/>
          <w:smallCaps/>
          <w14:textOutline w14:w="12700" w14:cap="flat" w14:cmpd="sng" w14:algn="ctr">
            <w14:noFill/>
            <w14:prstDash w14:val="solid"/>
            <w14:miter w14:lim="400000"/>
          </w14:textOutline>
        </w:rPr>
        <w:t>rcher</w:t>
      </w:r>
      <w:proofErr w:type="spellEnd"/>
      <w:r>
        <w:rPr>
          <w:rFonts w:ascii="Times New Roman" w:hAnsi="Times New Roman"/>
          <w14:textOutline w14:w="12700" w14:cap="flat" w14:cmpd="sng" w14:algn="ctr">
            <w14:noFill/>
            <w14:prstDash w14:val="solid"/>
            <w14:miter w14:lim="400000"/>
          </w14:textOutline>
        </w:rPr>
        <w:t xml:space="preserve">, </w:t>
      </w:r>
      <w:proofErr w:type="spellStart"/>
      <w:r>
        <w:rPr>
          <w:rFonts w:ascii="Times New Roman" w:hAnsi="Times New Roman"/>
          <w:smallCaps/>
          <w14:textOutline w14:w="12700" w14:cap="flat" w14:cmpd="sng" w14:algn="ctr">
            <w14:noFill/>
            <w14:prstDash w14:val="solid"/>
            <w14:miter w14:lim="400000"/>
          </w14:textOutline>
        </w:rPr>
        <w:t>Prudentia</w:t>
      </w:r>
      <w:proofErr w:type="spellEnd"/>
      <w:r>
        <w:rPr>
          <w:rFonts w:ascii="Times New Roman" w:hAnsi="Times New Roman"/>
          <w:smallCaps/>
          <w14:textOutline w14:w="12700" w14:cap="flat" w14:cmpd="sng" w14:algn="ctr">
            <w14:noFill/>
            <w14:prstDash w14:val="solid"/>
            <w14:miter w14:lim="400000"/>
          </w14:textOutline>
        </w:rPr>
        <w:t xml:space="preserve"> </w:t>
      </w:r>
      <w:proofErr w:type="spellStart"/>
      <w:r>
        <w:rPr>
          <w:rFonts w:ascii="Times New Roman" w:hAnsi="Times New Roman"/>
          <w:smallCaps/>
          <w14:textOutline w14:w="12700" w14:cap="flat" w14:cmpd="sng" w14:algn="ctr">
            <w14:noFill/>
            <w14:prstDash w14:val="solid"/>
            <w14:miter w14:lim="400000"/>
          </w14:textOutline>
        </w:rPr>
        <w:t>Iuris</w:t>
      </w:r>
      <w:proofErr w:type="spellEnd"/>
      <w:r>
        <w:rPr>
          <w:rFonts w:ascii="Times New Roman" w:hAnsi="Times New Roman"/>
          <w:smallCaps/>
          <w14:textOutline w14:w="12700" w14:cap="flat" w14:cmpd="sng" w14:algn="ctr">
            <w14:noFill/>
            <w14:prstDash w14:val="solid"/>
            <w14:miter w14:lim="400000"/>
          </w14:textOutline>
        </w:rPr>
        <w:t>: Towards a Pragmatic Theory of Natural Law</w:t>
      </w:r>
      <w:r>
        <w:rPr>
          <w:rFonts w:ascii="Times New Roman" w:hAnsi="Times New Roman"/>
          <w14:textOutline w14:w="12700" w14:cap="flat" w14:cmpd="sng" w14:algn="ctr">
            <w14:noFill/>
            <w14:prstDash w14:val="solid"/>
            <w14:miter w14:lim="400000"/>
          </w14:textOutline>
        </w:rPr>
        <w:t xml:space="preserve"> (</w:t>
      </w:r>
      <w:proofErr w:type="spellStart"/>
      <w:r>
        <w:rPr>
          <w:rFonts w:ascii="Times New Roman" w:hAnsi="Times New Roman"/>
          <w:color w:val="0F1111"/>
          <w:u w:color="0F1111"/>
        </w:rPr>
        <w:t>Akademiai</w:t>
      </w:r>
      <w:proofErr w:type="spellEnd"/>
      <w:r>
        <w:rPr>
          <w:rFonts w:ascii="Times New Roman" w:hAnsi="Times New Roman"/>
          <w:color w:val="0F1111"/>
          <w:u w:color="0F1111"/>
        </w:rPr>
        <w:t xml:space="preserve"> </w:t>
      </w:r>
      <w:proofErr w:type="spellStart"/>
      <w:r>
        <w:rPr>
          <w:rFonts w:ascii="Times New Roman" w:hAnsi="Times New Roman"/>
          <w:color w:val="0F1111"/>
          <w:u w:color="0F1111"/>
        </w:rPr>
        <w:t>Kiado</w:t>
      </w:r>
      <w:proofErr w:type="spellEnd"/>
      <w:r>
        <w:rPr>
          <w:rFonts w:ascii="Times New Roman" w:hAnsi="Times New Roman"/>
          <w:color w:val="0F1111"/>
          <w:u w:color="0F1111"/>
        </w:rPr>
        <w:t xml:space="preserve"> </w:t>
      </w:r>
      <w:r>
        <w:rPr>
          <w:rFonts w:ascii="Times New Roman" w:hAnsi="Times New Roman"/>
        </w:rPr>
        <w:t xml:space="preserve">2000). </w:t>
      </w:r>
    </w:p>
  </w:footnote>
  <w:footnote w:id="64">
    <w:p w14:paraId="294FEAC1" w14:textId="77777777" w:rsidR="00357B22" w:rsidRDefault="00062FEC">
      <w:pPr>
        <w:pStyle w:val="FootnoteText"/>
        <w:jc w:val="both"/>
      </w:pPr>
      <w:r>
        <w:rPr>
          <w:shd w:val="clear" w:color="auto" w:fill="FFFFFF"/>
          <w:vertAlign w:val="superscript"/>
        </w:rPr>
        <w:footnoteRef/>
      </w:r>
      <w:r>
        <w:rPr>
          <w:rFonts w:ascii="Times New Roman" w:hAnsi="Times New Roman"/>
        </w:rPr>
        <w:t xml:space="preserve"> </w:t>
      </w:r>
      <w:r>
        <w:rPr>
          <w:rFonts w:ascii="Times New Roman" w:hAnsi="Times New Roman"/>
          <w:smallCaps/>
        </w:rPr>
        <w:t>Ekins</w:t>
      </w:r>
      <w:r>
        <w:rPr>
          <w:rFonts w:ascii="Times New Roman" w:hAnsi="Times New Roman"/>
        </w:rPr>
        <w:t xml:space="preserve">, </w:t>
      </w:r>
      <w:r>
        <w:rPr>
          <w:rFonts w:ascii="Times New Roman" w:hAnsi="Times New Roman"/>
          <w:i/>
          <w:iCs/>
        </w:rPr>
        <w:t xml:space="preserve">supra </w:t>
      </w:r>
      <w:r>
        <w:rPr>
          <w:rFonts w:ascii="Times New Roman" w:hAnsi="Times New Roman"/>
        </w:rPr>
        <w:t>note 52, at 132.</w:t>
      </w:r>
    </w:p>
  </w:footnote>
  <w:footnote w:id="65">
    <w:p w14:paraId="79EDB5BE" w14:textId="77777777" w:rsidR="00357B22" w:rsidRDefault="00062FEC">
      <w:pPr>
        <w:pStyle w:val="FootnoteText"/>
      </w:pPr>
      <w:r>
        <w:rPr>
          <w:vertAlign w:val="superscript"/>
        </w:rPr>
        <w:footnoteRef/>
      </w:r>
      <w:r>
        <w:rPr>
          <w:rFonts w:ascii="Times New Roman" w:hAnsi="Times New Roman"/>
        </w:rPr>
        <w:t xml:space="preserve"> This ensures respect for rule of law values is an important aspect of constitutionalism oriented to the common good. </w:t>
      </w:r>
      <w:r>
        <w:rPr>
          <w:rFonts w:ascii="Times New Roman" w:hAnsi="Times New Roman"/>
          <w:i/>
          <w:iCs/>
        </w:rPr>
        <w:t>See</w:t>
      </w:r>
      <w:r>
        <w:rPr>
          <w:rFonts w:ascii="Times New Roman" w:hAnsi="Times New Roman"/>
        </w:rPr>
        <w:t xml:space="preserve"> </w:t>
      </w:r>
      <w:r>
        <w:rPr>
          <w:rFonts w:ascii="Times New Roman" w:hAnsi="Times New Roman"/>
          <w:smallCaps/>
        </w:rPr>
        <w:t>Cass R. Sunstein &amp; Adrian Vermeule, Law &amp; Leviathan: Redeeming the Administrative State</w:t>
      </w:r>
      <w:r>
        <w:rPr>
          <w:rFonts w:ascii="Times New Roman" w:hAnsi="Times New Roman"/>
        </w:rPr>
        <w:t xml:space="preserve"> (Harv. Univ. Press 2020).</w:t>
      </w:r>
    </w:p>
  </w:footnote>
  <w:footnote w:id="66">
    <w:p w14:paraId="2F622CBD" w14:textId="77777777" w:rsidR="00357B22" w:rsidRDefault="00062FEC">
      <w:pPr>
        <w:pStyle w:val="FootnoteText"/>
      </w:pPr>
      <w:r>
        <w:rPr>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Vermeule, </w:t>
      </w:r>
      <w:r>
        <w:rPr>
          <w:rFonts w:ascii="Times New Roman" w:hAnsi="Times New Roman"/>
          <w:i/>
          <w:iCs/>
        </w:rPr>
        <w:t>Echo</w:t>
      </w:r>
      <w:r>
        <w:rPr>
          <w:rFonts w:ascii="Times New Roman" w:hAnsi="Times New Roman"/>
          <w:i/>
          <w:iCs/>
        </w:rPr>
        <w:t>es</w:t>
      </w:r>
      <w:r>
        <w:rPr>
          <w:rFonts w:ascii="Times New Roman" w:hAnsi="Times New Roman"/>
        </w:rPr>
        <w:t xml:space="preserve">, </w:t>
      </w:r>
      <w:r>
        <w:rPr>
          <w:rFonts w:ascii="Times New Roman" w:hAnsi="Times New Roman"/>
          <w:i/>
          <w:iCs/>
        </w:rPr>
        <w:t>supra</w:t>
      </w:r>
      <w:r>
        <w:rPr>
          <w:rFonts w:ascii="Times New Roman" w:hAnsi="Times New Roman"/>
        </w:rPr>
        <w:t xml:space="preserve"> note 30.</w:t>
      </w:r>
    </w:p>
  </w:footnote>
  <w:footnote w:id="67">
    <w:p w14:paraId="645B2C18" w14:textId="0B522900" w:rsidR="00357B22" w:rsidRDefault="00062FEC">
      <w:pPr>
        <w:pStyle w:val="FootnoteText"/>
        <w:jc w:val="both"/>
      </w:pPr>
      <w:r>
        <w:rPr>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proofErr w:type="spellStart"/>
      <w:r>
        <w:rPr>
          <w:rFonts w:ascii="Times New Roman" w:hAnsi="Times New Roman"/>
          <w:smallCaps/>
        </w:rPr>
        <w:t>Rommen</w:t>
      </w:r>
      <w:proofErr w:type="spellEnd"/>
      <w:r>
        <w:rPr>
          <w:rFonts w:ascii="Times New Roman" w:hAnsi="Times New Roman"/>
        </w:rPr>
        <w:t xml:space="preserve">, </w:t>
      </w:r>
      <w:r>
        <w:rPr>
          <w:rFonts w:ascii="Times New Roman" w:hAnsi="Times New Roman"/>
          <w:i/>
          <w:iCs/>
        </w:rPr>
        <w:t>supra</w:t>
      </w:r>
      <w:r>
        <w:rPr>
          <w:rFonts w:ascii="Times New Roman" w:hAnsi="Times New Roman"/>
        </w:rPr>
        <w:t xml:space="preserve"> note</w:t>
      </w:r>
      <w:r>
        <w:rPr>
          <w:rFonts w:ascii="Times New Roman" w:hAnsi="Times New Roman"/>
        </w:rPr>
        <w:t>28</w:t>
      </w:r>
      <w:r>
        <w:rPr>
          <w:rFonts w:ascii="Times New Roman" w:hAnsi="Times New Roman"/>
        </w:rPr>
        <w:t>, at 172.</w:t>
      </w:r>
    </w:p>
  </w:footnote>
  <w:footnote w:id="68">
    <w:p w14:paraId="18B781F8" w14:textId="3AF49CB2" w:rsidR="00357B22" w:rsidRDefault="00062FEC">
      <w:pPr>
        <w:pStyle w:val="FootnoteText"/>
        <w:jc w:val="both"/>
      </w:pPr>
      <w:r>
        <w:rPr>
          <w:vertAlign w:val="superscript"/>
        </w:rPr>
        <w:footnoteRef/>
      </w:r>
      <w:r>
        <w:rPr>
          <w:rFonts w:ascii="Times New Roman" w:hAnsi="Times New Roman"/>
        </w:rPr>
        <w:t xml:space="preserve"> </w:t>
      </w:r>
      <w:r>
        <w:rPr>
          <w:rFonts w:ascii="Times New Roman" w:hAnsi="Times New Roman"/>
        </w:rPr>
        <w:t>To be sure,</w:t>
      </w:r>
      <w:r>
        <w:rPr>
          <w:rFonts w:ascii="Times New Roman" w:hAnsi="Times New Roman"/>
          <w:i/>
          <w:iCs/>
        </w:rPr>
        <w:t xml:space="preserve"> </w:t>
      </w:r>
      <w:r>
        <w:rPr>
          <w:rFonts w:ascii="Times New Roman" w:hAnsi="Times New Roman"/>
        </w:rPr>
        <w:t xml:space="preserve">the fact that deeply unjust laws contrary to the natural law may not be law in the focal sense of that word does not at all warrant the conclusion that citizens are morally entitled to disobey them or that judges </w:t>
      </w:r>
      <w:r>
        <w:rPr>
          <w:rFonts w:ascii="Times New Roman" w:hAnsi="Times New Roman"/>
          <w:i/>
          <w:iCs/>
        </w:rPr>
        <w:t xml:space="preserve">must </w:t>
      </w:r>
      <w:r>
        <w:rPr>
          <w:rFonts w:ascii="Times New Roman" w:hAnsi="Times New Roman"/>
        </w:rPr>
        <w:t>have authority to invalidate them</w:t>
      </w:r>
      <w:r>
        <w:rPr>
          <w:rFonts w:ascii="Times New Roman" w:hAnsi="Times New Roman"/>
        </w:rPr>
        <w:t xml:space="preserve"> as p</w:t>
      </w:r>
      <w:r>
        <w:rPr>
          <w:rFonts w:ascii="Times New Roman" w:hAnsi="Times New Roman"/>
        </w:rPr>
        <w:t>art of their jurisdiction</w:t>
      </w:r>
      <w:r>
        <w:rPr>
          <w:rFonts w:ascii="Times New Roman" w:hAnsi="Times New Roman"/>
        </w:rPr>
        <w:t>. Citizens may still be obliged to follow deficient commands if not doing so would cause greater harm to the common good. Likewise, how officials in a constitutional system deal with deeply unjust laws is, at an institutional level</w:t>
      </w:r>
      <w:r>
        <w:rPr>
          <w:rFonts w:ascii="Times New Roman" w:hAnsi="Times New Roman"/>
        </w:rPr>
        <w:t>, a matter for prudential determination.</w:t>
      </w:r>
    </w:p>
  </w:footnote>
  <w:footnote w:id="69">
    <w:p w14:paraId="5301B420" w14:textId="77777777" w:rsidR="00357B22" w:rsidRDefault="00062FEC">
      <w:pPr>
        <w:pStyle w:val="FootnoteText"/>
      </w:pPr>
      <w:r>
        <w:rPr>
          <w:rFonts w:ascii="Times New Roman" w:eastAsia="Times New Roman" w:hAnsi="Times New Roman" w:cs="Times New Roman"/>
          <w:vertAlign w:val="superscript"/>
        </w:rPr>
        <w:footnoteRef/>
      </w:r>
      <w:r>
        <w:rPr>
          <w:rFonts w:eastAsia="Arial Unicode MS" w:cs="Arial Unicode MS"/>
        </w:rPr>
        <w:t xml:space="preserve"> </w:t>
      </w:r>
      <w:r>
        <w:rPr>
          <w:rFonts w:ascii="Times New Roman" w:hAnsi="Times New Roman"/>
        </w:rPr>
        <w:t>In Spanish,</w:t>
      </w:r>
      <w:r>
        <w:rPr>
          <w:rFonts w:ascii="Times New Roman" w:hAnsi="Times New Roman"/>
          <w:i/>
          <w:iCs/>
        </w:rPr>
        <w:t xml:space="preserve"> </w:t>
      </w:r>
      <w:proofErr w:type="gramStart"/>
      <w:r>
        <w:rPr>
          <w:rFonts w:ascii="Times New Roman" w:hAnsi="Times New Roman"/>
          <w:i/>
          <w:iCs/>
        </w:rPr>
        <w:t>ley</w:t>
      </w:r>
      <w:proofErr w:type="gramEnd"/>
      <w:r>
        <w:rPr>
          <w:rFonts w:ascii="Times New Roman" w:hAnsi="Times New Roman"/>
          <w:i/>
          <w:iCs/>
        </w:rPr>
        <w:t xml:space="preserve"> </w:t>
      </w:r>
      <w:r>
        <w:rPr>
          <w:rFonts w:ascii="Times New Roman" w:hAnsi="Times New Roman"/>
        </w:rPr>
        <w:t>and</w:t>
      </w:r>
      <w:r>
        <w:rPr>
          <w:rFonts w:ascii="Times New Roman" w:hAnsi="Times New Roman"/>
          <w:i/>
          <w:iCs/>
        </w:rPr>
        <w:t xml:space="preserve"> derecho; </w:t>
      </w:r>
      <w:r>
        <w:rPr>
          <w:rFonts w:ascii="Times New Roman" w:hAnsi="Times New Roman"/>
        </w:rPr>
        <w:t xml:space="preserve">in French, </w:t>
      </w:r>
      <w:proofErr w:type="spellStart"/>
      <w:r>
        <w:rPr>
          <w:rFonts w:ascii="Times New Roman" w:hAnsi="Times New Roman"/>
          <w:i/>
          <w:iCs/>
        </w:rPr>
        <w:t>loi</w:t>
      </w:r>
      <w:proofErr w:type="spellEnd"/>
      <w:r>
        <w:rPr>
          <w:rFonts w:ascii="Times New Roman" w:hAnsi="Times New Roman"/>
        </w:rPr>
        <w:t xml:space="preserve"> and </w:t>
      </w:r>
      <w:r>
        <w:rPr>
          <w:rFonts w:ascii="Times New Roman" w:hAnsi="Times New Roman"/>
          <w:i/>
          <w:iCs/>
        </w:rPr>
        <w:t xml:space="preserve">droit; </w:t>
      </w:r>
      <w:r>
        <w:rPr>
          <w:rFonts w:ascii="Times New Roman" w:hAnsi="Times New Roman"/>
        </w:rPr>
        <w:t xml:space="preserve">and so on. English, to its misfortune, has no stable version of this distinction and instead uses </w:t>
      </w:r>
      <w:r>
        <w:rPr>
          <w:rFonts w:ascii="Times New Roman" w:hAnsi="Times New Roman"/>
        </w:rPr>
        <w:t>“</w:t>
      </w:r>
      <w:r>
        <w:rPr>
          <w:rFonts w:ascii="Times New Roman" w:hAnsi="Times New Roman"/>
        </w:rPr>
        <w:t>law</w:t>
      </w:r>
      <w:r>
        <w:rPr>
          <w:rFonts w:ascii="Times New Roman" w:hAnsi="Times New Roman"/>
        </w:rPr>
        <w:t xml:space="preserve">” </w:t>
      </w:r>
      <w:r>
        <w:rPr>
          <w:rFonts w:ascii="Times New Roman" w:hAnsi="Times New Roman"/>
        </w:rPr>
        <w:t xml:space="preserve">and </w:t>
      </w:r>
      <w:r>
        <w:rPr>
          <w:rFonts w:ascii="Times New Roman" w:hAnsi="Times New Roman"/>
        </w:rPr>
        <w:t>“</w:t>
      </w:r>
      <w:r>
        <w:rPr>
          <w:rFonts w:ascii="Times New Roman" w:hAnsi="Times New Roman"/>
        </w:rPr>
        <w:t>right(s)</w:t>
      </w:r>
      <w:r>
        <w:rPr>
          <w:rFonts w:ascii="Times New Roman" w:hAnsi="Times New Roman"/>
        </w:rPr>
        <w:t xml:space="preserve">” </w:t>
      </w:r>
      <w:r>
        <w:rPr>
          <w:rFonts w:ascii="Times New Roman" w:hAnsi="Times New Roman"/>
        </w:rPr>
        <w:t>in confusing ways</w:t>
      </w:r>
      <w:r>
        <w:rPr>
          <w:rFonts w:ascii="Times New Roman" w:hAnsi="Times New Roman"/>
          <w:i/>
          <w:iCs/>
        </w:rPr>
        <w:t>.</w:t>
      </w:r>
    </w:p>
  </w:footnote>
  <w:footnote w:id="70">
    <w:p w14:paraId="03680FD6"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 xml:space="preserve">Martin Loughlin, Foundations of Public Law </w:t>
      </w:r>
      <w:r>
        <w:rPr>
          <w:rFonts w:ascii="Times New Roman" w:hAnsi="Times New Roman"/>
        </w:rPr>
        <w:t xml:space="preserve">11-12 (Oxford Univ. Press 2010). Loughlin correctly notes how public law and constitutionalism are profoundly power-generating practices and cannot myopically be regarded as only acting as a </w:t>
      </w:r>
      <w:r>
        <w:rPr>
          <w:rFonts w:ascii="Times New Roman" w:hAnsi="Times New Roman"/>
          <w:i/>
          <w:iCs/>
        </w:rPr>
        <w:t xml:space="preserve">fetter </w:t>
      </w:r>
      <w:r>
        <w:rPr>
          <w:rFonts w:ascii="Times New Roman" w:hAnsi="Times New Roman"/>
        </w:rPr>
        <w:t>on political po</w:t>
      </w:r>
      <w:r>
        <w:rPr>
          <w:rFonts w:ascii="Times New Roman" w:hAnsi="Times New Roman"/>
        </w:rPr>
        <w:t xml:space="preserve">wer.  </w:t>
      </w:r>
    </w:p>
  </w:footnote>
  <w:footnote w:id="71">
    <w:p w14:paraId="4A3440E9" w14:textId="77777777" w:rsidR="00357B22" w:rsidRDefault="00062FEC">
      <w:pPr>
        <w:pStyle w:val="Body"/>
      </w:pPr>
      <w:r>
        <w:rPr>
          <w:shd w:val="clear" w:color="auto" w:fill="FFFFFF"/>
          <w:vertAlign w:val="superscript"/>
          <w:lang w:val="en-US"/>
        </w:rPr>
        <w:footnoteRef/>
      </w:r>
      <w:r>
        <w:rPr>
          <w:rFonts w:eastAsia="Arial Unicode MS" w:cs="Arial Unicode MS"/>
          <w:sz w:val="20"/>
          <w:szCs w:val="20"/>
        </w:rPr>
        <w:t xml:space="preserve"> N. W. </w:t>
      </w:r>
      <w:r>
        <w:rPr>
          <w:rFonts w:eastAsia="Arial Unicode MS" w:cs="Arial Unicode MS"/>
          <w:smallCaps/>
          <w:sz w:val="20"/>
          <w:szCs w:val="20"/>
          <w:lang w:val="en-US"/>
        </w:rPr>
        <w:t xml:space="preserve">Barber, The Principles of Constitutionalism </w:t>
      </w:r>
      <w:r>
        <w:rPr>
          <w:rFonts w:eastAsia="Arial Unicode MS" w:cs="Arial Unicode MS"/>
          <w:sz w:val="20"/>
          <w:szCs w:val="20"/>
        </w:rPr>
        <w:t>12</w:t>
      </w:r>
      <w:r>
        <w:rPr>
          <w:rFonts w:eastAsia="Arial Unicode MS" w:cs="Arial Unicode MS"/>
          <w:i/>
          <w:iCs/>
          <w:sz w:val="20"/>
          <w:szCs w:val="20"/>
        </w:rPr>
        <w:t xml:space="preserve"> </w:t>
      </w:r>
      <w:r>
        <w:rPr>
          <w:rFonts w:eastAsia="Arial Unicode MS" w:cs="Arial Unicode MS"/>
          <w:sz w:val="20"/>
          <w:szCs w:val="20"/>
        </w:rPr>
        <w:t>(Oxford Univ. Press 2018).</w:t>
      </w:r>
    </w:p>
  </w:footnote>
  <w:footnote w:id="72">
    <w:p w14:paraId="51AAFF03" w14:textId="77777777" w:rsidR="00357B22" w:rsidRDefault="00062FEC">
      <w:pPr>
        <w:pStyle w:val="Body"/>
      </w:pPr>
      <w:r>
        <w:rPr>
          <w:vertAlign w:val="superscript"/>
        </w:rPr>
        <w:footnoteRef/>
      </w:r>
      <w:r>
        <w:rPr>
          <w:rFonts w:eastAsia="Arial Unicode MS" w:cs="Arial Unicode MS"/>
          <w:sz w:val="20"/>
          <w:szCs w:val="20"/>
        </w:rPr>
        <w:t xml:space="preserve"> </w:t>
      </w:r>
      <w:r>
        <w:rPr>
          <w:rFonts w:eastAsia="Arial Unicode MS" w:cs="Arial Unicode MS"/>
          <w:i/>
          <w:iCs/>
          <w:sz w:val="20"/>
          <w:szCs w:val="20"/>
          <w:lang w:val="en-US"/>
        </w:rPr>
        <w:t>See generally</w:t>
      </w:r>
      <w:r>
        <w:rPr>
          <w:rFonts w:eastAsia="Arial Unicode MS" w:cs="Arial Unicode MS"/>
          <w:sz w:val="20"/>
          <w:szCs w:val="20"/>
        </w:rPr>
        <w:t xml:space="preserve"> Jeffrey A. </w:t>
      </w:r>
      <w:proofErr w:type="spellStart"/>
      <w:r>
        <w:rPr>
          <w:rFonts w:eastAsia="Arial Unicode MS" w:cs="Arial Unicode MS"/>
          <w:sz w:val="20"/>
          <w:szCs w:val="20"/>
        </w:rPr>
        <w:t>Pojanowski</w:t>
      </w:r>
      <w:proofErr w:type="spellEnd"/>
      <w:r>
        <w:rPr>
          <w:rFonts w:eastAsia="Arial Unicode MS" w:cs="Arial Unicode MS"/>
          <w:sz w:val="20"/>
          <w:szCs w:val="20"/>
        </w:rPr>
        <w:t xml:space="preserve">, </w:t>
      </w:r>
      <w:r>
        <w:rPr>
          <w:rFonts w:eastAsia="Arial Unicode MS" w:cs="Arial Unicode MS"/>
          <w:i/>
          <w:iCs/>
          <w:sz w:val="20"/>
          <w:szCs w:val="20"/>
          <w:lang w:val="en-US"/>
        </w:rPr>
        <w:t xml:space="preserve">Why Should Anyone Be An </w:t>
      </w:r>
      <w:proofErr w:type="gramStart"/>
      <w:r>
        <w:rPr>
          <w:rFonts w:eastAsia="Arial Unicode MS" w:cs="Arial Unicode MS"/>
          <w:i/>
          <w:iCs/>
          <w:sz w:val="20"/>
          <w:szCs w:val="20"/>
          <w:lang w:val="en-US"/>
        </w:rPr>
        <w:t>Originalist?</w:t>
      </w:r>
      <w:r>
        <w:rPr>
          <w:rFonts w:eastAsia="Arial Unicode MS" w:cs="Arial Unicode MS"/>
          <w:sz w:val="20"/>
          <w:szCs w:val="20"/>
        </w:rPr>
        <w:t>,</w:t>
      </w:r>
      <w:proofErr w:type="gramEnd"/>
      <w:r>
        <w:rPr>
          <w:rFonts w:eastAsia="Arial Unicode MS" w:cs="Arial Unicode MS"/>
          <w:sz w:val="20"/>
          <w:szCs w:val="20"/>
        </w:rPr>
        <w:t xml:space="preserve"> 31 </w:t>
      </w:r>
      <w:r>
        <w:rPr>
          <w:rFonts w:eastAsia="Arial Unicode MS" w:cs="Arial Unicode MS"/>
          <w:smallCaps/>
          <w:sz w:val="20"/>
          <w:szCs w:val="20"/>
          <w:lang w:val="pt-PT"/>
        </w:rPr>
        <w:t>DPCE Online</w:t>
      </w:r>
      <w:r>
        <w:rPr>
          <w:rFonts w:eastAsia="Arial Unicode MS" w:cs="Arial Unicode MS"/>
          <w:sz w:val="20"/>
          <w:szCs w:val="20"/>
        </w:rPr>
        <w:t xml:space="preserve"> 583 (2017); Jeffrey A. </w:t>
      </w:r>
      <w:proofErr w:type="spellStart"/>
      <w:r>
        <w:rPr>
          <w:rFonts w:eastAsia="Arial Unicode MS" w:cs="Arial Unicode MS"/>
          <w:sz w:val="20"/>
          <w:szCs w:val="20"/>
        </w:rPr>
        <w:t>Pojanowski</w:t>
      </w:r>
      <w:proofErr w:type="spellEnd"/>
      <w:r>
        <w:rPr>
          <w:rFonts w:eastAsia="Arial Unicode MS" w:cs="Arial Unicode MS"/>
          <w:sz w:val="20"/>
          <w:szCs w:val="20"/>
        </w:rPr>
        <w:t xml:space="preserve"> &amp; Kevin C. Walsh, </w:t>
      </w:r>
      <w:r>
        <w:rPr>
          <w:rFonts w:eastAsia="Arial Unicode MS" w:cs="Arial Unicode MS"/>
          <w:i/>
          <w:iCs/>
          <w:sz w:val="20"/>
          <w:szCs w:val="20"/>
          <w:lang w:val="en-US"/>
        </w:rPr>
        <w:t>Enduring Originalism</w:t>
      </w:r>
      <w:r>
        <w:rPr>
          <w:rFonts w:eastAsia="Arial Unicode MS" w:cs="Arial Unicode MS"/>
          <w:sz w:val="20"/>
          <w:szCs w:val="20"/>
        </w:rPr>
        <w:t xml:space="preserve">, 105 </w:t>
      </w:r>
      <w:r>
        <w:rPr>
          <w:rFonts w:eastAsia="Arial Unicode MS" w:cs="Arial Unicode MS"/>
          <w:smallCaps/>
          <w:sz w:val="20"/>
          <w:szCs w:val="20"/>
          <w:lang w:val="it-IT"/>
        </w:rPr>
        <w:t>Geo. L.J.</w:t>
      </w:r>
      <w:r>
        <w:rPr>
          <w:rFonts w:eastAsia="Arial Unicode MS" w:cs="Arial Unicode MS"/>
          <w:sz w:val="20"/>
          <w:szCs w:val="20"/>
          <w:lang w:val="en-US"/>
        </w:rPr>
        <w:t xml:space="preserve"> 97 (2016). Similar arguments are advanced by </w:t>
      </w:r>
      <w:r>
        <w:rPr>
          <w:rFonts w:eastAsia="Arial Unicode MS" w:cs="Arial Unicode MS"/>
          <w:smallCaps/>
          <w:sz w:val="20"/>
          <w:szCs w:val="20"/>
        </w:rPr>
        <w:t>Lee J. Strang, Originalism</w:t>
      </w:r>
      <w:r>
        <w:rPr>
          <w:rFonts w:eastAsia="Arial Unicode MS" w:cs="Arial Unicode MS"/>
          <w:smallCaps/>
          <w:sz w:val="20"/>
          <w:szCs w:val="20"/>
          <w:rtl/>
        </w:rPr>
        <w:t>’</w:t>
      </w:r>
      <w:r>
        <w:rPr>
          <w:rFonts w:eastAsia="Arial Unicode MS" w:cs="Arial Unicode MS"/>
          <w:smallCaps/>
          <w:sz w:val="20"/>
          <w:szCs w:val="20"/>
          <w:lang w:val="en-US"/>
        </w:rPr>
        <w:t>s Promise: A Natural Law Account of the American</w:t>
      </w:r>
      <w:r>
        <w:rPr>
          <w:rFonts w:eastAsia="Arial Unicode MS" w:cs="Arial Unicode MS"/>
          <w:smallCaps/>
          <w:sz w:val="20"/>
          <w:szCs w:val="20"/>
          <w:lang w:val="fr-FR"/>
        </w:rPr>
        <w:t xml:space="preserve"> Constitution</w:t>
      </w:r>
      <w:r>
        <w:rPr>
          <w:rFonts w:eastAsia="Arial Unicode MS" w:cs="Arial Unicode MS"/>
          <w:i/>
          <w:iCs/>
          <w:sz w:val="20"/>
          <w:szCs w:val="20"/>
        </w:rPr>
        <w:t xml:space="preserve"> </w:t>
      </w:r>
      <w:r>
        <w:rPr>
          <w:rFonts w:eastAsia="Arial Unicode MS" w:cs="Arial Unicode MS"/>
          <w:sz w:val="20"/>
          <w:szCs w:val="20"/>
          <w:lang w:val="de-DE"/>
        </w:rPr>
        <w:t>(Cambridge Univ. Press 2019). Ver</w:t>
      </w:r>
      <w:r>
        <w:rPr>
          <w:rFonts w:eastAsia="Arial Unicode MS" w:cs="Arial Unicode MS"/>
          <w:sz w:val="20"/>
          <w:szCs w:val="20"/>
          <w:lang w:val="de-DE"/>
        </w:rPr>
        <w:t>meule</w:t>
      </w:r>
      <w:r>
        <w:rPr>
          <w:rFonts w:eastAsia="Arial Unicode MS" w:cs="Arial Unicode MS"/>
          <w:sz w:val="20"/>
          <w:szCs w:val="20"/>
          <w:rtl/>
        </w:rPr>
        <w:t>’</w:t>
      </w:r>
      <w:r>
        <w:rPr>
          <w:rFonts w:eastAsia="Arial Unicode MS" w:cs="Arial Unicode MS"/>
          <w:sz w:val="20"/>
          <w:szCs w:val="20"/>
          <w:lang w:val="en-US"/>
        </w:rPr>
        <w:t>s forthcoming book provides an extended critique of this view; here, we limit ourselves to a few points.</w:t>
      </w:r>
    </w:p>
  </w:footnote>
  <w:footnote w:id="73">
    <w:p w14:paraId="28060429"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H.L.A. Hart, The Concept of Law 124</w:t>
      </w:r>
      <w:r>
        <w:rPr>
          <w:rFonts w:ascii="Times New Roman" w:hAnsi="Times New Roman"/>
        </w:rPr>
        <w:t>-46 (Oxford Univ. Press 2d ed. 1997).</w:t>
      </w:r>
    </w:p>
  </w:footnote>
  <w:footnote w:id="74">
    <w:p w14:paraId="09DA6C38" w14:textId="552C20E5"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Aquinas</w:t>
      </w:r>
      <w:r>
        <w:rPr>
          <w:rFonts w:ascii="Times New Roman" w:hAnsi="Times New Roman"/>
        </w:rPr>
        <w:t xml:space="preserve">, </w:t>
      </w:r>
      <w:r>
        <w:rPr>
          <w:rFonts w:ascii="Times New Roman" w:hAnsi="Times New Roman"/>
          <w:i/>
          <w:iCs/>
        </w:rPr>
        <w:t xml:space="preserve">supra </w:t>
      </w:r>
      <w:r>
        <w:rPr>
          <w:rFonts w:ascii="Times New Roman" w:hAnsi="Times New Roman"/>
        </w:rPr>
        <w:t>note 13</w:t>
      </w:r>
      <w:r>
        <w:rPr>
          <w:rFonts w:ascii="Times New Roman" w:hAnsi="Times New Roman"/>
        </w:rPr>
        <w:t xml:space="preserve">, at </w:t>
      </w:r>
      <w:r>
        <w:rPr>
          <w:rFonts w:ascii="Times New Roman" w:hAnsi="Times New Roman"/>
        </w:rPr>
        <w:t>Q</w:t>
      </w:r>
      <w:r>
        <w:rPr>
          <w:rFonts w:ascii="Times New Roman" w:hAnsi="Times New Roman"/>
        </w:rPr>
        <w:t>.</w:t>
      </w:r>
      <w:r>
        <w:rPr>
          <w:rFonts w:ascii="Times New Roman" w:hAnsi="Times New Roman"/>
        </w:rPr>
        <w:t>96 A</w:t>
      </w:r>
      <w:r>
        <w:rPr>
          <w:rFonts w:ascii="Times New Roman" w:hAnsi="Times New Roman"/>
        </w:rPr>
        <w:t xml:space="preserve">rt. </w:t>
      </w:r>
      <w:r>
        <w:rPr>
          <w:rFonts w:ascii="Times New Roman" w:hAnsi="Times New Roman"/>
        </w:rPr>
        <w:t>6.</w:t>
      </w:r>
    </w:p>
  </w:footnote>
  <w:footnote w:id="75">
    <w:p w14:paraId="1B765339" w14:textId="77777777" w:rsidR="00357B22" w:rsidRDefault="00062FEC">
      <w:pPr>
        <w:pStyle w:val="Body"/>
      </w:pPr>
      <w:r>
        <w:rPr>
          <w:vertAlign w:val="superscript"/>
        </w:rPr>
        <w:footnoteRef/>
      </w:r>
      <w:r>
        <w:rPr>
          <w:rFonts w:eastAsia="Arial Unicode MS" w:cs="Arial Unicode MS"/>
          <w:sz w:val="20"/>
          <w:szCs w:val="20"/>
        </w:rPr>
        <w:t xml:space="preserve"> </w:t>
      </w:r>
      <w:r>
        <w:rPr>
          <w:rFonts w:eastAsia="Arial Unicode MS" w:cs="Arial Unicode MS"/>
          <w:i/>
          <w:iCs/>
          <w:sz w:val="20"/>
          <w:szCs w:val="20"/>
          <w:lang w:val="nl-NL"/>
        </w:rPr>
        <w:t>See</w:t>
      </w:r>
      <w:r>
        <w:rPr>
          <w:rFonts w:eastAsia="Arial Unicode MS" w:cs="Arial Unicode MS"/>
          <w:sz w:val="20"/>
          <w:szCs w:val="20"/>
          <w:lang w:val="en-US"/>
        </w:rPr>
        <w:t xml:space="preserve"> Ronald Dworkin, </w:t>
      </w:r>
      <w:r>
        <w:rPr>
          <w:rFonts w:eastAsia="Arial Unicode MS" w:cs="Arial Unicode MS"/>
          <w:i/>
          <w:iCs/>
          <w:sz w:val="20"/>
          <w:szCs w:val="20"/>
          <w:lang w:val="en-US"/>
        </w:rPr>
        <w:t>Bork's Jurisprudence</w:t>
      </w:r>
      <w:r>
        <w:rPr>
          <w:rFonts w:eastAsia="Arial Unicode MS" w:cs="Arial Unicode MS"/>
          <w:sz w:val="20"/>
          <w:szCs w:val="20"/>
        </w:rPr>
        <w:t>, 57 U.</w:t>
      </w:r>
      <w:r>
        <w:rPr>
          <w:rFonts w:eastAsia="Arial Unicode MS" w:cs="Arial Unicode MS"/>
          <w:smallCaps/>
          <w:sz w:val="20"/>
          <w:szCs w:val="20"/>
        </w:rPr>
        <w:t xml:space="preserve"> Chi. L. Rev.</w:t>
      </w:r>
      <w:r>
        <w:rPr>
          <w:rFonts w:eastAsia="Arial Unicode MS" w:cs="Arial Unicode MS"/>
          <w:sz w:val="20"/>
          <w:szCs w:val="20"/>
          <w:lang w:val="en-US"/>
        </w:rPr>
        <w:t xml:space="preserve"> 657, 664 (1990) (reviewing </w:t>
      </w:r>
      <w:r>
        <w:rPr>
          <w:rFonts w:eastAsia="Arial Unicode MS" w:cs="Arial Unicode MS"/>
          <w:smallCaps/>
          <w:sz w:val="20"/>
          <w:szCs w:val="20"/>
          <w:lang w:val="en-US"/>
        </w:rPr>
        <w:t>Robert H. Bork, The Tempting of America: The Political Seduction of the Law</w:t>
      </w:r>
      <w:r>
        <w:rPr>
          <w:rFonts w:eastAsia="Arial Unicode MS" w:cs="Arial Unicode MS"/>
          <w:sz w:val="20"/>
          <w:szCs w:val="20"/>
        </w:rPr>
        <w:t xml:space="preserve"> (MacMillan 1990)).</w:t>
      </w:r>
    </w:p>
  </w:footnote>
  <w:footnote w:id="76">
    <w:p w14:paraId="256371FF"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 e.g.</w:t>
      </w:r>
      <w:r>
        <w:rPr>
          <w:rFonts w:ascii="Times New Roman" w:hAnsi="Times New Roman"/>
        </w:rPr>
        <w:t xml:space="preserve">, Josh Hammer, </w:t>
      </w:r>
      <w:r>
        <w:rPr>
          <w:rFonts w:ascii="Times New Roman" w:hAnsi="Times New Roman"/>
          <w:i/>
          <w:iCs/>
        </w:rPr>
        <w:t>Common Good Originalism</w:t>
      </w:r>
      <w:r>
        <w:rPr>
          <w:rFonts w:ascii="Times New Roman" w:hAnsi="Times New Roman"/>
        </w:rPr>
        <w:t xml:space="preserve">, </w:t>
      </w:r>
      <w:r>
        <w:rPr>
          <w:rFonts w:ascii="Times New Roman" w:hAnsi="Times New Roman"/>
          <w:smallCaps/>
        </w:rPr>
        <w:t>The Am. Mind</w:t>
      </w:r>
      <w:r>
        <w:rPr>
          <w:rFonts w:ascii="Times New Roman" w:hAnsi="Times New Roman"/>
        </w:rPr>
        <w:t xml:space="preserve"> (May 6, 2020), </w:t>
      </w:r>
      <w:r>
        <w:rPr>
          <w:rStyle w:val="Link"/>
          <w:rFonts w:ascii="Times New Roman" w:hAnsi="Times New Roman"/>
        </w:rPr>
        <w:t>https://americanmind.org/features/waiting-for-charlemagne/common-good-originalism/</w:t>
      </w:r>
      <w:r>
        <w:rPr>
          <w:rFonts w:ascii="Times New Roman" w:hAnsi="Times New Roman"/>
        </w:rPr>
        <w:t xml:space="preserve"> [https://perma.cc/2FP7-BWTT]; John </w:t>
      </w:r>
      <w:proofErr w:type="spellStart"/>
      <w:r>
        <w:rPr>
          <w:rFonts w:ascii="Times New Roman" w:hAnsi="Times New Roman"/>
        </w:rPr>
        <w:t>Ehrett</w:t>
      </w:r>
      <w:proofErr w:type="spellEnd"/>
      <w:r>
        <w:rPr>
          <w:rFonts w:ascii="Times New Roman" w:hAnsi="Times New Roman"/>
        </w:rPr>
        <w:t xml:space="preserve">, </w:t>
      </w:r>
      <w:r>
        <w:rPr>
          <w:rFonts w:ascii="Times New Roman" w:hAnsi="Times New Roman"/>
          <w:i/>
          <w:iCs/>
        </w:rPr>
        <w:t>“</w:t>
      </w:r>
      <w:r>
        <w:rPr>
          <w:rFonts w:ascii="Times New Roman" w:hAnsi="Times New Roman"/>
          <w:i/>
          <w:iCs/>
        </w:rPr>
        <w:t>Common Good Constitutionalism</w:t>
      </w:r>
      <w:r>
        <w:rPr>
          <w:rFonts w:ascii="Times New Roman" w:hAnsi="Times New Roman"/>
          <w:i/>
          <w:iCs/>
        </w:rPr>
        <w:t xml:space="preserve">” </w:t>
      </w:r>
      <w:r>
        <w:rPr>
          <w:rFonts w:ascii="Times New Roman" w:hAnsi="Times New Roman"/>
          <w:i/>
          <w:iCs/>
        </w:rPr>
        <w:t>and the Oath Breaking Problem</w:t>
      </w:r>
      <w:r>
        <w:rPr>
          <w:rFonts w:ascii="Times New Roman" w:hAnsi="Times New Roman"/>
        </w:rPr>
        <w:t>,</w:t>
      </w:r>
      <w:r>
        <w:rPr>
          <w:rFonts w:ascii="Times New Roman" w:hAnsi="Times New Roman"/>
        </w:rPr>
        <w:t xml:space="preserve"> </w:t>
      </w:r>
      <w:proofErr w:type="spellStart"/>
      <w:r>
        <w:rPr>
          <w:rFonts w:ascii="Times New Roman" w:hAnsi="Times New Roman"/>
          <w:smallCaps/>
        </w:rPr>
        <w:t>Patheos</w:t>
      </w:r>
      <w:proofErr w:type="spellEnd"/>
      <w:r>
        <w:rPr>
          <w:rFonts w:ascii="Times New Roman" w:hAnsi="Times New Roman"/>
          <w:smallCaps/>
        </w:rPr>
        <w:t xml:space="preserve"> </w:t>
      </w:r>
      <w:r>
        <w:rPr>
          <w:rFonts w:ascii="Times New Roman" w:hAnsi="Times New Roman"/>
        </w:rPr>
        <w:t>(Mar. 31, 2020) https://www.patheos.com/blogs/betweentwokingdoms/2020/03/common-good-constitutionalism-and-the-oath-breaking-problem/ [https://perma.cc/JE4S-QWY4].</w:t>
      </w:r>
    </w:p>
  </w:footnote>
  <w:footnote w:id="77">
    <w:p w14:paraId="731917A1"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Cass R. Sunstein, </w:t>
      </w:r>
      <w:r>
        <w:rPr>
          <w:rFonts w:ascii="Times New Roman" w:hAnsi="Times New Roman"/>
          <w:i/>
          <w:iCs/>
        </w:rPr>
        <w:t>There Is Nothing That Interpretation Just Is</w:t>
      </w:r>
      <w:r>
        <w:rPr>
          <w:rFonts w:ascii="Times New Roman" w:hAnsi="Times New Roman"/>
        </w:rPr>
        <w:t xml:space="preserve">, 30 </w:t>
      </w:r>
      <w:r>
        <w:rPr>
          <w:rFonts w:ascii="Times New Roman" w:hAnsi="Times New Roman"/>
          <w:smallCaps/>
        </w:rPr>
        <w:t>Const. Comment.</w:t>
      </w:r>
      <w:r>
        <w:rPr>
          <w:rFonts w:ascii="Times New Roman" w:hAnsi="Times New Roman"/>
        </w:rPr>
        <w:t xml:space="preserve"> 193 (2015).</w:t>
      </w:r>
    </w:p>
  </w:footnote>
  <w:footnote w:id="78">
    <w:p w14:paraId="24AC6D15" w14:textId="77777777" w:rsidR="00357B22" w:rsidRDefault="00062FEC">
      <w:pPr>
        <w:pStyle w:val="FootnoteText"/>
      </w:pPr>
      <w:r>
        <w:rPr>
          <w:shd w:val="clear" w:color="auto" w:fill="FFFFFF"/>
          <w:vertAlign w:val="superscript"/>
        </w:rPr>
        <w:footnoteRef/>
      </w:r>
      <w:r>
        <w:rPr>
          <w:rFonts w:ascii="Times New Roman" w:hAnsi="Times New Roman"/>
        </w:rPr>
        <w:t xml:space="preserve"> </w:t>
      </w:r>
      <w:proofErr w:type="spellStart"/>
      <w:r>
        <w:rPr>
          <w:rFonts w:ascii="Times New Roman" w:hAnsi="Times New Roman"/>
        </w:rPr>
        <w:t>Ehrett</w:t>
      </w:r>
      <w:proofErr w:type="spellEnd"/>
      <w:r>
        <w:rPr>
          <w:rFonts w:ascii="Times New Roman" w:hAnsi="Times New Roman"/>
        </w:rPr>
        <w:t xml:space="preserve">, </w:t>
      </w:r>
      <w:r>
        <w:rPr>
          <w:rFonts w:ascii="Times New Roman" w:hAnsi="Times New Roman"/>
          <w:i/>
          <w:iCs/>
        </w:rPr>
        <w:t xml:space="preserve">supra </w:t>
      </w:r>
      <w:r>
        <w:rPr>
          <w:rFonts w:ascii="Times New Roman" w:hAnsi="Times New Roman"/>
        </w:rPr>
        <w:t>note 74 (second alteration in original).</w:t>
      </w:r>
    </w:p>
  </w:footnote>
  <w:footnote w:id="79">
    <w:p w14:paraId="05E18032"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Including one of the authors</w:t>
      </w:r>
      <w:r>
        <w:rPr>
          <w:rFonts w:ascii="Times New Roman" w:hAnsi="Times New Roman"/>
        </w:rPr>
        <w:t xml:space="preserve">’ </w:t>
      </w:r>
      <w:r>
        <w:rPr>
          <w:rFonts w:ascii="Times New Roman" w:hAnsi="Times New Roman"/>
        </w:rPr>
        <w:t xml:space="preserve">home </w:t>
      </w:r>
      <w:proofErr w:type="gramStart"/>
      <w:r>
        <w:rPr>
          <w:rFonts w:ascii="Times New Roman" w:hAnsi="Times New Roman"/>
        </w:rPr>
        <w:t>jurisdiction</w:t>
      </w:r>
      <w:proofErr w:type="gramEnd"/>
      <w:r>
        <w:rPr>
          <w:rFonts w:ascii="Times New Roman" w:hAnsi="Times New Roman"/>
        </w:rPr>
        <w:t xml:space="preserve"> of Ireland, where originalism has virtually no proponents but the country has a robust and stable </w:t>
      </w:r>
      <w:r>
        <w:rPr>
          <w:rFonts w:ascii="Times New Roman" w:hAnsi="Times New Roman"/>
        </w:rPr>
        <w:t>constitutional order.</w:t>
      </w:r>
    </w:p>
  </w:footnote>
  <w:footnote w:id="80">
    <w:p w14:paraId="36FFAF2B"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David Kenny, </w:t>
      </w:r>
      <w:r>
        <w:rPr>
          <w:rFonts w:ascii="Times New Roman" w:hAnsi="Times New Roman"/>
          <w:i/>
          <w:iCs/>
        </w:rPr>
        <w:t>Politics All the Way Down: Originalism as Rhetoric</w:t>
      </w:r>
      <w:r>
        <w:rPr>
          <w:rFonts w:ascii="Times New Roman" w:hAnsi="Times New Roman"/>
        </w:rPr>
        <w:t xml:space="preserve">, 31 </w:t>
      </w:r>
      <w:r>
        <w:rPr>
          <w:rFonts w:ascii="Times New Roman" w:hAnsi="Times New Roman"/>
          <w:smallCaps/>
        </w:rPr>
        <w:t>DPCE Online</w:t>
      </w:r>
      <w:r>
        <w:rPr>
          <w:rFonts w:ascii="Times New Roman" w:hAnsi="Times New Roman"/>
        </w:rPr>
        <w:t xml:space="preserve"> 661, 662 (2017).</w:t>
      </w:r>
    </w:p>
  </w:footnote>
  <w:footnote w:id="81">
    <w:p w14:paraId="09EFD685"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Jack M. Balkin, </w:t>
      </w:r>
      <w:r>
        <w:rPr>
          <w:rFonts w:ascii="Times New Roman" w:hAnsi="Times New Roman"/>
          <w:i/>
          <w:iCs/>
        </w:rPr>
        <w:t>Abortion and Original Meaning</w:t>
      </w:r>
      <w:r>
        <w:rPr>
          <w:rFonts w:ascii="Times New Roman" w:hAnsi="Times New Roman"/>
        </w:rPr>
        <w:t xml:space="preserve">, 24 </w:t>
      </w:r>
      <w:r>
        <w:rPr>
          <w:rFonts w:ascii="Times New Roman" w:hAnsi="Times New Roman"/>
          <w:smallCaps/>
        </w:rPr>
        <w:t>Const. Comment.</w:t>
      </w:r>
      <w:r>
        <w:rPr>
          <w:rFonts w:ascii="Times New Roman" w:hAnsi="Times New Roman"/>
        </w:rPr>
        <w:t xml:space="preserve"> 291, 292 (2007)</w:t>
      </w:r>
    </w:p>
  </w:footnote>
  <w:footnote w:id="82">
    <w:p w14:paraId="5105743F"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Steven G. Calabresi &amp; Hannah M. Begley, </w:t>
      </w:r>
      <w:r>
        <w:rPr>
          <w:rFonts w:ascii="Times New Roman" w:hAnsi="Times New Roman"/>
          <w:i/>
          <w:iCs/>
        </w:rPr>
        <w:t>Originalism and Same-Sex Marriage</w:t>
      </w:r>
      <w:r>
        <w:rPr>
          <w:rFonts w:ascii="Times New Roman" w:hAnsi="Times New Roman"/>
        </w:rPr>
        <w:t xml:space="preserve">, 70 </w:t>
      </w:r>
      <w:r>
        <w:rPr>
          <w:rFonts w:ascii="Times New Roman" w:hAnsi="Times New Roman"/>
          <w:smallCaps/>
        </w:rPr>
        <w:t>U. Mia. L. Rev.</w:t>
      </w:r>
      <w:r>
        <w:rPr>
          <w:rFonts w:ascii="Times New Roman" w:hAnsi="Times New Roman"/>
        </w:rPr>
        <w:t xml:space="preserve"> 648, 651-53 (2016).</w:t>
      </w:r>
    </w:p>
  </w:footnote>
  <w:footnote w:id="83">
    <w:p w14:paraId="59497D1C" w14:textId="2CC46079"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As argued at length in Vermeule</w:t>
      </w:r>
      <w:proofErr w:type="gramStart"/>
      <w:r>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i/>
          <w:iCs/>
        </w:rPr>
        <w:t>supra</w:t>
      </w:r>
      <w:r>
        <w:rPr>
          <w:rFonts w:ascii="Times New Roman" w:hAnsi="Times New Roman"/>
        </w:rPr>
        <w:t xml:space="preserve"> note</w:t>
      </w:r>
      <w:r>
        <w:rPr>
          <w:rFonts w:ascii="Times New Roman" w:hAnsi="Times New Roman"/>
        </w:rPr>
        <w:t>19</w:t>
      </w:r>
      <w:r>
        <w:rPr>
          <w:rFonts w:ascii="Times New Roman" w:hAnsi="Times New Roman"/>
        </w:rPr>
        <w:t>.</w:t>
      </w:r>
    </w:p>
  </w:footnote>
  <w:footnote w:id="84">
    <w:p w14:paraId="73518E69"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Michael Ramsey, </w:t>
      </w:r>
      <w:r>
        <w:rPr>
          <w:rFonts w:ascii="Times New Roman" w:hAnsi="Times New Roman"/>
          <w:i/>
          <w:iCs/>
        </w:rPr>
        <w:t xml:space="preserve">Top 20 Most-Cited Originalism Scholars, </w:t>
      </w:r>
      <w:r>
        <w:rPr>
          <w:rFonts w:ascii="Times New Roman" w:hAnsi="Times New Roman"/>
          <w:i/>
          <w:iCs/>
        </w:rPr>
        <w:t>2016-2020</w:t>
      </w:r>
      <w:r>
        <w:rPr>
          <w:rFonts w:ascii="Times New Roman" w:hAnsi="Times New Roman"/>
        </w:rPr>
        <w:t xml:space="preserve">, </w:t>
      </w:r>
      <w:r>
        <w:rPr>
          <w:rFonts w:ascii="Times New Roman" w:hAnsi="Times New Roman"/>
          <w:smallCaps/>
        </w:rPr>
        <w:t xml:space="preserve">Originalism Blog </w:t>
      </w:r>
      <w:r>
        <w:rPr>
          <w:rFonts w:ascii="Times New Roman" w:hAnsi="Times New Roman"/>
        </w:rPr>
        <w:t>(Sept.</w:t>
      </w:r>
      <w:r>
        <w:rPr>
          <w:rFonts w:ascii="Times New Roman" w:hAnsi="Times New Roman"/>
          <w:smallCaps/>
        </w:rPr>
        <w:t xml:space="preserve"> 22, 2021),</w:t>
      </w:r>
      <w:r>
        <w:rPr>
          <w:rFonts w:ascii="Times New Roman" w:hAnsi="Times New Roman"/>
        </w:rPr>
        <w:t xml:space="preserve"> </w:t>
      </w:r>
      <w:r>
        <w:rPr>
          <w:rStyle w:val="Link"/>
          <w:rFonts w:ascii="Times New Roman" w:hAnsi="Times New Roman"/>
        </w:rPr>
        <w:t>https://originalismblog.typepad.com/the-originalism-blog/2021/09/top-15-most-cited-originalism-scholarsmichael-ramsey.html</w:t>
      </w:r>
      <w:r>
        <w:rPr>
          <w:rFonts w:ascii="Times New Roman" w:hAnsi="Times New Roman"/>
        </w:rPr>
        <w:t xml:space="preserve"> [https://perma.cc/8LVV-PT2N].</w:t>
      </w:r>
    </w:p>
  </w:footnote>
  <w:footnote w:id="85">
    <w:p w14:paraId="1AD139EC"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Steven G. Calabresi</w:t>
      </w:r>
      <w:r>
        <w:rPr>
          <w:rFonts w:ascii="Times New Roman" w:hAnsi="Times New Roman"/>
        </w:rPr>
        <w:t xml:space="preserve">, </w:t>
      </w:r>
      <w:r>
        <w:rPr>
          <w:rFonts w:ascii="Times New Roman" w:hAnsi="Times New Roman"/>
          <w:smallCaps/>
        </w:rPr>
        <w:t xml:space="preserve">Yale L. Sch., </w:t>
      </w:r>
      <w:r>
        <w:rPr>
          <w:rStyle w:val="Link"/>
          <w:rFonts w:ascii="Times New Roman" w:hAnsi="Times New Roman"/>
        </w:rPr>
        <w:t>https://law.yale.edu/steven-g-calabresi</w:t>
      </w:r>
      <w:r>
        <w:rPr>
          <w:rFonts w:ascii="Times New Roman" w:hAnsi="Times New Roman"/>
        </w:rPr>
        <w:t xml:space="preserve"> [https://perma.cc/B7YB-BWU</w:t>
      </w:r>
      <w:r>
        <w:rPr>
          <w:rFonts w:ascii="Times New Roman" w:hAnsi="Times New Roman"/>
        </w:rPr>
        <w:t xml:space="preserve">E] (last accessed Nov. 10, 2021). </w:t>
      </w:r>
    </w:p>
  </w:footnote>
  <w:footnote w:id="86">
    <w:p w14:paraId="67A7DC3D" w14:textId="77777777" w:rsidR="00357B22" w:rsidRDefault="00062FEC">
      <w:pPr>
        <w:pStyle w:val="BodyB"/>
      </w:pPr>
      <w:r>
        <w:rPr>
          <w:vertAlign w:val="superscript"/>
        </w:rPr>
        <w:footnoteRef/>
      </w:r>
      <w:r>
        <w:rPr>
          <w:rFonts w:eastAsia="Arial Unicode MS" w:cs="Arial Unicode MS"/>
          <w:sz w:val="20"/>
          <w:szCs w:val="20"/>
        </w:rPr>
        <w:t xml:space="preserve"> </w:t>
      </w:r>
      <w:r>
        <w:rPr>
          <w:rFonts w:eastAsia="Arial Unicode MS" w:cs="Arial Unicode MS"/>
          <w:i/>
          <w:iCs/>
          <w:sz w:val="20"/>
          <w:szCs w:val="20"/>
        </w:rPr>
        <w:t>See</w:t>
      </w:r>
      <w:r>
        <w:rPr>
          <w:rFonts w:eastAsia="Arial Unicode MS" w:cs="Arial Unicode MS"/>
          <w:sz w:val="20"/>
          <w:szCs w:val="20"/>
        </w:rPr>
        <w:t xml:space="preserve"> Jonathan Gienapp,</w:t>
      </w:r>
      <w:r>
        <w:rPr>
          <w:rFonts w:eastAsia="Arial Unicode MS" w:cs="Arial Unicode MS"/>
          <w:sz w:val="20"/>
          <w:szCs w:val="20"/>
        </w:rPr>
        <w:t> </w:t>
      </w:r>
      <w:r>
        <w:rPr>
          <w:rFonts w:eastAsia="Arial Unicode MS" w:cs="Arial Unicode MS"/>
          <w:i/>
          <w:iCs/>
          <w:sz w:val="20"/>
          <w:szCs w:val="20"/>
        </w:rPr>
        <w:t>Written Constitutionalism, Past and Present</w:t>
      </w:r>
      <w:r>
        <w:rPr>
          <w:rFonts w:eastAsia="Arial Unicode MS" w:cs="Arial Unicode MS"/>
          <w:sz w:val="20"/>
          <w:szCs w:val="20"/>
        </w:rPr>
        <w:t xml:space="preserve">, </w:t>
      </w:r>
      <w:proofErr w:type="gramStart"/>
      <w:r>
        <w:rPr>
          <w:rFonts w:eastAsia="Arial Unicode MS" w:cs="Arial Unicode MS"/>
          <w:sz w:val="20"/>
          <w:szCs w:val="20"/>
        </w:rPr>
        <w:t>39</w:t>
      </w:r>
      <w:r>
        <w:rPr>
          <w:rFonts w:eastAsia="Arial Unicode MS" w:cs="Arial Unicode MS"/>
          <w:sz w:val="20"/>
          <w:szCs w:val="20"/>
        </w:rPr>
        <w:t> </w:t>
      </w:r>
      <w:r>
        <w:rPr>
          <w:rFonts w:eastAsia="Arial Unicode MS" w:cs="Arial Unicode MS"/>
          <w:smallCaps/>
          <w:sz w:val="20"/>
          <w:szCs w:val="20"/>
        </w:rPr>
        <w:t xml:space="preserve"> L.</w:t>
      </w:r>
      <w:proofErr w:type="gramEnd"/>
      <w:r>
        <w:rPr>
          <w:rFonts w:eastAsia="Arial Unicode MS" w:cs="Arial Unicode MS"/>
          <w:smallCaps/>
          <w:sz w:val="20"/>
          <w:szCs w:val="20"/>
        </w:rPr>
        <w:t xml:space="preserve"> &amp; Hist. Rev.</w:t>
      </w:r>
      <w:r>
        <w:rPr>
          <w:rFonts w:eastAsia="Arial Unicode MS" w:cs="Arial Unicode MS"/>
          <w:sz w:val="20"/>
          <w:szCs w:val="20"/>
        </w:rPr>
        <w:t> </w:t>
      </w:r>
      <w:r>
        <w:rPr>
          <w:rFonts w:eastAsia="Arial Unicode MS" w:cs="Arial Unicode MS"/>
          <w:sz w:val="20"/>
          <w:szCs w:val="20"/>
        </w:rPr>
        <w:t>321, 355</w:t>
      </w:r>
      <w:r>
        <w:rPr>
          <w:rFonts w:eastAsia="Arial Unicode MS" w:cs="Arial Unicode MS"/>
          <w:sz w:val="20"/>
          <w:szCs w:val="20"/>
        </w:rPr>
        <w:t>–</w:t>
      </w:r>
      <w:r>
        <w:rPr>
          <w:rFonts w:eastAsia="Arial Unicode MS" w:cs="Arial Unicode MS"/>
          <w:sz w:val="20"/>
          <w:szCs w:val="20"/>
        </w:rPr>
        <w:t xml:space="preserve">56 (2021). The point resurfaces periodically, as every generation rediscovers that the founding generation inhabited a very different legal world than we do. </w:t>
      </w:r>
      <w:r>
        <w:rPr>
          <w:rFonts w:eastAsia="Arial Unicode MS" w:cs="Arial Unicode MS"/>
          <w:i/>
          <w:iCs/>
          <w:sz w:val="20"/>
          <w:szCs w:val="20"/>
        </w:rPr>
        <w:t>See, e.g.</w:t>
      </w:r>
      <w:r>
        <w:rPr>
          <w:rFonts w:eastAsia="Arial Unicode MS" w:cs="Arial Unicode MS"/>
          <w:sz w:val="20"/>
          <w:szCs w:val="20"/>
        </w:rPr>
        <w:t xml:space="preserve">, H. Jefferson Powell, </w:t>
      </w:r>
      <w:r>
        <w:rPr>
          <w:rFonts w:eastAsia="Arial Unicode MS" w:cs="Arial Unicode MS"/>
          <w:i/>
          <w:iCs/>
          <w:sz w:val="20"/>
          <w:szCs w:val="20"/>
        </w:rPr>
        <w:t>The Original Understanding of Original Intent</w:t>
      </w:r>
      <w:r>
        <w:rPr>
          <w:rFonts w:eastAsia="Arial Unicode MS" w:cs="Arial Unicode MS"/>
          <w:sz w:val="20"/>
          <w:szCs w:val="20"/>
        </w:rPr>
        <w:t xml:space="preserve">, 98 </w:t>
      </w:r>
      <w:r>
        <w:rPr>
          <w:rFonts w:eastAsia="Arial Unicode MS" w:cs="Arial Unicode MS"/>
          <w:smallCaps/>
          <w:sz w:val="20"/>
          <w:szCs w:val="20"/>
        </w:rPr>
        <w:t>Harv. L. Rev.</w:t>
      </w:r>
      <w:r>
        <w:rPr>
          <w:rFonts w:eastAsia="Arial Unicode MS" w:cs="Arial Unicode MS"/>
          <w:sz w:val="20"/>
          <w:szCs w:val="20"/>
        </w:rPr>
        <w:t xml:space="preserve"> 88</w:t>
      </w:r>
      <w:r>
        <w:rPr>
          <w:rFonts w:eastAsia="Arial Unicode MS" w:cs="Arial Unicode MS"/>
          <w:sz w:val="20"/>
          <w:szCs w:val="20"/>
        </w:rPr>
        <w:t>5, 948 (1985).</w:t>
      </w:r>
    </w:p>
  </w:footnote>
  <w:footnote w:id="87">
    <w:p w14:paraId="2DB8F145" w14:textId="77777777" w:rsidR="00357B22" w:rsidRDefault="00062FEC">
      <w:pPr>
        <w:pStyle w:val="FootnoteText"/>
      </w:pPr>
      <w:r>
        <w:rPr>
          <w:rFonts w:ascii="Times New Roman" w:eastAsia="Times New Roman" w:hAnsi="Times New Roman" w:cs="Times New Roman"/>
          <w:vertAlign w:val="superscript"/>
        </w:rPr>
        <w:footnoteRef/>
      </w:r>
      <w:r>
        <w:rPr>
          <w:rFonts w:eastAsia="Arial Unicode MS" w:cs="Arial Unicode MS"/>
        </w:rPr>
        <w:t xml:space="preserve"> Id.</w:t>
      </w:r>
    </w:p>
  </w:footnote>
  <w:footnote w:id="88">
    <w:p w14:paraId="2B0CA721"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Stuart Banner, The Decline of Natural Law: How American Lawyers Once Used Natural Law and Why They Stopped 167</w:t>
      </w:r>
      <w:r>
        <w:rPr>
          <w:rFonts w:ascii="Times New Roman" w:hAnsi="Times New Roman"/>
        </w:rPr>
        <w:t xml:space="preserve"> (</w:t>
      </w:r>
      <w:r>
        <w:rPr>
          <w:rFonts w:ascii="Times New Roman" w:hAnsi="Times New Roman"/>
          <w:color w:val="0F1111"/>
          <w:u w:color="0F1111"/>
        </w:rPr>
        <w:t>Oxford Univ. Press</w:t>
      </w:r>
      <w:r>
        <w:rPr>
          <w:rFonts w:ascii="Times New Roman" w:hAnsi="Times New Roman"/>
          <w:smallCaps/>
        </w:rPr>
        <w:t xml:space="preserve"> 2021); </w:t>
      </w:r>
      <w:r>
        <w:rPr>
          <w:rFonts w:ascii="Times New Roman" w:hAnsi="Times New Roman"/>
        </w:rPr>
        <w:t xml:space="preserve">Stephen E. Sachs, </w:t>
      </w:r>
      <w:r>
        <w:rPr>
          <w:rFonts w:ascii="Times New Roman" w:hAnsi="Times New Roman"/>
          <w:i/>
          <w:iCs/>
        </w:rPr>
        <w:t>Finding Law</w:t>
      </w:r>
      <w:r>
        <w:rPr>
          <w:rFonts w:ascii="Times New Roman" w:hAnsi="Times New Roman"/>
        </w:rPr>
        <w:t xml:space="preserve">, 107 </w:t>
      </w:r>
      <w:r>
        <w:rPr>
          <w:rFonts w:ascii="Times New Roman" w:hAnsi="Times New Roman"/>
          <w:smallCaps/>
        </w:rPr>
        <w:t>Calif. L. Rev</w:t>
      </w:r>
      <w:r>
        <w:rPr>
          <w:rFonts w:ascii="Times New Roman" w:hAnsi="Times New Roman"/>
        </w:rPr>
        <w:t>. 527, 529</w:t>
      </w:r>
      <w:r>
        <w:rPr>
          <w:rFonts w:ascii="Times New Roman" w:hAnsi="Times New Roman"/>
        </w:rPr>
        <w:t>–</w:t>
      </w:r>
      <w:r>
        <w:rPr>
          <w:rFonts w:ascii="Times New Roman" w:hAnsi="Times New Roman"/>
        </w:rPr>
        <w:t>30 (2019);</w:t>
      </w:r>
      <w:r>
        <w:rPr>
          <w:rFonts w:ascii="Times New Roman" w:hAnsi="Times New Roman"/>
          <w:smallCaps/>
        </w:rPr>
        <w:t xml:space="preserve"> </w:t>
      </w:r>
      <w:r>
        <w:rPr>
          <w:rFonts w:ascii="Times New Roman" w:hAnsi="Times New Roman"/>
          <w:i/>
          <w:iCs/>
        </w:rPr>
        <w:t>see, e.g.</w:t>
      </w:r>
      <w:r>
        <w:rPr>
          <w:rFonts w:ascii="Times New Roman" w:hAnsi="Times New Roman"/>
        </w:rPr>
        <w:t xml:space="preserve">, S. </w:t>
      </w:r>
      <w:r>
        <w:rPr>
          <w:rFonts w:ascii="Times New Roman" w:hAnsi="Times New Roman"/>
        </w:rPr>
        <w:t>Pac. Co. v. Jensen, 244 U.S. 205, 222 (1917) (Holmes, J., dissenting).</w:t>
      </w:r>
    </w:p>
  </w:footnote>
  <w:footnote w:id="89">
    <w:p w14:paraId="1F746645" w14:textId="77777777" w:rsidR="00357B22" w:rsidRDefault="00062FEC">
      <w:pPr>
        <w:pStyle w:val="FootnoteText"/>
      </w:pPr>
      <w:r>
        <w:rPr>
          <w:sz w:val="24"/>
          <w:szCs w:val="24"/>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Calvin </w:t>
      </w:r>
      <w:proofErr w:type="spellStart"/>
      <w:r>
        <w:rPr>
          <w:rFonts w:ascii="Times New Roman" w:hAnsi="Times New Roman"/>
        </w:rPr>
        <w:t>Terbeek</w:t>
      </w:r>
      <w:proofErr w:type="spellEnd"/>
      <w:r>
        <w:rPr>
          <w:rFonts w:ascii="Times New Roman" w:hAnsi="Times New Roman"/>
        </w:rPr>
        <w:t xml:space="preserve">, </w:t>
      </w:r>
      <w:r>
        <w:rPr>
          <w:rFonts w:ascii="Times New Roman" w:hAnsi="Times New Roman"/>
          <w:i/>
          <w:iCs/>
        </w:rPr>
        <w:t>“</w:t>
      </w:r>
      <w:r>
        <w:rPr>
          <w:rFonts w:ascii="Times New Roman" w:hAnsi="Times New Roman"/>
          <w:i/>
          <w:iCs/>
        </w:rPr>
        <w:t>Clocks Must Always Be Turned Back</w:t>
      </w:r>
      <w:r>
        <w:rPr>
          <w:rFonts w:ascii="Times New Roman" w:hAnsi="Times New Roman"/>
          <w:i/>
          <w:iCs/>
        </w:rPr>
        <w:t>”</w:t>
      </w:r>
      <w:r>
        <w:rPr>
          <w:rFonts w:ascii="Times New Roman" w:hAnsi="Times New Roman"/>
          <w:i/>
          <w:iCs/>
        </w:rPr>
        <w:t xml:space="preserve">: </w:t>
      </w:r>
      <w:r>
        <w:rPr>
          <w:rFonts w:ascii="Times New Roman" w:hAnsi="Times New Roman"/>
        </w:rPr>
        <w:t>Brown v. Board of Education</w:t>
      </w:r>
      <w:r>
        <w:rPr>
          <w:rFonts w:ascii="Times New Roman" w:hAnsi="Times New Roman"/>
          <w:i/>
          <w:iCs/>
        </w:rPr>
        <w:t xml:space="preserve"> and the Racial Origins of Constitutional Originalism,</w:t>
      </w:r>
      <w:r>
        <w:rPr>
          <w:rFonts w:ascii="Times New Roman" w:hAnsi="Times New Roman"/>
        </w:rPr>
        <w:t xml:space="preserve"> 115 </w:t>
      </w:r>
      <w:r>
        <w:rPr>
          <w:rFonts w:ascii="Times New Roman" w:hAnsi="Times New Roman"/>
          <w:smallCaps/>
        </w:rPr>
        <w:t xml:space="preserve">Am. Pol. Sci. Rev. 821 </w:t>
      </w:r>
      <w:r>
        <w:rPr>
          <w:rFonts w:ascii="Times New Roman" w:hAnsi="Times New Roman"/>
        </w:rPr>
        <w:t xml:space="preserve">(2021). </w:t>
      </w:r>
    </w:p>
  </w:footnote>
  <w:footnote w:id="90">
    <w:p w14:paraId="4F843145" w14:textId="77777777" w:rsidR="00357B22" w:rsidRDefault="00062FEC">
      <w:pPr>
        <w:pStyle w:val="FootnoteText"/>
      </w:pPr>
      <w:r>
        <w:rPr>
          <w:sz w:val="24"/>
          <w:szCs w:val="24"/>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Randolph J. May, Book Review, </w:t>
      </w:r>
      <w:r>
        <w:rPr>
          <w:rFonts w:ascii="Times New Roman" w:hAnsi="Times New Roman"/>
          <w:smallCaps/>
        </w:rPr>
        <w:t>1990 BYU L. Rev.</w:t>
      </w:r>
      <w:r>
        <w:rPr>
          <w:rFonts w:ascii="Times New Roman" w:hAnsi="Times New Roman"/>
        </w:rPr>
        <w:t xml:space="preserve"> 665, 666</w:t>
      </w:r>
      <w:r>
        <w:rPr>
          <w:rFonts w:ascii="Times New Roman" w:hAnsi="Times New Roman"/>
        </w:rPr>
        <w:t>–</w:t>
      </w:r>
      <w:r>
        <w:rPr>
          <w:rFonts w:ascii="Times New Roman" w:hAnsi="Times New Roman"/>
        </w:rPr>
        <w:t xml:space="preserve">67 (1990) (reviewing </w:t>
      </w:r>
      <w:r>
        <w:rPr>
          <w:rFonts w:ascii="Times New Roman" w:hAnsi="Times New Roman"/>
          <w:smallCaps/>
        </w:rPr>
        <w:t>Robert H. Bork, The Tempting of America: The Political Seduction of the Law</w:t>
      </w:r>
      <w:r>
        <w:rPr>
          <w:rFonts w:ascii="Times New Roman" w:hAnsi="Times New Roman"/>
        </w:rPr>
        <w:t xml:space="preserve"> (1990)).</w:t>
      </w:r>
    </w:p>
  </w:footnote>
  <w:footnote w:id="91">
    <w:p w14:paraId="1D62F37E" w14:textId="77777777" w:rsidR="00357B22" w:rsidRDefault="00062FEC">
      <w:pPr>
        <w:pStyle w:val="FootnoteText"/>
      </w:pPr>
      <w:r>
        <w:rPr>
          <w:sz w:val="24"/>
          <w:szCs w:val="24"/>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Vermeule, </w:t>
      </w:r>
      <w:r>
        <w:rPr>
          <w:rFonts w:ascii="Times New Roman" w:hAnsi="Times New Roman"/>
          <w:i/>
          <w:iCs/>
        </w:rPr>
        <w:t>Beyond Originalism</w:t>
      </w:r>
      <w:r>
        <w:rPr>
          <w:rFonts w:ascii="Times New Roman" w:hAnsi="Times New Roman"/>
        </w:rPr>
        <w:t xml:space="preserve">, </w:t>
      </w:r>
      <w:r>
        <w:rPr>
          <w:rFonts w:ascii="Times New Roman" w:hAnsi="Times New Roman"/>
          <w:i/>
          <w:iCs/>
        </w:rPr>
        <w:t>supra</w:t>
      </w:r>
      <w:r>
        <w:rPr>
          <w:rFonts w:ascii="Times New Roman" w:hAnsi="Times New Roman"/>
        </w:rPr>
        <w:t xml:space="preserve"> note 6.</w:t>
      </w:r>
    </w:p>
  </w:footnote>
  <w:footnote w:id="92">
    <w:p w14:paraId="7823F0ED" w14:textId="77777777" w:rsidR="00357B22" w:rsidRDefault="00062FEC">
      <w:pPr>
        <w:pStyle w:val="FootnoteText"/>
      </w:pPr>
      <w:r>
        <w:rPr>
          <w:sz w:val="24"/>
          <w:szCs w:val="24"/>
          <w:vertAlign w:val="superscript"/>
        </w:rPr>
        <w:footnoteRef/>
      </w:r>
      <w:r>
        <w:rPr>
          <w:rFonts w:ascii="Times New Roman" w:hAnsi="Times New Roman"/>
        </w:rPr>
        <w:t xml:space="preserve"> </w:t>
      </w:r>
      <w:r>
        <w:rPr>
          <w:rFonts w:ascii="Times New Roman" w:hAnsi="Times New Roman"/>
          <w:i/>
          <w:iCs/>
        </w:rPr>
        <w:t>Cf.</w:t>
      </w:r>
      <w:r>
        <w:rPr>
          <w:rFonts w:ascii="Times New Roman" w:hAnsi="Times New Roman"/>
        </w:rPr>
        <w:t xml:space="preserve"> Eric Hobsbawm, </w:t>
      </w:r>
      <w:r>
        <w:rPr>
          <w:rFonts w:ascii="Times New Roman" w:hAnsi="Times New Roman"/>
          <w:i/>
          <w:iCs/>
        </w:rPr>
        <w:t>Introduction: Inventing Traditions</w:t>
      </w:r>
      <w:r>
        <w:rPr>
          <w:rFonts w:ascii="Times New Roman" w:hAnsi="Times New Roman"/>
        </w:rPr>
        <w:t xml:space="preserve">, </w:t>
      </w:r>
      <w:r>
        <w:rPr>
          <w:rFonts w:ascii="Times New Roman" w:hAnsi="Times New Roman"/>
          <w:i/>
          <w:iCs/>
        </w:rPr>
        <w:t xml:space="preserve">in </w:t>
      </w:r>
      <w:r>
        <w:rPr>
          <w:rFonts w:ascii="Times New Roman" w:hAnsi="Times New Roman"/>
          <w:smallCaps/>
        </w:rPr>
        <w:t>The Invention of Tradition</w:t>
      </w:r>
      <w:r>
        <w:rPr>
          <w:rFonts w:ascii="Times New Roman" w:hAnsi="Times New Roman"/>
        </w:rPr>
        <w:t xml:space="preserve"> 1</w:t>
      </w:r>
      <w:r>
        <w:rPr>
          <w:rFonts w:ascii="Times New Roman" w:hAnsi="Times New Roman"/>
        </w:rPr>
        <w:t>–</w:t>
      </w:r>
      <w:r>
        <w:rPr>
          <w:rFonts w:ascii="Times New Roman" w:hAnsi="Times New Roman"/>
        </w:rPr>
        <w:t>2 (Eric Hobsbawm &amp; Terence Ranger eds., Cambridge Univ. Press 2012).</w:t>
      </w:r>
    </w:p>
  </w:footnote>
  <w:footnote w:id="93">
    <w:p w14:paraId="15DEB13B" w14:textId="77777777" w:rsidR="00357B22" w:rsidRDefault="00062FEC">
      <w:pPr>
        <w:pStyle w:val="p1"/>
      </w:pPr>
      <w:r>
        <w:rPr>
          <w:sz w:val="24"/>
          <w:szCs w:val="24"/>
          <w:vertAlign w:val="superscript"/>
        </w:rPr>
        <w:footnoteRef/>
      </w:r>
      <w:r>
        <w:rPr>
          <w:sz w:val="20"/>
          <w:szCs w:val="20"/>
        </w:rPr>
        <w:t xml:space="preserve"> 60 U.S. (19 How.) 393 (1857). </w:t>
      </w:r>
    </w:p>
  </w:footnote>
  <w:footnote w:id="94">
    <w:p w14:paraId="1B41E519" w14:textId="77777777" w:rsidR="00357B22" w:rsidRDefault="00062FEC">
      <w:pPr>
        <w:pStyle w:val="p1"/>
      </w:pPr>
      <w:r>
        <w:rPr>
          <w:sz w:val="24"/>
          <w:szCs w:val="24"/>
          <w:vertAlign w:val="superscript"/>
        </w:rPr>
        <w:footnoteRef/>
      </w:r>
      <w:r>
        <w:rPr>
          <w:sz w:val="20"/>
          <w:szCs w:val="20"/>
        </w:rPr>
        <w:t xml:space="preserve"> </w:t>
      </w:r>
      <w:r>
        <w:rPr>
          <w:i/>
          <w:iCs/>
          <w:sz w:val="20"/>
          <w:szCs w:val="20"/>
        </w:rPr>
        <w:t>See, e.g.</w:t>
      </w:r>
      <w:r>
        <w:rPr>
          <w:sz w:val="20"/>
          <w:szCs w:val="20"/>
        </w:rPr>
        <w:t>,</w:t>
      </w:r>
      <w:r>
        <w:rPr>
          <w:i/>
          <w:iCs/>
          <w:sz w:val="20"/>
          <w:szCs w:val="20"/>
        </w:rPr>
        <w:t xml:space="preserve"> </w:t>
      </w:r>
      <w:r>
        <w:rPr>
          <w:sz w:val="20"/>
          <w:szCs w:val="20"/>
        </w:rPr>
        <w:t>South Carolina v. United States, 199 U.S. 437, 448-49 (1905).</w:t>
      </w:r>
    </w:p>
  </w:footnote>
  <w:footnote w:id="95">
    <w:p w14:paraId="49FEC08E" w14:textId="77777777" w:rsidR="00357B22" w:rsidRDefault="00062FEC">
      <w:pPr>
        <w:pStyle w:val="FootnoteText"/>
      </w:pPr>
      <w:r>
        <w:rPr>
          <w:sz w:val="24"/>
          <w:szCs w:val="24"/>
          <w:vertAlign w:val="superscript"/>
        </w:rPr>
        <w:footnoteRef/>
      </w:r>
      <w:r>
        <w:rPr>
          <w:rFonts w:ascii="Times New Roman" w:hAnsi="Times New Roman"/>
        </w:rPr>
        <w:t xml:space="preserve"> Professor</w:t>
      </w:r>
      <w:r>
        <w:rPr>
          <w:rFonts w:ascii="Times New Roman" w:hAnsi="Times New Roman"/>
        </w:rPr>
        <w:t xml:space="preserve">s Philip Bobbitt and Richard Fallon have persuasively demonstrated how U.S. constitutional practice has long recognized several legitimate modes of argumentation, including doctrinal, ethical, textual, structural, as well as historical. </w:t>
      </w:r>
      <w:r>
        <w:rPr>
          <w:rFonts w:ascii="Times New Roman" w:hAnsi="Times New Roman"/>
          <w:i/>
          <w:iCs/>
        </w:rPr>
        <w:t>See</w:t>
      </w:r>
      <w:r>
        <w:rPr>
          <w:rFonts w:ascii="Times New Roman" w:hAnsi="Times New Roman"/>
        </w:rPr>
        <w:t xml:space="preserve"> </w:t>
      </w:r>
      <w:r>
        <w:rPr>
          <w:rFonts w:ascii="Times New Roman" w:hAnsi="Times New Roman"/>
          <w:smallCaps/>
        </w:rPr>
        <w:t>Philip Bobbitt,</w:t>
      </w:r>
      <w:r>
        <w:rPr>
          <w:rFonts w:ascii="Times New Roman" w:hAnsi="Times New Roman"/>
          <w:smallCaps/>
        </w:rPr>
        <w:t xml:space="preserve"> Constitutional Fate: Theory of the Constitution</w:t>
      </w:r>
      <w:r>
        <w:rPr>
          <w:rFonts w:ascii="Times New Roman" w:hAnsi="Times New Roman"/>
        </w:rPr>
        <w:t xml:space="preserve"> 26 (Oxford Univ. Press 1984); Richard H. Fallon, Jr., </w:t>
      </w:r>
      <w:r>
        <w:rPr>
          <w:rFonts w:ascii="Times New Roman" w:hAnsi="Times New Roman"/>
          <w:i/>
          <w:iCs/>
        </w:rPr>
        <w:t>A Constructivist Coherence Theory of Constitutional Interpretation</w:t>
      </w:r>
      <w:r>
        <w:rPr>
          <w:rFonts w:ascii="Times New Roman" w:hAnsi="Times New Roman"/>
        </w:rPr>
        <w:t xml:space="preserve">, 100 </w:t>
      </w:r>
      <w:r>
        <w:rPr>
          <w:rFonts w:ascii="Times New Roman" w:hAnsi="Times New Roman"/>
          <w:smallCaps/>
        </w:rPr>
        <w:t>Harv.  L.  Rev.</w:t>
      </w:r>
      <w:r>
        <w:rPr>
          <w:rFonts w:ascii="Times New Roman" w:hAnsi="Times New Roman"/>
        </w:rPr>
        <w:t xml:space="preserve"> 1189, 1244, 1254 (1987).</w:t>
      </w:r>
    </w:p>
  </w:footnote>
  <w:footnote w:id="96">
    <w:p w14:paraId="4D2DE492" w14:textId="77777777" w:rsidR="00357B22" w:rsidRDefault="00062FEC">
      <w:pPr>
        <w:pStyle w:val="FootnoteText"/>
      </w:pPr>
      <w:r>
        <w:rPr>
          <w:sz w:val="24"/>
          <w:szCs w:val="24"/>
          <w:vertAlign w:val="superscript"/>
        </w:rPr>
        <w:footnoteRef/>
      </w:r>
      <w:r>
        <w:rPr>
          <w:rFonts w:ascii="Times New Roman" w:hAnsi="Times New Roman"/>
        </w:rPr>
        <w:t xml:space="preserve"> </w:t>
      </w:r>
      <w:proofErr w:type="spellStart"/>
      <w:r>
        <w:rPr>
          <w:rFonts w:ascii="Times New Roman" w:hAnsi="Times New Roman"/>
        </w:rPr>
        <w:t>Terbeek</w:t>
      </w:r>
      <w:proofErr w:type="spellEnd"/>
      <w:r>
        <w:rPr>
          <w:rFonts w:ascii="Times New Roman" w:hAnsi="Times New Roman"/>
        </w:rPr>
        <w:t xml:space="preserve">, </w:t>
      </w:r>
      <w:r>
        <w:rPr>
          <w:rFonts w:ascii="Times New Roman" w:hAnsi="Times New Roman"/>
          <w:i/>
          <w:iCs/>
        </w:rPr>
        <w:t xml:space="preserve">supra </w:t>
      </w:r>
      <w:r>
        <w:rPr>
          <w:rFonts w:ascii="Times New Roman" w:hAnsi="Times New Roman"/>
        </w:rPr>
        <w:t>note 86, at 825.</w:t>
      </w:r>
    </w:p>
  </w:footnote>
  <w:footnote w:id="97">
    <w:p w14:paraId="74A69ED6" w14:textId="77777777" w:rsidR="00357B22" w:rsidRDefault="00062FEC">
      <w:pPr>
        <w:pStyle w:val="FootnoteText"/>
      </w:pPr>
      <w:r>
        <w:rPr>
          <w:sz w:val="24"/>
          <w:szCs w:val="24"/>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i/>
          <w:iCs/>
        </w:rPr>
        <w:t>id</w:t>
      </w:r>
      <w:r>
        <w:rPr>
          <w:rFonts w:ascii="Times New Roman" w:hAnsi="Times New Roman"/>
        </w:rPr>
        <w:t>. at 824 n.10.</w:t>
      </w:r>
    </w:p>
  </w:footnote>
  <w:footnote w:id="98">
    <w:p w14:paraId="372863DD" w14:textId="77777777" w:rsidR="00357B22" w:rsidRDefault="00062FEC">
      <w:pPr>
        <w:pStyle w:val="FootnoteText"/>
      </w:pPr>
      <w:r>
        <w:rPr>
          <w:sz w:val="24"/>
          <w:szCs w:val="24"/>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Jamal Greene, </w:t>
      </w:r>
      <w:r>
        <w:rPr>
          <w:rFonts w:ascii="Times New Roman" w:hAnsi="Times New Roman"/>
          <w:i/>
          <w:iCs/>
        </w:rPr>
        <w:t>Selling Originalism</w:t>
      </w:r>
      <w:r>
        <w:rPr>
          <w:rFonts w:ascii="Times New Roman" w:hAnsi="Times New Roman"/>
        </w:rPr>
        <w:t xml:space="preserve">, 97 </w:t>
      </w:r>
      <w:r>
        <w:rPr>
          <w:rFonts w:ascii="Times New Roman" w:hAnsi="Times New Roman"/>
          <w:smallCaps/>
        </w:rPr>
        <w:t>Geo</w:t>
      </w:r>
      <w:r>
        <w:rPr>
          <w:rFonts w:ascii="Times New Roman" w:hAnsi="Times New Roman"/>
        </w:rPr>
        <w:t xml:space="preserve"> L.J. 657, 708-14 (2009).</w:t>
      </w:r>
    </w:p>
  </w:footnote>
  <w:footnote w:id="99">
    <w:p w14:paraId="238BF352" w14:textId="77777777" w:rsidR="00357B22" w:rsidRDefault="00062FEC">
      <w:pPr>
        <w:pStyle w:val="Body"/>
      </w:pPr>
      <w:r>
        <w:rPr>
          <w:vertAlign w:val="superscript"/>
        </w:rPr>
        <w:footnoteRef/>
      </w:r>
      <w:r>
        <w:rPr>
          <w:rFonts w:eastAsia="Arial Unicode MS" w:cs="Arial Unicode MS"/>
          <w:sz w:val="20"/>
          <w:szCs w:val="20"/>
        </w:rPr>
        <w:t xml:space="preserve"> </w:t>
      </w:r>
      <w:r>
        <w:rPr>
          <w:rFonts w:eastAsia="Arial Unicode MS" w:cs="Arial Unicode MS"/>
          <w:i/>
          <w:iCs/>
          <w:sz w:val="20"/>
          <w:szCs w:val="20"/>
          <w:lang w:val="nl-NL"/>
        </w:rPr>
        <w:t>See,</w:t>
      </w:r>
      <w:r>
        <w:rPr>
          <w:rFonts w:eastAsia="Arial Unicode MS" w:cs="Arial Unicode MS"/>
          <w:sz w:val="20"/>
          <w:szCs w:val="20"/>
        </w:rPr>
        <w:t xml:space="preserve"> </w:t>
      </w:r>
      <w:r>
        <w:rPr>
          <w:rFonts w:eastAsia="Arial Unicode MS" w:cs="Arial Unicode MS"/>
          <w:i/>
          <w:iCs/>
          <w:sz w:val="20"/>
          <w:szCs w:val="20"/>
        </w:rPr>
        <w:t>e.g.</w:t>
      </w:r>
      <w:r>
        <w:rPr>
          <w:rFonts w:eastAsia="Arial Unicode MS" w:cs="Arial Unicode MS"/>
          <w:sz w:val="20"/>
          <w:szCs w:val="20"/>
        </w:rPr>
        <w:t xml:space="preserve">, </w:t>
      </w:r>
      <w:r>
        <w:rPr>
          <w:rFonts w:eastAsia="Arial Unicode MS" w:cs="Arial Unicode MS"/>
          <w:sz w:val="20"/>
          <w:szCs w:val="20"/>
        </w:rPr>
        <w:t xml:space="preserve">Yuval Levin, </w:t>
      </w:r>
      <w:r>
        <w:rPr>
          <w:rFonts w:eastAsia="Arial Unicode MS" w:cs="Arial Unicode MS"/>
          <w:i/>
          <w:iCs/>
          <w:sz w:val="20"/>
          <w:szCs w:val="20"/>
          <w:lang w:val="en-US"/>
        </w:rPr>
        <w:t>The Future of Conservative Constitutionalism,</w:t>
      </w:r>
      <w:r>
        <w:rPr>
          <w:rFonts w:eastAsia="Arial Unicode MS" w:cs="Arial Unicode MS"/>
          <w:sz w:val="20"/>
          <w:szCs w:val="20"/>
        </w:rPr>
        <w:t xml:space="preserve"> </w:t>
      </w:r>
      <w:r>
        <w:rPr>
          <w:rFonts w:eastAsia="Arial Unicode MS" w:cs="Arial Unicode MS"/>
          <w:smallCaps/>
          <w:sz w:val="20"/>
          <w:szCs w:val="20"/>
        </w:rPr>
        <w:t>Nat</w:t>
      </w:r>
      <w:r>
        <w:rPr>
          <w:rFonts w:eastAsia="Arial Unicode MS" w:cs="Arial Unicode MS"/>
          <w:smallCaps/>
          <w:sz w:val="20"/>
          <w:szCs w:val="20"/>
          <w:rtl/>
        </w:rPr>
        <w:t>’</w:t>
      </w:r>
      <w:r>
        <w:rPr>
          <w:rFonts w:eastAsia="Arial Unicode MS" w:cs="Arial Unicode MS"/>
          <w:smallCaps/>
          <w:sz w:val="20"/>
          <w:szCs w:val="20"/>
        </w:rPr>
        <w:t>l Rev.</w:t>
      </w:r>
      <w:r>
        <w:rPr>
          <w:rFonts w:eastAsia="Arial Unicode MS" w:cs="Arial Unicode MS"/>
          <w:sz w:val="20"/>
          <w:szCs w:val="20"/>
        </w:rPr>
        <w:t xml:space="preserve"> (Sept. 17, 2021, 6:30 AM), </w:t>
      </w:r>
      <w:r>
        <w:rPr>
          <w:rStyle w:val="Link"/>
          <w:rFonts w:eastAsia="Arial Unicode MS" w:cs="Arial Unicode MS"/>
          <w:color w:val="000000"/>
          <w:u w:color="000000"/>
        </w:rPr>
        <w:t>https://www.nationalreview.com/2021/09/the-future-of-conservative-constitutionalism/</w:t>
      </w:r>
      <w:r>
        <w:rPr>
          <w:rFonts w:eastAsia="Arial Unicode MS" w:cs="Arial Unicode MS"/>
          <w:sz w:val="20"/>
          <w:szCs w:val="20"/>
          <w:lang w:val="en-US"/>
        </w:rPr>
        <w:t xml:space="preserve"> [https://perma.cc/UR44-VPYY]; Anthony Sanders, </w:t>
      </w:r>
      <w:r>
        <w:rPr>
          <w:rFonts w:eastAsia="Arial Unicode MS" w:cs="Arial Unicode MS"/>
          <w:i/>
          <w:iCs/>
          <w:sz w:val="20"/>
          <w:szCs w:val="20"/>
          <w:lang w:val="en-US"/>
        </w:rPr>
        <w:t xml:space="preserve">The </w:t>
      </w:r>
      <w:proofErr w:type="gramStart"/>
      <w:r>
        <w:rPr>
          <w:rFonts w:eastAsia="Arial Unicode MS" w:cs="Arial Unicode MS"/>
          <w:i/>
          <w:iCs/>
          <w:sz w:val="20"/>
          <w:szCs w:val="20"/>
          <w:lang w:val="en-US"/>
        </w:rPr>
        <w:t>No Good</w:t>
      </w:r>
      <w:proofErr w:type="gramEnd"/>
      <w:r>
        <w:rPr>
          <w:rFonts w:eastAsia="Arial Unicode MS" w:cs="Arial Unicode MS"/>
          <w:i/>
          <w:iCs/>
          <w:sz w:val="20"/>
          <w:szCs w:val="20"/>
          <w:lang w:val="en-US"/>
        </w:rPr>
        <w:t xml:space="preserve"> Constitution</w:t>
      </w:r>
      <w:r>
        <w:rPr>
          <w:rFonts w:eastAsia="Arial Unicode MS" w:cs="Arial Unicode MS"/>
          <w:sz w:val="20"/>
          <w:szCs w:val="20"/>
        </w:rPr>
        <w:t xml:space="preserve">, </w:t>
      </w:r>
      <w:r>
        <w:rPr>
          <w:rFonts w:eastAsia="Arial Unicode MS" w:cs="Arial Unicode MS"/>
          <w:smallCaps/>
          <w:sz w:val="20"/>
          <w:szCs w:val="20"/>
        </w:rPr>
        <w:t>Inst. for Just.</w:t>
      </w:r>
      <w:r>
        <w:rPr>
          <w:rFonts w:eastAsia="Arial Unicode MS" w:cs="Arial Unicode MS"/>
          <w:sz w:val="20"/>
          <w:szCs w:val="20"/>
        </w:rPr>
        <w:t xml:space="preserve">, </w:t>
      </w:r>
      <w:r>
        <w:rPr>
          <w:rStyle w:val="Link"/>
          <w:rFonts w:eastAsia="Arial Unicode MS" w:cs="Arial Unicode MS"/>
          <w:color w:val="000000"/>
          <w:u w:color="000000"/>
        </w:rPr>
        <w:t>https://ij.org/cje-post/the-no-good-constitution/</w:t>
      </w:r>
      <w:r>
        <w:rPr>
          <w:rFonts w:eastAsia="Arial Unicode MS" w:cs="Arial Unicode MS"/>
          <w:sz w:val="20"/>
          <w:szCs w:val="20"/>
          <w:lang w:val="en-US"/>
        </w:rPr>
        <w:t xml:space="preserve"> [https://perma.cc/98UZ-Y2GV] (l</w:t>
      </w:r>
      <w:r>
        <w:rPr>
          <w:rFonts w:eastAsia="Arial Unicode MS" w:cs="Arial Unicode MS"/>
          <w:sz w:val="20"/>
          <w:szCs w:val="20"/>
          <w:lang w:val="en-US"/>
        </w:rPr>
        <w:t>ast visited Nov. 11, 2021).</w:t>
      </w:r>
    </w:p>
  </w:footnote>
  <w:footnote w:id="100">
    <w:p w14:paraId="4B02690E"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Richard Ekins, </w:t>
      </w:r>
      <w:r>
        <w:rPr>
          <w:rFonts w:ascii="Times New Roman" w:hAnsi="Times New Roman"/>
          <w:i/>
          <w:iCs/>
        </w:rPr>
        <w:t xml:space="preserve">The </w:t>
      </w:r>
      <w:proofErr w:type="gramStart"/>
      <w:r>
        <w:rPr>
          <w:rFonts w:ascii="Times New Roman" w:hAnsi="Times New Roman"/>
          <w:i/>
          <w:iCs/>
        </w:rPr>
        <w:t>State</w:t>
      </w:r>
      <w:proofErr w:type="gramEnd"/>
      <w:r>
        <w:rPr>
          <w:rFonts w:ascii="Times New Roman" w:hAnsi="Times New Roman"/>
          <w:i/>
          <w:iCs/>
        </w:rPr>
        <w:t xml:space="preserve"> and Its People</w:t>
      </w:r>
      <w:r>
        <w:rPr>
          <w:rFonts w:ascii="Times New Roman" w:hAnsi="Times New Roman"/>
        </w:rPr>
        <w:t xml:space="preserve">, 66 </w:t>
      </w:r>
      <w:r>
        <w:rPr>
          <w:rFonts w:ascii="Times New Roman" w:hAnsi="Times New Roman"/>
          <w:smallCaps/>
        </w:rPr>
        <w:t>Am</w:t>
      </w:r>
      <w:r>
        <w:rPr>
          <w:rFonts w:ascii="Times New Roman" w:hAnsi="Times New Roman"/>
        </w:rPr>
        <w:t xml:space="preserve">. J. </w:t>
      </w:r>
      <w:r>
        <w:rPr>
          <w:rFonts w:ascii="Times New Roman" w:hAnsi="Times New Roman"/>
          <w:smallCaps/>
        </w:rPr>
        <w:t>Juris</w:t>
      </w:r>
      <w:r>
        <w:rPr>
          <w:rFonts w:ascii="Times New Roman" w:hAnsi="Times New Roman"/>
        </w:rPr>
        <w:t xml:space="preserve">. 49 (2021); </w:t>
      </w:r>
      <w:r>
        <w:rPr>
          <w:rFonts w:ascii="Times New Roman" w:hAnsi="Times New Roman"/>
          <w:smallCaps/>
        </w:rPr>
        <w:t>Richard Ekins,</w:t>
      </w:r>
      <w:r>
        <w:rPr>
          <w:rFonts w:ascii="Times New Roman" w:hAnsi="Times New Roman"/>
        </w:rPr>
        <w:t xml:space="preserve"> </w:t>
      </w:r>
      <w:r>
        <w:rPr>
          <w:rFonts w:ascii="Times New Roman" w:hAnsi="Times New Roman"/>
          <w:smallCaps/>
        </w:rPr>
        <w:t>The Nature of Legislative Intent</w:t>
      </w:r>
      <w:r>
        <w:rPr>
          <w:rFonts w:ascii="Times New Roman" w:hAnsi="Times New Roman"/>
        </w:rPr>
        <w:t xml:space="preserve"> 143-44 (Oxford Univ. Press 2012).</w:t>
      </w:r>
    </w:p>
  </w:footnote>
  <w:footnote w:id="101">
    <w:p w14:paraId="368516E0"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14:textOutline w14:w="12700" w14:cap="flat" w14:cmpd="sng" w14:algn="ctr">
            <w14:noFill/>
            <w14:prstDash w14:val="solid"/>
            <w14:miter w14:lim="400000"/>
          </w14:textOutline>
        </w:rPr>
        <w:t xml:space="preserve">For an excellent overview of that many-faceted debate, </w:t>
      </w:r>
      <w:r>
        <w:rPr>
          <w:rFonts w:ascii="Times New Roman" w:hAnsi="Times New Roman"/>
          <w:i/>
          <w:iCs/>
          <w14:textOutline w14:w="12700" w14:cap="flat" w14:cmpd="sng" w14:algn="ctr">
            <w14:noFill/>
            <w14:prstDash w14:val="solid"/>
            <w14:miter w14:lim="400000"/>
          </w14:textOutline>
        </w:rPr>
        <w:t>see generally</w:t>
      </w:r>
      <w:r>
        <w:rPr>
          <w:rFonts w:ascii="Times New Roman" w:hAnsi="Times New Roman"/>
          <w14:textOutline w14:w="12700" w14:cap="flat" w14:cmpd="sng" w14:algn="ctr">
            <w14:noFill/>
            <w14:prstDash w14:val="solid"/>
            <w14:miter w14:lim="400000"/>
          </w14:textOutline>
        </w:rPr>
        <w:t xml:space="preserve"> Aileen Kavanagh, </w:t>
      </w:r>
      <w:r>
        <w:rPr>
          <w:rFonts w:ascii="Times New Roman" w:hAnsi="Times New Roman"/>
          <w:i/>
          <w:iCs/>
          <w14:textOutline w14:w="12700" w14:cap="flat" w14:cmpd="sng" w14:algn="ctr">
            <w14:noFill/>
            <w14:prstDash w14:val="solid"/>
            <w14:miter w14:lim="400000"/>
          </w14:textOutline>
        </w:rPr>
        <w:t>Recasting the Political Constitution: From Rivals to Relationships</w:t>
      </w:r>
      <w:r>
        <w:rPr>
          <w:rFonts w:ascii="Times New Roman" w:hAnsi="Times New Roman"/>
          <w14:textOutline w14:w="12700" w14:cap="flat" w14:cmpd="sng" w14:algn="ctr">
            <w14:noFill/>
            <w14:prstDash w14:val="solid"/>
            <w14:miter w14:lim="400000"/>
          </w14:textOutline>
        </w:rPr>
        <w:t xml:space="preserve">, 30 </w:t>
      </w:r>
      <w:proofErr w:type="gramStart"/>
      <w:r>
        <w:rPr>
          <w:rFonts w:ascii="Times New Roman" w:hAnsi="Times New Roman"/>
          <w:smallCaps/>
          <w14:textOutline w14:w="12700" w14:cap="flat" w14:cmpd="sng" w14:algn="ctr">
            <w14:noFill/>
            <w14:prstDash w14:val="solid"/>
            <w14:miter w14:lim="400000"/>
          </w14:textOutline>
        </w:rPr>
        <w:t>King's</w:t>
      </w:r>
      <w:proofErr w:type="gramEnd"/>
      <w:r>
        <w:rPr>
          <w:rFonts w:ascii="Times New Roman" w:hAnsi="Times New Roman"/>
          <w:smallCaps/>
          <w14:textOutline w14:w="12700" w14:cap="flat" w14:cmpd="sng" w14:algn="ctr">
            <w14:noFill/>
            <w14:prstDash w14:val="solid"/>
            <w14:miter w14:lim="400000"/>
          </w14:textOutline>
        </w:rPr>
        <w:t xml:space="preserve"> L.J.</w:t>
      </w:r>
      <w:r>
        <w:rPr>
          <w:rFonts w:ascii="Times New Roman" w:hAnsi="Times New Roman"/>
          <w14:textOutline w14:w="12700" w14:cap="flat" w14:cmpd="sng" w14:algn="ctr">
            <w14:noFill/>
            <w14:prstDash w14:val="solid"/>
            <w14:miter w14:lim="400000"/>
          </w14:textOutline>
        </w:rPr>
        <w:t xml:space="preserve"> 43 (2019). For a debate within the classical legal framework about the merits of political constitutionalism, </w:t>
      </w:r>
      <w:r>
        <w:rPr>
          <w:rFonts w:ascii="Times New Roman" w:hAnsi="Times New Roman"/>
          <w:i/>
          <w:iCs/>
          <w14:textOutline w14:w="12700" w14:cap="flat" w14:cmpd="sng" w14:algn="ctr">
            <w14:noFill/>
            <w14:prstDash w14:val="solid"/>
            <w14:miter w14:lim="400000"/>
          </w14:textOutline>
        </w:rPr>
        <w:t xml:space="preserve">see </w:t>
      </w:r>
      <w:proofErr w:type="spellStart"/>
      <w:r>
        <w:rPr>
          <w:rFonts w:ascii="Times New Roman" w:hAnsi="Times New Roman"/>
          <w14:textOutline w14:w="12700" w14:cap="flat" w14:cmpd="sng" w14:algn="ctr">
            <w14:noFill/>
            <w14:prstDash w14:val="solid"/>
            <w14:miter w14:lim="400000"/>
          </w14:textOutline>
        </w:rPr>
        <w:t>Foran</w:t>
      </w:r>
      <w:proofErr w:type="spellEnd"/>
      <w:r>
        <w:rPr>
          <w:rFonts w:ascii="Times New Roman" w:hAnsi="Times New Roman"/>
          <w14:textOutline w14:w="12700" w14:cap="flat" w14:cmpd="sng" w14:algn="ctr">
            <w14:noFill/>
            <w14:prstDash w14:val="solid"/>
            <w14:miter w14:lim="400000"/>
          </w14:textOutline>
        </w:rPr>
        <w:t xml:space="preserve">, </w:t>
      </w:r>
      <w:r>
        <w:rPr>
          <w:rFonts w:ascii="Times New Roman" w:hAnsi="Times New Roman"/>
          <w:i/>
          <w:iCs/>
          <w14:textOutline w14:w="12700" w14:cap="flat" w14:cmpd="sng" w14:algn="ctr">
            <w14:noFill/>
            <w14:prstDash w14:val="solid"/>
            <w14:miter w14:lim="400000"/>
          </w14:textOutline>
        </w:rPr>
        <w:t xml:space="preserve">supra </w:t>
      </w:r>
      <w:r>
        <w:rPr>
          <w:rFonts w:ascii="Times New Roman" w:hAnsi="Times New Roman"/>
          <w14:textOutline w14:w="12700" w14:cap="flat" w14:cmpd="sng" w14:algn="ctr">
            <w14:noFill/>
            <w14:prstDash w14:val="solid"/>
            <w14:miter w14:lim="400000"/>
          </w14:textOutline>
        </w:rPr>
        <w:t xml:space="preserve">note 11; McGowan, </w:t>
      </w:r>
      <w:r>
        <w:rPr>
          <w:rFonts w:ascii="Times New Roman" w:hAnsi="Times New Roman"/>
          <w:i/>
          <w:iCs/>
          <w14:textOutline w14:w="12700" w14:cap="flat" w14:cmpd="sng" w14:algn="ctr">
            <w14:noFill/>
            <w14:prstDash w14:val="solid"/>
            <w14:miter w14:lim="400000"/>
          </w14:textOutline>
        </w:rPr>
        <w:t xml:space="preserve">supra </w:t>
      </w:r>
      <w:r>
        <w:rPr>
          <w:rFonts w:ascii="Times New Roman" w:hAnsi="Times New Roman"/>
          <w14:textOutline w14:w="12700" w14:cap="flat" w14:cmpd="sng" w14:algn="ctr">
            <w14:noFill/>
            <w14:prstDash w14:val="solid"/>
            <w14:miter w14:lim="400000"/>
          </w14:textOutline>
        </w:rPr>
        <w:t xml:space="preserve">note 11.  </w:t>
      </w:r>
    </w:p>
  </w:footnote>
  <w:footnote w:id="102">
    <w:p w14:paraId="2ACB7295"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Adrian Vermeule, </w:t>
      </w:r>
      <w:r>
        <w:rPr>
          <w:rFonts w:ascii="Times New Roman" w:hAnsi="Times New Roman"/>
          <w:i/>
          <w:iCs/>
        </w:rPr>
        <w:t xml:space="preserve">Deference and Determination, </w:t>
      </w:r>
      <w:r>
        <w:rPr>
          <w:rFonts w:ascii="Times New Roman" w:hAnsi="Times New Roman"/>
          <w:smallCaps/>
        </w:rPr>
        <w:t>Ius &amp; Iustitium (</w:t>
      </w:r>
      <w:r>
        <w:rPr>
          <w:rFonts w:ascii="Times New Roman" w:hAnsi="Times New Roman"/>
        </w:rPr>
        <w:t xml:space="preserve">Dec. 2, 2020), </w:t>
      </w:r>
      <w:r>
        <w:rPr>
          <w:rFonts w:ascii="Times New Roman" w:hAnsi="Times New Roman"/>
        </w:rPr>
        <w:t>https://iuseti</w:t>
      </w:r>
      <w:r>
        <w:rPr>
          <w:rFonts w:ascii="Times New Roman" w:hAnsi="Times New Roman"/>
        </w:rPr>
        <w:t>ustitium.com/deference-and-determination/ [https://perma.cc/U9CB-R4RB]</w:t>
      </w:r>
      <w:r>
        <w:rPr>
          <w:rFonts w:ascii="Times New Roman" w:hAnsi="Times New Roman"/>
        </w:rPr>
        <w:t xml:space="preserve">.  </w:t>
      </w:r>
    </w:p>
  </w:footnote>
  <w:footnote w:id="103">
    <w:p w14:paraId="59F7847C"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James B. Thayer, </w:t>
      </w:r>
      <w:r>
        <w:rPr>
          <w:rFonts w:ascii="Times New Roman" w:hAnsi="Times New Roman"/>
          <w:i/>
          <w:iCs/>
        </w:rPr>
        <w:t>The Origin and Scope of the American Doctrine of Constitutional Law,</w:t>
      </w:r>
      <w:r>
        <w:rPr>
          <w:rFonts w:ascii="Times New Roman" w:hAnsi="Times New Roman"/>
        </w:rPr>
        <w:t xml:space="preserve"> 7 </w:t>
      </w:r>
      <w:r>
        <w:rPr>
          <w:rFonts w:ascii="Times New Roman" w:hAnsi="Times New Roman"/>
          <w:smallCaps/>
        </w:rPr>
        <w:t>Harv. L. Rev.</w:t>
      </w:r>
      <w:r>
        <w:rPr>
          <w:rFonts w:ascii="Times New Roman" w:hAnsi="Times New Roman"/>
        </w:rPr>
        <w:t xml:space="preserve"> 129, 144 (1893).</w:t>
      </w:r>
    </w:p>
  </w:footnote>
  <w:footnote w:id="104">
    <w:p w14:paraId="07A27865"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Richard H.  Fallon, Jr., </w:t>
      </w:r>
      <w:r>
        <w:rPr>
          <w:rFonts w:ascii="Times New Roman" w:hAnsi="Times New Roman"/>
          <w:i/>
          <w:iCs/>
        </w:rPr>
        <w:t xml:space="preserve">Judicial </w:t>
      </w:r>
      <w:r>
        <w:rPr>
          <w:rFonts w:ascii="Times New Roman" w:hAnsi="Times New Roman"/>
          <w:i/>
          <w:iCs/>
        </w:rPr>
        <w:t>Supremacy, Departmentalism, and the Rule of Law in a Populist Age</w:t>
      </w:r>
      <w:r>
        <w:rPr>
          <w:rFonts w:ascii="Times New Roman" w:hAnsi="Times New Roman"/>
        </w:rPr>
        <w:t xml:space="preserve">, 96 </w:t>
      </w:r>
      <w:r>
        <w:rPr>
          <w:rFonts w:ascii="Times New Roman" w:hAnsi="Times New Roman"/>
          <w:smallCaps/>
        </w:rPr>
        <w:t xml:space="preserve">Tex. L. Rev. </w:t>
      </w:r>
      <w:r>
        <w:rPr>
          <w:rFonts w:ascii="Times New Roman" w:hAnsi="Times New Roman"/>
        </w:rPr>
        <w:t>487, 495</w:t>
      </w:r>
      <w:r>
        <w:rPr>
          <w:rFonts w:ascii="Times New Roman" w:hAnsi="Times New Roman"/>
        </w:rPr>
        <w:t>–</w:t>
      </w:r>
      <w:r>
        <w:rPr>
          <w:rFonts w:ascii="Times New Roman" w:hAnsi="Times New Roman"/>
        </w:rPr>
        <w:t>97 (2018).</w:t>
      </w:r>
    </w:p>
  </w:footnote>
  <w:footnote w:id="105">
    <w:p w14:paraId="7EF16B04" w14:textId="77777777" w:rsidR="00357B22" w:rsidRDefault="00062FEC">
      <w:pPr>
        <w:pStyle w:val="FootnoteText"/>
      </w:pPr>
      <w:r>
        <w:rPr>
          <w:shd w:val="clear" w:color="auto" w:fill="FFFFFF"/>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Oran Doyle, </w:t>
      </w:r>
      <w:r>
        <w:rPr>
          <w:rFonts w:ascii="Times New Roman" w:hAnsi="Times New Roman"/>
          <w:i/>
          <w:iCs/>
        </w:rPr>
        <w:t xml:space="preserve">Legal Positivism, Natural Law, and the Constitution, </w:t>
      </w:r>
      <w:r>
        <w:rPr>
          <w:rFonts w:ascii="Times New Roman" w:hAnsi="Times New Roman"/>
        </w:rPr>
        <w:t xml:space="preserve">31 </w:t>
      </w:r>
      <w:r>
        <w:rPr>
          <w:rFonts w:ascii="Times New Roman" w:hAnsi="Times New Roman"/>
          <w:smallCaps/>
        </w:rPr>
        <w:t>Dublin U. L.J.</w:t>
      </w:r>
      <w:r>
        <w:rPr>
          <w:rFonts w:ascii="Times New Roman" w:hAnsi="Times New Roman"/>
        </w:rPr>
        <w:t xml:space="preserve"> 206, 226 (2009).</w:t>
      </w:r>
    </w:p>
  </w:footnote>
  <w:footnote w:id="106">
    <w:p w14:paraId="0EA37EBA" w14:textId="77777777" w:rsidR="00357B22" w:rsidRDefault="00062FEC">
      <w:pPr>
        <w:pStyle w:val="FootnoteText"/>
      </w:pPr>
      <w:r>
        <w:rPr>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Vermeule, </w:t>
      </w:r>
      <w:r>
        <w:rPr>
          <w:rFonts w:ascii="Times New Roman" w:hAnsi="Times New Roman"/>
          <w:i/>
          <w:iCs/>
        </w:rPr>
        <w:t xml:space="preserve">Deference and </w:t>
      </w:r>
      <w:r>
        <w:rPr>
          <w:rFonts w:ascii="Times New Roman" w:hAnsi="Times New Roman"/>
          <w:i/>
          <w:iCs/>
        </w:rPr>
        <w:t>Determination</w:t>
      </w:r>
      <w:r>
        <w:rPr>
          <w:rFonts w:ascii="Times New Roman" w:hAnsi="Times New Roman"/>
        </w:rPr>
        <w:t xml:space="preserve">, </w:t>
      </w:r>
      <w:r>
        <w:rPr>
          <w:rFonts w:ascii="Times New Roman" w:hAnsi="Times New Roman"/>
          <w:i/>
          <w:iCs/>
        </w:rPr>
        <w:t>supra</w:t>
      </w:r>
      <w:r>
        <w:rPr>
          <w:rFonts w:ascii="Times New Roman" w:hAnsi="Times New Roman"/>
        </w:rPr>
        <w:t xml:space="preserve"> note 99. </w:t>
      </w:r>
    </w:p>
  </w:footnote>
  <w:footnote w:id="107">
    <w:p w14:paraId="31416C3B" w14:textId="77777777" w:rsidR="00357B22" w:rsidRDefault="00062FEC">
      <w:pPr>
        <w:pStyle w:val="Body"/>
        <w:jc w:val="both"/>
      </w:pPr>
      <w:r>
        <w:rPr>
          <w:vertAlign w:val="superscript"/>
        </w:rPr>
        <w:footnoteRef/>
      </w:r>
      <w:r>
        <w:rPr>
          <w:sz w:val="20"/>
          <w:szCs w:val="20"/>
          <w:lang w:val="en-US"/>
        </w:rPr>
        <w:t xml:space="preserve"> Some may argue that allowing judges to review whether an ordinance is a </w:t>
      </w:r>
      <w:r>
        <w:rPr>
          <w:sz w:val="20"/>
          <w:szCs w:val="20"/>
          <w:rtl/>
          <w:lang w:val="ar-SA"/>
        </w:rPr>
        <w:t>“</w:t>
      </w:r>
      <w:r>
        <w:rPr>
          <w:sz w:val="20"/>
          <w:szCs w:val="20"/>
          <w:lang w:val="en-US"/>
        </w:rPr>
        <w:t>reasonable determination in the public interest</w:t>
      </w:r>
      <w:r>
        <w:rPr>
          <w:sz w:val="20"/>
          <w:szCs w:val="20"/>
        </w:rPr>
        <w:t xml:space="preserve">” </w:t>
      </w:r>
      <w:r>
        <w:rPr>
          <w:sz w:val="20"/>
          <w:szCs w:val="20"/>
          <w:lang w:val="en-US"/>
        </w:rPr>
        <w:t xml:space="preserve">will inevitably lead to judicial supremacy. This is based on the fear judges may apply their own standards of reasonableness </w:t>
      </w:r>
      <w:proofErr w:type="gramStart"/>
      <w:r>
        <w:rPr>
          <w:sz w:val="20"/>
          <w:szCs w:val="20"/>
          <w:lang w:val="en-US"/>
        </w:rPr>
        <w:t>in light of</w:t>
      </w:r>
      <w:proofErr w:type="gramEnd"/>
      <w:r>
        <w:rPr>
          <w:sz w:val="20"/>
          <w:szCs w:val="20"/>
          <w:lang w:val="en-US"/>
        </w:rPr>
        <w:t xml:space="preserve"> their understanding of the natural law to displace legislative ones. There are several responses to this concern. One r</w:t>
      </w:r>
      <w:r>
        <w:rPr>
          <w:sz w:val="20"/>
          <w:szCs w:val="20"/>
          <w:lang w:val="en-US"/>
        </w:rPr>
        <w:t xml:space="preserve">esponse is simply to reiterate that providing for judicial review </w:t>
      </w:r>
      <w:r>
        <w:rPr>
          <w:sz w:val="20"/>
          <w:szCs w:val="20"/>
        </w:rPr>
        <w:t xml:space="preserve">– </w:t>
      </w:r>
      <w:r>
        <w:rPr>
          <w:sz w:val="20"/>
          <w:szCs w:val="20"/>
          <w:lang w:val="en-US"/>
        </w:rPr>
        <w:t xml:space="preserve">whether of a </w:t>
      </w:r>
      <w:r>
        <w:rPr>
          <w:sz w:val="20"/>
          <w:szCs w:val="20"/>
          <w:rtl/>
          <w:lang w:val="ar-SA"/>
        </w:rPr>
        <w:t>“</w:t>
      </w:r>
      <w:r>
        <w:rPr>
          <w:sz w:val="20"/>
          <w:szCs w:val="20"/>
        </w:rPr>
        <w:t xml:space="preserve">hard” or </w:t>
      </w:r>
      <w:r>
        <w:rPr>
          <w:sz w:val="20"/>
          <w:szCs w:val="20"/>
          <w:rtl/>
          <w:lang w:val="ar-SA"/>
        </w:rPr>
        <w:t>“</w:t>
      </w:r>
      <w:r>
        <w:rPr>
          <w:sz w:val="20"/>
          <w:szCs w:val="20"/>
          <w:lang w:val="en-US"/>
        </w:rPr>
        <w:t>soft</w:t>
      </w:r>
      <w:r>
        <w:rPr>
          <w:sz w:val="20"/>
          <w:szCs w:val="20"/>
        </w:rPr>
        <w:t xml:space="preserve">” variety – </w:t>
      </w:r>
      <w:r>
        <w:rPr>
          <w:sz w:val="20"/>
          <w:szCs w:val="20"/>
          <w:lang w:val="en-US"/>
        </w:rPr>
        <w:t>is not mandated by the tradition, which is entirely compatible with a system of political constitutionalism. Another response is that to accept judi</w:t>
      </w:r>
      <w:r>
        <w:rPr>
          <w:sz w:val="20"/>
          <w:szCs w:val="20"/>
          <w:lang w:val="en-US"/>
        </w:rPr>
        <w:t>cial overreach or error is always a risk inherent in a constitutional system providing for judicial review. There will always be a risk a judge may misapply doctrine requiring they generally defer to reasonable legislative determinations, for example by en</w:t>
      </w:r>
      <w:r>
        <w:rPr>
          <w:sz w:val="20"/>
          <w:szCs w:val="20"/>
          <w:lang w:val="en-US"/>
        </w:rPr>
        <w:t>gaging in overly intrusive judicial scrutiny beyond a judge</w:t>
      </w:r>
      <w:r>
        <w:rPr>
          <w:sz w:val="20"/>
          <w:szCs w:val="20"/>
          <w:rtl/>
        </w:rPr>
        <w:t>’</w:t>
      </w:r>
      <w:r>
        <w:rPr>
          <w:sz w:val="20"/>
          <w:szCs w:val="20"/>
          <w:lang w:val="en-US"/>
        </w:rPr>
        <w:t>s competence that veers into a correctness standard of review. But it simply does not follow that the risk of judicial error or overreach under a classical legal framework means that judicial supr</w:t>
      </w:r>
      <w:r>
        <w:rPr>
          <w:sz w:val="20"/>
          <w:szCs w:val="20"/>
          <w:lang w:val="en-US"/>
        </w:rPr>
        <w:t xml:space="preserve">emacy is an inevitable part of the tradition. </w:t>
      </w:r>
    </w:p>
  </w:footnote>
  <w:footnote w:id="108">
    <w:p w14:paraId="35E1D1ED" w14:textId="7C42640E"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Vermeule, </w:t>
      </w:r>
      <w:r>
        <w:rPr>
          <w:rFonts w:ascii="Times New Roman" w:hAnsi="Times New Roman"/>
          <w:i/>
          <w:iCs/>
        </w:rPr>
        <w:t>supra</w:t>
      </w:r>
      <w:r>
        <w:rPr>
          <w:rFonts w:ascii="Times New Roman" w:hAnsi="Times New Roman"/>
        </w:rPr>
        <w:t xml:space="preserve"> note </w:t>
      </w:r>
      <w:r>
        <w:rPr>
          <w:rFonts w:ascii="Times New Roman" w:hAnsi="Times New Roman"/>
        </w:rPr>
        <w:t>6.</w:t>
      </w:r>
    </w:p>
  </w:footnote>
  <w:footnote w:id="109">
    <w:p w14:paraId="333F374E"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By small-c constitution we refer to the </w:t>
      </w:r>
      <w:r>
        <w:rPr>
          <w:rFonts w:ascii="Times New Roman" w:hAnsi="Times New Roman"/>
        </w:rPr>
        <w:t>“</w:t>
      </w:r>
      <w:r>
        <w:rPr>
          <w:rFonts w:ascii="Times New Roman" w:hAnsi="Times New Roman"/>
        </w:rPr>
        <w:t xml:space="preserve">amorphous and ever-changing body of </w:t>
      </w:r>
      <w:proofErr w:type="gramStart"/>
      <w:r>
        <w:rPr>
          <w:rFonts w:ascii="Times New Roman" w:hAnsi="Times New Roman"/>
        </w:rPr>
        <w:t>constitutional  norms</w:t>
      </w:r>
      <w:proofErr w:type="gramEnd"/>
      <w:r>
        <w:rPr>
          <w:rFonts w:ascii="Times New Roman" w:hAnsi="Times New Roman"/>
        </w:rPr>
        <w:t xml:space="preserve">,  customs,  and  traditions  </w:t>
      </w:r>
      <w:r>
        <w:rPr>
          <w:rFonts w:ascii="Times New Roman" w:hAnsi="Times New Roman"/>
        </w:rPr>
        <w:t>–  ‘</w:t>
      </w:r>
      <w:r>
        <w:rPr>
          <w:rFonts w:ascii="Times New Roman" w:hAnsi="Times New Roman"/>
        </w:rPr>
        <w:t>constitutional conventions</w:t>
      </w:r>
      <w:r>
        <w:rPr>
          <w:rFonts w:ascii="Times New Roman" w:hAnsi="Times New Roman"/>
        </w:rPr>
        <w:t xml:space="preserve">’’ </w:t>
      </w:r>
      <w:r>
        <w:rPr>
          <w:rFonts w:ascii="Times New Roman" w:hAnsi="Times New Roman"/>
        </w:rPr>
        <w:t xml:space="preserve">which suffuse and give concrete effect to the Large-C codified Constitution. </w:t>
      </w:r>
      <w:r>
        <w:rPr>
          <w:rFonts w:ascii="Times New Roman" w:hAnsi="Times New Roman"/>
          <w:i/>
          <w:iCs/>
        </w:rPr>
        <w:t>See</w:t>
      </w:r>
      <w:r>
        <w:rPr>
          <w:rFonts w:ascii="Times New Roman" w:hAnsi="Times New Roman"/>
        </w:rPr>
        <w:t xml:space="preserve"> Adrian Vermeule, </w:t>
      </w:r>
      <w:r>
        <w:rPr>
          <w:rFonts w:ascii="Times New Roman" w:hAnsi="Times New Roman"/>
          <w:i/>
          <w:iCs/>
        </w:rPr>
        <w:t xml:space="preserve">The Small-C Constitution, </w:t>
      </w:r>
      <w:proofErr w:type="gramStart"/>
      <w:r>
        <w:rPr>
          <w:rFonts w:ascii="Times New Roman" w:hAnsi="Times New Roman"/>
          <w:i/>
          <w:iCs/>
        </w:rPr>
        <w:t>Circa</w:t>
      </w:r>
      <w:proofErr w:type="gramEnd"/>
      <w:r>
        <w:rPr>
          <w:rFonts w:ascii="Times New Roman" w:hAnsi="Times New Roman"/>
          <w:i/>
          <w:iCs/>
        </w:rPr>
        <w:t xml:space="preserve"> 1925</w:t>
      </w:r>
      <w:r>
        <w:rPr>
          <w:rFonts w:ascii="Times New Roman" w:hAnsi="Times New Roman"/>
        </w:rPr>
        <w:t>,</w:t>
      </w:r>
      <w:r>
        <w:rPr>
          <w:rFonts w:ascii="Times New Roman" w:hAnsi="Times New Roman"/>
          <w:i/>
          <w:iCs/>
        </w:rPr>
        <w:t xml:space="preserve"> </w:t>
      </w:r>
      <w:proofErr w:type="spellStart"/>
      <w:r>
        <w:rPr>
          <w:rFonts w:ascii="Times New Roman" w:hAnsi="Times New Roman"/>
          <w:smallCaps/>
        </w:rPr>
        <w:t>Jotwell</w:t>
      </w:r>
      <w:proofErr w:type="spellEnd"/>
      <w:r>
        <w:rPr>
          <w:rFonts w:ascii="Times New Roman" w:hAnsi="Times New Roman"/>
        </w:rPr>
        <w:t xml:space="preserve"> (October 2010) (reviewing </w:t>
      </w:r>
      <w:r>
        <w:rPr>
          <w:rFonts w:ascii="Times New Roman" w:hAnsi="Times New Roman"/>
          <w:smallCaps/>
        </w:rPr>
        <w:t xml:space="preserve">Herbert W. </w:t>
      </w:r>
      <w:proofErr w:type="spellStart"/>
      <w:r>
        <w:rPr>
          <w:rFonts w:ascii="Times New Roman" w:hAnsi="Times New Roman"/>
          <w:smallCaps/>
        </w:rPr>
        <w:t>Horwill</w:t>
      </w:r>
      <w:proofErr w:type="spellEnd"/>
      <w:r>
        <w:rPr>
          <w:rFonts w:ascii="Times New Roman" w:hAnsi="Times New Roman"/>
          <w:smallCaps/>
        </w:rPr>
        <w:t>, The Usages of the American Constitution</w:t>
      </w:r>
      <w:r>
        <w:rPr>
          <w:rFonts w:ascii="Times New Roman" w:hAnsi="Times New Roman"/>
        </w:rPr>
        <w:t xml:space="preserve"> (1925)), </w:t>
      </w:r>
      <w:r>
        <w:rPr>
          <w:rFonts w:ascii="Times New Roman" w:hAnsi="Times New Roman"/>
        </w:rPr>
        <w:t>https://classic.jotwell.com/the-small-c-constitution-circa-1925/ [https://perma.cc/7HZ4-KRR3]</w:t>
      </w:r>
      <w:r>
        <w:rPr>
          <w:rFonts w:ascii="Times New Roman" w:hAnsi="Times New Roman"/>
        </w:rPr>
        <w:t>.</w:t>
      </w:r>
      <w:r>
        <w:rPr>
          <w:rFonts w:ascii="Times New Roman" w:hAnsi="Times New Roman"/>
        </w:rPr>
        <w:t xml:space="preserve">  </w:t>
      </w:r>
    </w:p>
  </w:footnote>
  <w:footnote w:id="110">
    <w:p w14:paraId="1B398CBF" w14:textId="77777777" w:rsidR="00357B22" w:rsidRDefault="00062FEC">
      <w:pPr>
        <w:pStyle w:val="Body"/>
        <w:rPr>
          <w:sz w:val="20"/>
          <w:szCs w:val="20"/>
        </w:rPr>
      </w:pPr>
      <w:r>
        <w:rPr>
          <w:vertAlign w:val="superscript"/>
          <w:lang w:val="en-US"/>
        </w:rPr>
        <w:footnoteRef/>
      </w:r>
      <w:r>
        <w:rPr>
          <w:rFonts w:eastAsia="Arial Unicode MS" w:cs="Arial Unicode MS"/>
          <w:sz w:val="20"/>
          <w:szCs w:val="20"/>
        </w:rPr>
        <w:t xml:space="preserve"> </w:t>
      </w:r>
      <w:r>
        <w:rPr>
          <w:rFonts w:eastAsia="Arial Unicode MS" w:cs="Arial Unicode MS"/>
          <w:i/>
          <w:iCs/>
          <w:sz w:val="20"/>
          <w:szCs w:val="20"/>
          <w:lang w:val="nl-NL"/>
        </w:rPr>
        <w:t>See</w:t>
      </w:r>
      <w:r>
        <w:rPr>
          <w:rFonts w:eastAsia="Arial Unicode MS" w:cs="Arial Unicode MS"/>
          <w:sz w:val="20"/>
          <w:szCs w:val="20"/>
        </w:rPr>
        <w:t xml:space="preserve"> </w:t>
      </w:r>
      <w:r>
        <w:rPr>
          <w:rFonts w:eastAsia="Arial Unicode MS" w:cs="Arial Unicode MS"/>
          <w:smallCaps/>
          <w:sz w:val="20"/>
          <w:szCs w:val="20"/>
          <w:lang w:val="de-DE"/>
        </w:rPr>
        <w:t>Adrian Vermeule, Law</w:t>
      </w:r>
      <w:r>
        <w:rPr>
          <w:rFonts w:eastAsia="Arial Unicode MS" w:cs="Arial Unicode MS"/>
          <w:smallCaps/>
          <w:sz w:val="20"/>
          <w:szCs w:val="20"/>
          <w:rtl/>
        </w:rPr>
        <w:t>’</w:t>
      </w:r>
      <w:r>
        <w:rPr>
          <w:rFonts w:eastAsia="Arial Unicode MS" w:cs="Arial Unicode MS"/>
          <w:smallCaps/>
          <w:sz w:val="20"/>
          <w:szCs w:val="20"/>
          <w:lang w:val="en-US"/>
        </w:rPr>
        <w:t>s Abnegation: From Law</w:t>
      </w:r>
      <w:r>
        <w:rPr>
          <w:rFonts w:eastAsia="Arial Unicode MS" w:cs="Arial Unicode MS"/>
          <w:smallCaps/>
          <w:sz w:val="20"/>
          <w:szCs w:val="20"/>
          <w:rtl/>
        </w:rPr>
        <w:t>’</w:t>
      </w:r>
      <w:r>
        <w:rPr>
          <w:rFonts w:eastAsia="Arial Unicode MS" w:cs="Arial Unicode MS"/>
          <w:smallCaps/>
          <w:sz w:val="20"/>
          <w:szCs w:val="20"/>
          <w:lang w:val="en-US"/>
        </w:rPr>
        <w:t xml:space="preserve">s </w:t>
      </w:r>
      <w:r>
        <w:rPr>
          <w:rFonts w:eastAsia="Arial Unicode MS" w:cs="Arial Unicode MS"/>
          <w:smallCaps/>
          <w:sz w:val="20"/>
          <w:szCs w:val="20"/>
          <w:lang w:val="en-US"/>
        </w:rPr>
        <w:t>Empire to the Administrative State</w:t>
      </w:r>
    </w:p>
    <w:p w14:paraId="09D933F6" w14:textId="77777777" w:rsidR="00357B22" w:rsidRDefault="00062FEC">
      <w:pPr>
        <w:pStyle w:val="Body"/>
      </w:pPr>
      <w:r>
        <w:rPr>
          <w:rFonts w:eastAsia="Arial Unicode MS" w:cs="Arial Unicode MS"/>
          <w:i/>
          <w:iCs/>
          <w:sz w:val="20"/>
          <w:szCs w:val="20"/>
        </w:rPr>
        <w:t xml:space="preserve"> </w:t>
      </w:r>
      <w:r>
        <w:rPr>
          <w:rFonts w:eastAsia="Arial Unicode MS" w:cs="Arial Unicode MS"/>
          <w:sz w:val="20"/>
          <w:szCs w:val="20"/>
        </w:rPr>
        <w:t>(Harv. Univ. Press 2016).</w:t>
      </w:r>
    </w:p>
  </w:footnote>
  <w:footnote w:id="111">
    <w:p w14:paraId="6CAB1D29"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Conor Casey, </w:t>
      </w:r>
      <w:r>
        <w:rPr>
          <w:rFonts w:ascii="Times New Roman" w:hAnsi="Times New Roman"/>
          <w:i/>
          <w:iCs/>
        </w:rPr>
        <w:t>Between Dominance and Subservience: A Comparative Study of Executive Power</w:t>
      </w:r>
      <w:r>
        <w:rPr>
          <w:rFonts w:ascii="Times New Roman" w:hAnsi="Times New Roman"/>
        </w:rPr>
        <w:t xml:space="preserve"> (Ph.D. Thesis, Trinity College Dublin) (on file with author).</w:t>
      </w:r>
    </w:p>
  </w:footnote>
  <w:footnote w:id="112">
    <w:p w14:paraId="7B8AA1F5"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This is a normative argument which in many constitutional systems frequently undergirds textual and structural arguments for a strong political executive delegated broad authority and given r</w:t>
      </w:r>
      <w:r>
        <w:rPr>
          <w:rFonts w:ascii="Times New Roman" w:hAnsi="Times New Roman"/>
        </w:rPr>
        <w:t xml:space="preserve">obust discretion over how to organize and direct the permanent bureaucracy. </w:t>
      </w:r>
      <w:r>
        <w:rPr>
          <w:rFonts w:ascii="Times New Roman" w:hAnsi="Times New Roman"/>
          <w:i/>
          <w:iCs/>
        </w:rPr>
        <w:t>See</w:t>
      </w:r>
      <w:r>
        <w:rPr>
          <w:rFonts w:ascii="Times New Roman" w:hAnsi="Times New Roman"/>
        </w:rPr>
        <w:t xml:space="preserve"> Cass R. Sunstein &amp; Adrian Vermeule, </w:t>
      </w:r>
      <w:r>
        <w:rPr>
          <w:rFonts w:ascii="Times New Roman" w:hAnsi="Times New Roman"/>
          <w:i/>
          <w:iCs/>
        </w:rPr>
        <w:t>The</w:t>
      </w:r>
      <w:r>
        <w:rPr>
          <w:rFonts w:ascii="Times New Roman" w:hAnsi="Times New Roman"/>
        </w:rPr>
        <w:t xml:space="preserve"> </w:t>
      </w:r>
      <w:r>
        <w:rPr>
          <w:rFonts w:ascii="Times New Roman" w:hAnsi="Times New Roman"/>
          <w:i/>
          <w:iCs/>
        </w:rPr>
        <w:t>Unitary Executive: Past, Present, and Future</w:t>
      </w:r>
      <w:r>
        <w:rPr>
          <w:rFonts w:ascii="Times New Roman" w:hAnsi="Times New Roman"/>
        </w:rPr>
        <w:t xml:space="preserve">, 2021 </w:t>
      </w:r>
      <w:r>
        <w:rPr>
          <w:rFonts w:ascii="Times New Roman" w:hAnsi="Times New Roman"/>
          <w:smallCaps/>
        </w:rPr>
        <w:t>Sup. Ct. Rev 83</w:t>
      </w:r>
      <w:r>
        <w:rPr>
          <w:rFonts w:ascii="Times New Roman" w:hAnsi="Times New Roman"/>
        </w:rPr>
        <w:t xml:space="preserve"> (2021); </w:t>
      </w:r>
      <w:r>
        <w:rPr>
          <w:rFonts w:ascii="Times New Roman" w:hAnsi="Times New Roman"/>
          <w:i/>
          <w:iCs/>
        </w:rPr>
        <w:t>see also</w:t>
      </w:r>
      <w:r>
        <w:rPr>
          <w:rFonts w:ascii="Times New Roman" w:hAnsi="Times New Roman"/>
        </w:rPr>
        <w:t xml:space="preserve"> Max Weber, </w:t>
      </w:r>
      <w:r>
        <w:rPr>
          <w:rFonts w:ascii="Times New Roman" w:hAnsi="Times New Roman"/>
          <w:i/>
          <w:iCs/>
        </w:rPr>
        <w:t>The Reich President</w:t>
      </w:r>
      <w:r>
        <w:rPr>
          <w:rFonts w:ascii="Times New Roman" w:hAnsi="Times New Roman"/>
        </w:rPr>
        <w:t xml:space="preserve">, 53 </w:t>
      </w:r>
      <w:r>
        <w:rPr>
          <w:rFonts w:ascii="Times New Roman" w:hAnsi="Times New Roman"/>
          <w:smallCaps/>
        </w:rPr>
        <w:t>Soc. Res.</w:t>
      </w:r>
      <w:r>
        <w:rPr>
          <w:rFonts w:ascii="Times New Roman" w:hAnsi="Times New Roman"/>
        </w:rPr>
        <w:t xml:space="preserve"> 125, 125-32 (1986).</w:t>
      </w:r>
    </w:p>
  </w:footnote>
  <w:footnote w:id="113">
    <w:p w14:paraId="10741BC8"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smallCaps/>
        </w:rPr>
        <w:t>The Federalist No.  70</w:t>
      </w:r>
      <w:r>
        <w:rPr>
          <w:rFonts w:ascii="Times New Roman" w:hAnsi="Times New Roman"/>
        </w:rPr>
        <w:t xml:space="preserve"> (Alexander Hamilton) (Clinton Rossiter ed. 2003) justifying a robust executive branch; Terry M. Moe &amp; Scott A. Wilson, </w:t>
      </w:r>
      <w:proofErr w:type="gramStart"/>
      <w:r>
        <w:rPr>
          <w:rFonts w:ascii="Times New Roman" w:hAnsi="Times New Roman"/>
          <w:i/>
          <w:iCs/>
        </w:rPr>
        <w:t>Presidents</w:t>
      </w:r>
      <w:proofErr w:type="gramEnd"/>
      <w:r>
        <w:rPr>
          <w:rFonts w:ascii="Times New Roman" w:hAnsi="Times New Roman"/>
          <w:i/>
          <w:iCs/>
        </w:rPr>
        <w:t xml:space="preserve"> and the Politics of Structure</w:t>
      </w:r>
      <w:r>
        <w:rPr>
          <w:rFonts w:ascii="Times New Roman" w:hAnsi="Times New Roman"/>
        </w:rPr>
        <w:t>,</w:t>
      </w:r>
      <w:r>
        <w:rPr>
          <w:rFonts w:ascii="Times New Roman" w:hAnsi="Times New Roman"/>
          <w:i/>
          <w:iCs/>
        </w:rPr>
        <w:t xml:space="preserve"> </w:t>
      </w:r>
      <w:r>
        <w:rPr>
          <w:rFonts w:ascii="Times New Roman" w:hAnsi="Times New Roman"/>
        </w:rPr>
        <w:t xml:space="preserve">57 </w:t>
      </w:r>
      <w:r>
        <w:rPr>
          <w:rFonts w:ascii="Times New Roman" w:hAnsi="Times New Roman"/>
          <w:smallCaps/>
        </w:rPr>
        <w:t>L. &amp; Contemp. Probs</w:t>
      </w:r>
      <w:r>
        <w:rPr>
          <w:rFonts w:ascii="Times New Roman" w:hAnsi="Times New Roman"/>
          <w:smallCaps/>
        </w:rPr>
        <w:t xml:space="preserve"> </w:t>
      </w:r>
      <w:r>
        <w:rPr>
          <w:rFonts w:ascii="Times New Roman" w:hAnsi="Times New Roman"/>
        </w:rPr>
        <w:t>1, 21-22 (1994).</w:t>
      </w:r>
    </w:p>
  </w:footnote>
  <w:footnote w:id="114">
    <w:p w14:paraId="515A9129" w14:textId="78C4CC11"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Adrian Vermeule, </w:t>
      </w:r>
      <w:r>
        <w:rPr>
          <w:rFonts w:ascii="Times New Roman" w:hAnsi="Times New Roman"/>
          <w:i/>
          <w:iCs/>
        </w:rPr>
        <w:t>Bureaucracy and Mystery</w:t>
      </w:r>
      <w:r>
        <w:rPr>
          <w:rFonts w:ascii="Times New Roman" w:hAnsi="Times New Roman"/>
        </w:rPr>
        <w:t xml:space="preserve">, </w:t>
      </w:r>
      <w:r>
        <w:rPr>
          <w:rFonts w:ascii="Times New Roman" w:hAnsi="Times New Roman"/>
          <w:smallCaps/>
        </w:rPr>
        <w:t>Mirror of Just.</w:t>
      </w:r>
      <w:r>
        <w:rPr>
          <w:rFonts w:ascii="Times New Roman" w:hAnsi="Times New Roman"/>
        </w:rPr>
        <w:t xml:space="preserve"> (Mar. 22, 2019), </w:t>
      </w:r>
      <w:r>
        <w:rPr>
          <w:rStyle w:val="Link"/>
          <w:rFonts w:ascii="Times New Roman" w:hAnsi="Times New Roman"/>
          <w:color w:val="000000"/>
          <w:u w:color="000000"/>
        </w:rPr>
        <w:t>https://mirrorofjustice.blogs.com/mirrorofjustice/2019/03/bureaucracy-and-mystery-.html</w:t>
      </w:r>
      <w:r>
        <w:rPr>
          <w:rFonts w:ascii="Times New Roman" w:hAnsi="Times New Roman"/>
        </w:rPr>
        <w:t xml:space="preserve"> [https://perma.cc/P7BZ-HDQD]</w:t>
      </w:r>
      <w:r>
        <w:rPr>
          <w:rStyle w:val="Link"/>
          <w:rFonts w:ascii="Times New Roman" w:hAnsi="Times New Roman"/>
          <w:color w:val="000000"/>
          <w:u w:color="000000"/>
        </w:rPr>
        <w:t>;</w:t>
      </w:r>
      <w:r>
        <w:rPr>
          <w:rFonts w:ascii="Times New Roman" w:hAnsi="Times New Roman"/>
        </w:rPr>
        <w:t xml:space="preserve"> Casey</w:t>
      </w:r>
      <w:r>
        <w:rPr>
          <w:rFonts w:ascii="Times New Roman" w:hAnsi="Times New Roman"/>
        </w:rPr>
        <w:t>,</w:t>
      </w:r>
      <w:r>
        <w:rPr>
          <w:rFonts w:ascii="Times New Roman" w:hAnsi="Times New Roman"/>
        </w:rPr>
        <w:t xml:space="preserve"> s</w:t>
      </w:r>
      <w:r>
        <w:rPr>
          <w:rFonts w:ascii="Times New Roman" w:hAnsi="Times New Roman"/>
          <w:i/>
          <w:iCs/>
        </w:rPr>
        <w:t xml:space="preserve">upra </w:t>
      </w:r>
      <w:r>
        <w:rPr>
          <w:rFonts w:ascii="Times New Roman" w:hAnsi="Times New Roman"/>
        </w:rPr>
        <w:t>note 9, at 781.</w:t>
      </w:r>
    </w:p>
  </w:footnote>
  <w:footnote w:id="115">
    <w:p w14:paraId="1A7FB301" w14:textId="30D59712" w:rsidR="00357B22" w:rsidRDefault="00062FEC">
      <w:pPr>
        <w:pStyle w:val="BodyB"/>
      </w:pPr>
      <w:r>
        <w:rPr>
          <w:vertAlign w:val="superscript"/>
        </w:rPr>
        <w:footnoteRef/>
      </w:r>
      <w:r>
        <w:rPr>
          <w:rFonts w:eastAsia="Arial Unicode MS" w:cs="Arial Unicode MS"/>
          <w:sz w:val="20"/>
          <w:szCs w:val="20"/>
        </w:rPr>
        <w:t xml:space="preserve"> </w:t>
      </w:r>
      <w:r>
        <w:rPr>
          <w:rFonts w:eastAsia="Arial Unicode MS" w:cs="Arial Unicode MS"/>
          <w:i/>
          <w:iCs/>
          <w:sz w:val="20"/>
          <w:szCs w:val="20"/>
        </w:rPr>
        <w:t xml:space="preserve">See </w:t>
      </w:r>
      <w:r>
        <w:rPr>
          <w:rFonts w:eastAsia="Arial Unicode MS" w:cs="Arial Unicode MS"/>
          <w:sz w:val="20"/>
          <w:szCs w:val="20"/>
          <w:shd w:val="clear" w:color="auto" w:fill="FFFFFF"/>
        </w:rPr>
        <w:t>Adrian Vermeule,</w:t>
      </w:r>
      <w:r>
        <w:rPr>
          <w:rFonts w:eastAsia="Arial Unicode MS" w:cs="Arial Unicode MS"/>
          <w:sz w:val="20"/>
          <w:szCs w:val="20"/>
          <w:shd w:val="clear" w:color="auto" w:fill="FFFFFF"/>
        </w:rPr>
        <w:t> </w:t>
      </w:r>
      <w:r>
        <w:rPr>
          <w:rFonts w:eastAsia="Arial Unicode MS" w:cs="Arial Unicode MS"/>
          <w:i/>
          <w:iCs/>
          <w:sz w:val="20"/>
          <w:szCs w:val="20"/>
          <w:shd w:val="clear" w:color="auto" w:fill="FFFFFF"/>
        </w:rPr>
        <w:t>Bureaucracy and Distrust: Landis, Jaffe, and Kagan on the Administrative State</w:t>
      </w:r>
      <w:r>
        <w:rPr>
          <w:rFonts w:eastAsia="Arial Unicode MS" w:cs="Arial Unicode MS"/>
          <w:sz w:val="20"/>
          <w:szCs w:val="20"/>
          <w:shd w:val="clear" w:color="auto" w:fill="FFFFFF"/>
        </w:rPr>
        <w:t>, 130</w:t>
      </w:r>
      <w:r>
        <w:rPr>
          <w:rFonts w:eastAsia="Arial Unicode MS" w:cs="Arial Unicode MS"/>
          <w:smallCaps/>
          <w:sz w:val="20"/>
          <w:szCs w:val="20"/>
        </w:rPr>
        <w:t xml:space="preserve"> Harv. L. Rev.</w:t>
      </w:r>
      <w:r>
        <w:rPr>
          <w:rFonts w:eastAsia="Arial Unicode MS" w:cs="Arial Unicode MS"/>
          <w:sz w:val="20"/>
          <w:szCs w:val="20"/>
          <w:shd w:val="clear" w:color="auto" w:fill="FFFFFF"/>
        </w:rPr>
        <w:t xml:space="preserve"> 2463 (2017)</w:t>
      </w:r>
      <w:r>
        <w:rPr>
          <w:rFonts w:eastAsia="Arial Unicode MS" w:cs="Arial Unicode MS"/>
          <w:sz w:val="20"/>
          <w:szCs w:val="20"/>
        </w:rPr>
        <w:t>;</w:t>
      </w:r>
      <w:r>
        <w:rPr>
          <w:rFonts w:eastAsia="Arial Unicode MS" w:cs="Arial Unicode MS"/>
          <w:i/>
          <w:iCs/>
          <w:sz w:val="20"/>
          <w:szCs w:val="20"/>
        </w:rPr>
        <w:t xml:space="preserve"> </w:t>
      </w:r>
      <w:r>
        <w:rPr>
          <w:rFonts w:eastAsia="Arial Unicode MS" w:cs="Arial Unicode MS"/>
          <w:sz w:val="20"/>
          <w:szCs w:val="20"/>
        </w:rPr>
        <w:t xml:space="preserve">Conor Casey, </w:t>
      </w:r>
      <w:r>
        <w:rPr>
          <w:rFonts w:eastAsia="Arial Unicode MS" w:cs="Arial Unicode MS"/>
          <w:i/>
          <w:iCs/>
          <w:sz w:val="20"/>
          <w:szCs w:val="20"/>
        </w:rPr>
        <w:t xml:space="preserve">Political Executive </w:t>
      </w:r>
      <w:r>
        <w:rPr>
          <w:rFonts w:eastAsia="Arial Unicode MS" w:cs="Arial Unicode MS"/>
          <w:i/>
          <w:iCs/>
          <w:sz w:val="20"/>
          <w:szCs w:val="20"/>
        </w:rPr>
        <w:t xml:space="preserve">Control of the Administrative State: How Much is Too </w:t>
      </w:r>
      <w:proofErr w:type="gramStart"/>
      <w:r>
        <w:rPr>
          <w:rFonts w:eastAsia="Arial Unicode MS" w:cs="Arial Unicode MS"/>
          <w:i/>
          <w:iCs/>
          <w:sz w:val="20"/>
          <w:szCs w:val="20"/>
        </w:rPr>
        <w:t>Much?</w:t>
      </w:r>
      <w:r>
        <w:rPr>
          <w:rFonts w:eastAsia="Arial Unicode MS" w:cs="Arial Unicode MS"/>
          <w:sz w:val="20"/>
          <w:szCs w:val="20"/>
        </w:rPr>
        <w:t>,</w:t>
      </w:r>
      <w:proofErr w:type="gramEnd"/>
      <w:r>
        <w:rPr>
          <w:rFonts w:eastAsia="Arial Unicode MS" w:cs="Arial Unicode MS"/>
          <w:sz w:val="20"/>
          <w:szCs w:val="20"/>
        </w:rPr>
        <w:t xml:space="preserve"> 8</w:t>
      </w:r>
      <w:r>
        <w:rPr>
          <w:rFonts w:eastAsia="Arial Unicode MS" w:cs="Arial Unicode MS"/>
          <w:sz w:val="20"/>
          <w:szCs w:val="20"/>
        </w:rPr>
        <w:t>1</w:t>
      </w:r>
      <w:r>
        <w:rPr>
          <w:rFonts w:eastAsia="Arial Unicode MS" w:cs="Arial Unicode MS"/>
          <w:sz w:val="20"/>
          <w:szCs w:val="20"/>
        </w:rPr>
        <w:t xml:space="preserve"> </w:t>
      </w:r>
      <w:r>
        <w:rPr>
          <w:rFonts w:eastAsia="Arial Unicode MS" w:cs="Arial Unicode MS"/>
          <w:smallCaps/>
          <w:sz w:val="20"/>
          <w:szCs w:val="20"/>
        </w:rPr>
        <w:t>Md. L. Rev.</w:t>
      </w:r>
      <w:r>
        <w:rPr>
          <w:rFonts w:eastAsia="Arial Unicode MS" w:cs="Arial Unicode MS"/>
          <w:sz w:val="20"/>
          <w:szCs w:val="20"/>
        </w:rPr>
        <w:t xml:space="preserve"> (forthcoming 2022);</w:t>
      </w:r>
      <w:r>
        <w:rPr>
          <w:rFonts w:eastAsia="Arial Unicode MS" w:cs="Arial Unicode MS"/>
          <w:i/>
          <w:iCs/>
          <w:sz w:val="20"/>
          <w:szCs w:val="20"/>
        </w:rPr>
        <w:t xml:space="preserve"> </w:t>
      </w:r>
      <w:r>
        <w:rPr>
          <w:rFonts w:eastAsia="Arial Unicode MS" w:cs="Arial Unicode MS"/>
          <w:sz w:val="20"/>
          <w:szCs w:val="20"/>
          <w:shd w:val="clear" w:color="auto" w:fill="FFFFFF"/>
        </w:rPr>
        <w:t>Elena Kagan,</w:t>
      </w:r>
      <w:r>
        <w:rPr>
          <w:rFonts w:eastAsia="Arial Unicode MS" w:cs="Arial Unicode MS"/>
          <w:sz w:val="20"/>
          <w:szCs w:val="20"/>
          <w:shd w:val="clear" w:color="auto" w:fill="FFFFFF"/>
        </w:rPr>
        <w:t> </w:t>
      </w:r>
      <w:r>
        <w:rPr>
          <w:rFonts w:eastAsia="Arial Unicode MS" w:cs="Arial Unicode MS"/>
          <w:i/>
          <w:iCs/>
          <w:sz w:val="20"/>
          <w:szCs w:val="20"/>
          <w:shd w:val="clear" w:color="auto" w:fill="FFFFFF"/>
        </w:rPr>
        <w:t>Presidential Administration</w:t>
      </w:r>
      <w:r>
        <w:rPr>
          <w:rFonts w:eastAsia="Arial Unicode MS" w:cs="Arial Unicode MS"/>
          <w:sz w:val="20"/>
          <w:szCs w:val="20"/>
          <w:shd w:val="clear" w:color="auto" w:fill="FFFFFF"/>
        </w:rPr>
        <w:t>, 114</w:t>
      </w:r>
      <w:r>
        <w:rPr>
          <w:rFonts w:eastAsia="Arial Unicode MS" w:cs="Arial Unicode MS"/>
          <w:sz w:val="20"/>
          <w:szCs w:val="20"/>
          <w:shd w:val="clear" w:color="auto" w:fill="FFFFFF"/>
        </w:rPr>
        <w:t> </w:t>
      </w:r>
      <w:r>
        <w:rPr>
          <w:rFonts w:eastAsia="Arial Unicode MS" w:cs="Arial Unicode MS"/>
          <w:smallCaps/>
          <w:sz w:val="20"/>
          <w:szCs w:val="20"/>
        </w:rPr>
        <w:t>Harv. L. Rev.</w:t>
      </w:r>
      <w:r>
        <w:rPr>
          <w:rFonts w:eastAsia="Arial Unicode MS" w:cs="Arial Unicode MS"/>
          <w:sz w:val="20"/>
          <w:szCs w:val="20"/>
          <w:shd w:val="clear" w:color="auto" w:fill="FFFFFF"/>
        </w:rPr>
        <w:t xml:space="preserve"> 2245, 2339-42 (2001).</w:t>
      </w:r>
    </w:p>
  </w:footnote>
  <w:footnote w:id="116">
    <w:p w14:paraId="3002F06D" w14:textId="0FFBEEA9" w:rsidR="00357B22" w:rsidRDefault="00062FEC">
      <w:pPr>
        <w:pStyle w:val="Body"/>
      </w:pPr>
      <w:r>
        <w:rPr>
          <w:vertAlign w:val="superscript"/>
          <w:lang w:val="en-US"/>
        </w:rPr>
        <w:footnoteRef/>
      </w:r>
      <w:r>
        <w:rPr>
          <w:rFonts w:eastAsia="Arial Unicode MS" w:cs="Arial Unicode MS"/>
          <w:sz w:val="20"/>
          <w:szCs w:val="20"/>
        </w:rPr>
        <w:t xml:space="preserve"> </w:t>
      </w:r>
      <w:r>
        <w:rPr>
          <w:rFonts w:eastAsia="Arial Unicode MS" w:cs="Arial Unicode MS"/>
          <w:smallCaps/>
          <w:sz w:val="20"/>
          <w:szCs w:val="20"/>
          <w:lang w:val="en-US"/>
        </w:rPr>
        <w:t xml:space="preserve">Adrian Vermeule, The Constitution of Risk </w:t>
      </w:r>
      <w:r>
        <w:rPr>
          <w:rFonts w:eastAsia="Arial Unicode MS" w:cs="Arial Unicode MS"/>
          <w:sz w:val="20"/>
          <w:szCs w:val="20"/>
        </w:rPr>
        <w:t>(</w:t>
      </w:r>
      <w:r>
        <w:rPr>
          <w:rFonts w:eastAsia="Arial Unicode MS" w:cs="Arial Unicode MS"/>
          <w:sz w:val="20"/>
          <w:szCs w:val="20"/>
          <w:lang w:val="en-US"/>
        </w:rPr>
        <w:t>Cambridge Univ</w:t>
      </w:r>
      <w:r>
        <w:rPr>
          <w:rFonts w:eastAsia="Arial Unicode MS" w:cs="Arial Unicode MS"/>
          <w:sz w:val="20"/>
          <w:szCs w:val="20"/>
        </w:rPr>
        <w:t>.</w:t>
      </w:r>
      <w:r>
        <w:rPr>
          <w:rFonts w:eastAsia="Arial Unicode MS" w:cs="Arial Unicode MS"/>
          <w:sz w:val="20"/>
          <w:szCs w:val="20"/>
          <w:lang w:val="en-US"/>
        </w:rPr>
        <w:t xml:space="preserve"> Press </w:t>
      </w:r>
      <w:r>
        <w:rPr>
          <w:rFonts w:eastAsia="Arial Unicode MS" w:cs="Arial Unicode MS"/>
          <w:sz w:val="20"/>
          <w:szCs w:val="20"/>
          <w:lang w:val="en-US"/>
        </w:rPr>
        <w:t xml:space="preserve">2014). For the importance of being non-myopic in the design and interpretation of the scope of executive power, see Adrian Vermeule, </w:t>
      </w:r>
      <w:r>
        <w:rPr>
          <w:rFonts w:eastAsia="Arial Unicode MS" w:cs="Arial Unicode MS"/>
          <w:i/>
          <w:iCs/>
          <w:sz w:val="20"/>
          <w:szCs w:val="20"/>
        </w:rPr>
        <w:t>The Publius Paradox</w:t>
      </w:r>
      <w:r>
        <w:rPr>
          <w:rFonts w:eastAsia="Arial Unicode MS" w:cs="Arial Unicode MS"/>
          <w:sz w:val="20"/>
          <w:szCs w:val="20"/>
        </w:rPr>
        <w:t xml:space="preserve">, 82 </w:t>
      </w:r>
      <w:r>
        <w:rPr>
          <w:rFonts w:eastAsia="Arial Unicode MS" w:cs="Arial Unicode MS"/>
          <w:smallCaps/>
          <w:sz w:val="20"/>
          <w:szCs w:val="20"/>
        </w:rPr>
        <w:t>Mod. L. Rev.</w:t>
      </w:r>
      <w:r>
        <w:rPr>
          <w:rFonts w:eastAsia="Arial Unicode MS" w:cs="Arial Unicode MS"/>
          <w:sz w:val="20"/>
          <w:szCs w:val="20"/>
        </w:rPr>
        <w:t xml:space="preserve"> 1 (</w:t>
      </w:r>
      <w:r>
        <w:rPr>
          <w:rFonts w:eastAsia="Arial Unicode MS" w:cs="Arial Unicode MS"/>
          <w:sz w:val="20"/>
          <w:szCs w:val="20"/>
        </w:rPr>
        <w:t>2019</w:t>
      </w:r>
      <w:r>
        <w:rPr>
          <w:rFonts w:eastAsia="Arial Unicode MS" w:cs="Arial Unicode MS"/>
          <w:sz w:val="20"/>
          <w:szCs w:val="20"/>
        </w:rPr>
        <w:t>).</w:t>
      </w:r>
    </w:p>
  </w:footnote>
  <w:footnote w:id="117">
    <w:p w14:paraId="7BCE4EE0"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rPr>
        <w:t xml:space="preserve">Aquinas, </w:t>
      </w:r>
      <w:r>
        <w:rPr>
          <w:rFonts w:ascii="Times New Roman" w:hAnsi="Times New Roman"/>
          <w:i/>
          <w:iCs/>
          <w:color w:val="0F1111"/>
          <w:u w:color="0F1111"/>
        </w:rPr>
        <w:t>supra</w:t>
      </w:r>
      <w:r>
        <w:rPr>
          <w:rFonts w:ascii="Times New Roman" w:hAnsi="Times New Roman"/>
          <w:color w:val="0F1111"/>
          <w:u w:color="0F1111"/>
        </w:rPr>
        <w:t xml:space="preserve"> note 42, at</w:t>
      </w:r>
      <w:r>
        <w:rPr>
          <w:rFonts w:ascii="Times New Roman" w:hAnsi="Times New Roman"/>
          <w:smallCaps/>
        </w:rPr>
        <w:t xml:space="preserve"> </w:t>
      </w:r>
      <w:r>
        <w:rPr>
          <w:rFonts w:ascii="Times New Roman" w:hAnsi="Times New Roman"/>
        </w:rPr>
        <w:t>para. 35.</w:t>
      </w:r>
    </w:p>
  </w:footnote>
  <w:footnote w:id="118">
    <w:p w14:paraId="34B4D9F1"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14:textOutline w14:w="12700" w14:cap="flat" w14:cmpd="sng" w14:algn="ctr">
            <w14:noFill/>
            <w14:prstDash w14:val="solid"/>
            <w14:miter w14:lim="400000"/>
          </w14:textOutline>
        </w:rPr>
        <w:t xml:space="preserve">Javier </w:t>
      </w:r>
      <w:proofErr w:type="spellStart"/>
      <w:r>
        <w:rPr>
          <w:rFonts w:ascii="Times New Roman" w:hAnsi="Times New Roman"/>
          <w:smallCaps/>
          <w14:textOutline w14:w="12700" w14:cap="flat" w14:cmpd="sng" w14:algn="ctr">
            <w14:noFill/>
            <w14:prstDash w14:val="solid"/>
            <w14:miter w14:lim="400000"/>
          </w14:textOutline>
        </w:rPr>
        <w:t>Hervada</w:t>
      </w:r>
      <w:proofErr w:type="spellEnd"/>
      <w:r>
        <w:rPr>
          <w:rFonts w:ascii="Times New Roman" w:hAnsi="Times New Roman"/>
          <w:smallCaps/>
          <w14:textOutline w14:w="12700" w14:cap="flat" w14:cmpd="sng" w14:algn="ctr">
            <w14:noFill/>
            <w14:prstDash w14:val="solid"/>
            <w14:miter w14:lim="400000"/>
          </w14:textOutline>
        </w:rPr>
        <w:t>, Critical Introduction to Natural Law</w:t>
      </w:r>
      <w:r>
        <w:rPr>
          <w:rFonts w:ascii="Times New Roman" w:hAnsi="Times New Roman"/>
          <w14:textOutline w14:w="12700" w14:cap="flat" w14:cmpd="sng" w14:algn="ctr">
            <w14:noFill/>
            <w14:prstDash w14:val="solid"/>
            <w14:miter w14:lim="400000"/>
          </w14:textOutline>
        </w:rPr>
        <w:t xml:space="preserve"> 9-16 (Mindy Emmons trans., Wilson &amp; Lafleur 2006).</w:t>
      </w:r>
    </w:p>
  </w:footnote>
  <w:footnote w:id="119">
    <w:p w14:paraId="1919C20D"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smallCaps/>
          <w14:textOutline w14:w="12700" w14:cap="flat" w14:cmpd="sng" w14:algn="ctr">
            <w14:noFill/>
            <w14:prstDash w14:val="solid"/>
            <w14:miter w14:lim="400000"/>
          </w14:textOutline>
        </w:rPr>
        <w:t>Brian Tierney, T</w:t>
      </w:r>
      <w:r>
        <w:rPr>
          <w:rFonts w:ascii="Times New Roman" w:hAnsi="Times New Roman"/>
          <w:smallCaps/>
          <w14:textOutline w14:w="12700" w14:cap="flat" w14:cmpd="sng" w14:algn="ctr">
            <w14:noFill/>
            <w14:prstDash w14:val="solid"/>
            <w14:miter w14:lim="400000"/>
          </w14:textOutline>
        </w:rPr>
        <w:t xml:space="preserve">he Idea of Natural Rights: Studies on Natural Rights, Natural Law and Church Law, 1150-1625 </w:t>
      </w:r>
      <w:r>
        <w:rPr>
          <w:rFonts w:ascii="Times New Roman" w:hAnsi="Times New Roman"/>
          <w14:textOutline w14:w="12700" w14:cap="flat" w14:cmpd="sng" w14:algn="ctr">
            <w14:noFill/>
            <w14:prstDash w14:val="solid"/>
            <w14:miter w14:lim="400000"/>
          </w14:textOutline>
        </w:rPr>
        <w:t>(1997).</w:t>
      </w:r>
    </w:p>
  </w:footnote>
  <w:footnote w:id="120">
    <w:p w14:paraId="0C363BDA" w14:textId="77777777" w:rsidR="00357B22" w:rsidRDefault="00062FEC">
      <w:pPr>
        <w:pStyle w:val="BodyB"/>
      </w:pPr>
      <w:r>
        <w:rPr>
          <w:vertAlign w:val="superscript"/>
        </w:rPr>
        <w:footnoteRef/>
      </w:r>
      <w:r>
        <w:rPr>
          <w:rFonts w:eastAsia="Arial Unicode MS" w:cs="Arial Unicode MS"/>
          <w:sz w:val="20"/>
          <w:szCs w:val="20"/>
        </w:rPr>
        <w:t xml:space="preserve"> </w:t>
      </w:r>
      <w:r>
        <w:rPr>
          <w:rFonts w:eastAsia="Arial Unicode MS" w:cs="Arial Unicode MS"/>
          <w:i/>
          <w:iCs/>
          <w:sz w:val="20"/>
          <w:szCs w:val="20"/>
        </w:rPr>
        <w:t xml:space="preserve">See </w:t>
      </w:r>
      <w:r>
        <w:rPr>
          <w:rFonts w:eastAsia="Arial Unicode MS" w:cs="Arial Unicode MS"/>
          <w:sz w:val="20"/>
          <w:szCs w:val="20"/>
        </w:rPr>
        <w:t xml:space="preserve">Rachael Walsh, </w:t>
      </w:r>
      <w:r>
        <w:rPr>
          <w:rFonts w:eastAsia="Arial Unicode MS" w:cs="Arial Unicode MS"/>
          <w:i/>
          <w:iCs/>
          <w:sz w:val="20"/>
          <w:szCs w:val="20"/>
        </w:rPr>
        <w:t>Property,</w:t>
      </w:r>
      <w:r>
        <w:rPr>
          <w:rFonts w:eastAsia="Arial Unicode MS" w:cs="Arial Unicode MS"/>
          <w:sz w:val="20"/>
          <w:szCs w:val="20"/>
        </w:rPr>
        <w:t xml:space="preserve"> </w:t>
      </w:r>
      <w:r>
        <w:rPr>
          <w:rFonts w:eastAsia="Arial Unicode MS" w:cs="Arial Unicode MS"/>
          <w:i/>
          <w:iCs/>
          <w:sz w:val="20"/>
          <w:szCs w:val="20"/>
        </w:rPr>
        <w:t>Human Flourishing and St. Thomas Aquinas: Assessing a Contemporary Revival</w:t>
      </w:r>
      <w:r>
        <w:rPr>
          <w:rFonts w:eastAsia="Arial Unicode MS" w:cs="Arial Unicode MS"/>
          <w:sz w:val="20"/>
          <w:szCs w:val="20"/>
        </w:rPr>
        <w:t xml:space="preserve">, 31 </w:t>
      </w:r>
      <w:r>
        <w:rPr>
          <w:rFonts w:eastAsia="Arial Unicode MS" w:cs="Arial Unicode MS"/>
          <w:smallCaps/>
          <w:sz w:val="20"/>
          <w:szCs w:val="20"/>
        </w:rPr>
        <w:t>Canadian</w:t>
      </w:r>
      <w:r>
        <w:rPr>
          <w:rFonts w:eastAsia="Arial Unicode MS" w:cs="Arial Unicode MS"/>
          <w:sz w:val="20"/>
          <w:szCs w:val="20"/>
        </w:rPr>
        <w:t xml:space="preserve"> J.L. </w:t>
      </w:r>
      <w:r>
        <w:rPr>
          <w:rFonts w:eastAsia="Arial Unicode MS" w:cs="Arial Unicode MS"/>
          <w:smallCaps/>
          <w:sz w:val="20"/>
          <w:szCs w:val="20"/>
        </w:rPr>
        <w:t>&amp; Juris.</w:t>
      </w:r>
      <w:r>
        <w:rPr>
          <w:rFonts w:eastAsia="Arial Unicode MS" w:cs="Arial Unicode MS"/>
          <w:sz w:val="20"/>
          <w:szCs w:val="20"/>
        </w:rPr>
        <w:t xml:space="preserve"> 197 (2018).</w:t>
      </w:r>
    </w:p>
  </w:footnote>
  <w:footnote w:id="121">
    <w:p w14:paraId="17A2C67B"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Dominic </w:t>
      </w:r>
      <w:proofErr w:type="spellStart"/>
      <w:r>
        <w:rPr>
          <w:rFonts w:ascii="Times New Roman" w:hAnsi="Times New Roman"/>
        </w:rPr>
        <w:t>Legge</w:t>
      </w:r>
      <w:proofErr w:type="spellEnd"/>
      <w:r>
        <w:rPr>
          <w:rFonts w:ascii="Times New Roman" w:hAnsi="Times New Roman"/>
        </w:rPr>
        <w:t xml:space="preserve">, O.P., </w:t>
      </w:r>
      <w:r>
        <w:rPr>
          <w:rFonts w:ascii="Times New Roman" w:hAnsi="Times New Roman"/>
          <w:i/>
          <w:iCs/>
        </w:rPr>
        <w:t xml:space="preserve">Do Thomists Have </w:t>
      </w:r>
      <w:proofErr w:type="gramStart"/>
      <w:r>
        <w:rPr>
          <w:rFonts w:ascii="Times New Roman" w:hAnsi="Times New Roman"/>
          <w:i/>
          <w:iCs/>
        </w:rPr>
        <w:t>Rights?</w:t>
      </w:r>
      <w:r>
        <w:rPr>
          <w:rFonts w:ascii="Times New Roman" w:hAnsi="Times New Roman"/>
        </w:rPr>
        <w:t>,</w:t>
      </w:r>
      <w:proofErr w:type="gramEnd"/>
      <w:r>
        <w:rPr>
          <w:rFonts w:ascii="Times New Roman" w:hAnsi="Times New Roman"/>
        </w:rPr>
        <w:t xml:space="preserve"> 17 </w:t>
      </w:r>
      <w:r>
        <w:rPr>
          <w:rFonts w:ascii="Times New Roman" w:hAnsi="Times New Roman"/>
          <w:smallCaps/>
        </w:rPr>
        <w:t xml:space="preserve">Nova et </w:t>
      </w:r>
      <w:proofErr w:type="spellStart"/>
      <w:r>
        <w:rPr>
          <w:rFonts w:ascii="Times New Roman" w:hAnsi="Times New Roman"/>
          <w:smallCaps/>
        </w:rPr>
        <w:t>Vetera</w:t>
      </w:r>
      <w:proofErr w:type="spellEnd"/>
      <w:r>
        <w:rPr>
          <w:rFonts w:ascii="Times New Roman" w:hAnsi="Times New Roman"/>
        </w:rPr>
        <w:t xml:space="preserve"> 127, 137 (2019).</w:t>
      </w:r>
    </w:p>
  </w:footnote>
  <w:footnote w:id="122">
    <w:p w14:paraId="5AA51D92"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mallCaps/>
          <w14:textOutline w14:w="12700" w14:cap="flat" w14:cmpd="sng" w14:algn="ctr">
            <w14:noFill/>
            <w14:prstDash w14:val="solid"/>
            <w14:miter w14:lim="400000"/>
          </w14:textOutline>
        </w:rPr>
        <w:t xml:space="preserve">Webber et al., </w:t>
      </w:r>
      <w:r>
        <w:rPr>
          <w:rFonts w:ascii="Times New Roman" w:hAnsi="Times New Roman"/>
          <w:i/>
          <w:iCs/>
        </w:rPr>
        <w:t>supra</w:t>
      </w:r>
      <w:r>
        <w:rPr>
          <w:rFonts w:ascii="Times New Roman" w:hAnsi="Times New Roman"/>
        </w:rPr>
        <w:t xml:space="preserve"> note 57. </w:t>
      </w:r>
    </w:p>
  </w:footnote>
  <w:footnote w:id="123">
    <w:p w14:paraId="0B6C4F6C"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Kai Moller, </w:t>
      </w:r>
      <w:r>
        <w:rPr>
          <w:rFonts w:ascii="Times New Roman" w:hAnsi="Times New Roman"/>
          <w:i/>
          <w:iCs/>
        </w:rPr>
        <w:t>Two Conceptions of Positive Liberty: Towards an Autonomy-Based Theory of Constitutional Rights</w:t>
      </w:r>
      <w:r>
        <w:rPr>
          <w:rFonts w:ascii="Times New Roman" w:hAnsi="Times New Roman"/>
        </w:rPr>
        <w:t>,</w:t>
      </w:r>
      <w:r>
        <w:rPr>
          <w:rFonts w:ascii="Times New Roman" w:hAnsi="Times New Roman"/>
          <w:i/>
          <w:iCs/>
        </w:rPr>
        <w:t xml:space="preserve"> </w:t>
      </w:r>
      <w:r>
        <w:rPr>
          <w:rFonts w:ascii="Times New Roman" w:hAnsi="Times New Roman"/>
        </w:rPr>
        <w:t xml:space="preserve">29 </w:t>
      </w:r>
      <w:r>
        <w:rPr>
          <w:rFonts w:ascii="Times New Roman" w:hAnsi="Times New Roman"/>
          <w:smallCaps/>
        </w:rPr>
        <w:t xml:space="preserve">Oxford J. Leg. Stud. 757, </w:t>
      </w:r>
      <w:r>
        <w:rPr>
          <w:rFonts w:ascii="Times New Roman" w:hAnsi="Times New Roman"/>
        </w:rPr>
        <w:t>765-86 (2009) (identifying and de</w:t>
      </w:r>
      <w:r>
        <w:rPr>
          <w:rFonts w:ascii="Times New Roman" w:hAnsi="Times New Roman"/>
        </w:rPr>
        <w:t xml:space="preserve">fending an emerging trend for constitutional courts to move toward </w:t>
      </w:r>
      <w:r>
        <w:rPr>
          <w:rFonts w:ascii="Times New Roman" w:hAnsi="Times New Roman"/>
        </w:rPr>
        <w:t>“</w:t>
      </w:r>
      <w:r>
        <w:rPr>
          <w:rFonts w:ascii="Times New Roman" w:hAnsi="Times New Roman"/>
        </w:rPr>
        <w:t>an autonomy-based understanding of constitutional rights: increasingly, rights are interpreted as being about enabling people to live autonomous lives</w:t>
      </w:r>
      <w:r>
        <w:rPr>
          <w:rFonts w:ascii="Times New Roman" w:hAnsi="Times New Roman"/>
        </w:rPr>
        <w:t>”</w:t>
      </w:r>
      <w:r>
        <w:rPr>
          <w:rFonts w:ascii="Times New Roman" w:hAnsi="Times New Roman"/>
        </w:rPr>
        <w:t>).</w:t>
      </w:r>
    </w:p>
  </w:footnote>
  <w:footnote w:id="124">
    <w:p w14:paraId="552F8C7E" w14:textId="77777777" w:rsidR="00357B22" w:rsidRDefault="00062FEC">
      <w:pPr>
        <w:pStyle w:val="Body"/>
      </w:pPr>
      <w:r>
        <w:rPr>
          <w:vertAlign w:val="superscript"/>
          <w:lang w:val="en-US"/>
        </w:rPr>
        <w:footnoteRef/>
      </w:r>
      <w:r>
        <w:rPr>
          <w:rFonts w:eastAsia="Arial Unicode MS" w:cs="Arial Unicode MS"/>
          <w:sz w:val="20"/>
          <w:szCs w:val="20"/>
        </w:rPr>
        <w:t xml:space="preserve"> </w:t>
      </w:r>
      <w:r>
        <w:rPr>
          <w:rFonts w:eastAsia="Arial Unicode MS" w:cs="Arial Unicode MS"/>
          <w:i/>
          <w:iCs/>
          <w:sz w:val="20"/>
          <w:szCs w:val="20"/>
          <w:lang w:val="nl-NL"/>
        </w:rPr>
        <w:t xml:space="preserve">See </w:t>
      </w:r>
      <w:r>
        <w:rPr>
          <w:rFonts w:eastAsia="Arial Unicode MS" w:cs="Arial Unicode MS"/>
          <w:smallCaps/>
          <w:sz w:val="20"/>
          <w:szCs w:val="20"/>
          <w:lang w:val="it-IT"/>
          <w14:textOutline w14:w="12700" w14:cap="flat" w14:cmpd="sng" w14:algn="ctr">
            <w14:noFill/>
            <w14:prstDash w14:val="solid"/>
            <w14:miter w14:lim="400000"/>
          </w14:textOutline>
        </w:rPr>
        <w:t>Webber et al.</w:t>
      </w:r>
      <w:proofErr w:type="gramStart"/>
      <w:r>
        <w:rPr>
          <w:rFonts w:eastAsia="Arial Unicode MS" w:cs="Arial Unicode MS"/>
          <w:smallCaps/>
          <w:sz w:val="20"/>
          <w:szCs w:val="20"/>
          <w:lang w:val="it-IT"/>
          <w14:textOutline w14:w="12700" w14:cap="flat" w14:cmpd="sng" w14:algn="ctr">
            <w14:noFill/>
            <w14:prstDash w14:val="solid"/>
            <w14:miter w14:lim="400000"/>
          </w14:textOutline>
        </w:rPr>
        <w:t xml:space="preserve">,  </w:t>
      </w:r>
      <w:r>
        <w:rPr>
          <w:rFonts w:eastAsia="Arial Unicode MS" w:cs="Arial Unicode MS"/>
          <w:i/>
          <w:iCs/>
          <w:sz w:val="20"/>
          <w:szCs w:val="20"/>
        </w:rPr>
        <w:t>supra</w:t>
      </w:r>
      <w:proofErr w:type="gramEnd"/>
      <w:r>
        <w:rPr>
          <w:rFonts w:eastAsia="Arial Unicode MS" w:cs="Arial Unicode MS"/>
          <w:i/>
          <w:iCs/>
          <w:sz w:val="20"/>
          <w:szCs w:val="20"/>
        </w:rPr>
        <w:t xml:space="preserve"> </w:t>
      </w:r>
      <w:r>
        <w:rPr>
          <w:rFonts w:eastAsia="Arial Unicode MS" w:cs="Arial Unicode MS"/>
          <w:sz w:val="20"/>
          <w:szCs w:val="20"/>
          <w:lang w:val="en-US"/>
        </w:rPr>
        <w:t>note 57</w:t>
      </w:r>
      <w:r>
        <w:rPr>
          <w:rFonts w:eastAsia="Arial Unicode MS" w:cs="Arial Unicode MS"/>
          <w:i/>
          <w:iCs/>
          <w:sz w:val="20"/>
          <w:szCs w:val="20"/>
        </w:rPr>
        <w:t>,</w:t>
      </w:r>
      <w:r>
        <w:rPr>
          <w:rFonts w:eastAsia="Arial Unicode MS" w:cs="Arial Unicode MS"/>
          <w:sz w:val="20"/>
          <w:szCs w:val="20"/>
          <w:lang w:val="da-DK"/>
        </w:rPr>
        <w:t xml:space="preserve"> at 33; </w:t>
      </w:r>
      <w:r>
        <w:rPr>
          <w:rFonts w:eastAsia="Arial Unicode MS" w:cs="Arial Unicode MS"/>
          <w:i/>
          <w:iCs/>
          <w:sz w:val="20"/>
          <w:szCs w:val="20"/>
          <w:lang w:val="en-US"/>
        </w:rPr>
        <w:t xml:space="preserve">see also </w:t>
      </w:r>
      <w:r>
        <w:rPr>
          <w:rFonts w:eastAsia="Arial Unicode MS" w:cs="Arial Unicode MS"/>
          <w:smallCaps/>
          <w:sz w:val="20"/>
          <w:szCs w:val="20"/>
        </w:rPr>
        <w:t xml:space="preserve">Kai </w:t>
      </w:r>
      <w:proofErr w:type="spellStart"/>
      <w:r>
        <w:rPr>
          <w:rFonts w:eastAsia="Arial Unicode MS" w:cs="Arial Unicode MS"/>
          <w:smallCaps/>
          <w:sz w:val="20"/>
          <w:szCs w:val="20"/>
        </w:rPr>
        <w:t>M</w:t>
      </w:r>
      <w:r>
        <w:rPr>
          <w:rFonts w:eastAsia="Arial Unicode MS" w:cs="Arial Unicode MS"/>
          <w:smallCaps/>
          <w:sz w:val="20"/>
          <w:szCs w:val="20"/>
        </w:rPr>
        <w:t>ö</w:t>
      </w:r>
      <w:r>
        <w:rPr>
          <w:rFonts w:eastAsia="Arial Unicode MS" w:cs="Arial Unicode MS"/>
          <w:smallCaps/>
          <w:sz w:val="20"/>
          <w:szCs w:val="20"/>
          <w:lang w:val="en-US"/>
        </w:rPr>
        <w:t>ller</w:t>
      </w:r>
      <w:proofErr w:type="spellEnd"/>
      <w:r>
        <w:rPr>
          <w:rFonts w:eastAsia="Arial Unicode MS" w:cs="Arial Unicode MS"/>
          <w:smallCaps/>
          <w:sz w:val="20"/>
          <w:szCs w:val="20"/>
          <w:lang w:val="en-US"/>
        </w:rPr>
        <w:t xml:space="preserve">, The Global Model of Constitutional Rights </w:t>
      </w:r>
      <w:r>
        <w:rPr>
          <w:rFonts w:eastAsia="Arial Unicode MS" w:cs="Arial Unicode MS"/>
          <w:sz w:val="20"/>
          <w:szCs w:val="20"/>
        </w:rPr>
        <w:t xml:space="preserve">76 (2012); Mattias </w:t>
      </w:r>
      <w:proofErr w:type="spellStart"/>
      <w:r>
        <w:rPr>
          <w:rFonts w:eastAsia="Arial Unicode MS" w:cs="Arial Unicode MS"/>
          <w:sz w:val="20"/>
          <w:szCs w:val="20"/>
        </w:rPr>
        <w:t>Kumm</w:t>
      </w:r>
      <w:proofErr w:type="spellEnd"/>
      <w:r>
        <w:rPr>
          <w:rFonts w:eastAsia="Arial Unicode MS" w:cs="Arial Unicode MS"/>
          <w:sz w:val="20"/>
          <w:szCs w:val="20"/>
        </w:rPr>
        <w:t xml:space="preserve">, </w:t>
      </w:r>
      <w:r>
        <w:rPr>
          <w:rFonts w:eastAsia="Arial Unicode MS" w:cs="Arial Unicode MS"/>
          <w:i/>
          <w:iCs/>
          <w:sz w:val="20"/>
          <w:szCs w:val="20"/>
          <w:lang w:val="en-US"/>
        </w:rPr>
        <w:t>Who is Afraid of the Total Constitution? Constitutional Rights</w:t>
      </w:r>
      <w:r>
        <w:rPr>
          <w:rFonts w:eastAsia="Arial Unicode MS" w:cs="Arial Unicode MS"/>
          <w:i/>
          <w:iCs/>
          <w:sz w:val="20"/>
          <w:szCs w:val="20"/>
          <w:lang w:val="en-US"/>
        </w:rPr>
        <w:t xml:space="preserve"> as Principles and the </w:t>
      </w:r>
      <w:proofErr w:type="spellStart"/>
      <w:r>
        <w:rPr>
          <w:rFonts w:eastAsia="Arial Unicode MS" w:cs="Arial Unicode MS"/>
          <w:i/>
          <w:iCs/>
          <w:sz w:val="20"/>
          <w:szCs w:val="20"/>
          <w:lang w:val="en-US"/>
        </w:rPr>
        <w:t>Constitutionalization</w:t>
      </w:r>
      <w:proofErr w:type="spellEnd"/>
      <w:r>
        <w:rPr>
          <w:rFonts w:eastAsia="Arial Unicode MS" w:cs="Arial Unicode MS"/>
          <w:i/>
          <w:iCs/>
          <w:sz w:val="20"/>
          <w:szCs w:val="20"/>
          <w:lang w:val="en-US"/>
        </w:rPr>
        <w:t xml:space="preserve"> of Private Law</w:t>
      </w:r>
      <w:r>
        <w:rPr>
          <w:rFonts w:eastAsia="Arial Unicode MS" w:cs="Arial Unicode MS"/>
          <w:sz w:val="20"/>
          <w:szCs w:val="20"/>
        </w:rPr>
        <w:t xml:space="preserve">, 7 </w:t>
      </w:r>
      <w:r>
        <w:rPr>
          <w:rFonts w:eastAsia="Arial Unicode MS" w:cs="Arial Unicode MS"/>
          <w:smallCaps/>
          <w:sz w:val="20"/>
          <w:szCs w:val="20"/>
        </w:rPr>
        <w:t xml:space="preserve">German L.J. </w:t>
      </w:r>
      <w:r>
        <w:rPr>
          <w:rFonts w:eastAsia="Arial Unicode MS" w:cs="Arial Unicode MS"/>
          <w:sz w:val="20"/>
          <w:szCs w:val="20"/>
        </w:rPr>
        <w:t xml:space="preserve">341 (2006). </w:t>
      </w:r>
    </w:p>
  </w:footnote>
  <w:footnote w:id="125">
    <w:p w14:paraId="1C2DA8B3" w14:textId="77777777" w:rsidR="00357B22" w:rsidRDefault="00062FEC">
      <w:pPr>
        <w:pStyle w:val="Body"/>
        <w:jc w:val="both"/>
      </w:pPr>
      <w:r>
        <w:rPr>
          <w:vertAlign w:val="superscript"/>
          <w:lang w:val="en-US"/>
        </w:rPr>
        <w:footnoteRef/>
      </w:r>
      <w:r>
        <w:rPr>
          <w:sz w:val="20"/>
          <w:szCs w:val="20"/>
        </w:rPr>
        <w:t xml:space="preserve"> </w:t>
      </w:r>
      <w:r>
        <w:rPr>
          <w:i/>
          <w:iCs/>
          <w:sz w:val="20"/>
          <w:szCs w:val="20"/>
          <w:lang w:val="nl-NL"/>
        </w:rPr>
        <w:t xml:space="preserve">See </w:t>
      </w:r>
      <w:r>
        <w:rPr>
          <w:sz w:val="20"/>
          <w:szCs w:val="20"/>
        </w:rPr>
        <w:t xml:space="preserve">R.H. </w:t>
      </w:r>
      <w:proofErr w:type="spellStart"/>
      <w:r>
        <w:rPr>
          <w:sz w:val="20"/>
          <w:szCs w:val="20"/>
        </w:rPr>
        <w:t>Helmholz</w:t>
      </w:r>
      <w:proofErr w:type="spellEnd"/>
      <w:r>
        <w:rPr>
          <w:sz w:val="20"/>
          <w:szCs w:val="20"/>
        </w:rPr>
        <w:t xml:space="preserve">, </w:t>
      </w:r>
      <w:r>
        <w:rPr>
          <w:i/>
          <w:iCs/>
          <w:sz w:val="20"/>
          <w:szCs w:val="20"/>
          <w:lang w:val="en-US"/>
        </w:rPr>
        <w:t xml:space="preserve">Natural Human Rights: The Perspective of the </w:t>
      </w:r>
      <w:r>
        <w:rPr>
          <w:sz w:val="20"/>
          <w:szCs w:val="20"/>
          <w:lang w:val="fr-FR"/>
        </w:rPr>
        <w:t xml:space="preserve">Ius Commune, 52 </w:t>
      </w:r>
      <w:r>
        <w:rPr>
          <w:smallCaps/>
          <w:sz w:val="20"/>
          <w:szCs w:val="20"/>
          <w:lang w:val="en-US"/>
        </w:rPr>
        <w:t>Cath. U. L. Rev</w:t>
      </w:r>
      <w:r>
        <w:rPr>
          <w:sz w:val="20"/>
          <w:szCs w:val="20"/>
        </w:rPr>
        <w:t xml:space="preserve"> 301, 325 (2003); </w:t>
      </w:r>
      <w:r>
        <w:rPr>
          <w:i/>
          <w:iCs/>
          <w:sz w:val="20"/>
          <w:szCs w:val="20"/>
          <w:lang w:val="en-US"/>
        </w:rPr>
        <w:t>see also</w:t>
      </w:r>
      <w:r>
        <w:rPr>
          <w:sz w:val="20"/>
          <w:szCs w:val="20"/>
          <w:lang w:val="de-DE"/>
        </w:rPr>
        <w:t xml:space="preserve"> Michel </w:t>
      </w:r>
      <w:proofErr w:type="spellStart"/>
      <w:r>
        <w:rPr>
          <w:sz w:val="20"/>
          <w:szCs w:val="20"/>
          <w:lang w:val="de-DE"/>
        </w:rPr>
        <w:t>Villey</w:t>
      </w:r>
      <w:proofErr w:type="spellEnd"/>
      <w:r>
        <w:rPr>
          <w:sz w:val="20"/>
          <w:szCs w:val="20"/>
          <w:lang w:val="de-DE"/>
        </w:rPr>
        <w:t xml:space="preserve">, </w:t>
      </w:r>
      <w:r>
        <w:rPr>
          <w:i/>
          <w:iCs/>
          <w:sz w:val="20"/>
          <w:szCs w:val="20"/>
          <w:lang w:val="en-US"/>
        </w:rPr>
        <w:t xml:space="preserve">Epitome of Classical Natural </w:t>
      </w:r>
      <w:r>
        <w:rPr>
          <w:i/>
          <w:iCs/>
          <w:sz w:val="20"/>
          <w:szCs w:val="20"/>
          <w:lang w:val="en-US"/>
        </w:rPr>
        <w:t>Law (Part II</w:t>
      </w:r>
      <w:r>
        <w:rPr>
          <w:sz w:val="20"/>
          <w:szCs w:val="20"/>
        </w:rPr>
        <w:t xml:space="preserve">), 10 </w:t>
      </w:r>
      <w:r>
        <w:rPr>
          <w:smallCaps/>
          <w:sz w:val="20"/>
          <w:szCs w:val="20"/>
          <w:lang w:val="en-US"/>
        </w:rPr>
        <w:t xml:space="preserve">Griffith L. Rev. 153, </w:t>
      </w:r>
      <w:r>
        <w:rPr>
          <w:sz w:val="20"/>
          <w:szCs w:val="20"/>
        </w:rPr>
        <w:t xml:space="preserve">171 (2001); </w:t>
      </w:r>
      <w:proofErr w:type="spellStart"/>
      <w:r>
        <w:rPr>
          <w:sz w:val="20"/>
          <w:szCs w:val="20"/>
        </w:rPr>
        <w:t>Petar</w:t>
      </w:r>
      <w:proofErr w:type="spellEnd"/>
      <w:r>
        <w:rPr>
          <w:sz w:val="20"/>
          <w:szCs w:val="20"/>
        </w:rPr>
        <w:t xml:space="preserve"> Popovic, </w:t>
      </w:r>
      <w:r>
        <w:rPr>
          <w:i/>
          <w:iCs/>
          <w:sz w:val="20"/>
          <w:szCs w:val="20"/>
          <w:lang w:val="en-US"/>
        </w:rPr>
        <w:t xml:space="preserve">The Concept of </w:t>
      </w:r>
      <w:r>
        <w:rPr>
          <w:i/>
          <w:iCs/>
          <w:sz w:val="20"/>
          <w:szCs w:val="20"/>
          <w:rtl/>
          <w:lang w:val="ar-SA"/>
        </w:rPr>
        <w:t>“</w:t>
      </w:r>
      <w:r>
        <w:rPr>
          <w:i/>
          <w:iCs/>
          <w:sz w:val="20"/>
          <w:szCs w:val="20"/>
          <w:lang w:val="en-US"/>
        </w:rPr>
        <w:t>Right</w:t>
      </w:r>
      <w:r>
        <w:rPr>
          <w:i/>
          <w:iCs/>
          <w:sz w:val="20"/>
          <w:szCs w:val="20"/>
        </w:rPr>
        <w:t xml:space="preserve">” </w:t>
      </w:r>
      <w:r>
        <w:rPr>
          <w:i/>
          <w:iCs/>
          <w:sz w:val="20"/>
          <w:szCs w:val="20"/>
          <w:lang w:val="en-US"/>
        </w:rPr>
        <w:t xml:space="preserve">and the Focal Point of </w:t>
      </w:r>
      <w:proofErr w:type="spellStart"/>
      <w:r>
        <w:rPr>
          <w:i/>
          <w:iCs/>
          <w:sz w:val="20"/>
          <w:szCs w:val="20"/>
          <w:lang w:val="en-US"/>
        </w:rPr>
        <w:t>Juridicity</w:t>
      </w:r>
      <w:proofErr w:type="spellEnd"/>
      <w:r>
        <w:rPr>
          <w:i/>
          <w:iCs/>
          <w:sz w:val="20"/>
          <w:szCs w:val="20"/>
          <w:lang w:val="en-US"/>
        </w:rPr>
        <w:t xml:space="preserve"> in Debate Between </w:t>
      </w:r>
      <w:proofErr w:type="spellStart"/>
      <w:r>
        <w:rPr>
          <w:i/>
          <w:iCs/>
          <w:sz w:val="20"/>
          <w:szCs w:val="20"/>
          <w:lang w:val="en-US"/>
        </w:rPr>
        <w:t>Villey</w:t>
      </w:r>
      <w:proofErr w:type="spellEnd"/>
      <w:r>
        <w:rPr>
          <w:i/>
          <w:iCs/>
          <w:sz w:val="20"/>
          <w:szCs w:val="20"/>
          <w:lang w:val="en-US"/>
        </w:rPr>
        <w:t xml:space="preserve">, Tierney, Finnis and </w:t>
      </w:r>
      <w:proofErr w:type="spellStart"/>
      <w:r>
        <w:rPr>
          <w:i/>
          <w:iCs/>
          <w:sz w:val="20"/>
          <w:szCs w:val="20"/>
          <w:lang w:val="en-US"/>
        </w:rPr>
        <w:t>Hervada</w:t>
      </w:r>
      <w:proofErr w:type="spellEnd"/>
      <w:r>
        <w:rPr>
          <w:sz w:val="20"/>
          <w:szCs w:val="20"/>
        </w:rPr>
        <w:t>,</w:t>
      </w:r>
      <w:r>
        <w:rPr>
          <w:i/>
          <w:iCs/>
          <w:sz w:val="20"/>
          <w:szCs w:val="20"/>
        </w:rPr>
        <w:t xml:space="preserve"> </w:t>
      </w:r>
      <w:r>
        <w:rPr>
          <w:sz w:val="20"/>
          <w:szCs w:val="20"/>
        </w:rPr>
        <w:t xml:space="preserve">78 </w:t>
      </w:r>
      <w:r>
        <w:rPr>
          <w:smallCaps/>
          <w:sz w:val="20"/>
          <w:szCs w:val="20"/>
          <w:lang w:val="es-ES_tradnl"/>
        </w:rPr>
        <w:t>Persona y Derecho</w:t>
      </w:r>
      <w:r>
        <w:rPr>
          <w:sz w:val="20"/>
          <w:szCs w:val="20"/>
        </w:rPr>
        <w:t xml:space="preserve"> 65, 68 (2018). </w:t>
      </w:r>
    </w:p>
  </w:footnote>
  <w:footnote w:id="126">
    <w:p w14:paraId="1EAD9639" w14:textId="77777777" w:rsidR="00357B22" w:rsidRDefault="00062FEC">
      <w:pPr>
        <w:pStyle w:val="Body"/>
      </w:pPr>
      <w:r>
        <w:rPr>
          <w:vertAlign w:val="superscript"/>
          <w:lang w:val="en-US"/>
        </w:rPr>
        <w:footnoteRef/>
      </w:r>
      <w:r>
        <w:rPr>
          <w:rFonts w:eastAsia="Arial Unicode MS" w:cs="Arial Unicode MS"/>
          <w:sz w:val="20"/>
          <w:szCs w:val="20"/>
        </w:rPr>
        <w:t xml:space="preserve"> </w:t>
      </w:r>
      <w:r>
        <w:rPr>
          <w:rFonts w:eastAsia="Arial Unicode MS" w:cs="Arial Unicode MS"/>
          <w:i/>
          <w:iCs/>
          <w:sz w:val="20"/>
          <w:szCs w:val="20"/>
          <w:lang w:val="nl-NL"/>
        </w:rPr>
        <w:t xml:space="preserve">See </w:t>
      </w:r>
      <w:r>
        <w:rPr>
          <w:rFonts w:eastAsia="Arial Unicode MS" w:cs="Arial Unicode MS"/>
          <w:smallCaps/>
          <w:sz w:val="20"/>
          <w:szCs w:val="20"/>
          <w14:textOutline w14:w="12700" w14:cap="flat" w14:cmpd="sng" w14:algn="ctr">
            <w14:noFill/>
            <w14:prstDash w14:val="solid"/>
            <w14:miter w14:lim="400000"/>
          </w14:textOutline>
        </w:rPr>
        <w:t>Webber et al.,</w:t>
      </w:r>
      <w:r>
        <w:rPr>
          <w:rFonts w:eastAsia="Arial Unicode MS" w:cs="Arial Unicode MS"/>
          <w:sz w:val="20"/>
          <w:szCs w:val="20"/>
        </w:rPr>
        <w:t xml:space="preserve"> </w:t>
      </w:r>
      <w:r>
        <w:rPr>
          <w:rFonts w:eastAsia="Arial Unicode MS" w:cs="Arial Unicode MS"/>
          <w:i/>
          <w:iCs/>
          <w:sz w:val="20"/>
          <w:szCs w:val="20"/>
        </w:rPr>
        <w:t xml:space="preserve">supra </w:t>
      </w:r>
      <w:r>
        <w:rPr>
          <w:rFonts w:eastAsia="Arial Unicode MS" w:cs="Arial Unicode MS"/>
          <w:sz w:val="20"/>
          <w:szCs w:val="20"/>
          <w:lang w:val="da-DK"/>
        </w:rPr>
        <w:t xml:space="preserve">note 57, at 34; </w:t>
      </w:r>
      <w:r>
        <w:rPr>
          <w:rFonts w:eastAsia="Arial Unicode MS" w:cs="Arial Unicode MS"/>
          <w:i/>
          <w:iCs/>
          <w:sz w:val="20"/>
          <w:szCs w:val="20"/>
          <w:lang w:val="en-US"/>
        </w:rPr>
        <w:t>see also</w:t>
      </w:r>
      <w:r>
        <w:rPr>
          <w:rFonts w:eastAsia="Arial Unicode MS" w:cs="Arial Unicode MS"/>
          <w:sz w:val="20"/>
          <w:szCs w:val="20"/>
        </w:rPr>
        <w:t xml:space="preserve"> </w:t>
      </w:r>
      <w:proofErr w:type="spellStart"/>
      <w:r>
        <w:rPr>
          <w:rFonts w:eastAsia="Arial Unicode MS" w:cs="Arial Unicode MS"/>
          <w:sz w:val="20"/>
          <w:szCs w:val="20"/>
        </w:rPr>
        <w:t>Dimitrios</w:t>
      </w:r>
      <w:proofErr w:type="spellEnd"/>
      <w:r>
        <w:rPr>
          <w:rFonts w:eastAsia="Arial Unicode MS" w:cs="Arial Unicode MS"/>
          <w:sz w:val="20"/>
          <w:szCs w:val="20"/>
        </w:rPr>
        <w:t xml:space="preserve"> Kyritsis, </w:t>
      </w:r>
      <w:r>
        <w:rPr>
          <w:rFonts w:eastAsia="Arial Unicode MS" w:cs="Arial Unicode MS"/>
          <w:i/>
          <w:iCs/>
          <w:sz w:val="20"/>
          <w:szCs w:val="20"/>
          <w:lang w:val="en-US"/>
        </w:rPr>
        <w:t>Whatever Works: Proportionality as a Constitutional Doctrine</w:t>
      </w:r>
      <w:r>
        <w:rPr>
          <w:rFonts w:eastAsia="Arial Unicode MS" w:cs="Arial Unicode MS"/>
          <w:sz w:val="20"/>
          <w:szCs w:val="20"/>
          <w:lang w:val="ru-RU"/>
        </w:rPr>
        <w:t xml:space="preserve">, 34 </w:t>
      </w:r>
      <w:r>
        <w:rPr>
          <w:rFonts w:eastAsia="Arial Unicode MS" w:cs="Arial Unicode MS"/>
          <w:smallCaps/>
          <w:sz w:val="20"/>
          <w:szCs w:val="20"/>
          <w:lang w:val="de-DE"/>
        </w:rPr>
        <w:t>Oxford J. Leg. Stud.</w:t>
      </w:r>
      <w:r>
        <w:rPr>
          <w:rFonts w:eastAsia="Arial Unicode MS" w:cs="Arial Unicode MS"/>
          <w:sz w:val="20"/>
          <w:szCs w:val="20"/>
          <w:lang w:val="en-US"/>
        </w:rPr>
        <w:t xml:space="preserve"> 395, 403 (2014) (explaining that </w:t>
      </w:r>
      <w:r>
        <w:rPr>
          <w:rFonts w:eastAsia="Arial Unicode MS" w:cs="Arial Unicode MS"/>
          <w:sz w:val="20"/>
          <w:szCs w:val="20"/>
          <w:rtl/>
          <w:lang w:val="ar-SA"/>
        </w:rPr>
        <w:t>“</w:t>
      </w:r>
      <w:r>
        <w:rPr>
          <w:rFonts w:eastAsia="Arial Unicode MS" w:cs="Arial Unicode MS"/>
          <w:sz w:val="20"/>
          <w:szCs w:val="20"/>
          <w:lang w:val="en-US"/>
        </w:rPr>
        <w:t>constitutional rights practice</w:t>
      </w:r>
      <w:r>
        <w:rPr>
          <w:rFonts w:eastAsia="Arial Unicode MS" w:cs="Arial Unicode MS"/>
          <w:sz w:val="20"/>
          <w:szCs w:val="20"/>
        </w:rPr>
        <w:t xml:space="preserve">” </w:t>
      </w:r>
      <w:r>
        <w:rPr>
          <w:rFonts w:eastAsia="Arial Unicode MS" w:cs="Arial Unicode MS"/>
          <w:sz w:val="20"/>
          <w:szCs w:val="20"/>
          <w:lang w:val="en-US"/>
        </w:rPr>
        <w:t xml:space="preserve">in Germany, Canada, South Africa and in the Council of Europe </w:t>
      </w:r>
      <w:r>
        <w:rPr>
          <w:rFonts w:eastAsia="Arial Unicode MS" w:cs="Arial Unicode MS"/>
          <w:sz w:val="20"/>
          <w:szCs w:val="20"/>
          <w:rtl/>
          <w:lang w:val="ar-SA"/>
        </w:rPr>
        <w:t>“</w:t>
      </w:r>
      <w:r>
        <w:rPr>
          <w:rFonts w:eastAsia="Arial Unicode MS" w:cs="Arial Unicode MS"/>
          <w:sz w:val="20"/>
          <w:szCs w:val="20"/>
          <w:lang w:val="en-US"/>
        </w:rPr>
        <w:t>tends to include a very wide range of activities, even trivial ones, within the ambit of prima facie rights</w:t>
      </w:r>
      <w:r>
        <w:rPr>
          <w:rFonts w:eastAsia="Arial Unicode MS" w:cs="Arial Unicode MS"/>
          <w:sz w:val="20"/>
          <w:szCs w:val="20"/>
        </w:rPr>
        <w:t>”</w:t>
      </w:r>
      <w:r>
        <w:rPr>
          <w:rFonts w:eastAsia="Arial Unicode MS" w:cs="Arial Unicode MS"/>
          <w:sz w:val="20"/>
          <w:szCs w:val="20"/>
        </w:rPr>
        <w:t xml:space="preserve">); </w:t>
      </w:r>
      <w:r>
        <w:rPr>
          <w:rFonts w:eastAsia="Arial Unicode MS" w:cs="Arial Unicode MS"/>
          <w:smallCaps/>
          <w:sz w:val="20"/>
          <w:szCs w:val="20"/>
          <w:lang w:val="de-DE"/>
        </w:rPr>
        <w:t xml:space="preserve">Mark </w:t>
      </w:r>
      <w:r>
        <w:rPr>
          <w:rFonts w:eastAsia="Arial Unicode MS" w:cs="Arial Unicode MS"/>
          <w:smallCaps/>
          <w:sz w:val="20"/>
          <w:szCs w:val="20"/>
          <w:lang w:val="de-DE"/>
        </w:rPr>
        <w:t>Tushnet,</w:t>
      </w:r>
      <w:r>
        <w:rPr>
          <w:rFonts w:eastAsia="Arial Unicode MS" w:cs="Arial Unicode MS"/>
          <w:sz w:val="20"/>
          <w:szCs w:val="20"/>
        </w:rPr>
        <w:t xml:space="preserve"> </w:t>
      </w:r>
      <w:r>
        <w:rPr>
          <w:rFonts w:eastAsia="Arial Unicode MS" w:cs="Arial Unicode MS"/>
          <w:smallCaps/>
          <w:sz w:val="20"/>
          <w:szCs w:val="20"/>
          <w:lang w:val="en-US"/>
        </w:rPr>
        <w:t xml:space="preserve">Advanced Introduction To Comparative Constitutional Law </w:t>
      </w:r>
      <w:r>
        <w:rPr>
          <w:rFonts w:eastAsia="Arial Unicode MS" w:cs="Arial Unicode MS"/>
          <w:sz w:val="20"/>
          <w:szCs w:val="20"/>
        </w:rPr>
        <w:t>85 (2d ed. 2018) (</w:t>
      </w:r>
      <w:r>
        <w:rPr>
          <w:rFonts w:eastAsia="Arial Unicode MS" w:cs="Arial Unicode MS"/>
          <w:sz w:val="20"/>
          <w:szCs w:val="20"/>
          <w:rtl/>
          <w:lang w:val="ar-SA"/>
        </w:rPr>
        <w:t>“</w:t>
      </w:r>
      <w:r>
        <w:rPr>
          <w:rFonts w:eastAsia="Arial Unicode MS" w:cs="Arial Unicode MS"/>
          <w:sz w:val="20"/>
          <w:szCs w:val="20"/>
          <w:lang w:val="en-US"/>
        </w:rPr>
        <w:t xml:space="preserve">Many courts tend to take the position that liberal </w:t>
      </w:r>
      <w:proofErr w:type="spellStart"/>
      <w:r>
        <w:rPr>
          <w:rFonts w:eastAsia="Arial Unicode MS" w:cs="Arial Unicode MS"/>
          <w:sz w:val="20"/>
          <w:szCs w:val="20"/>
          <w:lang w:val="en-US"/>
        </w:rPr>
        <w:t>constitutions</w:t>
      </w:r>
      <w:proofErr w:type="spellEnd"/>
      <w:r>
        <w:rPr>
          <w:rFonts w:eastAsia="Arial Unicode MS" w:cs="Arial Unicode MS"/>
          <w:sz w:val="20"/>
          <w:szCs w:val="20"/>
          <w:lang w:val="en-US"/>
        </w:rPr>
        <w:t xml:space="preserve"> guarantee a general right to liberty, that is, a right to do whatever one wants unless some law </w:t>
      </w:r>
      <w:r>
        <w:rPr>
          <w:rFonts w:eastAsia="Arial Unicode MS" w:cs="Arial Unicode MS"/>
          <w:sz w:val="20"/>
          <w:szCs w:val="20"/>
          <w:lang w:val="en-US"/>
        </w:rPr>
        <w:t>prohibits the action</w:t>
      </w:r>
      <w:r>
        <w:rPr>
          <w:rFonts w:ascii="Calibri" w:hAnsi="Calibri"/>
          <w:sz w:val="20"/>
          <w:szCs w:val="20"/>
        </w:rPr>
        <w:t>.</w:t>
      </w:r>
      <w:r>
        <w:rPr>
          <w:rFonts w:eastAsia="Arial Unicode MS" w:cs="Arial Unicode MS"/>
          <w:sz w:val="20"/>
          <w:szCs w:val="20"/>
        </w:rPr>
        <w:t>”</w:t>
      </w:r>
      <w:r>
        <w:rPr>
          <w:rFonts w:eastAsia="Arial Unicode MS" w:cs="Arial Unicode MS"/>
          <w:sz w:val="20"/>
          <w:szCs w:val="20"/>
        </w:rPr>
        <w:t>).</w:t>
      </w:r>
    </w:p>
  </w:footnote>
  <w:footnote w:id="127">
    <w:p w14:paraId="0468CF38" w14:textId="77777777" w:rsidR="00357B22" w:rsidRDefault="00062FEC">
      <w:pPr>
        <w:pStyle w:val="Body"/>
        <w:jc w:val="both"/>
      </w:pPr>
      <w:r>
        <w:rPr>
          <w:vertAlign w:val="superscript"/>
          <w:lang w:val="en-US"/>
        </w:rPr>
        <w:footnoteRef/>
      </w:r>
      <w:r>
        <w:rPr>
          <w:sz w:val="20"/>
          <w:szCs w:val="20"/>
          <w:lang w:val="en-US"/>
        </w:rPr>
        <w:t xml:space="preserve"> Webber outlines some examples of the kind of prima facie rights claims apex constitutional or human rights courts have been prepared to recognize following an exceptionally wide and amorphous interpretation of the scope of a righ</w:t>
      </w:r>
      <w:r>
        <w:rPr>
          <w:sz w:val="20"/>
          <w:szCs w:val="20"/>
          <w:lang w:val="en-US"/>
        </w:rPr>
        <w:t xml:space="preserve">t. Take </w:t>
      </w:r>
      <w:r>
        <w:rPr>
          <w:i/>
          <w:iCs/>
          <w:sz w:val="20"/>
          <w:szCs w:val="20"/>
          <w:lang w:val="it-IT"/>
        </w:rPr>
        <w:t xml:space="preserve">Regina v. </w:t>
      </w:r>
      <w:proofErr w:type="spellStart"/>
      <w:r>
        <w:rPr>
          <w:i/>
          <w:iCs/>
          <w:sz w:val="20"/>
          <w:szCs w:val="20"/>
          <w:lang w:val="it-IT"/>
        </w:rPr>
        <w:t>Sharpe</w:t>
      </w:r>
      <w:proofErr w:type="spellEnd"/>
      <w:r>
        <w:rPr>
          <w:sz w:val="20"/>
          <w:szCs w:val="20"/>
          <w:lang w:val="en-US"/>
        </w:rPr>
        <w:t>, 1 S.C.R. 45 (Can. 2001), where the Canadian Supreme Court held that a provision of the Criminal Code which banned child pornography, as applied to Mr. Sharpe, violated his freedom of expression but was justified as a proportional measure designed to prot</w:t>
      </w:r>
      <w:r>
        <w:rPr>
          <w:sz w:val="20"/>
          <w:szCs w:val="20"/>
          <w:lang w:val="en-US"/>
        </w:rPr>
        <w:t xml:space="preserve">ect children from </w:t>
      </w:r>
      <w:r>
        <w:rPr>
          <w:sz w:val="20"/>
          <w:szCs w:val="20"/>
          <w:rtl/>
          <w:lang w:val="ar-SA"/>
        </w:rPr>
        <w:t>“</w:t>
      </w:r>
      <w:r>
        <w:rPr>
          <w:sz w:val="20"/>
          <w:szCs w:val="20"/>
          <w:lang w:val="fr-FR"/>
        </w:rPr>
        <w:t>exploitation.</w:t>
      </w:r>
      <w:r>
        <w:rPr>
          <w:sz w:val="20"/>
          <w:szCs w:val="20"/>
        </w:rPr>
        <w:t xml:space="preserve">” </w:t>
      </w:r>
      <w:r>
        <w:rPr>
          <w:sz w:val="20"/>
          <w:szCs w:val="20"/>
          <w:lang w:val="en-US"/>
        </w:rPr>
        <w:t xml:space="preserve">Another odd example cited is the ECtHR case of </w:t>
      </w:r>
      <w:proofErr w:type="spellStart"/>
      <w:r>
        <w:rPr>
          <w:i/>
          <w:iCs/>
          <w:sz w:val="20"/>
          <w:szCs w:val="20"/>
        </w:rPr>
        <w:t>Stü</w:t>
      </w:r>
      <w:r>
        <w:rPr>
          <w:i/>
          <w:iCs/>
          <w:sz w:val="20"/>
          <w:szCs w:val="20"/>
          <w:lang w:val="en-US"/>
        </w:rPr>
        <w:t>bing</w:t>
      </w:r>
      <w:proofErr w:type="spellEnd"/>
      <w:r>
        <w:rPr>
          <w:i/>
          <w:iCs/>
          <w:sz w:val="20"/>
          <w:szCs w:val="20"/>
          <w:lang w:val="en-US"/>
        </w:rPr>
        <w:t xml:space="preserve"> v. Germany</w:t>
      </w:r>
      <w:r>
        <w:rPr>
          <w:sz w:val="20"/>
          <w:szCs w:val="20"/>
        </w:rPr>
        <w:t>,</w:t>
      </w:r>
      <w:r>
        <w:rPr>
          <w:i/>
          <w:iCs/>
          <w:sz w:val="20"/>
          <w:szCs w:val="20"/>
        </w:rPr>
        <w:t xml:space="preserve"> </w:t>
      </w:r>
      <w:r>
        <w:rPr>
          <w:sz w:val="20"/>
          <w:szCs w:val="20"/>
          <w:lang w:val="en-US"/>
        </w:rPr>
        <w:t>App. No. 433547/08 (ECtHR, Apr. 12, 2012), para.55 where the Court found that the applicant</w:t>
      </w:r>
      <w:r>
        <w:rPr>
          <w:sz w:val="20"/>
          <w:szCs w:val="20"/>
          <w:rtl/>
        </w:rPr>
        <w:t>’</w:t>
      </w:r>
      <w:r>
        <w:rPr>
          <w:sz w:val="20"/>
          <w:szCs w:val="20"/>
          <w:lang w:val="en-US"/>
        </w:rPr>
        <w:t xml:space="preserve">s criminal conviction for incest </w:t>
      </w:r>
      <w:r>
        <w:rPr>
          <w:sz w:val="20"/>
          <w:szCs w:val="20"/>
          <w:rtl/>
          <w:lang w:val="ar-SA"/>
        </w:rPr>
        <w:t>“</w:t>
      </w:r>
      <w:r>
        <w:rPr>
          <w:sz w:val="20"/>
          <w:szCs w:val="20"/>
          <w:lang w:val="en-US"/>
        </w:rPr>
        <w:t>possibly</w:t>
      </w:r>
      <w:r>
        <w:rPr>
          <w:sz w:val="20"/>
          <w:szCs w:val="20"/>
        </w:rPr>
        <w:t xml:space="preserve">” </w:t>
      </w:r>
      <w:r>
        <w:rPr>
          <w:sz w:val="20"/>
          <w:szCs w:val="20"/>
          <w:lang w:val="en-US"/>
        </w:rPr>
        <w:t xml:space="preserve">fell within the scope of his </w:t>
      </w:r>
      <w:proofErr w:type="gramStart"/>
      <w:r>
        <w:rPr>
          <w:sz w:val="20"/>
          <w:szCs w:val="20"/>
          <w:lang w:val="en-US"/>
        </w:rPr>
        <w:t>Article</w:t>
      </w:r>
      <w:proofErr w:type="gramEnd"/>
      <w:r>
        <w:rPr>
          <w:sz w:val="20"/>
          <w:szCs w:val="20"/>
          <w:lang w:val="en-US"/>
        </w:rPr>
        <w:t xml:space="preserve"> 8 right to respect for private life, as he </w:t>
      </w:r>
      <w:r>
        <w:rPr>
          <w:sz w:val="20"/>
          <w:szCs w:val="20"/>
          <w:rtl/>
          <w:lang w:val="ar-SA"/>
        </w:rPr>
        <w:t>“</w:t>
      </w:r>
      <w:r>
        <w:rPr>
          <w:sz w:val="20"/>
          <w:szCs w:val="20"/>
          <w:lang w:val="en-US"/>
        </w:rPr>
        <w:t>was forbidden to have sexual intercourse with the mother of his four children.</w:t>
      </w:r>
      <w:r>
        <w:rPr>
          <w:sz w:val="20"/>
          <w:szCs w:val="20"/>
        </w:rPr>
        <w:t xml:space="preserve">” </w:t>
      </w:r>
      <w:r>
        <w:rPr>
          <w:sz w:val="20"/>
          <w:szCs w:val="20"/>
          <w:lang w:val="en-US"/>
        </w:rPr>
        <w:t xml:space="preserve">The UK House of Lords judgment in </w:t>
      </w:r>
      <w:r>
        <w:rPr>
          <w:i/>
          <w:iCs/>
          <w:sz w:val="20"/>
          <w:szCs w:val="20"/>
          <w:lang w:val="en-US"/>
        </w:rPr>
        <w:t xml:space="preserve">Belfast City Council v. Miss </w:t>
      </w:r>
      <w:proofErr w:type="spellStart"/>
      <w:r>
        <w:rPr>
          <w:i/>
          <w:iCs/>
          <w:sz w:val="20"/>
          <w:szCs w:val="20"/>
          <w:lang w:val="en-US"/>
        </w:rPr>
        <w:t>Behavin</w:t>
      </w:r>
      <w:proofErr w:type="spellEnd"/>
      <w:r>
        <w:rPr>
          <w:i/>
          <w:iCs/>
          <w:sz w:val="20"/>
          <w:szCs w:val="20"/>
          <w:rtl/>
        </w:rPr>
        <w:t xml:space="preserve">’ </w:t>
      </w:r>
      <w:r>
        <w:rPr>
          <w:i/>
          <w:iCs/>
          <w:sz w:val="20"/>
          <w:szCs w:val="20"/>
          <w:lang w:val="en-US"/>
        </w:rPr>
        <w:t xml:space="preserve">Limited </w:t>
      </w:r>
      <w:r>
        <w:rPr>
          <w:sz w:val="20"/>
          <w:szCs w:val="20"/>
          <w:lang w:val="en-US"/>
        </w:rPr>
        <w:t xml:space="preserve">[2007] UKHL 19, para 10 saw the Law Lords prepared to casually </w:t>
      </w:r>
      <w:r>
        <w:rPr>
          <w:sz w:val="20"/>
          <w:szCs w:val="20"/>
          <w:rtl/>
          <w:lang w:val="ar-SA"/>
        </w:rPr>
        <w:t>“</w:t>
      </w:r>
      <w:r>
        <w:rPr>
          <w:sz w:val="20"/>
          <w:szCs w:val="20"/>
          <w:lang w:val="en-US"/>
        </w:rPr>
        <w:t xml:space="preserve">assume, without deciding, that freedom of expression includes the right to use particular premises to </w:t>
      </w:r>
      <w:r>
        <w:rPr>
          <w:sz w:val="20"/>
          <w:szCs w:val="20"/>
          <w:lang w:val="en-US"/>
        </w:rPr>
        <w:t>distribute pornographic books, videos and other articles.</w:t>
      </w:r>
      <w:r>
        <w:rPr>
          <w:sz w:val="20"/>
          <w:szCs w:val="20"/>
        </w:rPr>
        <w:t>”</w:t>
      </w:r>
    </w:p>
  </w:footnote>
  <w:footnote w:id="128">
    <w:p w14:paraId="43E247E6" w14:textId="77777777" w:rsidR="00357B22" w:rsidRDefault="00062FEC">
      <w:pPr>
        <w:pStyle w:val="FootnoteText"/>
      </w:pPr>
      <w:r>
        <w:rPr>
          <w:vertAlign w:val="superscript"/>
        </w:rPr>
        <w:footnoteRef/>
      </w:r>
      <w:r>
        <w:rPr>
          <w:rFonts w:ascii="Times New Roman" w:hAnsi="Times New Roman"/>
        </w:rPr>
        <w:t xml:space="preserve"> A small number of rights in the liberal constitutional tradition are considered inviolable and not subject to override in the interests of the public interest or collective good. Prominent examples include categorical prohibitions on torture and slavery c</w:t>
      </w:r>
      <w:r>
        <w:rPr>
          <w:rFonts w:ascii="Times New Roman" w:hAnsi="Times New Roman"/>
        </w:rPr>
        <w:t xml:space="preserve">ommon to human rights instruments. </w:t>
      </w:r>
      <w:r>
        <w:rPr>
          <w:rFonts w:ascii="Times New Roman" w:hAnsi="Times New Roman"/>
          <w:i/>
          <w:iCs/>
        </w:rPr>
        <w:t xml:space="preserve">See </w:t>
      </w:r>
      <w:r>
        <w:rPr>
          <w:rFonts w:ascii="Times New Roman" w:hAnsi="Times New Roman"/>
        </w:rPr>
        <w:t xml:space="preserve">European Convention on Human Rights art. 3, Nov. 4, 1950, 213 U.N.T.S. 221. </w:t>
      </w:r>
    </w:p>
  </w:footnote>
  <w:footnote w:id="129">
    <w:p w14:paraId="5AED1101" w14:textId="77777777" w:rsidR="00357B22" w:rsidRDefault="00062FEC">
      <w:pPr>
        <w:pStyle w:val="FootnoteText"/>
      </w:pPr>
      <w:r>
        <w:rPr>
          <w:vertAlign w:val="superscript"/>
        </w:rPr>
        <w:footnoteRef/>
      </w:r>
      <w:r>
        <w:rPr>
          <w:rFonts w:ascii="Times New Roman" w:hAnsi="Times New Roman"/>
        </w:rPr>
        <w:t xml:space="preserve"> </w:t>
      </w:r>
      <w:r>
        <w:rPr>
          <w:rFonts w:ascii="Times New Roman" w:hAnsi="Times New Roman"/>
          <w:smallCaps/>
        </w:rPr>
        <w:t>Webber et al.</w:t>
      </w:r>
      <w:r>
        <w:rPr>
          <w:rFonts w:ascii="Times New Roman" w:hAnsi="Times New Roman"/>
        </w:rPr>
        <w:t>,</w:t>
      </w:r>
      <w:r>
        <w:rPr>
          <w:rFonts w:ascii="Times New Roman" w:hAnsi="Times New Roman"/>
          <w:i/>
          <w:iCs/>
        </w:rPr>
        <w:t xml:space="preserve"> supra</w:t>
      </w:r>
      <w:r>
        <w:rPr>
          <w:rFonts w:ascii="Times New Roman" w:hAnsi="Times New Roman"/>
        </w:rPr>
        <w:t xml:space="preserve"> note 57,</w:t>
      </w:r>
      <w:r>
        <w:rPr>
          <w:rFonts w:ascii="Times New Roman" w:hAnsi="Times New Roman"/>
          <w:i/>
          <w:iCs/>
        </w:rPr>
        <w:t xml:space="preserve"> </w:t>
      </w:r>
      <w:r>
        <w:rPr>
          <w:rFonts w:ascii="Times New Roman" w:hAnsi="Times New Roman"/>
        </w:rPr>
        <w:t>at 35-36.</w:t>
      </w:r>
    </w:p>
  </w:footnote>
  <w:footnote w:id="130">
    <w:p w14:paraId="53B23405" w14:textId="77777777" w:rsidR="00357B22" w:rsidRDefault="00062FEC">
      <w:pPr>
        <w:pStyle w:val="Body"/>
      </w:pPr>
      <w:r>
        <w:rPr>
          <w:vertAlign w:val="superscript"/>
        </w:rPr>
        <w:footnoteRef/>
      </w:r>
      <w:r>
        <w:rPr>
          <w:rFonts w:eastAsia="Arial Unicode MS" w:cs="Arial Unicode MS"/>
          <w:sz w:val="20"/>
          <w:szCs w:val="20"/>
        </w:rPr>
        <w:t xml:space="preserve"> Jamal Greene, </w:t>
      </w:r>
      <w:r>
        <w:rPr>
          <w:rFonts w:eastAsia="Arial Unicode MS" w:cs="Arial Unicode MS"/>
          <w:i/>
          <w:iCs/>
          <w:sz w:val="20"/>
          <w:szCs w:val="20"/>
          <w:lang w:val="en-US"/>
        </w:rPr>
        <w:t xml:space="preserve">Foreword: Rights as </w:t>
      </w:r>
      <w:proofErr w:type="gramStart"/>
      <w:r>
        <w:rPr>
          <w:rFonts w:eastAsia="Arial Unicode MS" w:cs="Arial Unicode MS"/>
          <w:i/>
          <w:iCs/>
          <w:sz w:val="20"/>
          <w:szCs w:val="20"/>
          <w:lang w:val="en-US"/>
        </w:rPr>
        <w:t>Trumps?,</w:t>
      </w:r>
      <w:proofErr w:type="gramEnd"/>
      <w:r>
        <w:rPr>
          <w:rFonts w:eastAsia="Arial Unicode MS" w:cs="Arial Unicode MS"/>
          <w:sz w:val="20"/>
          <w:szCs w:val="20"/>
        </w:rPr>
        <w:t xml:space="preserve"> 132 </w:t>
      </w:r>
      <w:r>
        <w:rPr>
          <w:rFonts w:eastAsia="Arial Unicode MS" w:cs="Arial Unicode MS"/>
          <w:smallCaps/>
          <w:sz w:val="20"/>
          <w:szCs w:val="20"/>
        </w:rPr>
        <w:t>Harv. L. Rev.</w:t>
      </w:r>
      <w:r>
        <w:rPr>
          <w:rFonts w:eastAsia="Arial Unicode MS" w:cs="Arial Unicode MS"/>
          <w:sz w:val="20"/>
          <w:szCs w:val="20"/>
        </w:rPr>
        <w:t xml:space="preserve"> 28, 58 (2018). </w:t>
      </w:r>
    </w:p>
  </w:footnote>
  <w:footnote w:id="131">
    <w:p w14:paraId="768289CA" w14:textId="77777777" w:rsidR="00357B22" w:rsidRDefault="00062FEC">
      <w:pPr>
        <w:pStyle w:val="FootnoteText"/>
      </w:pPr>
      <w:r>
        <w:rPr>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w:t>
      </w:r>
      <w:r>
        <w:rPr>
          <w:rFonts w:ascii="Times New Roman" w:hAnsi="Times New Roman"/>
          <w:i/>
          <w:iCs/>
        </w:rPr>
        <w:t>e.g.</w:t>
      </w:r>
      <w:r>
        <w:rPr>
          <w:rFonts w:ascii="Times New Roman" w:hAnsi="Times New Roman"/>
        </w:rPr>
        <w:t xml:space="preserve">, The Religious Freedom Restoration Act's standard for burdening free exercise rights at 42 U.S.C. </w:t>
      </w:r>
      <w:r>
        <w:rPr>
          <w:rFonts w:ascii="Times New Roman" w:hAnsi="Times New Roman"/>
        </w:rPr>
        <w:t xml:space="preserve">§ </w:t>
      </w:r>
      <w:r>
        <w:rPr>
          <w:rFonts w:ascii="Times New Roman" w:hAnsi="Times New Roman"/>
        </w:rPr>
        <w:t>2000bb-1.</w:t>
      </w:r>
    </w:p>
  </w:footnote>
  <w:footnote w:id="132">
    <w:p w14:paraId="08ED12C2" w14:textId="77777777" w:rsidR="00357B22" w:rsidRDefault="00062FEC">
      <w:pPr>
        <w:pStyle w:val="FootnoteText"/>
      </w:pPr>
      <w:r>
        <w:rPr>
          <w:vertAlign w:val="superscript"/>
        </w:rPr>
        <w:footnoteRef/>
      </w:r>
      <w:r>
        <w:rPr>
          <w:rFonts w:ascii="Times New Roman" w:hAnsi="Times New Roman"/>
        </w:rPr>
        <w:t xml:space="preserve"> The proportionality test, as Kenny puts it, is now a </w:t>
      </w:r>
      <w:r>
        <w:rPr>
          <w:rFonts w:ascii="Times New Roman" w:hAnsi="Times New Roman"/>
        </w:rPr>
        <w:t>“</w:t>
      </w:r>
      <w:r>
        <w:rPr>
          <w:rFonts w:ascii="Times New Roman" w:hAnsi="Times New Roman"/>
        </w:rPr>
        <w:t>worldwide principle of human rights protection.</w:t>
      </w:r>
      <w:r>
        <w:rPr>
          <w:rFonts w:ascii="Times New Roman" w:hAnsi="Times New Roman"/>
        </w:rPr>
        <w:t xml:space="preserve">” </w:t>
      </w:r>
      <w:r>
        <w:rPr>
          <w:rFonts w:ascii="Times New Roman" w:hAnsi="Times New Roman"/>
        </w:rPr>
        <w:t xml:space="preserve">David Kenny, </w:t>
      </w:r>
      <w:r>
        <w:rPr>
          <w:rFonts w:ascii="Times New Roman" w:hAnsi="Times New Roman"/>
          <w:i/>
          <w:iCs/>
        </w:rPr>
        <w:t>Proportionality and the Inevitability of the Local: A Comparative Localist Analysis of Canada and Ireland</w:t>
      </w:r>
      <w:r>
        <w:rPr>
          <w:rFonts w:ascii="Times New Roman" w:hAnsi="Times New Roman"/>
        </w:rPr>
        <w:t xml:space="preserve">, 66 </w:t>
      </w:r>
      <w:r>
        <w:rPr>
          <w:rFonts w:ascii="Times New Roman" w:hAnsi="Times New Roman"/>
          <w:smallCaps/>
        </w:rPr>
        <w:t>Am. J. Comp. L.</w:t>
      </w:r>
      <w:r>
        <w:rPr>
          <w:rFonts w:ascii="Times New Roman" w:hAnsi="Times New Roman"/>
        </w:rPr>
        <w:t xml:space="preserve"> 537, 538 (2018). </w:t>
      </w:r>
    </w:p>
  </w:footnote>
  <w:footnote w:id="133">
    <w:p w14:paraId="09F54012" w14:textId="77777777" w:rsidR="00357B22" w:rsidRDefault="00062FEC">
      <w:pPr>
        <w:pStyle w:val="Body"/>
        <w:jc w:val="both"/>
      </w:pPr>
      <w:r>
        <w:rPr>
          <w:vertAlign w:val="superscript"/>
        </w:rPr>
        <w:footnoteRef/>
      </w:r>
      <w:r>
        <w:rPr>
          <w:sz w:val="20"/>
          <w:szCs w:val="20"/>
        </w:rPr>
        <w:t xml:space="preserve"> </w:t>
      </w:r>
      <w:r>
        <w:rPr>
          <w:smallCaps/>
          <w:sz w:val="20"/>
          <w:szCs w:val="20"/>
        </w:rPr>
        <w:t>Bernadette Rainey et al.</w:t>
      </w:r>
      <w:r>
        <w:rPr>
          <w:sz w:val="20"/>
          <w:szCs w:val="20"/>
        </w:rPr>
        <w:t xml:space="preserve">, </w:t>
      </w:r>
      <w:r>
        <w:rPr>
          <w:smallCaps/>
          <w:sz w:val="20"/>
          <w:szCs w:val="20"/>
          <w:lang w:val="en-US"/>
        </w:rPr>
        <w:t xml:space="preserve">Jacobs, White, and </w:t>
      </w:r>
      <w:proofErr w:type="spellStart"/>
      <w:r>
        <w:rPr>
          <w:smallCaps/>
          <w:sz w:val="20"/>
          <w:szCs w:val="20"/>
          <w:lang w:val="en-US"/>
        </w:rPr>
        <w:t>Ovey</w:t>
      </w:r>
      <w:proofErr w:type="spellEnd"/>
      <w:r>
        <w:rPr>
          <w:smallCaps/>
          <w:sz w:val="20"/>
          <w:szCs w:val="20"/>
          <w:lang w:val="en-US"/>
        </w:rPr>
        <w:t xml:space="preserve">: The European Convention on Human Rights </w:t>
      </w:r>
      <w:r>
        <w:rPr>
          <w:sz w:val="20"/>
          <w:szCs w:val="20"/>
          <w:lang w:val="en-US"/>
        </w:rPr>
        <w:t>342 (7th ed. 2017).</w:t>
      </w:r>
    </w:p>
  </w:footnote>
  <w:footnote w:id="134">
    <w:p w14:paraId="20A7B0BB" w14:textId="77777777" w:rsidR="00357B22" w:rsidRDefault="00062FEC">
      <w:pPr>
        <w:pStyle w:val="FootnoteText"/>
      </w:pPr>
      <w:r>
        <w:rPr>
          <w:vertAlign w:val="superscript"/>
        </w:rPr>
        <w:footnoteRef/>
      </w:r>
      <w:r>
        <w:rPr>
          <w:rFonts w:ascii="Times New Roman" w:hAnsi="Times New Roman"/>
        </w:rPr>
        <w:t xml:space="preserve"> Kai </w:t>
      </w:r>
      <w:proofErr w:type="spellStart"/>
      <w:r>
        <w:rPr>
          <w:rFonts w:ascii="Times New Roman" w:hAnsi="Times New Roman"/>
        </w:rPr>
        <w:t>M</w:t>
      </w:r>
      <w:r>
        <w:rPr>
          <w:rFonts w:ascii="Times New Roman" w:hAnsi="Times New Roman"/>
        </w:rPr>
        <w:t>ö</w:t>
      </w:r>
      <w:r>
        <w:rPr>
          <w:rFonts w:ascii="Times New Roman" w:hAnsi="Times New Roman"/>
        </w:rPr>
        <w:t>ller</w:t>
      </w:r>
      <w:proofErr w:type="spellEnd"/>
      <w:r>
        <w:rPr>
          <w:rFonts w:ascii="Times New Roman" w:hAnsi="Times New Roman"/>
        </w:rPr>
        <w:t xml:space="preserve">, </w:t>
      </w:r>
      <w:r>
        <w:rPr>
          <w:rFonts w:ascii="Times New Roman" w:hAnsi="Times New Roman"/>
          <w:i/>
          <w:iCs/>
        </w:rPr>
        <w:t xml:space="preserve">Proportionality: Challenging the Critics, </w:t>
      </w:r>
      <w:r>
        <w:rPr>
          <w:rFonts w:ascii="Times New Roman" w:hAnsi="Times New Roman"/>
        </w:rPr>
        <w:t xml:space="preserve">10 </w:t>
      </w:r>
      <w:r>
        <w:rPr>
          <w:rFonts w:ascii="Times New Roman" w:hAnsi="Times New Roman"/>
          <w:smallCaps/>
        </w:rPr>
        <w:t>Int</w:t>
      </w:r>
      <w:r>
        <w:rPr>
          <w:rFonts w:ascii="Times New Roman" w:hAnsi="Times New Roman"/>
          <w:smallCaps/>
        </w:rPr>
        <w:t>’</w:t>
      </w:r>
      <w:r>
        <w:rPr>
          <w:rFonts w:ascii="Times New Roman" w:hAnsi="Times New Roman"/>
          <w:smallCaps/>
        </w:rPr>
        <w:t>l J. Const. Law.</w:t>
      </w:r>
      <w:r>
        <w:rPr>
          <w:rFonts w:ascii="Times New Roman" w:hAnsi="Times New Roman"/>
        </w:rPr>
        <w:t xml:space="preserve"> 709, 715 (2012); </w:t>
      </w:r>
      <w:r>
        <w:rPr>
          <w:rFonts w:ascii="Times New Roman" w:hAnsi="Times New Roman"/>
          <w:i/>
          <w:iCs/>
        </w:rPr>
        <w:t>see also</w:t>
      </w:r>
      <w:r>
        <w:rPr>
          <w:rFonts w:ascii="Times New Roman" w:hAnsi="Times New Roman"/>
        </w:rPr>
        <w:t xml:space="preserve"> Alec Stone Sweet &amp; Jud Matthews, </w:t>
      </w:r>
      <w:r>
        <w:rPr>
          <w:rFonts w:ascii="Times New Roman" w:hAnsi="Times New Roman"/>
          <w:i/>
          <w:iCs/>
        </w:rPr>
        <w:t>Proportionality Balancing and Global Constitutionalism</w:t>
      </w:r>
      <w:r>
        <w:rPr>
          <w:rFonts w:ascii="Times New Roman" w:hAnsi="Times New Roman"/>
        </w:rPr>
        <w:t xml:space="preserve">, 47 </w:t>
      </w:r>
      <w:r>
        <w:rPr>
          <w:rFonts w:ascii="Times New Roman" w:hAnsi="Times New Roman"/>
          <w:smallCaps/>
        </w:rPr>
        <w:t xml:space="preserve">Colum. J. </w:t>
      </w:r>
      <w:proofErr w:type="spellStart"/>
      <w:r>
        <w:rPr>
          <w:rFonts w:ascii="Times New Roman" w:hAnsi="Times New Roman"/>
          <w:smallCaps/>
        </w:rPr>
        <w:t>Transnat</w:t>
      </w:r>
      <w:r>
        <w:rPr>
          <w:rFonts w:ascii="Times New Roman" w:hAnsi="Times New Roman"/>
          <w:smallCaps/>
        </w:rPr>
        <w:t>’</w:t>
      </w:r>
      <w:r>
        <w:rPr>
          <w:rFonts w:ascii="Times New Roman" w:hAnsi="Times New Roman"/>
          <w:smallCaps/>
        </w:rPr>
        <w:t>l</w:t>
      </w:r>
      <w:proofErr w:type="spellEnd"/>
      <w:r>
        <w:rPr>
          <w:rFonts w:ascii="Times New Roman" w:hAnsi="Times New Roman"/>
          <w:smallCaps/>
        </w:rPr>
        <w:t xml:space="preserve"> L. </w:t>
      </w:r>
      <w:r>
        <w:rPr>
          <w:rFonts w:ascii="Times New Roman" w:hAnsi="Times New Roman"/>
        </w:rPr>
        <w:t xml:space="preserve">72, 75-76 (2008); </w:t>
      </w:r>
      <w:r>
        <w:rPr>
          <w:rFonts w:ascii="Times New Roman" w:hAnsi="Times New Roman"/>
          <w:smallCaps/>
        </w:rPr>
        <w:t>Webber</w:t>
      </w:r>
      <w:r>
        <w:rPr>
          <w:rFonts w:ascii="Times New Roman" w:hAnsi="Times New Roman"/>
        </w:rPr>
        <w:t xml:space="preserve"> </w:t>
      </w:r>
      <w:r>
        <w:rPr>
          <w:rFonts w:ascii="Times New Roman" w:hAnsi="Times New Roman"/>
          <w:smallCaps/>
        </w:rPr>
        <w:t>et al.</w:t>
      </w:r>
      <w:r>
        <w:rPr>
          <w:rFonts w:ascii="Times New Roman" w:hAnsi="Times New Roman"/>
        </w:rPr>
        <w:t xml:space="preserve">, </w:t>
      </w:r>
      <w:r>
        <w:rPr>
          <w:rFonts w:ascii="Times New Roman" w:hAnsi="Times New Roman"/>
          <w:i/>
          <w:iCs/>
        </w:rPr>
        <w:t xml:space="preserve">supra </w:t>
      </w:r>
      <w:r>
        <w:rPr>
          <w:rFonts w:ascii="Times New Roman" w:hAnsi="Times New Roman"/>
        </w:rPr>
        <w:t>note 57, at 198-99.</w:t>
      </w:r>
    </w:p>
  </w:footnote>
  <w:footnote w:id="135">
    <w:p w14:paraId="5C33C6A1" w14:textId="4C143354" w:rsidR="00357B22" w:rsidRDefault="00062FEC">
      <w:pPr>
        <w:pStyle w:val="Body"/>
        <w:jc w:val="both"/>
      </w:pPr>
      <w:r>
        <w:rPr>
          <w:vertAlign w:val="superscript"/>
          <w:lang w:val="en-US"/>
        </w:rPr>
        <w:footnoteRef/>
      </w:r>
      <w:r>
        <w:rPr>
          <w:sz w:val="20"/>
          <w:szCs w:val="20"/>
        </w:rPr>
        <w:t xml:space="preserve"> </w:t>
      </w:r>
      <w:r>
        <w:rPr>
          <w:sz w:val="20"/>
          <w:szCs w:val="20"/>
          <w:lang w:val="en-US"/>
        </w:rPr>
        <w:t>Throughout</w:t>
      </w:r>
      <w:r>
        <w:rPr>
          <w:sz w:val="20"/>
          <w:szCs w:val="20"/>
        </w:rPr>
        <w:t xml:space="preserve"> </w:t>
      </w:r>
      <w:r>
        <w:rPr>
          <w:i/>
          <w:iCs/>
          <w:sz w:val="20"/>
          <w:szCs w:val="20"/>
          <w:lang w:val="en-US"/>
        </w:rPr>
        <w:t>Legislated Rights</w:t>
      </w:r>
      <w:r>
        <w:rPr>
          <w:sz w:val="20"/>
          <w:szCs w:val="20"/>
        </w:rPr>
        <w:t>,</w:t>
      </w:r>
      <w:r>
        <w:rPr>
          <w:i/>
          <w:iCs/>
          <w:sz w:val="20"/>
          <w:szCs w:val="20"/>
        </w:rPr>
        <w:t xml:space="preserve"> </w:t>
      </w:r>
      <w:r>
        <w:rPr>
          <w:sz w:val="20"/>
          <w:szCs w:val="20"/>
          <w:lang w:val="en-US"/>
        </w:rPr>
        <w:t xml:space="preserve">Webber et al. identify Germany, Canada, the European Convention on Human Rights, and the United Kingdom as legal systems where this approach to rights is prominent. </w:t>
      </w:r>
      <w:r>
        <w:rPr>
          <w:i/>
          <w:iCs/>
          <w:sz w:val="20"/>
          <w:szCs w:val="20"/>
          <w:lang w:val="nl-NL"/>
        </w:rPr>
        <w:t xml:space="preserve">See </w:t>
      </w:r>
      <w:r>
        <w:rPr>
          <w:smallCaps/>
          <w:sz w:val="20"/>
          <w:szCs w:val="20"/>
        </w:rPr>
        <w:t>Webber et al.</w:t>
      </w:r>
      <w:r>
        <w:rPr>
          <w:sz w:val="20"/>
          <w:szCs w:val="20"/>
        </w:rPr>
        <w:t xml:space="preserve">, </w:t>
      </w:r>
      <w:r>
        <w:rPr>
          <w:i/>
          <w:iCs/>
          <w:sz w:val="20"/>
          <w:szCs w:val="20"/>
        </w:rPr>
        <w:t>supra</w:t>
      </w:r>
      <w:r>
        <w:rPr>
          <w:sz w:val="20"/>
          <w:szCs w:val="20"/>
          <w:lang w:val="en-US"/>
        </w:rPr>
        <w:t xml:space="preserve"> note 57</w:t>
      </w:r>
      <w:r>
        <w:rPr>
          <w:sz w:val="20"/>
          <w:szCs w:val="20"/>
        </w:rPr>
        <w:t>.</w:t>
      </w:r>
    </w:p>
  </w:footnote>
  <w:footnote w:id="136">
    <w:p w14:paraId="49580061" w14:textId="47E8D914" w:rsidR="00357B22" w:rsidRDefault="00062FEC">
      <w:pPr>
        <w:pStyle w:val="Body"/>
      </w:pPr>
      <w:r>
        <w:rPr>
          <w:vertAlign w:val="superscript"/>
          <w:lang w:val="en-US"/>
        </w:rPr>
        <w:footnoteRef/>
      </w:r>
      <w:r>
        <w:rPr>
          <w:rFonts w:eastAsia="Arial Unicode MS" w:cs="Arial Unicode MS"/>
          <w:sz w:val="20"/>
          <w:szCs w:val="20"/>
        </w:rPr>
        <w:t xml:space="preserve"> To </w:t>
      </w:r>
      <w:r>
        <w:rPr>
          <w:rFonts w:eastAsia="Arial Unicode MS" w:cs="Arial Unicode MS"/>
          <w:sz w:val="20"/>
          <w:szCs w:val="20"/>
          <w:lang w:val="it-IT"/>
        </w:rPr>
        <w:t>quote</w:t>
      </w:r>
      <w:r>
        <w:rPr>
          <w:rFonts w:eastAsia="Arial Unicode MS" w:cs="Arial Unicode MS"/>
          <w:sz w:val="20"/>
          <w:szCs w:val="20"/>
        </w:rPr>
        <w:t xml:space="preserve"> </w:t>
      </w:r>
      <w:r>
        <w:rPr>
          <w:rFonts w:eastAsia="Arial Unicode MS" w:cs="Arial Unicode MS"/>
          <w:sz w:val="20"/>
          <w:szCs w:val="20"/>
          <w:lang w:val="en-US"/>
        </w:rPr>
        <w:t xml:space="preserve">Kahn, it is possible to distinguish between analysis and critique of the </w:t>
      </w:r>
      <w:r>
        <w:rPr>
          <w:rFonts w:eastAsia="Arial Unicode MS" w:cs="Arial Unicode MS"/>
          <w:sz w:val="20"/>
          <w:szCs w:val="20"/>
          <w:rtl/>
          <w:lang w:val="ar-SA"/>
        </w:rPr>
        <w:t>“</w:t>
      </w:r>
      <w:r>
        <w:rPr>
          <w:rFonts w:eastAsia="Arial Unicode MS" w:cs="Arial Unicode MS"/>
          <w:sz w:val="20"/>
          <w:szCs w:val="20"/>
          <w:lang w:val="en-US"/>
        </w:rPr>
        <w:t xml:space="preserve">liberal state . . . liberal theory, or . . . something in-between that might be characterized as the self-understanding of those who operate in the liberal state, that is, the </w:t>
      </w:r>
      <w:r>
        <w:rPr>
          <w:rFonts w:eastAsia="Arial Unicode MS" w:cs="Arial Unicode MS"/>
          <w:sz w:val="20"/>
          <w:szCs w:val="20"/>
          <w:lang w:val="en-US"/>
        </w:rPr>
        <w:t>ethos of liberal constitutionalism.</w:t>
      </w:r>
      <w:r>
        <w:rPr>
          <w:rFonts w:eastAsia="Arial Unicode MS" w:cs="Arial Unicode MS"/>
          <w:sz w:val="20"/>
          <w:szCs w:val="20"/>
        </w:rPr>
        <w:t xml:space="preserve">” </w:t>
      </w:r>
      <w:r>
        <w:rPr>
          <w:rFonts w:eastAsia="Arial Unicode MS" w:cs="Arial Unicode MS"/>
          <w:smallCaps/>
          <w:sz w:val="20"/>
          <w:szCs w:val="20"/>
          <w:lang w:val="de-DE"/>
        </w:rPr>
        <w:t>Kahn</w:t>
      </w:r>
      <w:r>
        <w:rPr>
          <w:rFonts w:eastAsia="Arial Unicode MS" w:cs="Arial Unicode MS"/>
          <w:sz w:val="20"/>
          <w:szCs w:val="20"/>
        </w:rPr>
        <w:t xml:space="preserve">, </w:t>
      </w:r>
      <w:r>
        <w:rPr>
          <w:rFonts w:eastAsia="Arial Unicode MS" w:cs="Arial Unicode MS"/>
          <w:i/>
          <w:iCs/>
          <w:sz w:val="20"/>
          <w:szCs w:val="20"/>
        </w:rPr>
        <w:t xml:space="preserve">supra </w:t>
      </w:r>
      <w:r>
        <w:rPr>
          <w:rFonts w:eastAsia="Arial Unicode MS" w:cs="Arial Unicode MS"/>
          <w:sz w:val="20"/>
          <w:szCs w:val="20"/>
          <w:lang w:val="da-DK"/>
        </w:rPr>
        <w:t xml:space="preserve">note 38, at </w:t>
      </w:r>
      <w:r>
        <w:rPr>
          <w:rFonts w:eastAsia="Arial Unicode MS" w:cs="Arial Unicode MS"/>
          <w:sz w:val="20"/>
          <w:szCs w:val="20"/>
        </w:rPr>
        <w:t>148</w:t>
      </w:r>
      <w:r>
        <w:rPr>
          <w:rFonts w:eastAsia="Arial Unicode MS" w:cs="Arial Unicode MS"/>
          <w:sz w:val="20"/>
          <w:szCs w:val="20"/>
          <w:lang w:val="en-US"/>
        </w:rPr>
        <w:t xml:space="preserve">. Here we are more concerned with the latter. Whether liberal constitutionalism as practiced in apex constitutional courts and understood by officials and jurists, does not faithfully reflect </w:t>
      </w:r>
      <w:proofErr w:type="gramStart"/>
      <w:r>
        <w:rPr>
          <w:rFonts w:eastAsia="Arial Unicode MS" w:cs="Arial Unicode MS"/>
          <w:sz w:val="20"/>
          <w:szCs w:val="20"/>
          <w:lang w:val="en-US"/>
        </w:rPr>
        <w:t>some particular</w:t>
      </w:r>
      <w:proofErr w:type="gramEnd"/>
      <w:r>
        <w:rPr>
          <w:rFonts w:eastAsia="Arial Unicode MS" w:cs="Arial Unicode MS"/>
          <w:sz w:val="20"/>
          <w:szCs w:val="20"/>
          <w:lang w:val="en-US"/>
        </w:rPr>
        <w:t xml:space="preserve"> (and perhaps obscure) stripe of ideal-type liber</w:t>
      </w:r>
      <w:r>
        <w:rPr>
          <w:rFonts w:eastAsia="Arial Unicode MS" w:cs="Arial Unicode MS"/>
          <w:sz w:val="20"/>
          <w:szCs w:val="20"/>
          <w:lang w:val="en-US"/>
        </w:rPr>
        <w:t xml:space="preserve">al theory, is not our concern. </w:t>
      </w:r>
    </w:p>
  </w:footnote>
  <w:footnote w:id="137">
    <w:p w14:paraId="501366AC"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Id. </w:t>
      </w:r>
    </w:p>
  </w:footnote>
  <w:footnote w:id="138">
    <w:p w14:paraId="1356C1BC"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mallCaps/>
        </w:rPr>
        <w:t>Webber et al.</w:t>
      </w:r>
      <w:r>
        <w:rPr>
          <w:rFonts w:ascii="Times New Roman" w:hAnsi="Times New Roman"/>
        </w:rPr>
        <w:t xml:space="preserve">, </w:t>
      </w:r>
      <w:r>
        <w:rPr>
          <w:rFonts w:ascii="Times New Roman" w:hAnsi="Times New Roman"/>
          <w:i/>
          <w:iCs/>
        </w:rPr>
        <w:t xml:space="preserve">supra </w:t>
      </w:r>
      <w:r>
        <w:rPr>
          <w:rFonts w:ascii="Times New Roman" w:hAnsi="Times New Roman"/>
        </w:rPr>
        <w:t>note 57, at 130.</w:t>
      </w:r>
    </w:p>
  </w:footnote>
  <w:footnote w:id="139">
    <w:p w14:paraId="0252F655" w14:textId="4ADCB91E" w:rsidR="00357B22" w:rsidRDefault="00062FEC">
      <w:pPr>
        <w:pStyle w:val="Body"/>
      </w:pPr>
      <w:r>
        <w:rPr>
          <w:vertAlign w:val="superscript"/>
          <w:lang w:val="en-US"/>
        </w:rPr>
        <w:footnoteRef/>
      </w:r>
      <w:r>
        <w:rPr>
          <w:rFonts w:eastAsia="Arial Unicode MS" w:cs="Arial Unicode MS"/>
          <w:sz w:val="20"/>
          <w:szCs w:val="20"/>
          <w:lang w:val="en-US"/>
        </w:rPr>
        <w:t xml:space="preserve"> As Webber puts it, by </w:t>
      </w:r>
      <w:r>
        <w:rPr>
          <w:rFonts w:eastAsia="Arial Unicode MS" w:cs="Arial Unicode MS"/>
          <w:sz w:val="20"/>
          <w:szCs w:val="20"/>
          <w:rtl/>
          <w:lang w:val="ar-SA"/>
        </w:rPr>
        <w:t>“</w:t>
      </w:r>
      <w:r>
        <w:rPr>
          <w:rFonts w:eastAsia="Arial Unicode MS" w:cs="Arial Unicode MS"/>
          <w:sz w:val="20"/>
          <w:szCs w:val="20"/>
          <w:lang w:val="en-US"/>
        </w:rPr>
        <w:t xml:space="preserve">reading the </w:t>
      </w:r>
      <w:r>
        <w:rPr>
          <w:rFonts w:eastAsia="Arial Unicode MS" w:cs="Arial Unicode MS"/>
          <w:sz w:val="20"/>
          <w:szCs w:val="20"/>
          <w:rtl/>
        </w:rPr>
        <w:t>‘</w:t>
      </w:r>
      <w:r>
        <w:rPr>
          <w:rFonts w:eastAsia="Arial Unicode MS" w:cs="Arial Unicode MS"/>
          <w:sz w:val="20"/>
          <w:szCs w:val="20"/>
          <w:lang w:val="fr-FR"/>
        </w:rPr>
        <w:t>limitation</w:t>
      </w:r>
      <w:r>
        <w:rPr>
          <w:rFonts w:eastAsia="Arial Unicode MS" w:cs="Arial Unicode MS"/>
          <w:sz w:val="20"/>
          <w:szCs w:val="20"/>
          <w:rtl/>
        </w:rPr>
        <w:t xml:space="preserve">’ </w:t>
      </w:r>
      <w:r>
        <w:rPr>
          <w:rFonts w:eastAsia="Arial Unicode MS" w:cs="Arial Unicode MS"/>
          <w:sz w:val="20"/>
          <w:szCs w:val="20"/>
          <w:lang w:val="en-US"/>
        </w:rPr>
        <w:t xml:space="preserve">of a right as synonymous with the </w:t>
      </w:r>
      <w:r>
        <w:rPr>
          <w:rFonts w:eastAsia="Arial Unicode MS" w:cs="Arial Unicode MS"/>
          <w:sz w:val="20"/>
          <w:szCs w:val="20"/>
          <w:rtl/>
        </w:rPr>
        <w:t>‘</w:t>
      </w:r>
      <w:r>
        <w:rPr>
          <w:rFonts w:eastAsia="Arial Unicode MS" w:cs="Arial Unicode MS"/>
          <w:sz w:val="20"/>
          <w:szCs w:val="20"/>
        </w:rPr>
        <w:t>infringement</w:t>
      </w:r>
      <w:r>
        <w:rPr>
          <w:rFonts w:eastAsia="Arial Unicode MS" w:cs="Arial Unicode MS"/>
          <w:sz w:val="20"/>
          <w:szCs w:val="20"/>
          <w:rtl/>
        </w:rPr>
        <w:t xml:space="preserve">’ </w:t>
      </w:r>
      <w:r>
        <w:rPr>
          <w:rFonts w:eastAsia="Arial Unicode MS" w:cs="Arial Unicode MS"/>
          <w:sz w:val="20"/>
          <w:szCs w:val="20"/>
        </w:rPr>
        <w:t xml:space="preserve">or </w:t>
      </w:r>
      <w:r>
        <w:rPr>
          <w:rFonts w:eastAsia="Arial Unicode MS" w:cs="Arial Unicode MS"/>
          <w:sz w:val="20"/>
          <w:szCs w:val="20"/>
          <w:rtl/>
        </w:rPr>
        <w:t>‘</w:t>
      </w:r>
      <w:proofErr w:type="spellStart"/>
      <w:r>
        <w:rPr>
          <w:rFonts w:eastAsia="Arial Unicode MS" w:cs="Arial Unicode MS"/>
          <w:sz w:val="20"/>
          <w:szCs w:val="20"/>
          <w:lang w:val="nl-NL"/>
        </w:rPr>
        <w:t>overriding</w:t>
      </w:r>
      <w:proofErr w:type="spellEnd"/>
      <w:r>
        <w:rPr>
          <w:rFonts w:eastAsia="Arial Unicode MS" w:cs="Arial Unicode MS"/>
          <w:sz w:val="20"/>
          <w:szCs w:val="20"/>
          <w:rtl/>
        </w:rPr>
        <w:t xml:space="preserve">’ </w:t>
      </w:r>
      <w:r>
        <w:rPr>
          <w:rFonts w:eastAsia="Arial Unicode MS" w:cs="Arial Unicode MS"/>
          <w:sz w:val="20"/>
          <w:szCs w:val="20"/>
          <w:lang w:val="en-US"/>
        </w:rPr>
        <w:t>of a right,</w:t>
      </w:r>
      <w:r>
        <w:rPr>
          <w:rFonts w:eastAsia="Arial Unicode MS" w:cs="Arial Unicode MS"/>
          <w:sz w:val="20"/>
          <w:szCs w:val="20"/>
        </w:rPr>
        <w:t xml:space="preserve">” </w:t>
      </w:r>
      <w:r>
        <w:rPr>
          <w:rFonts w:eastAsia="Arial Unicode MS" w:cs="Arial Unicode MS"/>
          <w:sz w:val="20"/>
          <w:szCs w:val="20"/>
          <w:lang w:val="en-US"/>
        </w:rPr>
        <w:t xml:space="preserve">the contemporary approach to rights adjudication </w:t>
      </w:r>
      <w:r>
        <w:rPr>
          <w:rFonts w:eastAsia="Arial Unicode MS" w:cs="Arial Unicode MS"/>
          <w:sz w:val="20"/>
          <w:szCs w:val="20"/>
          <w:rtl/>
          <w:lang w:val="ar-SA"/>
        </w:rPr>
        <w:t>“</w:t>
      </w:r>
      <w:r>
        <w:rPr>
          <w:rFonts w:eastAsia="Arial Unicode MS" w:cs="Arial Unicode MS"/>
          <w:sz w:val="20"/>
          <w:szCs w:val="20"/>
          <w:lang w:val="en-US"/>
        </w:rPr>
        <w:t xml:space="preserve">characterizes a limitation clause as akin to . . . </w:t>
      </w:r>
      <w:r>
        <w:rPr>
          <w:rFonts w:eastAsia="Arial Unicode MS" w:cs="Arial Unicode MS"/>
          <w:sz w:val="20"/>
          <w:szCs w:val="20"/>
          <w:rtl/>
        </w:rPr>
        <w:t>‘</w:t>
      </w:r>
      <w:r>
        <w:rPr>
          <w:rFonts w:eastAsia="Arial Unicode MS" w:cs="Arial Unicode MS"/>
          <w:sz w:val="20"/>
          <w:szCs w:val="20"/>
          <w:lang w:val="en-US"/>
        </w:rPr>
        <w:t>savings clauses</w:t>
      </w:r>
      <w:r>
        <w:rPr>
          <w:rFonts w:eastAsia="Arial Unicode MS" w:cs="Arial Unicode MS"/>
          <w:sz w:val="20"/>
          <w:szCs w:val="20"/>
          <w:rtl/>
        </w:rPr>
        <w:t xml:space="preserve">’ </w:t>
      </w:r>
      <w:r>
        <w:rPr>
          <w:rFonts w:eastAsia="Arial Unicode MS" w:cs="Arial Unicode MS"/>
          <w:sz w:val="20"/>
          <w:szCs w:val="20"/>
          <w:lang w:val="en-US"/>
        </w:rPr>
        <w:t xml:space="preserve">or a </w:t>
      </w:r>
      <w:r>
        <w:rPr>
          <w:rFonts w:eastAsia="Arial Unicode MS" w:cs="Arial Unicode MS"/>
          <w:sz w:val="20"/>
          <w:szCs w:val="20"/>
          <w:rtl/>
        </w:rPr>
        <w:t>‘</w:t>
      </w:r>
      <w:r>
        <w:rPr>
          <w:rFonts w:eastAsia="Arial Unicode MS" w:cs="Arial Unicode MS"/>
          <w:sz w:val="20"/>
          <w:szCs w:val="20"/>
          <w:lang w:val="en-US"/>
        </w:rPr>
        <w:t>defence</w:t>
      </w:r>
      <w:r>
        <w:rPr>
          <w:rFonts w:eastAsia="Arial Unicode MS" w:cs="Arial Unicode MS"/>
          <w:sz w:val="20"/>
          <w:szCs w:val="20"/>
          <w:rtl/>
        </w:rPr>
        <w:t>’</w:t>
      </w:r>
      <w:r>
        <w:rPr>
          <w:rFonts w:eastAsia="Arial Unicode MS" w:cs="Arial Unicode MS"/>
          <w:sz w:val="20"/>
          <w:szCs w:val="20"/>
          <w:lang w:val="en-US"/>
        </w:rPr>
        <w:t xml:space="preserve">, whereby the infringement of a right may be saved or defended in the name of the public </w:t>
      </w:r>
      <w:proofErr w:type="gramStart"/>
      <w:r>
        <w:rPr>
          <w:rFonts w:eastAsia="Arial Unicode MS" w:cs="Arial Unicode MS"/>
          <w:sz w:val="20"/>
          <w:szCs w:val="20"/>
          <w:lang w:val="en-US"/>
        </w:rPr>
        <w:t xml:space="preserve">interest </w:t>
      </w:r>
      <w:r>
        <w:rPr>
          <w:rFonts w:eastAsia="Arial Unicode MS" w:cs="Arial Unicode MS"/>
          <w:sz w:val="20"/>
          <w:szCs w:val="20"/>
        </w:rPr>
        <w:t xml:space="preserve"> .</w:t>
      </w:r>
      <w:proofErr w:type="gramEnd"/>
      <w:r>
        <w:rPr>
          <w:rFonts w:eastAsia="Arial Unicode MS" w:cs="Arial Unicode MS"/>
          <w:sz w:val="20"/>
          <w:szCs w:val="20"/>
        </w:rPr>
        <w:t xml:space="preserve"> ...</w:t>
      </w:r>
      <w:r>
        <w:rPr>
          <w:rFonts w:eastAsia="Arial Unicode MS" w:cs="Arial Unicode MS"/>
          <w:sz w:val="20"/>
          <w:szCs w:val="20"/>
          <w:lang w:val="en-US"/>
        </w:rPr>
        <w:t xml:space="preserve"> The result is an expansive reading of all rights</w:t>
      </w:r>
      <w:r>
        <w:rPr>
          <w:rFonts w:eastAsia="Arial Unicode MS" w:cs="Arial Unicode MS"/>
          <w:sz w:val="20"/>
          <w:szCs w:val="20"/>
        </w:rPr>
        <w:t xml:space="preserve">” </w:t>
      </w:r>
      <w:r>
        <w:rPr>
          <w:rFonts w:eastAsia="Arial Unicode MS" w:cs="Arial Unicode MS"/>
          <w:sz w:val="20"/>
          <w:szCs w:val="20"/>
          <w:lang w:val="en-US"/>
        </w:rPr>
        <w:t xml:space="preserve">and </w:t>
      </w:r>
      <w:r>
        <w:rPr>
          <w:rFonts w:eastAsia="Arial Unicode MS" w:cs="Arial Unicode MS"/>
          <w:sz w:val="20"/>
          <w:szCs w:val="20"/>
          <w:rtl/>
          <w:lang w:val="ar-SA"/>
        </w:rPr>
        <w:t>“</w:t>
      </w:r>
      <w:r>
        <w:rPr>
          <w:rFonts w:eastAsia="Arial Unicode MS" w:cs="Arial Unicode MS"/>
          <w:sz w:val="20"/>
          <w:szCs w:val="20"/>
          <w:lang w:val="en-US"/>
        </w:rPr>
        <w:t xml:space="preserve">the frequent infringement of rights by the State in pursuit of the public </w:t>
      </w:r>
      <w:r>
        <w:rPr>
          <w:rFonts w:eastAsia="Arial Unicode MS" w:cs="Arial Unicode MS"/>
          <w:sz w:val="20"/>
          <w:szCs w:val="20"/>
          <w:lang w:val="en-US"/>
        </w:rPr>
        <w:t>interest.</w:t>
      </w:r>
      <w:r>
        <w:rPr>
          <w:rFonts w:eastAsia="Arial Unicode MS" w:cs="Arial Unicode MS"/>
          <w:sz w:val="20"/>
          <w:szCs w:val="20"/>
        </w:rPr>
        <w:t xml:space="preserve">” </w:t>
      </w:r>
      <w:r>
        <w:rPr>
          <w:rFonts w:eastAsia="Arial Unicode MS" w:cs="Arial Unicode MS"/>
          <w:smallCaps/>
          <w:sz w:val="20"/>
          <w:szCs w:val="20"/>
        </w:rPr>
        <w:t>Gr</w:t>
      </w:r>
      <w:r>
        <w:rPr>
          <w:rFonts w:eastAsia="Arial Unicode MS" w:cs="Arial Unicode MS"/>
          <w:smallCaps/>
          <w:sz w:val="20"/>
          <w:szCs w:val="20"/>
          <w:lang w:val="fr-FR"/>
        </w:rPr>
        <w:t>é</w:t>
      </w:r>
      <w:proofErr w:type="spellStart"/>
      <w:r>
        <w:rPr>
          <w:rFonts w:eastAsia="Arial Unicode MS" w:cs="Arial Unicode MS"/>
          <w:smallCaps/>
          <w:sz w:val="20"/>
          <w:szCs w:val="20"/>
          <w:lang w:val="en-US"/>
        </w:rPr>
        <w:t>goire</w:t>
      </w:r>
      <w:proofErr w:type="spellEnd"/>
      <w:r>
        <w:rPr>
          <w:rFonts w:eastAsia="Arial Unicode MS" w:cs="Arial Unicode MS"/>
          <w:smallCaps/>
          <w:sz w:val="20"/>
          <w:szCs w:val="20"/>
          <w:lang w:val="en-US"/>
        </w:rPr>
        <w:t xml:space="preserve"> C. N. Webber, The Negotiable Constitution: On the Limitation of Rights</w:t>
      </w:r>
      <w:r>
        <w:rPr>
          <w:rFonts w:eastAsia="Arial Unicode MS" w:cs="Arial Unicode MS"/>
          <w:sz w:val="20"/>
          <w:szCs w:val="20"/>
        </w:rPr>
        <w:t xml:space="preserve"> 56 (2009).</w:t>
      </w:r>
    </w:p>
  </w:footnote>
  <w:footnote w:id="140">
    <w:p w14:paraId="43C0D4B9"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Finnis puts this well when he argues that the </w:t>
      </w:r>
      <w:r>
        <w:rPr>
          <w:rFonts w:ascii="Times New Roman" w:hAnsi="Times New Roman"/>
        </w:rPr>
        <w:t>“</w:t>
      </w:r>
      <w:r>
        <w:rPr>
          <w:rFonts w:ascii="Times New Roman" w:hAnsi="Times New Roman"/>
        </w:rPr>
        <w:t xml:space="preserve">language of </w:t>
      </w:r>
      <w:r>
        <w:rPr>
          <w:rFonts w:ascii="Times New Roman" w:hAnsi="Times New Roman"/>
        </w:rPr>
        <w:t>‘</w:t>
      </w:r>
      <w:r>
        <w:rPr>
          <w:rFonts w:ascii="Times New Roman" w:hAnsi="Times New Roman"/>
        </w:rPr>
        <w:t>interference</w:t>
      </w:r>
      <w:r>
        <w:rPr>
          <w:rFonts w:ascii="Times New Roman" w:hAnsi="Times New Roman"/>
        </w:rPr>
        <w:t xml:space="preserve">’ </w:t>
      </w:r>
      <w:r>
        <w:rPr>
          <w:rFonts w:ascii="Times New Roman" w:hAnsi="Times New Roman"/>
        </w:rPr>
        <w:t>with exercises</w:t>
      </w:r>
      <w:r>
        <w:rPr>
          <w:rFonts w:ascii="Times New Roman" w:hAnsi="Times New Roman"/>
        </w:rPr>
        <w:t xml:space="preserve">” </w:t>
      </w:r>
      <w:r>
        <w:rPr>
          <w:rFonts w:ascii="Times New Roman" w:hAnsi="Times New Roman"/>
        </w:rPr>
        <w:t xml:space="preserve">of human rights provisions often </w:t>
      </w:r>
      <w:r>
        <w:rPr>
          <w:rFonts w:ascii="Times New Roman" w:hAnsi="Times New Roman"/>
        </w:rPr>
        <w:t>“</w:t>
      </w:r>
      <w:r>
        <w:rPr>
          <w:rFonts w:ascii="Times New Roman" w:hAnsi="Times New Roman"/>
        </w:rPr>
        <w:t xml:space="preserve">carries an inappropriate implication: that when I am arrested in my cellar for making drugs, bombs, or freeze-proofed wines down there, the unwelcome irruption is not merely into my privacy but also into my exercise of my </w:t>
      </w:r>
      <w:r>
        <w:rPr>
          <w:rFonts w:ascii="Times New Roman" w:hAnsi="Times New Roman"/>
        </w:rPr>
        <w:t>right. Would it not be more accurate to say that in such use of my cellar, I take myself outside the true ambit of my right? The limitations indicated by . . . references to public health, prevention of crime, and so on, are limitations which specify the l</w:t>
      </w:r>
      <w:r>
        <w:rPr>
          <w:rFonts w:ascii="Times New Roman" w:hAnsi="Times New Roman"/>
        </w:rPr>
        <w:t>imits of my right; they are in fact a part</w:t>
      </w:r>
      <w:r>
        <w:rPr>
          <w:rFonts w:ascii="Times New Roman" w:hAnsi="Times New Roman"/>
        </w:rPr>
        <w:t>—</w:t>
      </w:r>
      <w:r>
        <w:rPr>
          <w:rFonts w:ascii="Times New Roman" w:hAnsi="Times New Roman"/>
        </w:rPr>
        <w:t>or at least a compendious reference to an intrinsic part</w:t>
      </w:r>
      <w:r>
        <w:rPr>
          <w:rFonts w:ascii="Times New Roman" w:hAnsi="Times New Roman"/>
        </w:rPr>
        <w:t>—</w:t>
      </w:r>
      <w:r>
        <w:rPr>
          <w:rFonts w:ascii="Times New Roman" w:hAnsi="Times New Roman"/>
        </w:rPr>
        <w:t>of the right's own definition.</w:t>
      </w:r>
      <w:r>
        <w:rPr>
          <w:rFonts w:ascii="Times New Roman" w:hAnsi="Times New Roman"/>
        </w:rPr>
        <w:t xml:space="preserve">” </w:t>
      </w:r>
      <w:r>
        <w:rPr>
          <w:rFonts w:ascii="Times New Roman" w:hAnsi="Times New Roman"/>
          <w:smallCaps/>
        </w:rPr>
        <w:t>John</w:t>
      </w:r>
      <w:r>
        <w:rPr>
          <w:rFonts w:ascii="Times New Roman" w:hAnsi="Times New Roman"/>
          <w:smallCaps/>
        </w:rPr>
        <w:t xml:space="preserve"> </w:t>
      </w:r>
      <w:r>
        <w:rPr>
          <w:rFonts w:ascii="Times New Roman" w:hAnsi="Times New Roman"/>
          <w:smallCaps/>
        </w:rPr>
        <w:t>Finnis</w:t>
      </w:r>
      <w:r>
        <w:rPr>
          <w:rFonts w:ascii="Times New Roman" w:hAnsi="Times New Roman"/>
        </w:rPr>
        <w:t xml:space="preserve">, </w:t>
      </w:r>
      <w:r>
        <w:rPr>
          <w:rFonts w:ascii="Times New Roman" w:hAnsi="Times New Roman"/>
          <w:i/>
          <w:iCs/>
        </w:rPr>
        <w:t>Human Rights and Their Enforcement</w:t>
      </w:r>
      <w:r>
        <w:rPr>
          <w:rFonts w:ascii="Times New Roman" w:hAnsi="Times New Roman"/>
        </w:rPr>
        <w:t>,</w:t>
      </w:r>
      <w:r>
        <w:rPr>
          <w:rFonts w:ascii="Times New Roman" w:hAnsi="Times New Roman"/>
          <w:i/>
          <w:iCs/>
        </w:rPr>
        <w:t xml:space="preserve"> in</w:t>
      </w:r>
      <w:r>
        <w:rPr>
          <w:rFonts w:ascii="Times New Roman" w:hAnsi="Times New Roman"/>
        </w:rPr>
        <w:t xml:space="preserve"> </w:t>
      </w:r>
      <w:r>
        <w:rPr>
          <w:rFonts w:ascii="Times New Roman" w:hAnsi="Times New Roman"/>
          <w:smallCaps/>
        </w:rPr>
        <w:t>Human Rights and Common Good: Collected Essays Volume III</w:t>
      </w:r>
      <w:r>
        <w:rPr>
          <w:rFonts w:ascii="Times New Roman" w:hAnsi="Times New Roman"/>
        </w:rPr>
        <w:t xml:space="preserve"> 40 (2011). </w:t>
      </w:r>
    </w:p>
  </w:footnote>
  <w:footnote w:id="141">
    <w:p w14:paraId="57AD9FBD"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George </w:t>
      </w:r>
      <w:proofErr w:type="spellStart"/>
      <w:r>
        <w:rPr>
          <w:rFonts w:ascii="Times New Roman" w:hAnsi="Times New Roman"/>
        </w:rPr>
        <w:t>Letsas</w:t>
      </w:r>
      <w:proofErr w:type="spellEnd"/>
      <w:r>
        <w:rPr>
          <w:rFonts w:ascii="Times New Roman" w:hAnsi="Times New Roman"/>
        </w:rPr>
        <w:t>,</w:t>
      </w:r>
      <w:r>
        <w:rPr>
          <w:rFonts w:ascii="Times New Roman" w:hAnsi="Times New Roman"/>
          <w:i/>
          <w:iCs/>
        </w:rPr>
        <w:t xml:space="preserve"> Two Concepts of the Margin of Appreciation</w:t>
      </w:r>
      <w:r>
        <w:rPr>
          <w:rFonts w:ascii="Times New Roman" w:hAnsi="Times New Roman"/>
        </w:rPr>
        <w:t>,</w:t>
      </w:r>
      <w:r>
        <w:rPr>
          <w:rFonts w:ascii="Times New Roman" w:hAnsi="Times New Roman"/>
          <w:i/>
          <w:iCs/>
        </w:rPr>
        <w:t xml:space="preserve"> </w:t>
      </w:r>
      <w:r>
        <w:rPr>
          <w:rFonts w:ascii="Times New Roman" w:hAnsi="Times New Roman"/>
        </w:rPr>
        <w:t xml:space="preserve">26 </w:t>
      </w:r>
      <w:r>
        <w:rPr>
          <w:rFonts w:ascii="Times New Roman" w:hAnsi="Times New Roman"/>
          <w:smallCaps/>
        </w:rPr>
        <w:t>Oxford</w:t>
      </w:r>
      <w:r>
        <w:rPr>
          <w:rFonts w:ascii="Times New Roman" w:hAnsi="Times New Roman"/>
        </w:rPr>
        <w:t xml:space="preserve"> </w:t>
      </w:r>
      <w:r>
        <w:rPr>
          <w:rFonts w:ascii="Times New Roman" w:hAnsi="Times New Roman"/>
          <w:smallCaps/>
        </w:rPr>
        <w:t>J.L. Stud.</w:t>
      </w:r>
      <w:r>
        <w:rPr>
          <w:rFonts w:ascii="Times New Roman" w:hAnsi="Times New Roman"/>
        </w:rPr>
        <w:t xml:space="preserve"> 705, 709-710 (2006).</w:t>
      </w:r>
    </w:p>
  </w:footnote>
  <w:footnote w:id="142">
    <w:p w14:paraId="3AD60108" w14:textId="7F75FFC2" w:rsidR="00357B22" w:rsidRDefault="00062FEC">
      <w:pPr>
        <w:pStyle w:val="Body"/>
      </w:pPr>
      <w:r>
        <w:rPr>
          <w:vertAlign w:val="superscript"/>
          <w:lang w:val="en-US"/>
        </w:rPr>
        <w:footnoteRef/>
      </w:r>
      <w:r>
        <w:rPr>
          <w:rFonts w:eastAsia="Arial Unicode MS" w:cs="Arial Unicode MS"/>
          <w:sz w:val="20"/>
          <w:szCs w:val="20"/>
          <w:lang w:val="en-US"/>
        </w:rPr>
        <w:t xml:space="preserve"> A polity that governs without concern for justice, Augustine famously remarked, is akin to rule by robber bands</w:t>
      </w:r>
      <w:r>
        <w:rPr>
          <w:rFonts w:eastAsia="Arial Unicode MS" w:cs="Arial Unicode MS"/>
          <w:sz w:val="20"/>
          <w:szCs w:val="20"/>
          <w:lang w:val="en-US"/>
        </w:rPr>
        <w:t xml:space="preserve"> or </w:t>
      </w:r>
      <w:r>
        <w:rPr>
          <w:rFonts w:eastAsia="Arial Unicode MS" w:cs="Arial Unicode MS"/>
          <w:sz w:val="20"/>
          <w:szCs w:val="20"/>
          <w:lang w:val="en-US"/>
        </w:rPr>
        <w:t>“</w:t>
      </w:r>
      <w:r>
        <w:rPr>
          <w:rFonts w:eastAsia="Arial Unicode MS" w:cs="Arial Unicode MS"/>
          <w:sz w:val="20"/>
          <w:szCs w:val="20"/>
          <w:lang w:val="en-US"/>
        </w:rPr>
        <w:t xml:space="preserve">criminal </w:t>
      </w:r>
      <w:r>
        <w:rPr>
          <w:rFonts w:eastAsia="Arial Unicode MS" w:cs="Arial Unicode MS"/>
          <w:sz w:val="20"/>
          <w:szCs w:val="20"/>
          <w:lang w:val="en-US"/>
        </w:rPr>
        <w:t>gangs</w:t>
      </w:r>
      <w:r>
        <w:rPr>
          <w:rFonts w:eastAsia="Arial Unicode MS" w:cs="Arial Unicode MS"/>
          <w:sz w:val="20"/>
          <w:szCs w:val="20"/>
          <w:lang w:val="en-US"/>
        </w:rPr>
        <w:t>”</w:t>
      </w:r>
      <w:r>
        <w:rPr>
          <w:rFonts w:eastAsia="Arial Unicode MS" w:cs="Arial Unicode MS"/>
          <w:sz w:val="20"/>
          <w:szCs w:val="20"/>
          <w:lang w:val="en-US"/>
        </w:rPr>
        <w:t xml:space="preserve"> on a grander scale. </w:t>
      </w:r>
      <w:r>
        <w:rPr>
          <w:rFonts w:eastAsia="Arial Unicode MS" w:cs="Arial Unicode MS"/>
          <w:i/>
          <w:iCs/>
          <w:sz w:val="20"/>
          <w:szCs w:val="20"/>
          <w:lang w:val="nl-NL"/>
        </w:rPr>
        <w:t xml:space="preserve">See </w:t>
      </w:r>
      <w:proofErr w:type="spellStart"/>
      <w:r>
        <w:rPr>
          <w:rFonts w:eastAsia="Arial Unicode MS" w:cs="Arial Unicode MS"/>
          <w:smallCaps/>
          <w:sz w:val="20"/>
          <w:szCs w:val="20"/>
          <w:lang w:val="pt-PT"/>
        </w:rPr>
        <w:t>Augustine</w:t>
      </w:r>
      <w:proofErr w:type="spellEnd"/>
      <w:r>
        <w:rPr>
          <w:rFonts w:eastAsia="Arial Unicode MS" w:cs="Arial Unicode MS"/>
          <w:smallCaps/>
          <w:sz w:val="20"/>
          <w:szCs w:val="20"/>
          <w:lang w:val="pt-PT"/>
        </w:rPr>
        <w:t xml:space="preserve">, </w:t>
      </w:r>
      <w:r>
        <w:rPr>
          <w:rFonts w:eastAsia="Arial Unicode MS" w:cs="Arial Unicode MS"/>
          <w:smallCaps/>
          <w:sz w:val="20"/>
          <w:szCs w:val="20"/>
          <w:lang w:val="en-US"/>
        </w:rPr>
        <w:t>City of God</w:t>
      </w:r>
      <w:r>
        <w:rPr>
          <w:rFonts w:eastAsia="Arial Unicode MS" w:cs="Arial Unicode MS"/>
          <w:sz w:val="20"/>
          <w:szCs w:val="20"/>
          <w:lang w:val="en-US"/>
        </w:rPr>
        <w:t xml:space="preserve"> 139 </w:t>
      </w:r>
      <w:r>
        <w:rPr>
          <w:rFonts w:eastAsia="Arial Unicode MS" w:cs="Arial Unicode MS"/>
          <w:sz w:val="20"/>
          <w:szCs w:val="20"/>
          <w:lang w:val="en-US"/>
        </w:rPr>
        <w:t xml:space="preserve">(Henry </w:t>
      </w:r>
      <w:proofErr w:type="spellStart"/>
      <w:r>
        <w:rPr>
          <w:rFonts w:eastAsia="Arial Unicode MS" w:cs="Arial Unicode MS"/>
          <w:sz w:val="20"/>
          <w:szCs w:val="20"/>
          <w:lang w:val="en-US"/>
        </w:rPr>
        <w:t>Bettenson</w:t>
      </w:r>
      <w:proofErr w:type="spellEnd"/>
      <w:r>
        <w:rPr>
          <w:rFonts w:eastAsia="Arial Unicode MS" w:cs="Arial Unicode MS"/>
          <w:sz w:val="20"/>
          <w:szCs w:val="20"/>
          <w:lang w:val="en-US"/>
        </w:rPr>
        <w:t xml:space="preserve"> trans., Penguin Classics 2003); </w:t>
      </w:r>
      <w:proofErr w:type="spellStart"/>
      <w:r>
        <w:rPr>
          <w:rFonts w:eastAsia="Arial Unicode MS" w:cs="Arial Unicode MS"/>
          <w:smallCaps/>
          <w:sz w:val="20"/>
          <w:szCs w:val="20"/>
          <w:lang w:val="it-IT"/>
        </w:rPr>
        <w:t>Rommen</w:t>
      </w:r>
      <w:proofErr w:type="spellEnd"/>
      <w:r>
        <w:rPr>
          <w:rFonts w:eastAsia="Arial Unicode MS" w:cs="Arial Unicode MS"/>
          <w:sz w:val="20"/>
          <w:szCs w:val="20"/>
        </w:rPr>
        <w:t xml:space="preserve">, </w:t>
      </w:r>
      <w:r>
        <w:rPr>
          <w:rFonts w:eastAsia="Arial Unicode MS" w:cs="Arial Unicode MS"/>
          <w:i/>
          <w:iCs/>
          <w:sz w:val="20"/>
          <w:szCs w:val="20"/>
        </w:rPr>
        <w:t xml:space="preserve">supra </w:t>
      </w:r>
      <w:r>
        <w:rPr>
          <w:rFonts w:eastAsia="Arial Unicode MS" w:cs="Arial Unicode MS"/>
          <w:sz w:val="20"/>
          <w:szCs w:val="20"/>
          <w:lang w:val="en-US"/>
        </w:rPr>
        <w:t xml:space="preserve">note </w:t>
      </w:r>
      <w:r>
        <w:rPr>
          <w:rFonts w:eastAsia="Arial Unicode MS" w:cs="Arial Unicode MS"/>
          <w:sz w:val="20"/>
          <w:szCs w:val="20"/>
        </w:rPr>
        <w:t>21</w:t>
      </w:r>
      <w:r>
        <w:rPr>
          <w:rFonts w:eastAsia="Arial Unicode MS" w:cs="Arial Unicode MS"/>
          <w:sz w:val="20"/>
          <w:szCs w:val="20"/>
          <w:lang w:val="da-DK"/>
        </w:rPr>
        <w:t xml:space="preserve">, at </w:t>
      </w:r>
      <w:r>
        <w:rPr>
          <w:rFonts w:eastAsia="Arial Unicode MS" w:cs="Arial Unicode MS"/>
          <w:sz w:val="20"/>
          <w:szCs w:val="20"/>
        </w:rPr>
        <w:t>21</w:t>
      </w:r>
      <w:r>
        <w:rPr>
          <w:rFonts w:eastAsia="Arial Unicode MS" w:cs="Arial Unicode MS"/>
          <w:sz w:val="20"/>
          <w:szCs w:val="20"/>
        </w:rPr>
        <w:t>.</w:t>
      </w:r>
    </w:p>
  </w:footnote>
  <w:footnote w:id="143">
    <w:p w14:paraId="3EF274E9" w14:textId="0EBCCFEA"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See</w:t>
      </w:r>
      <w:r>
        <w:rPr>
          <w:rFonts w:ascii="Times New Roman" w:hAnsi="Times New Roman"/>
        </w:rPr>
        <w:t xml:space="preserve"> Vermeule, </w:t>
      </w:r>
      <w:r>
        <w:rPr>
          <w:rFonts w:ascii="Times New Roman" w:hAnsi="Times New Roman"/>
          <w:i/>
          <w:iCs/>
        </w:rPr>
        <w:t>Echoes</w:t>
      </w:r>
      <w:r>
        <w:rPr>
          <w:rFonts w:ascii="Times New Roman" w:hAnsi="Times New Roman"/>
        </w:rPr>
        <w:t xml:space="preserve">, </w:t>
      </w:r>
      <w:r>
        <w:rPr>
          <w:rFonts w:ascii="Times New Roman" w:hAnsi="Times New Roman"/>
          <w:i/>
          <w:iCs/>
        </w:rPr>
        <w:t>supra</w:t>
      </w:r>
      <w:r>
        <w:rPr>
          <w:rFonts w:ascii="Times New Roman" w:hAnsi="Times New Roman"/>
        </w:rPr>
        <w:t xml:space="preserve"> note 30, at </w:t>
      </w:r>
      <w:r>
        <w:rPr>
          <w:rFonts w:ascii="Times New Roman" w:hAnsi="Times New Roman"/>
        </w:rPr>
        <w:t>90-92</w:t>
      </w:r>
      <w:r>
        <w:rPr>
          <w:rFonts w:ascii="Times New Roman" w:hAnsi="Times New Roman"/>
        </w:rPr>
        <w:t>.</w:t>
      </w:r>
    </w:p>
  </w:footnote>
  <w:footnote w:id="144">
    <w:p w14:paraId="767BE2C9"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proofErr w:type="spellStart"/>
      <w:r>
        <w:rPr>
          <w:rFonts w:ascii="Times New Roman" w:hAnsi="Times New Roman"/>
          <w:smallCaps/>
        </w:rPr>
        <w:t>Rommen</w:t>
      </w:r>
      <w:proofErr w:type="spellEnd"/>
      <w:r>
        <w:rPr>
          <w:rFonts w:ascii="Times New Roman" w:hAnsi="Times New Roman"/>
        </w:rPr>
        <w:t xml:space="preserve">, </w:t>
      </w:r>
      <w:r>
        <w:rPr>
          <w:rFonts w:ascii="Times New Roman" w:hAnsi="Times New Roman"/>
          <w:i/>
          <w:iCs/>
        </w:rPr>
        <w:t>supra</w:t>
      </w:r>
      <w:r>
        <w:rPr>
          <w:rFonts w:ascii="Times New Roman" w:hAnsi="Times New Roman"/>
        </w:rPr>
        <w:t xml:space="preserve"> note 28, at</w:t>
      </w:r>
      <w:r>
        <w:rPr>
          <w:rFonts w:ascii="Times New Roman" w:hAnsi="Times New Roman"/>
          <w:i/>
          <w:iCs/>
        </w:rPr>
        <w:t xml:space="preserve"> </w:t>
      </w:r>
      <w:r>
        <w:rPr>
          <w:rFonts w:ascii="Times New Roman" w:hAnsi="Times New Roman"/>
        </w:rPr>
        <w:t xml:space="preserve">210. </w:t>
      </w:r>
    </w:p>
  </w:footnote>
  <w:footnote w:id="145">
    <w:p w14:paraId="09B8388D"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i/>
          <w:iCs/>
        </w:rPr>
        <w:t xml:space="preserve"> See id.</w:t>
      </w:r>
      <w:r>
        <w:rPr>
          <w:rFonts w:ascii="Times New Roman" w:hAnsi="Times New Roman"/>
        </w:rPr>
        <w:t xml:space="preserve"> at 212.</w:t>
      </w:r>
    </w:p>
  </w:footnote>
  <w:footnote w:id="146">
    <w:p w14:paraId="7B5E32B0"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i/>
          <w:iCs/>
        </w:rPr>
        <w:t xml:space="preserve">See </w:t>
      </w:r>
      <w:r>
        <w:rPr>
          <w:rFonts w:ascii="Times New Roman" w:hAnsi="Times New Roman"/>
        </w:rPr>
        <w:t xml:space="preserve">Adrian Vermeule, </w:t>
      </w:r>
      <w:r>
        <w:rPr>
          <w:rFonts w:ascii="Times New Roman" w:hAnsi="Times New Roman"/>
          <w:i/>
          <w:iCs/>
        </w:rPr>
        <w:t>Common-Good Constitutionalism: A Model Opinion</w:t>
      </w:r>
      <w:r>
        <w:rPr>
          <w:rFonts w:ascii="Times New Roman" w:hAnsi="Times New Roman"/>
        </w:rPr>
        <w:t>, I</w:t>
      </w:r>
      <w:r>
        <w:rPr>
          <w:rFonts w:ascii="Times New Roman" w:hAnsi="Times New Roman"/>
          <w:smallCaps/>
        </w:rPr>
        <w:t>us &amp; Iustitium</w:t>
      </w:r>
      <w:r>
        <w:rPr>
          <w:rFonts w:ascii="Times New Roman" w:hAnsi="Times New Roman"/>
        </w:rPr>
        <w:t xml:space="preserve"> </w:t>
      </w:r>
      <w:r>
        <w:rPr>
          <w:rFonts w:ascii="Times New Roman" w:hAnsi="Times New Roman"/>
        </w:rPr>
        <w:t>(June 17, 2020</w:t>
      </w:r>
      <w:proofErr w:type="gramStart"/>
      <w:r>
        <w:rPr>
          <w:rFonts w:ascii="Times New Roman" w:hAnsi="Times New Roman"/>
        </w:rPr>
        <w:t xml:space="preserve">), </w:t>
      </w:r>
      <w:r>
        <w:rPr>
          <w:rFonts w:eastAsia="Arial Unicode MS" w:cs="Arial Unicode MS"/>
        </w:rPr>
        <w:t xml:space="preserve"> </w:t>
      </w:r>
      <w:r>
        <w:rPr>
          <w:rFonts w:ascii="Times New Roman" w:hAnsi="Times New Roman"/>
        </w:rPr>
        <w:t>https://iusetiustitium.com/common-good-constitutionalism-a-model-opinion/</w:t>
      </w:r>
      <w:proofErr w:type="gramEnd"/>
      <w:r>
        <w:rPr>
          <w:rFonts w:ascii="Times New Roman" w:hAnsi="Times New Roman"/>
        </w:rPr>
        <w:t xml:space="preserve"> [https://perma.cc/B7EB-UN3H]</w:t>
      </w:r>
      <w:r>
        <w:rPr>
          <w:rFonts w:ascii="Times New Roman" w:hAnsi="Times New Roman"/>
        </w:rPr>
        <w:t xml:space="preserve">; Adrian Vermeule, </w:t>
      </w:r>
      <w:r>
        <w:rPr>
          <w:rFonts w:ascii="Times New Roman" w:hAnsi="Times New Roman"/>
          <w:i/>
          <w:iCs/>
        </w:rPr>
        <w:t xml:space="preserve">A </w:t>
      </w:r>
      <w:r>
        <w:rPr>
          <w:rFonts w:ascii="Times New Roman" w:hAnsi="Times New Roman"/>
        </w:rPr>
        <w:t>Euclid</w:t>
      </w:r>
      <w:r>
        <w:rPr>
          <w:rFonts w:ascii="Times New Roman" w:hAnsi="Times New Roman"/>
          <w:i/>
          <w:iCs/>
        </w:rPr>
        <w:t xml:space="preserve"> for Civil Liberties</w:t>
      </w:r>
      <w:r>
        <w:rPr>
          <w:rFonts w:ascii="Times New Roman" w:hAnsi="Times New Roman"/>
        </w:rPr>
        <w:t>, I</w:t>
      </w:r>
      <w:r>
        <w:rPr>
          <w:rFonts w:ascii="Times New Roman" w:hAnsi="Times New Roman"/>
          <w:smallCaps/>
        </w:rPr>
        <w:t>us &amp; Iustitium</w:t>
      </w:r>
      <w:r>
        <w:rPr>
          <w:rFonts w:ascii="Times New Roman" w:hAnsi="Times New Roman"/>
        </w:rPr>
        <w:t xml:space="preserve"> (Oct. 30, 2020), </w:t>
      </w:r>
      <w:r>
        <w:rPr>
          <w:rStyle w:val="Link"/>
          <w:rFonts w:ascii="Times New Roman" w:hAnsi="Times New Roman"/>
          <w:color w:val="000000"/>
          <w:u w:color="000000"/>
        </w:rPr>
        <w:t>https://iusetiustitium.com/a-euclid-for-civil-liberties/</w:t>
      </w:r>
      <w:r>
        <w:rPr>
          <w:rFonts w:ascii="Times New Roman" w:hAnsi="Times New Roman"/>
        </w:rPr>
        <w:t xml:space="preserve"> [https://perma.</w:t>
      </w:r>
      <w:r>
        <w:rPr>
          <w:rFonts w:ascii="Times New Roman" w:hAnsi="Times New Roman"/>
        </w:rPr>
        <w:t>cc/Y75H-XCSQ]</w:t>
      </w:r>
      <w:r>
        <w:rPr>
          <w:rFonts w:ascii="Times New Roman" w:hAnsi="Times New Roman"/>
        </w:rPr>
        <w:t xml:space="preserve">. </w:t>
      </w:r>
    </w:p>
  </w:footnote>
  <w:footnote w:id="147">
    <w:p w14:paraId="67CB965A" w14:textId="0DCB983E"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rPr>
        <w:t>id.</w:t>
      </w:r>
    </w:p>
  </w:footnote>
  <w:footnote w:id="148">
    <w:p w14:paraId="0853E3D3" w14:textId="569C3CF7" w:rsidR="00357B22" w:rsidRDefault="00062FEC">
      <w:pPr>
        <w:pStyle w:val="Body"/>
      </w:pPr>
      <w:r>
        <w:rPr>
          <w:vertAlign w:val="superscript"/>
          <w:lang w:val="en-US"/>
        </w:rPr>
        <w:footnoteRef/>
      </w:r>
      <w:r>
        <w:rPr>
          <w:rFonts w:eastAsia="Arial Unicode MS" w:cs="Arial Unicode MS"/>
          <w:sz w:val="20"/>
          <w:szCs w:val="20"/>
        </w:rPr>
        <w:t xml:space="preserve"> </w:t>
      </w:r>
      <w:r>
        <w:rPr>
          <w:rFonts w:eastAsia="Arial Unicode MS" w:cs="Arial Unicode MS"/>
          <w:i/>
          <w:iCs/>
          <w:sz w:val="20"/>
          <w:szCs w:val="20"/>
          <w:lang w:val="nl-NL"/>
        </w:rPr>
        <w:t>See</w:t>
      </w:r>
      <w:r>
        <w:rPr>
          <w:rFonts w:eastAsia="Arial Unicode MS" w:cs="Arial Unicode MS"/>
          <w:sz w:val="20"/>
          <w:szCs w:val="20"/>
        </w:rPr>
        <w:t xml:space="preserve"> Gr</w:t>
      </w:r>
      <w:r>
        <w:rPr>
          <w:rFonts w:eastAsia="Arial Unicode MS" w:cs="Arial Unicode MS"/>
          <w:sz w:val="20"/>
          <w:szCs w:val="20"/>
          <w:lang w:val="fr-FR"/>
        </w:rPr>
        <w:t>é</w:t>
      </w:r>
      <w:proofErr w:type="spellStart"/>
      <w:r>
        <w:rPr>
          <w:rFonts w:eastAsia="Arial Unicode MS" w:cs="Arial Unicode MS"/>
          <w:sz w:val="20"/>
          <w:szCs w:val="20"/>
          <w:lang w:val="it-IT"/>
        </w:rPr>
        <w:t>goire</w:t>
      </w:r>
      <w:proofErr w:type="spellEnd"/>
      <w:r>
        <w:rPr>
          <w:rFonts w:eastAsia="Arial Unicode MS" w:cs="Arial Unicode MS"/>
          <w:sz w:val="20"/>
          <w:szCs w:val="20"/>
          <w:lang w:val="it-IT"/>
        </w:rPr>
        <w:t xml:space="preserve"> Webber, </w:t>
      </w:r>
      <w:r>
        <w:rPr>
          <w:rFonts w:eastAsia="Arial Unicode MS" w:cs="Arial Unicode MS"/>
          <w:i/>
          <w:iCs/>
          <w:sz w:val="20"/>
          <w:szCs w:val="20"/>
          <w:lang w:val="en-US"/>
        </w:rPr>
        <w:t>Human Goods and Human Rights Law: Two Modes of Derivation from Natural Law</w:t>
      </w:r>
      <w:r>
        <w:rPr>
          <w:rFonts w:eastAsia="Arial Unicode MS" w:cs="Arial Unicode MS"/>
          <w:sz w:val="20"/>
          <w:szCs w:val="20"/>
        </w:rPr>
        <w:t xml:space="preserve">, </w:t>
      </w:r>
      <w:r>
        <w:rPr>
          <w:rFonts w:eastAsia="Arial Unicode MS" w:cs="Arial Unicode MS"/>
          <w:i/>
          <w:iCs/>
          <w:sz w:val="20"/>
          <w:szCs w:val="20"/>
        </w:rPr>
        <w:t xml:space="preserve">in </w:t>
      </w:r>
      <w:r>
        <w:rPr>
          <w:rFonts w:eastAsia="Arial Unicode MS" w:cs="Arial Unicode MS"/>
          <w:smallCaps/>
          <w:sz w:val="20"/>
          <w:szCs w:val="20"/>
          <w:lang w:val="en-US"/>
        </w:rPr>
        <w:t>The Cambridge Handbook of Natural Law and Human Rights</w:t>
      </w:r>
      <w:r>
        <w:rPr>
          <w:rFonts w:eastAsia="Arial Unicode MS" w:cs="Arial Unicode MS"/>
          <w:sz w:val="20"/>
          <w:szCs w:val="20"/>
        </w:rPr>
        <w:t xml:space="preserve"> 12 (Tom Angier et al. eds., Cambridge Univ. Press forthcoming 2022)</w:t>
      </w:r>
      <w:r>
        <w:rPr>
          <w:rFonts w:eastAsia="Arial Unicode MS" w:cs="Arial Unicode MS"/>
          <w:sz w:val="20"/>
          <w:szCs w:val="20"/>
          <w:lang w:val="en-US"/>
        </w:rPr>
        <w:t xml:space="preserve">, available at: </w:t>
      </w:r>
      <w:r>
        <w:rPr>
          <w:rFonts w:eastAsia="Arial Unicode MS" w:cs="Arial Unicode MS"/>
          <w:sz w:val="20"/>
          <w:szCs w:val="20"/>
          <w:lang w:val="pt-PT"/>
        </w:rPr>
        <w:t>https://papers.ssrn.com/sol3/papers.cfm?abstract_id=3930249</w:t>
      </w:r>
      <w:r>
        <w:rPr>
          <w:rFonts w:eastAsia="Arial Unicode MS" w:cs="Arial Unicode MS"/>
          <w:sz w:val="20"/>
          <w:szCs w:val="20"/>
        </w:rPr>
        <w:t xml:space="preserve">. </w:t>
      </w:r>
    </w:p>
  </w:footnote>
  <w:footnote w:id="149">
    <w:p w14:paraId="1557C310" w14:textId="77777777" w:rsidR="00357B22" w:rsidRDefault="00062FEC">
      <w:pPr>
        <w:pStyle w:val="FootnoteText"/>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mallCaps/>
        </w:rPr>
        <w:t>Webber et al.</w:t>
      </w:r>
      <w:r>
        <w:rPr>
          <w:rFonts w:ascii="Times New Roman" w:hAnsi="Times New Roman"/>
        </w:rPr>
        <w:t xml:space="preserve">, </w:t>
      </w:r>
      <w:r>
        <w:rPr>
          <w:rFonts w:ascii="Times New Roman" w:hAnsi="Times New Roman"/>
          <w:i/>
          <w:iCs/>
        </w:rPr>
        <w:t>supra</w:t>
      </w:r>
      <w:r>
        <w:rPr>
          <w:rFonts w:ascii="Times New Roman" w:hAnsi="Times New Roman"/>
        </w:rPr>
        <w:t xml:space="preserve"> note 57, at 36.</w:t>
      </w:r>
    </w:p>
  </w:footnote>
  <w:footnote w:id="150">
    <w:p w14:paraId="62E2F322"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R. H. </w:t>
      </w:r>
      <w:proofErr w:type="spellStart"/>
      <w:r>
        <w:rPr>
          <w:rFonts w:ascii="Times New Roman" w:hAnsi="Times New Roman"/>
        </w:rPr>
        <w:t>Helmholz</w:t>
      </w:r>
      <w:proofErr w:type="spellEnd"/>
      <w:r>
        <w:rPr>
          <w:rFonts w:ascii="Times New Roman" w:hAnsi="Times New Roman"/>
        </w:rPr>
        <w:t xml:space="preserve">, </w:t>
      </w:r>
      <w:r>
        <w:rPr>
          <w:rFonts w:ascii="Times New Roman" w:hAnsi="Times New Roman"/>
          <w:i/>
          <w:iCs/>
        </w:rPr>
        <w:t xml:space="preserve">What Explains the Disappearance of Natural </w:t>
      </w:r>
      <w:proofErr w:type="gramStart"/>
      <w:r>
        <w:rPr>
          <w:rFonts w:ascii="Times New Roman" w:hAnsi="Times New Roman"/>
          <w:i/>
          <w:iCs/>
        </w:rPr>
        <w:t>Law?</w:t>
      </w:r>
      <w:r>
        <w:rPr>
          <w:rFonts w:ascii="Times New Roman" w:hAnsi="Times New Roman"/>
        </w:rPr>
        <w:t>,</w:t>
      </w:r>
      <w:proofErr w:type="gramEnd"/>
      <w:r>
        <w:rPr>
          <w:rFonts w:ascii="Times New Roman" w:hAnsi="Times New Roman"/>
        </w:rPr>
        <w:t xml:space="preserve"> </w:t>
      </w:r>
      <w:r>
        <w:rPr>
          <w:rFonts w:ascii="Times New Roman" w:hAnsi="Times New Roman"/>
          <w:smallCaps/>
        </w:rPr>
        <w:t>Syndicate</w:t>
      </w:r>
      <w:r>
        <w:rPr>
          <w:rFonts w:ascii="Times New Roman" w:hAnsi="Times New Roman"/>
        </w:rPr>
        <w:t xml:space="preserve"> (Mar. 17, 2021), https://syndicate.network/symposia/theology/common-law-and-natural-law-in-america/ [https://perma.cc/G9TJ-6PQA] (responding as part of a symposium about </w:t>
      </w:r>
      <w:r>
        <w:rPr>
          <w:rFonts w:ascii="Times New Roman" w:hAnsi="Times New Roman"/>
          <w:smallCaps/>
        </w:rPr>
        <w:t xml:space="preserve">Andrew Forsyth, Common Law and Natural Law in America: From the Puritans to </w:t>
      </w:r>
      <w:r>
        <w:rPr>
          <w:rFonts w:ascii="Times New Roman" w:hAnsi="Times New Roman"/>
          <w:smallCaps/>
        </w:rPr>
        <w:t>the Legal Realists</w:t>
      </w:r>
      <w:r>
        <w:rPr>
          <w:rFonts w:ascii="Times New Roman" w:hAnsi="Times New Roman"/>
        </w:rPr>
        <w:t xml:space="preserve"> (2019)). </w:t>
      </w:r>
    </w:p>
  </w:footnote>
  <w:footnote w:id="151">
    <w:p w14:paraId="379653A4"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i/>
          <w:iCs/>
        </w:rPr>
        <w:t xml:space="preserve"> Id.</w:t>
      </w:r>
    </w:p>
  </w:footnote>
  <w:footnote w:id="152">
    <w:p w14:paraId="1D1390D3" w14:textId="77777777" w:rsidR="00357B22" w:rsidRDefault="00062FEC">
      <w:pPr>
        <w:pStyle w:val="FootnoteText"/>
        <w:jc w:val="both"/>
      </w:pPr>
      <w:r>
        <w:rPr>
          <w:rFonts w:ascii="Times New Roman" w:eastAsia="Times New Roman" w:hAnsi="Times New Roman" w:cs="Times New Roman"/>
          <w:vertAlign w:val="superscript"/>
        </w:rPr>
        <w:footnoteRef/>
      </w:r>
      <w:r>
        <w:rPr>
          <w:rFonts w:ascii="Times New Roman" w:hAnsi="Times New Roman"/>
        </w:rPr>
        <w:t xml:space="preserve"> </w:t>
      </w:r>
      <w:proofErr w:type="spellStart"/>
      <w:r>
        <w:rPr>
          <w:rFonts w:ascii="Times New Roman" w:hAnsi="Times New Roman"/>
        </w:rPr>
        <w:t>Pojanowski</w:t>
      </w:r>
      <w:proofErr w:type="spellEnd"/>
      <w:r>
        <w:rPr>
          <w:rFonts w:ascii="Times New Roman" w:hAnsi="Times New Roman"/>
        </w:rPr>
        <w:t xml:space="preserve">, </w:t>
      </w:r>
      <w:r>
        <w:rPr>
          <w:rFonts w:ascii="Times New Roman" w:hAnsi="Times New Roman"/>
          <w:i/>
          <w:iCs/>
        </w:rPr>
        <w:t>supra</w:t>
      </w:r>
      <w:r>
        <w:rPr>
          <w:rFonts w:ascii="Times New Roman" w:hAnsi="Times New Roman"/>
        </w:rPr>
        <w:t xml:space="preserve"> note 70, 586.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9DD6" w14:textId="77777777" w:rsidR="00357B22" w:rsidRDefault="00062FEC">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1E5A"/>
    <w:multiLevelType w:val="hybridMultilevel"/>
    <w:tmpl w:val="E37EDA32"/>
    <w:numStyleLink w:val="ImportedStyle2"/>
  </w:abstractNum>
  <w:abstractNum w:abstractNumId="1" w15:restartNumberingAfterBreak="0">
    <w:nsid w:val="2D97421C"/>
    <w:multiLevelType w:val="hybridMultilevel"/>
    <w:tmpl w:val="E37EDA32"/>
    <w:styleLink w:val="ImportedStyle2"/>
    <w:lvl w:ilvl="0" w:tplc="281E8E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74E4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B08A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24D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49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8A28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2855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9A11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EA47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22"/>
    <w:rsid w:val="00062FEC"/>
    <w:rsid w:val="00357B22"/>
    <w:rsid w:val="007D60BD"/>
    <w:rsid w:val="00A74467"/>
    <w:rsid w:val="00EB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8B5533"/>
  <w15:docId w15:val="{ED2F0A91-8671-8B4E-96E2-7A717FE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spacing w:after="120" w:line="360" w:lineRule="auto"/>
      <w:jc w:val="both"/>
      <w:outlineLvl w:val="1"/>
    </w:pPr>
    <w:rPr>
      <w:rFonts w:cs="Arial Unicode MS"/>
      <w:smallCap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styleId="Footer">
    <w:name w:val="footer"/>
    <w:pPr>
      <w:tabs>
        <w:tab w:val="center" w:pos="4513"/>
        <w:tab w:val="right" w:pos="9000"/>
      </w:tabs>
      <w:jc w:val="right"/>
    </w:pPr>
    <w:rPr>
      <w:rFonts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de-DE"/>
      <w14:textOutline w14:w="12700" w14:cap="flat" w14:cmpd="sng" w14:algn="ctr">
        <w14:noFill/>
        <w14:prstDash w14:val="solid"/>
        <w14:miter w14:lim="400000"/>
      </w14:textOutline>
    </w:rPr>
  </w:style>
  <w:style w:type="paragraph" w:styleId="FootnoteText">
    <w:name w:val="footnote text"/>
    <w:rPr>
      <w:rFonts w:ascii="Calibri" w:eastAsia="Calibri" w:hAnsi="Calibri" w:cs="Calibri"/>
      <w:color w:val="000000"/>
      <w:u w:color="000000"/>
      <w:lang w:val="en-US"/>
    </w:rPr>
  </w:style>
  <w:style w:type="character" w:customStyle="1" w:styleId="Link">
    <w:name w:val="Link"/>
    <w:rPr>
      <w:outline w:val="0"/>
      <w:color w:val="0000FF"/>
      <w:u w:val="single" w:color="0000FF"/>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Heading">
    <w:name w:val="Heading"/>
    <w:next w:val="Body"/>
    <w:pPr>
      <w:keepNext/>
      <w:keepLines/>
      <w:spacing w:before="240"/>
      <w:outlineLvl w:val="0"/>
    </w:pPr>
    <w:rPr>
      <w:rFonts w:ascii="Helvetica Neue" w:eastAsia="Helvetica Neue" w:hAnsi="Helvetica Neue" w:cs="Helvetica Neue"/>
      <w:color w:val="2F5496"/>
      <w:sz w:val="32"/>
      <w:szCs w:val="32"/>
      <w:u w:color="2F5496"/>
      <w14:textOutline w14:w="0" w14:cap="flat" w14:cmpd="sng" w14:algn="ctr">
        <w14:noFill/>
        <w14:prstDash w14:val="solid"/>
        <w14:bevel/>
      </w14:textOutline>
    </w:rPr>
  </w:style>
  <w:style w:type="paragraph" w:customStyle="1" w:styleId="p1">
    <w:name w:val="p1"/>
    <w:pPr>
      <w:jc w:val="both"/>
    </w:pPr>
    <w:rPr>
      <w:rFonts w:cs="Arial Unicode MS"/>
      <w:color w:val="000000"/>
      <w:sz w:val="15"/>
      <w:szCs w:val="15"/>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744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10400</Words>
  <Characters>55849</Characters>
  <Application>Microsoft Office Word</Application>
  <DocSecurity>0</DocSecurity>
  <Lines>775</Lines>
  <Paragraphs>120</Paragraphs>
  <ScaleCrop>false</ScaleCrop>
  <Company/>
  <LinksUpToDate>false</LinksUpToDate>
  <CharactersWithSpaces>66129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Conor Casey</cp:lastModifiedBy>
  <cp:revision>4</cp:revision>
  <dcterms:created xsi:type="dcterms:W3CDTF">2022-01-19T23:15:00Z</dcterms:created>
  <dcterms:modified xsi:type="dcterms:W3CDTF">2022-01-19T23:17:00Z</dcterms:modified>
</cp:coreProperties>
</file>