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32765" w14:textId="77777777" w:rsidR="00BD7622" w:rsidRDefault="00BD7622">
      <w:pPr>
        <w:rPr>
          <w:rFonts w:ascii="Verdana" w:hAnsi="Verdana"/>
          <w:i/>
          <w:iCs/>
          <w:sz w:val="28"/>
          <w:szCs w:val="28"/>
          <w:u w:val="single"/>
        </w:rPr>
      </w:pPr>
      <w:bookmarkStart w:id="0" w:name="_GoBack"/>
      <w:bookmarkEnd w:id="0"/>
    </w:p>
    <w:p w14:paraId="2D472942" w14:textId="5EA2C5BA" w:rsidR="00BD7622" w:rsidRPr="005F5A2B" w:rsidRDefault="00BD7622" w:rsidP="00CB2071">
      <w:pPr>
        <w:pStyle w:val="ListParagraph"/>
        <w:ind w:left="1080"/>
        <w:rPr>
          <w:rFonts w:ascii="Verdana" w:hAnsi="Verdana"/>
          <w:sz w:val="28"/>
          <w:szCs w:val="28"/>
        </w:rPr>
      </w:pPr>
      <w:r w:rsidRPr="005F5A2B">
        <w:rPr>
          <w:rFonts w:ascii="Verdana" w:hAnsi="Verdana"/>
          <w:sz w:val="28"/>
          <w:szCs w:val="28"/>
        </w:rPr>
        <w:t xml:space="preserve"> </w:t>
      </w:r>
    </w:p>
    <w:p w14:paraId="34F2D4D2" w14:textId="1A256A60" w:rsidR="005F5A2B" w:rsidRDefault="005F5A2B" w:rsidP="00855B69">
      <w:pPr>
        <w:pStyle w:val="ListParagraph"/>
        <w:ind w:left="1080"/>
        <w:rPr>
          <w:rFonts w:ascii="Verdana" w:hAnsi="Verdana"/>
          <w:sz w:val="28"/>
          <w:szCs w:val="28"/>
        </w:rPr>
      </w:pPr>
    </w:p>
    <w:p w14:paraId="4F297258" w14:textId="60B0C7F5" w:rsidR="00D74C9B" w:rsidRDefault="00970E9E">
      <w:pPr>
        <w:rPr>
          <w:rFonts w:ascii="Verdana" w:hAnsi="Verdana"/>
          <w:sz w:val="28"/>
          <w:szCs w:val="28"/>
          <w:u w:val="single"/>
        </w:rPr>
      </w:pPr>
      <w:r w:rsidRPr="007B7F21">
        <w:rPr>
          <w:rFonts w:ascii="Verdana" w:hAnsi="Verdana"/>
          <w:i/>
          <w:iCs/>
          <w:sz w:val="28"/>
          <w:szCs w:val="28"/>
          <w:u w:val="single"/>
        </w:rPr>
        <w:t>Keeping Kids Company</w:t>
      </w:r>
      <w:r w:rsidRPr="007B7F21">
        <w:rPr>
          <w:rFonts w:ascii="Verdana" w:hAnsi="Verdana"/>
          <w:sz w:val="28"/>
          <w:szCs w:val="28"/>
          <w:u w:val="single"/>
        </w:rPr>
        <w:t xml:space="preserve"> – </w:t>
      </w:r>
      <w:r w:rsidR="00120C13">
        <w:rPr>
          <w:rFonts w:ascii="Verdana" w:hAnsi="Verdana"/>
          <w:sz w:val="28"/>
          <w:szCs w:val="28"/>
          <w:u w:val="single"/>
        </w:rPr>
        <w:t xml:space="preserve">are </w:t>
      </w:r>
      <w:r w:rsidR="00504720">
        <w:rPr>
          <w:rFonts w:ascii="Verdana" w:hAnsi="Verdana"/>
          <w:sz w:val="28"/>
          <w:szCs w:val="28"/>
          <w:u w:val="single"/>
        </w:rPr>
        <w:t>the</w:t>
      </w:r>
      <w:r w:rsidR="008A15C5">
        <w:rPr>
          <w:rFonts w:ascii="Verdana" w:hAnsi="Verdana"/>
          <w:sz w:val="28"/>
          <w:szCs w:val="28"/>
          <w:u w:val="single"/>
        </w:rPr>
        <w:t xml:space="preserve"> </w:t>
      </w:r>
      <w:r w:rsidR="00DF7D3B">
        <w:rPr>
          <w:rFonts w:ascii="Verdana" w:hAnsi="Verdana"/>
          <w:sz w:val="28"/>
          <w:szCs w:val="28"/>
          <w:u w:val="single"/>
        </w:rPr>
        <w:t xml:space="preserve">rules for </w:t>
      </w:r>
      <w:r w:rsidR="00D23E23">
        <w:rPr>
          <w:rFonts w:ascii="Verdana" w:hAnsi="Verdana"/>
          <w:sz w:val="28"/>
          <w:szCs w:val="28"/>
          <w:u w:val="single"/>
        </w:rPr>
        <w:t xml:space="preserve">disqualifying </w:t>
      </w:r>
      <w:r w:rsidR="00626536">
        <w:rPr>
          <w:rFonts w:ascii="Verdana" w:hAnsi="Verdana"/>
          <w:sz w:val="28"/>
          <w:szCs w:val="28"/>
          <w:u w:val="single"/>
        </w:rPr>
        <w:t xml:space="preserve">those guilty of </w:t>
      </w:r>
      <w:r w:rsidR="00EB0C52">
        <w:rPr>
          <w:rFonts w:ascii="Verdana" w:hAnsi="Verdana"/>
          <w:sz w:val="28"/>
          <w:szCs w:val="28"/>
          <w:u w:val="single"/>
        </w:rPr>
        <w:t xml:space="preserve">misconduct </w:t>
      </w:r>
      <w:r w:rsidR="009061D8">
        <w:rPr>
          <w:rFonts w:ascii="Verdana" w:hAnsi="Verdana"/>
          <w:sz w:val="28"/>
          <w:szCs w:val="28"/>
          <w:u w:val="single"/>
        </w:rPr>
        <w:t>in running incorporated charities different</w:t>
      </w:r>
      <w:r w:rsidRPr="007B7F21">
        <w:rPr>
          <w:rFonts w:ascii="Verdana" w:hAnsi="Verdana"/>
          <w:sz w:val="28"/>
          <w:szCs w:val="28"/>
          <w:u w:val="single"/>
        </w:rPr>
        <w:t xml:space="preserve">? </w:t>
      </w:r>
    </w:p>
    <w:p w14:paraId="4FB0C81D" w14:textId="4BF9D760" w:rsidR="00277244" w:rsidRDefault="00277244">
      <w:pPr>
        <w:rPr>
          <w:rFonts w:ascii="Verdana" w:hAnsi="Verdana"/>
          <w:sz w:val="28"/>
          <w:szCs w:val="28"/>
          <w:u w:val="single"/>
        </w:rPr>
      </w:pPr>
    </w:p>
    <w:p w14:paraId="4AC86BB8" w14:textId="41ACF8A9" w:rsidR="00277244" w:rsidRDefault="00277244">
      <w:pPr>
        <w:rPr>
          <w:rFonts w:ascii="Verdana" w:hAnsi="Verdana"/>
          <w:sz w:val="28"/>
          <w:szCs w:val="28"/>
          <w:u w:val="single"/>
        </w:rPr>
      </w:pPr>
      <w:r>
        <w:rPr>
          <w:rFonts w:ascii="Verdana" w:hAnsi="Verdana"/>
          <w:sz w:val="28"/>
          <w:szCs w:val="28"/>
          <w:u w:val="single"/>
        </w:rPr>
        <w:t>By Abbas Mithani*</w:t>
      </w:r>
      <w:r w:rsidR="00AA6B53">
        <w:rPr>
          <w:rFonts w:ascii="Verdana" w:hAnsi="Verdana"/>
          <w:sz w:val="28"/>
          <w:szCs w:val="28"/>
          <w:u w:val="single"/>
        </w:rPr>
        <w:t xml:space="preserve"> and Dr John Tribe**</w:t>
      </w:r>
      <w:r>
        <w:rPr>
          <w:rFonts w:ascii="Verdana" w:hAnsi="Verdana"/>
          <w:sz w:val="28"/>
          <w:szCs w:val="28"/>
          <w:u w:val="single"/>
        </w:rPr>
        <w:t xml:space="preserve"> </w:t>
      </w:r>
    </w:p>
    <w:p w14:paraId="5BD8A4FF" w14:textId="1BA1CE38" w:rsidR="009B07FB" w:rsidRDefault="00050801" w:rsidP="00FA7998">
      <w:pPr>
        <w:pStyle w:val="NormalWeb"/>
        <w:shd w:val="clear" w:color="auto" w:fill="FFFFFF"/>
        <w:spacing w:before="300" w:beforeAutospacing="0" w:after="300" w:afterAutospacing="0"/>
        <w:rPr>
          <w:rFonts w:ascii="Verdana" w:hAnsi="Verdana" w:cs="Arial"/>
          <w:color w:val="0B0C0C"/>
          <w:sz w:val="22"/>
          <w:szCs w:val="22"/>
        </w:rPr>
      </w:pPr>
      <w:r w:rsidRPr="00FA7998">
        <w:rPr>
          <w:rFonts w:ascii="Verdana" w:hAnsi="Verdana" w:cs="Arial"/>
          <w:color w:val="0B0C0C"/>
          <w:sz w:val="22"/>
          <w:szCs w:val="22"/>
        </w:rPr>
        <w:t xml:space="preserve">Much has been written </w:t>
      </w:r>
      <w:r w:rsidR="00DD2F54" w:rsidRPr="00FA7998">
        <w:rPr>
          <w:rFonts w:ascii="Verdana" w:hAnsi="Verdana" w:cs="Arial"/>
          <w:color w:val="0B0C0C"/>
          <w:sz w:val="22"/>
          <w:szCs w:val="22"/>
        </w:rPr>
        <w:t xml:space="preserve">and commented </w:t>
      </w:r>
      <w:r w:rsidR="004D1DBC" w:rsidRPr="00FA7998">
        <w:rPr>
          <w:rFonts w:ascii="Verdana" w:hAnsi="Verdana" w:cs="Arial"/>
          <w:color w:val="0B0C0C"/>
          <w:sz w:val="22"/>
          <w:szCs w:val="22"/>
        </w:rPr>
        <w:t xml:space="preserve">about </w:t>
      </w:r>
      <w:r w:rsidR="00DD2F54" w:rsidRPr="00FA7998">
        <w:rPr>
          <w:rFonts w:ascii="Verdana" w:hAnsi="Verdana" w:cs="Arial"/>
          <w:color w:val="0B0C0C"/>
          <w:sz w:val="22"/>
          <w:szCs w:val="22"/>
        </w:rPr>
        <w:t xml:space="preserve">the spectacular collapse of the </w:t>
      </w:r>
      <w:r w:rsidR="00A93ABA" w:rsidRPr="00FA7998">
        <w:rPr>
          <w:rFonts w:ascii="Verdana" w:hAnsi="Verdana" w:cs="Arial"/>
          <w:color w:val="0B0C0C"/>
          <w:sz w:val="22"/>
          <w:szCs w:val="22"/>
        </w:rPr>
        <w:t xml:space="preserve">high-profile </w:t>
      </w:r>
      <w:r w:rsidR="00DD2F54" w:rsidRPr="00FA7998">
        <w:rPr>
          <w:rFonts w:ascii="Verdana" w:hAnsi="Verdana" w:cs="Arial"/>
          <w:color w:val="0B0C0C"/>
          <w:sz w:val="22"/>
          <w:szCs w:val="22"/>
        </w:rPr>
        <w:t xml:space="preserve">charity </w:t>
      </w:r>
      <w:r w:rsidR="00813258" w:rsidRPr="00FA7998">
        <w:rPr>
          <w:rFonts w:ascii="Verdana" w:hAnsi="Verdana" w:cs="Arial"/>
          <w:color w:val="0B0C0C"/>
          <w:sz w:val="22"/>
          <w:szCs w:val="22"/>
        </w:rPr>
        <w:t xml:space="preserve">known as </w:t>
      </w:r>
      <w:r w:rsidR="006B78A8" w:rsidRPr="00FA7998">
        <w:rPr>
          <w:rFonts w:ascii="Verdana" w:hAnsi="Verdana" w:cs="Arial"/>
          <w:i/>
          <w:iCs/>
          <w:color w:val="0B0C0C"/>
          <w:sz w:val="22"/>
          <w:szCs w:val="22"/>
        </w:rPr>
        <w:t>Kids Company</w:t>
      </w:r>
      <w:r w:rsidR="006B78A8" w:rsidRPr="00FA7998">
        <w:rPr>
          <w:rFonts w:ascii="Verdana" w:hAnsi="Verdana" w:cs="Arial"/>
          <w:color w:val="0B0C0C"/>
          <w:sz w:val="22"/>
          <w:szCs w:val="22"/>
        </w:rPr>
        <w:t xml:space="preserve"> or </w:t>
      </w:r>
      <w:r w:rsidR="006B78A8" w:rsidRPr="00FA7998">
        <w:rPr>
          <w:rFonts w:ascii="Verdana" w:hAnsi="Verdana" w:cs="Arial"/>
          <w:i/>
          <w:iCs/>
          <w:color w:val="0B0C0C"/>
          <w:sz w:val="22"/>
          <w:szCs w:val="22"/>
        </w:rPr>
        <w:t>Keeping Kids Company</w:t>
      </w:r>
      <w:r w:rsidR="00D102A8" w:rsidRPr="00FA7998">
        <w:rPr>
          <w:rFonts w:ascii="Verdana" w:hAnsi="Verdana" w:cs="Arial"/>
          <w:color w:val="0B0C0C"/>
          <w:sz w:val="22"/>
          <w:szCs w:val="22"/>
        </w:rPr>
        <w:t xml:space="preserve"> (“the Charity”)</w:t>
      </w:r>
      <w:r w:rsidR="00BD0D7D" w:rsidRPr="00FA7998">
        <w:rPr>
          <w:rFonts w:ascii="Verdana" w:hAnsi="Verdana" w:cs="Arial"/>
          <w:color w:val="0B0C0C"/>
          <w:sz w:val="22"/>
          <w:szCs w:val="22"/>
        </w:rPr>
        <w:t>.</w:t>
      </w:r>
      <w:r w:rsidR="00DD2F54" w:rsidRPr="00FA7998">
        <w:rPr>
          <w:rFonts w:ascii="Verdana" w:hAnsi="Verdana" w:cs="Arial"/>
          <w:color w:val="0B0C0C"/>
          <w:sz w:val="22"/>
          <w:szCs w:val="22"/>
        </w:rPr>
        <w:t xml:space="preserve"> </w:t>
      </w:r>
      <w:r w:rsidR="00F745D7">
        <w:rPr>
          <w:rFonts w:ascii="Verdana" w:hAnsi="Verdana" w:cs="Arial"/>
          <w:color w:val="0B0C0C"/>
          <w:sz w:val="22"/>
          <w:szCs w:val="22"/>
        </w:rPr>
        <w:t xml:space="preserve">The Charity </w:t>
      </w:r>
      <w:r w:rsidR="004D1DBC" w:rsidRPr="00FA7998">
        <w:rPr>
          <w:rFonts w:ascii="Verdana" w:hAnsi="Verdana" w:cs="Arial"/>
          <w:color w:val="0B0C0C"/>
          <w:sz w:val="22"/>
          <w:szCs w:val="22"/>
        </w:rPr>
        <w:t xml:space="preserve">was </w:t>
      </w:r>
      <w:r w:rsidR="00282E7A" w:rsidRPr="00FA7998">
        <w:rPr>
          <w:rFonts w:ascii="Verdana" w:hAnsi="Verdana" w:cs="Arial"/>
          <w:color w:val="0B0C0C"/>
          <w:sz w:val="22"/>
          <w:szCs w:val="22"/>
        </w:rPr>
        <w:t xml:space="preserve">incorporated as a company limited by guarantee and </w:t>
      </w:r>
      <w:r w:rsidR="00FA5897" w:rsidRPr="00FA7998">
        <w:rPr>
          <w:rFonts w:ascii="Verdana" w:hAnsi="Verdana" w:cs="Arial"/>
          <w:color w:val="0B0C0C"/>
          <w:sz w:val="22"/>
          <w:szCs w:val="22"/>
        </w:rPr>
        <w:t xml:space="preserve">primarily </w:t>
      </w:r>
      <w:r w:rsidR="00951120" w:rsidRPr="00FA7998">
        <w:rPr>
          <w:rFonts w:ascii="Verdana" w:hAnsi="Verdana" w:cs="Arial"/>
          <w:color w:val="0B0C0C"/>
          <w:sz w:val="22"/>
          <w:szCs w:val="22"/>
        </w:rPr>
        <w:t xml:space="preserve">operated </w:t>
      </w:r>
      <w:r w:rsidR="00F10AE4" w:rsidRPr="00FA7998">
        <w:rPr>
          <w:rFonts w:ascii="Verdana" w:hAnsi="Verdana"/>
          <w:sz w:val="22"/>
          <w:szCs w:val="22"/>
        </w:rPr>
        <w:t>to enhance the emotional health of young people through counselling, support and art therapy</w:t>
      </w:r>
      <w:r w:rsidR="00643A49">
        <w:rPr>
          <w:rFonts w:ascii="Verdana" w:hAnsi="Verdana"/>
          <w:sz w:val="22"/>
          <w:szCs w:val="22"/>
        </w:rPr>
        <w:t xml:space="preserve">, </w:t>
      </w:r>
      <w:r w:rsidR="00F10AE4" w:rsidRPr="00FA7998">
        <w:rPr>
          <w:rFonts w:ascii="Verdana" w:hAnsi="Verdana"/>
          <w:sz w:val="22"/>
          <w:szCs w:val="22"/>
        </w:rPr>
        <w:t>and to help schools, and other educational institutions</w:t>
      </w:r>
      <w:r w:rsidR="00504792">
        <w:rPr>
          <w:rFonts w:ascii="Verdana" w:hAnsi="Verdana"/>
          <w:sz w:val="22"/>
          <w:szCs w:val="22"/>
        </w:rPr>
        <w:t>,</w:t>
      </w:r>
      <w:r w:rsidR="00F10AE4" w:rsidRPr="00FA7998">
        <w:rPr>
          <w:rFonts w:ascii="Verdana" w:hAnsi="Verdana"/>
          <w:sz w:val="22"/>
          <w:szCs w:val="22"/>
        </w:rPr>
        <w:t xml:space="preserve"> address the emotional needs of young people. </w:t>
      </w:r>
      <w:r w:rsidR="0015238F" w:rsidRPr="00FA7998">
        <w:rPr>
          <w:rFonts w:ascii="Verdana" w:hAnsi="Verdana" w:cs="Arial"/>
          <w:color w:val="0B0C0C"/>
          <w:sz w:val="22"/>
          <w:szCs w:val="22"/>
        </w:rPr>
        <w:t xml:space="preserve">It </w:t>
      </w:r>
      <w:r w:rsidR="002447B2" w:rsidRPr="00FA7998">
        <w:rPr>
          <w:rFonts w:ascii="Verdana" w:hAnsi="Verdana" w:cs="Arial"/>
          <w:color w:val="0B0C0C"/>
          <w:sz w:val="22"/>
          <w:szCs w:val="22"/>
        </w:rPr>
        <w:t xml:space="preserve">stopped operating </w:t>
      </w:r>
      <w:r w:rsidR="00040A50" w:rsidRPr="00FA7998">
        <w:rPr>
          <w:rFonts w:ascii="Verdana" w:hAnsi="Verdana" w:cs="Arial"/>
          <w:color w:val="0B0C0C"/>
          <w:sz w:val="22"/>
          <w:szCs w:val="22"/>
        </w:rPr>
        <w:t>on 5 August 2015</w:t>
      </w:r>
      <w:r w:rsidR="002447B2" w:rsidRPr="00FA7998">
        <w:rPr>
          <w:rFonts w:ascii="Verdana" w:hAnsi="Verdana" w:cs="Arial"/>
          <w:color w:val="0B0C0C"/>
          <w:sz w:val="22"/>
          <w:szCs w:val="22"/>
        </w:rPr>
        <w:t xml:space="preserve"> and was wound up by the court on </w:t>
      </w:r>
      <w:r w:rsidR="00D61E8A" w:rsidRPr="00FA7998">
        <w:rPr>
          <w:rFonts w:ascii="Verdana" w:hAnsi="Verdana" w:cs="Arial"/>
          <w:color w:val="0B0C0C"/>
          <w:sz w:val="22"/>
          <w:szCs w:val="22"/>
        </w:rPr>
        <w:t xml:space="preserve">20 August </w:t>
      </w:r>
      <w:r w:rsidR="00D82985" w:rsidRPr="00FA7998">
        <w:rPr>
          <w:rFonts w:ascii="Verdana" w:hAnsi="Verdana" w:cs="Arial"/>
          <w:color w:val="0B0C0C"/>
          <w:sz w:val="22"/>
          <w:szCs w:val="22"/>
        </w:rPr>
        <w:t>2015</w:t>
      </w:r>
      <w:r w:rsidR="00A37F05">
        <w:rPr>
          <w:rFonts w:ascii="Verdana" w:hAnsi="Verdana" w:cs="Arial"/>
          <w:color w:val="0B0C0C"/>
          <w:sz w:val="22"/>
          <w:szCs w:val="22"/>
        </w:rPr>
        <w:t xml:space="preserve">. </w:t>
      </w:r>
      <w:r w:rsidR="00D548CA" w:rsidRPr="00FA7998">
        <w:rPr>
          <w:rFonts w:ascii="Verdana" w:hAnsi="Verdana" w:cs="Arial"/>
          <w:color w:val="0B0C0C"/>
          <w:sz w:val="22"/>
          <w:szCs w:val="22"/>
        </w:rPr>
        <w:t xml:space="preserve"> </w:t>
      </w:r>
    </w:p>
    <w:p w14:paraId="041E3FAB" w14:textId="7458E8F9" w:rsidR="00604EAA" w:rsidRDefault="00C914EC" w:rsidP="00036166">
      <w:pPr>
        <w:pStyle w:val="NormalWeb"/>
        <w:shd w:val="clear" w:color="auto" w:fill="FFFFFF"/>
        <w:spacing w:before="300" w:beforeAutospacing="0" w:after="300" w:afterAutospacing="0"/>
        <w:rPr>
          <w:rFonts w:ascii="Verdana" w:hAnsi="Verdana" w:cs="Arial"/>
          <w:color w:val="0B0C0C"/>
          <w:sz w:val="22"/>
          <w:szCs w:val="22"/>
          <w:shd w:val="clear" w:color="auto" w:fill="FFFFFF"/>
        </w:rPr>
      </w:pPr>
      <w:r w:rsidRPr="004A762B">
        <w:rPr>
          <w:rFonts w:ascii="Verdana" w:hAnsi="Verdana" w:cs="Arial"/>
          <w:color w:val="0B0C0C"/>
          <w:sz w:val="22"/>
          <w:szCs w:val="22"/>
        </w:rPr>
        <w:t xml:space="preserve">The collapse of the Charity </w:t>
      </w:r>
      <w:r w:rsidR="00040A50" w:rsidRPr="004A762B">
        <w:rPr>
          <w:rFonts w:ascii="Verdana" w:hAnsi="Verdana" w:cs="Arial"/>
          <w:color w:val="0B0C0C"/>
          <w:sz w:val="22"/>
          <w:szCs w:val="22"/>
        </w:rPr>
        <w:t>attracted widespread publicity</w:t>
      </w:r>
      <w:r w:rsidR="00C86EDE" w:rsidRPr="004A762B">
        <w:rPr>
          <w:rFonts w:ascii="Verdana" w:hAnsi="Verdana" w:cs="Arial"/>
          <w:color w:val="0B0C0C"/>
          <w:sz w:val="22"/>
          <w:szCs w:val="22"/>
        </w:rPr>
        <w:t xml:space="preserve">. Several </w:t>
      </w:r>
      <w:r w:rsidR="001C6E04" w:rsidRPr="004A762B">
        <w:rPr>
          <w:rFonts w:ascii="Verdana" w:hAnsi="Verdana" w:cs="Arial"/>
          <w:color w:val="0B0C0C"/>
          <w:sz w:val="22"/>
          <w:szCs w:val="22"/>
        </w:rPr>
        <w:t xml:space="preserve">negative </w:t>
      </w:r>
      <w:r w:rsidR="00391D9C" w:rsidRPr="004A762B">
        <w:rPr>
          <w:rFonts w:ascii="Verdana" w:hAnsi="Verdana" w:cs="Arial"/>
          <w:color w:val="0B0C0C"/>
          <w:sz w:val="22"/>
          <w:szCs w:val="22"/>
        </w:rPr>
        <w:t xml:space="preserve">articles </w:t>
      </w:r>
      <w:r w:rsidR="00C86EDE" w:rsidRPr="004A762B">
        <w:rPr>
          <w:rFonts w:ascii="Verdana" w:hAnsi="Verdana" w:cs="Arial"/>
          <w:color w:val="0B0C0C"/>
          <w:sz w:val="22"/>
          <w:szCs w:val="22"/>
        </w:rPr>
        <w:t xml:space="preserve">were </w:t>
      </w:r>
      <w:r w:rsidR="00391D9C" w:rsidRPr="004A762B">
        <w:rPr>
          <w:rFonts w:ascii="Verdana" w:hAnsi="Verdana" w:cs="Arial"/>
          <w:color w:val="0B0C0C"/>
          <w:sz w:val="22"/>
          <w:szCs w:val="22"/>
        </w:rPr>
        <w:t>written</w:t>
      </w:r>
      <w:r w:rsidR="00C126DE" w:rsidRPr="004A762B">
        <w:rPr>
          <w:rFonts w:ascii="Verdana" w:hAnsi="Verdana" w:cs="Arial"/>
          <w:color w:val="0B0C0C"/>
          <w:sz w:val="22"/>
          <w:szCs w:val="22"/>
        </w:rPr>
        <w:t>,</w:t>
      </w:r>
      <w:r w:rsidR="00391D9C" w:rsidRPr="004A762B">
        <w:rPr>
          <w:rFonts w:ascii="Verdana" w:hAnsi="Verdana" w:cs="Arial"/>
          <w:color w:val="0B0C0C"/>
          <w:sz w:val="22"/>
          <w:szCs w:val="22"/>
        </w:rPr>
        <w:t xml:space="preserve"> and </w:t>
      </w:r>
      <w:r w:rsidR="00432CF2" w:rsidRPr="004A762B">
        <w:rPr>
          <w:rFonts w:ascii="Verdana" w:hAnsi="Verdana" w:cs="Arial"/>
          <w:color w:val="0B0C0C"/>
          <w:sz w:val="22"/>
          <w:szCs w:val="22"/>
        </w:rPr>
        <w:t xml:space="preserve">adverse </w:t>
      </w:r>
      <w:r w:rsidR="00391D9C" w:rsidRPr="004A762B">
        <w:rPr>
          <w:rFonts w:ascii="Verdana" w:hAnsi="Verdana" w:cs="Arial"/>
          <w:color w:val="0B0C0C"/>
          <w:sz w:val="22"/>
          <w:szCs w:val="22"/>
        </w:rPr>
        <w:t xml:space="preserve">comments </w:t>
      </w:r>
      <w:r w:rsidR="001C6E04" w:rsidRPr="004A762B">
        <w:rPr>
          <w:rFonts w:ascii="Verdana" w:hAnsi="Verdana" w:cs="Arial"/>
          <w:color w:val="0B0C0C"/>
          <w:sz w:val="22"/>
          <w:szCs w:val="22"/>
        </w:rPr>
        <w:t>made</w:t>
      </w:r>
      <w:r w:rsidR="002947CD" w:rsidRPr="004A762B">
        <w:rPr>
          <w:rFonts w:ascii="Verdana" w:hAnsi="Verdana" w:cs="Arial"/>
          <w:color w:val="0B0C0C"/>
          <w:sz w:val="22"/>
          <w:szCs w:val="22"/>
        </w:rPr>
        <w:t>,</w:t>
      </w:r>
      <w:r w:rsidR="001C6E04" w:rsidRPr="004A762B">
        <w:rPr>
          <w:rFonts w:ascii="Verdana" w:hAnsi="Verdana" w:cs="Arial"/>
          <w:color w:val="0B0C0C"/>
          <w:sz w:val="22"/>
          <w:szCs w:val="22"/>
        </w:rPr>
        <w:t xml:space="preserve"> in the media </w:t>
      </w:r>
      <w:r w:rsidR="0069318A" w:rsidRPr="004A762B">
        <w:rPr>
          <w:rFonts w:ascii="Verdana" w:hAnsi="Verdana" w:cs="Arial"/>
          <w:color w:val="0B0C0C"/>
          <w:sz w:val="22"/>
          <w:szCs w:val="22"/>
        </w:rPr>
        <w:t xml:space="preserve">and elsewhere </w:t>
      </w:r>
      <w:r w:rsidRPr="004A762B">
        <w:rPr>
          <w:rFonts w:ascii="Verdana" w:hAnsi="Verdana" w:cs="Arial"/>
          <w:color w:val="0B0C0C"/>
          <w:sz w:val="22"/>
          <w:szCs w:val="22"/>
        </w:rPr>
        <w:t>about its activities</w:t>
      </w:r>
      <w:r w:rsidR="00C126DE" w:rsidRPr="004A762B">
        <w:rPr>
          <w:rFonts w:ascii="Verdana" w:hAnsi="Verdana" w:cs="Arial"/>
          <w:color w:val="0B0C0C"/>
          <w:sz w:val="22"/>
          <w:szCs w:val="22"/>
        </w:rPr>
        <w:t xml:space="preserve">. </w:t>
      </w:r>
      <w:r w:rsidR="00151B88">
        <w:rPr>
          <w:rFonts w:ascii="Verdana" w:hAnsi="Verdana" w:cs="Arial"/>
          <w:color w:val="0B0C0C"/>
          <w:sz w:val="22"/>
          <w:szCs w:val="22"/>
        </w:rPr>
        <w:t xml:space="preserve">The Charity </w:t>
      </w:r>
      <w:r w:rsidR="00162ADB" w:rsidRPr="004A762B">
        <w:rPr>
          <w:rFonts w:ascii="Verdana" w:hAnsi="Verdana" w:cs="Arial"/>
          <w:color w:val="0B0C0C"/>
          <w:sz w:val="22"/>
          <w:szCs w:val="22"/>
        </w:rPr>
        <w:t xml:space="preserve">was also subject to several </w:t>
      </w:r>
      <w:r w:rsidR="000402A1" w:rsidRPr="004A762B">
        <w:rPr>
          <w:rFonts w:ascii="Verdana" w:hAnsi="Verdana" w:cs="Arial"/>
          <w:color w:val="0B0C0C"/>
          <w:sz w:val="22"/>
          <w:szCs w:val="22"/>
        </w:rPr>
        <w:t xml:space="preserve">public </w:t>
      </w:r>
      <w:r w:rsidR="00162ADB" w:rsidRPr="004A762B">
        <w:rPr>
          <w:rFonts w:ascii="Verdana" w:hAnsi="Verdana" w:cs="Arial"/>
          <w:color w:val="0B0C0C"/>
          <w:sz w:val="22"/>
          <w:szCs w:val="22"/>
        </w:rPr>
        <w:t>reports about</w:t>
      </w:r>
      <w:r w:rsidR="001E66E1" w:rsidRPr="004A762B">
        <w:rPr>
          <w:rFonts w:ascii="Verdana" w:hAnsi="Verdana" w:cs="Arial"/>
          <w:color w:val="0B0C0C"/>
          <w:sz w:val="22"/>
          <w:szCs w:val="22"/>
        </w:rPr>
        <w:t xml:space="preserve"> those </w:t>
      </w:r>
      <w:r w:rsidR="00162ADB" w:rsidRPr="004A762B">
        <w:rPr>
          <w:rFonts w:ascii="Verdana" w:hAnsi="Verdana" w:cs="Arial"/>
          <w:color w:val="0B0C0C"/>
          <w:sz w:val="22"/>
          <w:szCs w:val="22"/>
        </w:rPr>
        <w:t>activities</w:t>
      </w:r>
      <w:r w:rsidR="00C07C7B" w:rsidRPr="004A762B">
        <w:rPr>
          <w:rFonts w:ascii="Verdana" w:hAnsi="Verdana" w:cs="Arial"/>
          <w:color w:val="0B0C0C"/>
          <w:sz w:val="22"/>
          <w:szCs w:val="22"/>
        </w:rPr>
        <w:t>, most notably by the</w:t>
      </w:r>
      <w:r w:rsidR="00100CCD" w:rsidRPr="004A762B">
        <w:rPr>
          <w:rFonts w:ascii="Verdana" w:hAnsi="Verdana" w:cs="Arial"/>
          <w:color w:val="0B0C0C"/>
          <w:sz w:val="22"/>
          <w:szCs w:val="22"/>
          <w:shd w:val="clear" w:color="auto" w:fill="FFFFFF"/>
        </w:rPr>
        <w:t xml:space="preserve"> National Audit Office on 29 October 2015, </w:t>
      </w:r>
      <w:r w:rsidR="00040A50" w:rsidRPr="004A762B">
        <w:rPr>
          <w:rFonts w:ascii="Verdana" w:hAnsi="Verdana" w:cs="Arial"/>
          <w:color w:val="0B0C0C"/>
          <w:sz w:val="22"/>
          <w:szCs w:val="22"/>
        </w:rPr>
        <w:t xml:space="preserve">Public Administration and Constitutional Affairs Committee </w:t>
      </w:r>
      <w:r w:rsidR="00C07C7B" w:rsidRPr="004A762B">
        <w:rPr>
          <w:rFonts w:ascii="Verdana" w:hAnsi="Verdana" w:cs="Arial"/>
          <w:color w:val="0B0C0C"/>
          <w:sz w:val="22"/>
          <w:szCs w:val="22"/>
        </w:rPr>
        <w:t xml:space="preserve">on </w:t>
      </w:r>
      <w:r w:rsidR="00040A50" w:rsidRPr="004A762B">
        <w:rPr>
          <w:rFonts w:ascii="Verdana" w:hAnsi="Verdana" w:cs="Arial"/>
          <w:color w:val="0B0C0C"/>
          <w:sz w:val="22"/>
          <w:szCs w:val="22"/>
        </w:rPr>
        <w:t>21 January 2016</w:t>
      </w:r>
      <w:r w:rsidR="008270DF" w:rsidRPr="004A762B">
        <w:rPr>
          <w:rFonts w:ascii="Verdana" w:hAnsi="Verdana" w:cs="Arial"/>
          <w:color w:val="0B0C0C"/>
          <w:sz w:val="22"/>
          <w:szCs w:val="22"/>
        </w:rPr>
        <w:t>,</w:t>
      </w:r>
      <w:r w:rsidR="00C07C7B" w:rsidRPr="004A762B">
        <w:rPr>
          <w:rFonts w:ascii="Verdana" w:hAnsi="Verdana" w:cs="Arial"/>
          <w:color w:val="0B0C0C"/>
          <w:sz w:val="22"/>
          <w:szCs w:val="22"/>
        </w:rPr>
        <w:t xml:space="preserve"> and</w:t>
      </w:r>
      <w:r w:rsidR="0088610C" w:rsidRPr="004A762B">
        <w:rPr>
          <w:rFonts w:ascii="Verdana" w:hAnsi="Verdana" w:cs="Arial"/>
          <w:color w:val="0B0C0C"/>
          <w:sz w:val="22"/>
          <w:szCs w:val="22"/>
        </w:rPr>
        <w:t>,</w:t>
      </w:r>
      <w:r w:rsidR="00C07C7B" w:rsidRPr="004A762B">
        <w:rPr>
          <w:rFonts w:ascii="Verdana" w:hAnsi="Verdana" w:cs="Arial"/>
          <w:color w:val="0B0C0C"/>
          <w:sz w:val="22"/>
          <w:szCs w:val="22"/>
        </w:rPr>
        <w:t xml:space="preserve"> </w:t>
      </w:r>
      <w:r w:rsidR="008270DF" w:rsidRPr="004A762B">
        <w:rPr>
          <w:rFonts w:ascii="Verdana" w:hAnsi="Verdana" w:cs="Arial"/>
          <w:color w:val="0B0C0C"/>
          <w:sz w:val="22"/>
          <w:szCs w:val="22"/>
        </w:rPr>
        <w:t>most recently</w:t>
      </w:r>
      <w:r w:rsidR="00BA740F" w:rsidRPr="004A762B">
        <w:rPr>
          <w:rFonts w:ascii="Verdana" w:hAnsi="Verdana" w:cs="Arial"/>
          <w:color w:val="0B0C0C"/>
          <w:sz w:val="22"/>
          <w:szCs w:val="22"/>
        </w:rPr>
        <w:t>,</w:t>
      </w:r>
      <w:r w:rsidR="008270DF" w:rsidRPr="004A762B">
        <w:rPr>
          <w:rFonts w:ascii="Verdana" w:hAnsi="Verdana" w:cs="Arial"/>
          <w:color w:val="0B0C0C"/>
          <w:sz w:val="22"/>
          <w:szCs w:val="22"/>
        </w:rPr>
        <w:t xml:space="preserve"> by </w:t>
      </w:r>
      <w:r w:rsidR="00C07C7B" w:rsidRPr="004A762B">
        <w:rPr>
          <w:rFonts w:ascii="Verdana" w:hAnsi="Verdana" w:cs="Arial"/>
          <w:color w:val="0B0C0C"/>
          <w:sz w:val="22"/>
          <w:szCs w:val="22"/>
        </w:rPr>
        <w:t>the Charity Commission on 10 February 2022</w:t>
      </w:r>
      <w:r w:rsidR="00532637">
        <w:rPr>
          <w:rFonts w:ascii="Verdana" w:hAnsi="Verdana" w:cs="Arial"/>
          <w:color w:val="0B0C0C"/>
          <w:sz w:val="22"/>
          <w:szCs w:val="22"/>
        </w:rPr>
        <w:t xml:space="preserve">. The last report </w:t>
      </w:r>
      <w:r w:rsidR="00604EAA">
        <w:rPr>
          <w:rFonts w:ascii="Verdana" w:hAnsi="Verdana" w:cs="Arial"/>
          <w:color w:val="0B0C0C"/>
          <w:sz w:val="22"/>
          <w:szCs w:val="22"/>
        </w:rPr>
        <w:t xml:space="preserve">concluded, </w:t>
      </w:r>
      <w:r w:rsidR="00F77FEE">
        <w:rPr>
          <w:rFonts w:ascii="Verdana" w:hAnsi="Verdana" w:cs="Arial"/>
          <w:color w:val="0B0C0C"/>
          <w:sz w:val="22"/>
          <w:szCs w:val="22"/>
        </w:rPr>
        <w:t xml:space="preserve">among other things, </w:t>
      </w:r>
      <w:r w:rsidR="00604EAA">
        <w:rPr>
          <w:rFonts w:ascii="Verdana" w:hAnsi="Verdana" w:cs="Arial"/>
          <w:color w:val="0B0C0C"/>
          <w:sz w:val="22"/>
          <w:szCs w:val="22"/>
        </w:rPr>
        <w:t xml:space="preserve">that </w:t>
      </w:r>
      <w:r w:rsidR="00917224">
        <w:rPr>
          <w:rFonts w:ascii="Verdana" w:hAnsi="Verdana" w:cs="Arial"/>
          <w:color w:val="0B0C0C"/>
          <w:sz w:val="22"/>
          <w:szCs w:val="22"/>
        </w:rPr>
        <w:t>“</w:t>
      </w:r>
      <w:r w:rsidR="00604EAA">
        <w:rPr>
          <w:rFonts w:ascii="Verdana" w:hAnsi="Verdana" w:cs="Arial"/>
          <w:color w:val="0B0C0C"/>
          <w:sz w:val="22"/>
          <w:szCs w:val="22"/>
        </w:rPr>
        <w:t xml:space="preserve">in </w:t>
      </w:r>
      <w:r w:rsidR="00917224">
        <w:rPr>
          <w:rFonts w:ascii="Verdana" w:hAnsi="Verdana" w:cs="Arial"/>
          <w:color w:val="0B0C0C"/>
          <w:sz w:val="22"/>
          <w:szCs w:val="22"/>
        </w:rPr>
        <w:t>[</w:t>
      </w:r>
      <w:r w:rsidR="00E95C5B">
        <w:rPr>
          <w:rFonts w:ascii="Verdana" w:hAnsi="Verdana" w:cs="Arial"/>
          <w:color w:val="0B0C0C"/>
          <w:sz w:val="22"/>
          <w:szCs w:val="22"/>
        </w:rPr>
        <w:t>the Charity Commission’s</w:t>
      </w:r>
      <w:r w:rsidR="00917224">
        <w:rPr>
          <w:rFonts w:ascii="Verdana" w:hAnsi="Verdana" w:cs="Arial"/>
          <w:color w:val="0B0C0C"/>
          <w:sz w:val="22"/>
          <w:szCs w:val="22"/>
        </w:rPr>
        <w:t>]</w:t>
      </w:r>
      <w:r w:rsidR="00604EAA">
        <w:rPr>
          <w:rFonts w:ascii="Verdana" w:hAnsi="Verdana" w:cs="Arial"/>
          <w:color w:val="0B0C0C"/>
          <w:sz w:val="22"/>
          <w:szCs w:val="22"/>
        </w:rPr>
        <w:t xml:space="preserve"> opinion … </w:t>
      </w:r>
      <w:r w:rsidR="00604EAA">
        <w:rPr>
          <w:rFonts w:ascii="Verdana" w:hAnsi="Verdana" w:cs="Arial"/>
          <w:color w:val="0B0C0C"/>
          <w:sz w:val="22"/>
          <w:szCs w:val="22"/>
          <w:shd w:val="clear" w:color="auto" w:fill="FFFFFF"/>
        </w:rPr>
        <w:t>the Charity operated under a high-risk business model as illustrated by the combination of (</w:t>
      </w:r>
      <w:proofErr w:type="spellStart"/>
      <w:r w:rsidR="00604EAA">
        <w:rPr>
          <w:rFonts w:ascii="Verdana" w:hAnsi="Verdana" w:cs="Arial"/>
          <w:color w:val="0B0C0C"/>
          <w:sz w:val="22"/>
          <w:szCs w:val="22"/>
          <w:shd w:val="clear" w:color="auto" w:fill="FFFFFF"/>
        </w:rPr>
        <w:t>i</w:t>
      </w:r>
      <w:proofErr w:type="spellEnd"/>
      <w:r w:rsidR="00604EAA">
        <w:rPr>
          <w:rFonts w:ascii="Verdana" w:hAnsi="Verdana" w:cs="Arial"/>
          <w:color w:val="0B0C0C"/>
          <w:sz w:val="22"/>
          <w:szCs w:val="22"/>
          <w:shd w:val="clear" w:color="auto" w:fill="FFFFFF"/>
        </w:rPr>
        <w:t>) heavy reliance on grants and donations, (ii) reliance on a key fundraiser (the CEO), (iii) a lack of reserves and (iv) a demand led</w:t>
      </w:r>
      <w:r w:rsidR="007267B5">
        <w:rPr>
          <w:rFonts w:ascii="Verdana" w:hAnsi="Verdana" w:cs="Arial"/>
          <w:color w:val="0B0C0C"/>
          <w:sz w:val="22"/>
          <w:szCs w:val="22"/>
          <w:shd w:val="clear" w:color="auto" w:fill="FFFFFF"/>
        </w:rPr>
        <w:t>-</w:t>
      </w:r>
      <w:r w:rsidR="00604EAA">
        <w:rPr>
          <w:rFonts w:ascii="Verdana" w:hAnsi="Verdana" w:cs="Arial"/>
          <w:color w:val="0B0C0C"/>
          <w:sz w:val="22"/>
          <w:szCs w:val="22"/>
          <w:shd w:val="clear" w:color="auto" w:fill="FFFFFF"/>
        </w:rPr>
        <w:t>service. The trustees were aware of these risks and continued to operate the Charity under the same model for many years, only developing a restructuring plan in the last months of the charity’s operation”.</w:t>
      </w:r>
    </w:p>
    <w:p w14:paraId="76A227EA" w14:textId="43F2D297" w:rsidR="00F82D27" w:rsidRPr="00F82D27" w:rsidRDefault="00F82D27" w:rsidP="00F82D27">
      <w:pPr>
        <w:pStyle w:val="NormalWeb"/>
        <w:shd w:val="clear" w:color="auto" w:fill="FFFFFF"/>
        <w:spacing w:before="300" w:beforeAutospacing="0" w:after="300" w:afterAutospacing="0"/>
        <w:rPr>
          <w:rFonts w:ascii="Verdana" w:hAnsi="Verdana" w:cs="Arial"/>
          <w:color w:val="0B0C0C"/>
          <w:sz w:val="22"/>
          <w:szCs w:val="22"/>
          <w:u w:val="single"/>
        </w:rPr>
      </w:pPr>
      <w:r w:rsidRPr="00F82D27">
        <w:rPr>
          <w:rFonts w:ascii="Verdana" w:hAnsi="Verdana" w:cs="Arial"/>
          <w:color w:val="0B0C0C"/>
          <w:sz w:val="22"/>
          <w:szCs w:val="22"/>
          <w:u w:val="single"/>
        </w:rPr>
        <w:t xml:space="preserve">Brief Overview of the disqualification claim </w:t>
      </w:r>
      <w:r w:rsidR="00152EA0">
        <w:rPr>
          <w:rFonts w:ascii="Verdana" w:hAnsi="Verdana" w:cs="Arial"/>
          <w:color w:val="0B0C0C"/>
          <w:sz w:val="22"/>
          <w:szCs w:val="22"/>
          <w:u w:val="single"/>
        </w:rPr>
        <w:t>brought against the CEO and directors of the Charity</w:t>
      </w:r>
      <w:r w:rsidRPr="00F82D27">
        <w:rPr>
          <w:rFonts w:ascii="Verdana" w:hAnsi="Verdana" w:cs="Arial"/>
          <w:color w:val="0B0C0C"/>
          <w:sz w:val="22"/>
          <w:szCs w:val="22"/>
          <w:u w:val="single"/>
        </w:rPr>
        <w:t xml:space="preserve"> </w:t>
      </w:r>
    </w:p>
    <w:p w14:paraId="0F653371" w14:textId="11EE80E9" w:rsidR="00DB07D4" w:rsidRDefault="00721D56" w:rsidP="00DB07D4">
      <w:pPr>
        <w:pStyle w:val="NormalWeb"/>
        <w:shd w:val="clear" w:color="auto" w:fill="FFFFFF"/>
        <w:spacing w:before="300" w:beforeAutospacing="0" w:after="300" w:afterAutospacing="0"/>
        <w:rPr>
          <w:rFonts w:ascii="Verdana" w:hAnsi="Verdana" w:cs="Arial"/>
          <w:color w:val="0B0C0C"/>
          <w:sz w:val="22"/>
          <w:szCs w:val="22"/>
        </w:rPr>
      </w:pPr>
      <w:r>
        <w:rPr>
          <w:rFonts w:ascii="Verdana" w:hAnsi="Verdana" w:cs="Arial"/>
          <w:color w:val="0B0C0C"/>
          <w:sz w:val="22"/>
          <w:szCs w:val="22"/>
        </w:rPr>
        <w:t xml:space="preserve">On </w:t>
      </w:r>
      <w:r w:rsidR="00040A50" w:rsidRPr="004E3FDC">
        <w:rPr>
          <w:rFonts w:ascii="Verdana" w:hAnsi="Verdana" w:cs="Arial"/>
          <w:color w:val="0B0C0C"/>
          <w:sz w:val="22"/>
          <w:szCs w:val="22"/>
        </w:rPr>
        <w:t>17 August 2017</w:t>
      </w:r>
      <w:r w:rsidR="00FD2C09">
        <w:rPr>
          <w:rFonts w:ascii="Verdana" w:hAnsi="Verdana" w:cs="Arial"/>
          <w:color w:val="0B0C0C"/>
          <w:sz w:val="22"/>
          <w:szCs w:val="22"/>
        </w:rPr>
        <w:t xml:space="preserve">, the Official Receiver, acting on the directions of the Secretary of State for Business, </w:t>
      </w:r>
      <w:r w:rsidR="00BE757F">
        <w:rPr>
          <w:rFonts w:ascii="Verdana" w:hAnsi="Verdana" w:cs="Arial"/>
          <w:color w:val="0B0C0C"/>
          <w:sz w:val="22"/>
          <w:szCs w:val="22"/>
        </w:rPr>
        <w:t xml:space="preserve">Energy and Industrial Strategy issued </w:t>
      </w:r>
      <w:r w:rsidR="009B2FE2">
        <w:rPr>
          <w:rFonts w:ascii="Verdana" w:hAnsi="Verdana" w:cs="Arial"/>
          <w:color w:val="0B0C0C"/>
          <w:sz w:val="22"/>
          <w:szCs w:val="22"/>
        </w:rPr>
        <w:t xml:space="preserve">a claim for a </w:t>
      </w:r>
      <w:r w:rsidR="00BE757F">
        <w:rPr>
          <w:rFonts w:ascii="Verdana" w:hAnsi="Verdana" w:cs="Arial"/>
          <w:color w:val="0B0C0C"/>
          <w:sz w:val="22"/>
          <w:szCs w:val="22"/>
        </w:rPr>
        <w:t xml:space="preserve">disqualification </w:t>
      </w:r>
      <w:r w:rsidR="009B2FE2">
        <w:rPr>
          <w:rFonts w:ascii="Verdana" w:hAnsi="Verdana" w:cs="Arial"/>
          <w:color w:val="0B0C0C"/>
          <w:sz w:val="22"/>
          <w:szCs w:val="22"/>
        </w:rPr>
        <w:t>order u</w:t>
      </w:r>
      <w:r w:rsidR="002211A8">
        <w:rPr>
          <w:rFonts w:ascii="Verdana" w:hAnsi="Verdana" w:cs="Arial"/>
          <w:color w:val="0B0C0C"/>
          <w:sz w:val="22"/>
          <w:szCs w:val="22"/>
        </w:rPr>
        <w:t xml:space="preserve">nder s 6 of the Company Directors Disqualification Act 1986 </w:t>
      </w:r>
      <w:r w:rsidR="00875D4A">
        <w:rPr>
          <w:rFonts w:ascii="Verdana" w:hAnsi="Verdana" w:cs="Arial"/>
          <w:color w:val="0B0C0C"/>
          <w:sz w:val="22"/>
          <w:szCs w:val="22"/>
        </w:rPr>
        <w:t xml:space="preserve">(“the CDDA 1986”) </w:t>
      </w:r>
      <w:r w:rsidR="00BE757F">
        <w:rPr>
          <w:rFonts w:ascii="Verdana" w:hAnsi="Verdana" w:cs="Arial"/>
          <w:color w:val="0B0C0C"/>
          <w:sz w:val="22"/>
          <w:szCs w:val="22"/>
        </w:rPr>
        <w:t>against the CEO of the Charity and against</w:t>
      </w:r>
      <w:r w:rsidR="002211A8">
        <w:rPr>
          <w:rFonts w:ascii="Verdana" w:hAnsi="Verdana" w:cs="Arial"/>
          <w:color w:val="0B0C0C"/>
          <w:sz w:val="22"/>
          <w:szCs w:val="22"/>
        </w:rPr>
        <w:t xml:space="preserve"> </w:t>
      </w:r>
      <w:r w:rsidR="004E31B9">
        <w:rPr>
          <w:rFonts w:ascii="Verdana" w:hAnsi="Verdana" w:cs="Arial"/>
          <w:color w:val="0B0C0C"/>
          <w:sz w:val="22"/>
          <w:szCs w:val="22"/>
        </w:rPr>
        <w:t>its directors</w:t>
      </w:r>
      <w:r w:rsidR="006E6826">
        <w:rPr>
          <w:rFonts w:ascii="Verdana" w:hAnsi="Verdana" w:cs="Arial"/>
          <w:color w:val="0B0C0C"/>
          <w:sz w:val="22"/>
          <w:szCs w:val="22"/>
        </w:rPr>
        <w:t xml:space="preserve"> </w:t>
      </w:r>
      <w:r w:rsidR="00BA740F">
        <w:rPr>
          <w:rFonts w:ascii="Verdana" w:hAnsi="Verdana" w:cs="Arial"/>
          <w:color w:val="0B0C0C"/>
          <w:sz w:val="22"/>
          <w:szCs w:val="22"/>
        </w:rPr>
        <w:t xml:space="preserve">who were in office </w:t>
      </w:r>
      <w:r w:rsidR="006E6826">
        <w:rPr>
          <w:rFonts w:ascii="Verdana" w:hAnsi="Verdana" w:cs="Arial"/>
          <w:color w:val="0B0C0C"/>
          <w:sz w:val="22"/>
          <w:szCs w:val="22"/>
        </w:rPr>
        <w:t>at the time of its collapse</w:t>
      </w:r>
      <w:r w:rsidR="002211A8">
        <w:rPr>
          <w:rFonts w:ascii="Verdana" w:hAnsi="Verdana" w:cs="Arial"/>
          <w:color w:val="0B0C0C"/>
          <w:sz w:val="22"/>
          <w:szCs w:val="22"/>
        </w:rPr>
        <w:t xml:space="preserve">. </w:t>
      </w:r>
      <w:r w:rsidR="002C1969">
        <w:rPr>
          <w:rFonts w:ascii="Verdana" w:hAnsi="Verdana" w:cs="Arial"/>
          <w:color w:val="0B0C0C"/>
          <w:sz w:val="22"/>
          <w:szCs w:val="22"/>
        </w:rPr>
        <w:t xml:space="preserve">Before the trial of the claim, one of the </w:t>
      </w:r>
      <w:r w:rsidR="0086712F">
        <w:rPr>
          <w:rFonts w:ascii="Verdana" w:hAnsi="Verdana" w:cs="Arial"/>
          <w:color w:val="0B0C0C"/>
          <w:sz w:val="22"/>
          <w:szCs w:val="22"/>
        </w:rPr>
        <w:t>defendant-</w:t>
      </w:r>
      <w:r w:rsidR="002C1969">
        <w:rPr>
          <w:rFonts w:ascii="Verdana" w:hAnsi="Verdana" w:cs="Arial"/>
          <w:color w:val="0B0C0C"/>
          <w:sz w:val="22"/>
          <w:szCs w:val="22"/>
        </w:rPr>
        <w:t xml:space="preserve">directors entered into a disqualification undertaking in favour of the Secretary of State. </w:t>
      </w:r>
      <w:r w:rsidR="009B2FE2">
        <w:rPr>
          <w:rFonts w:ascii="Verdana" w:hAnsi="Verdana" w:cs="Arial"/>
          <w:color w:val="0B0C0C"/>
          <w:sz w:val="22"/>
          <w:szCs w:val="22"/>
        </w:rPr>
        <w:t xml:space="preserve">The claim </w:t>
      </w:r>
      <w:r w:rsidR="00C071F1">
        <w:rPr>
          <w:rFonts w:ascii="Verdana" w:hAnsi="Verdana" w:cs="Arial"/>
          <w:color w:val="0B0C0C"/>
          <w:sz w:val="22"/>
          <w:szCs w:val="22"/>
        </w:rPr>
        <w:t xml:space="preserve">against the rest of the defendants </w:t>
      </w:r>
      <w:r w:rsidR="009B2FE2">
        <w:rPr>
          <w:rFonts w:ascii="Verdana" w:hAnsi="Verdana" w:cs="Arial"/>
          <w:color w:val="0B0C0C"/>
          <w:sz w:val="22"/>
          <w:szCs w:val="22"/>
        </w:rPr>
        <w:t>was tried by Falk J over a period of some 10 weeks</w:t>
      </w:r>
      <w:r w:rsidR="003A1ECD">
        <w:rPr>
          <w:rFonts w:ascii="Verdana" w:hAnsi="Verdana" w:cs="Arial"/>
          <w:color w:val="0B0C0C"/>
          <w:sz w:val="22"/>
          <w:szCs w:val="22"/>
        </w:rPr>
        <w:t xml:space="preserve">. </w:t>
      </w:r>
      <w:r w:rsidR="00534C27">
        <w:rPr>
          <w:rFonts w:ascii="Verdana" w:hAnsi="Verdana" w:cs="Arial"/>
          <w:color w:val="0B0C0C"/>
          <w:sz w:val="22"/>
          <w:szCs w:val="22"/>
        </w:rPr>
        <w:t>The judge</w:t>
      </w:r>
      <w:r w:rsidR="00BF3487">
        <w:rPr>
          <w:rFonts w:ascii="Verdana" w:hAnsi="Verdana" w:cs="Arial"/>
          <w:color w:val="0B0C0C"/>
          <w:sz w:val="22"/>
          <w:szCs w:val="22"/>
        </w:rPr>
        <w:t xml:space="preserve"> </w:t>
      </w:r>
      <w:r w:rsidR="00BD74FE">
        <w:rPr>
          <w:rFonts w:ascii="Verdana" w:hAnsi="Verdana" w:cs="Arial"/>
          <w:color w:val="0B0C0C"/>
          <w:sz w:val="22"/>
          <w:szCs w:val="22"/>
        </w:rPr>
        <w:t xml:space="preserve">delivered a </w:t>
      </w:r>
      <w:r w:rsidR="00832965">
        <w:rPr>
          <w:rFonts w:ascii="Verdana" w:hAnsi="Verdana" w:cs="Arial"/>
          <w:color w:val="0B0C0C"/>
          <w:sz w:val="22"/>
          <w:szCs w:val="22"/>
        </w:rPr>
        <w:t xml:space="preserve">detailed judgment </w:t>
      </w:r>
      <w:r w:rsidR="00BF3487">
        <w:rPr>
          <w:rFonts w:ascii="Verdana" w:hAnsi="Verdana" w:cs="Arial"/>
          <w:color w:val="0B0C0C"/>
          <w:sz w:val="22"/>
          <w:szCs w:val="22"/>
        </w:rPr>
        <w:t xml:space="preserve">in the claim on </w:t>
      </w:r>
      <w:r w:rsidR="00040A50" w:rsidRPr="004E3FDC">
        <w:rPr>
          <w:rFonts w:ascii="Verdana" w:hAnsi="Verdana" w:cs="Arial"/>
          <w:color w:val="0B0C0C"/>
          <w:sz w:val="22"/>
          <w:szCs w:val="22"/>
        </w:rPr>
        <w:t>12 February 2021</w:t>
      </w:r>
      <w:r w:rsidR="00C071F1">
        <w:rPr>
          <w:rFonts w:ascii="Verdana" w:hAnsi="Verdana" w:cs="Arial"/>
          <w:color w:val="0B0C0C"/>
          <w:sz w:val="22"/>
          <w:szCs w:val="22"/>
        </w:rPr>
        <w:t xml:space="preserve"> in which she dismissed </w:t>
      </w:r>
      <w:r w:rsidR="00BD74FE">
        <w:rPr>
          <w:rFonts w:ascii="Verdana" w:hAnsi="Verdana" w:cs="Arial"/>
          <w:color w:val="0B0C0C"/>
          <w:sz w:val="22"/>
          <w:szCs w:val="22"/>
        </w:rPr>
        <w:t xml:space="preserve">the claim against all </w:t>
      </w:r>
      <w:r w:rsidR="00B07D4C">
        <w:rPr>
          <w:rFonts w:ascii="Verdana" w:hAnsi="Verdana" w:cs="Arial"/>
          <w:color w:val="0B0C0C"/>
          <w:sz w:val="22"/>
          <w:szCs w:val="22"/>
        </w:rPr>
        <w:t xml:space="preserve">those </w:t>
      </w:r>
      <w:r w:rsidR="00BD74FE">
        <w:rPr>
          <w:rFonts w:ascii="Verdana" w:hAnsi="Verdana" w:cs="Arial"/>
          <w:color w:val="0B0C0C"/>
          <w:sz w:val="22"/>
          <w:szCs w:val="22"/>
        </w:rPr>
        <w:t>defendants</w:t>
      </w:r>
      <w:r w:rsidR="00F21160">
        <w:rPr>
          <w:rFonts w:ascii="Verdana" w:hAnsi="Verdana" w:cs="Arial"/>
          <w:color w:val="0B0C0C"/>
          <w:sz w:val="22"/>
          <w:szCs w:val="22"/>
        </w:rPr>
        <w:t>: see [2021] EWHC 175 (Ch)</w:t>
      </w:r>
      <w:r w:rsidR="00BD74FE">
        <w:rPr>
          <w:rFonts w:ascii="Verdana" w:hAnsi="Verdana" w:cs="Arial"/>
          <w:color w:val="0B0C0C"/>
          <w:sz w:val="22"/>
          <w:szCs w:val="22"/>
        </w:rPr>
        <w:t>.</w:t>
      </w:r>
      <w:r w:rsidR="008270DF">
        <w:rPr>
          <w:rFonts w:ascii="Verdana" w:hAnsi="Verdana" w:cs="Arial"/>
          <w:color w:val="0B0C0C"/>
          <w:sz w:val="22"/>
          <w:szCs w:val="22"/>
        </w:rPr>
        <w:t xml:space="preserve"> </w:t>
      </w:r>
    </w:p>
    <w:p w14:paraId="56F343C3" w14:textId="035461EA" w:rsidR="00975C9B" w:rsidRPr="00975C9B" w:rsidRDefault="00DF7FFB" w:rsidP="008A352E">
      <w:pPr>
        <w:pStyle w:val="n-Para"/>
        <w:rPr>
          <w:sz w:val="22"/>
          <w:szCs w:val="22"/>
        </w:rPr>
      </w:pPr>
      <w:r w:rsidRPr="00975C9B">
        <w:rPr>
          <w:sz w:val="22"/>
          <w:szCs w:val="22"/>
        </w:rPr>
        <w:t xml:space="preserve">Section 6 of the CDDA 1986 requires the court to disqualify a </w:t>
      </w:r>
      <w:r w:rsidR="00CB74AA">
        <w:rPr>
          <w:sz w:val="22"/>
          <w:szCs w:val="22"/>
        </w:rPr>
        <w:t xml:space="preserve">director (whether </w:t>
      </w:r>
      <w:r w:rsidR="00CB74AA" w:rsidRPr="002242A5">
        <w:rPr>
          <w:i/>
          <w:iCs/>
          <w:sz w:val="22"/>
          <w:szCs w:val="22"/>
        </w:rPr>
        <w:t>de facto</w:t>
      </w:r>
      <w:r w:rsidR="002242A5">
        <w:rPr>
          <w:sz w:val="22"/>
          <w:szCs w:val="22"/>
        </w:rPr>
        <w:t xml:space="preserve"> or </w:t>
      </w:r>
      <w:r w:rsidR="00CB74AA" w:rsidRPr="002242A5">
        <w:rPr>
          <w:i/>
          <w:iCs/>
          <w:sz w:val="22"/>
          <w:szCs w:val="22"/>
        </w:rPr>
        <w:t>de jure</w:t>
      </w:r>
      <w:r w:rsidR="002242A5">
        <w:rPr>
          <w:sz w:val="22"/>
          <w:szCs w:val="22"/>
        </w:rPr>
        <w:t xml:space="preserve">) or “shadow” director </w:t>
      </w:r>
      <w:r w:rsidRPr="00975C9B">
        <w:rPr>
          <w:sz w:val="22"/>
          <w:szCs w:val="22"/>
        </w:rPr>
        <w:t xml:space="preserve">for a period of at least two years if it </w:t>
      </w:r>
      <w:r w:rsidRPr="00975C9B">
        <w:rPr>
          <w:sz w:val="22"/>
          <w:szCs w:val="22"/>
        </w:rPr>
        <w:lastRenderedPageBreak/>
        <w:t>makes a finding that</w:t>
      </w:r>
      <w:r w:rsidR="001A4B1E">
        <w:rPr>
          <w:sz w:val="22"/>
          <w:szCs w:val="22"/>
        </w:rPr>
        <w:t xml:space="preserve"> he </w:t>
      </w:r>
      <w:r w:rsidRPr="00975C9B">
        <w:rPr>
          <w:sz w:val="22"/>
          <w:szCs w:val="22"/>
        </w:rPr>
        <w:t>is unfit to be concerned in the management of a company. If the court finds that the complaints alleged and proved against</w:t>
      </w:r>
      <w:r w:rsidR="00C811F8">
        <w:rPr>
          <w:sz w:val="22"/>
          <w:szCs w:val="22"/>
        </w:rPr>
        <w:t xml:space="preserve"> the </w:t>
      </w:r>
      <w:r w:rsidRPr="00975C9B">
        <w:rPr>
          <w:sz w:val="22"/>
          <w:szCs w:val="22"/>
        </w:rPr>
        <w:t>defendant are sufficient to support a finding of unfitness, the making of a disqualification order for a minimum period of two years is mandatory. The maximum period for which a disqualification order may be made is 15 years. Under s</w:t>
      </w:r>
      <w:r w:rsidR="00855B69">
        <w:rPr>
          <w:sz w:val="22"/>
          <w:szCs w:val="22"/>
        </w:rPr>
        <w:t>ection</w:t>
      </w:r>
      <w:r w:rsidRPr="00975C9B">
        <w:rPr>
          <w:sz w:val="22"/>
          <w:szCs w:val="22"/>
        </w:rPr>
        <w:t xml:space="preserve"> 6(1) of the CDDA 1986, there is no judicial discretion to avoid the imposition of a period of disqualification. </w:t>
      </w:r>
      <w:r w:rsidR="008A352E" w:rsidRPr="00975C9B">
        <w:rPr>
          <w:sz w:val="22"/>
          <w:szCs w:val="22"/>
        </w:rPr>
        <w:t xml:space="preserve">Accordingly, the </w:t>
      </w:r>
      <w:r w:rsidR="00F8591A" w:rsidRPr="00975C9B">
        <w:rPr>
          <w:sz w:val="22"/>
          <w:szCs w:val="22"/>
        </w:rPr>
        <w:t>question for the judge to determine was whether the CEO</w:t>
      </w:r>
      <w:r w:rsidR="00800B2B" w:rsidRPr="00975C9B">
        <w:rPr>
          <w:sz w:val="22"/>
          <w:szCs w:val="22"/>
        </w:rPr>
        <w:t xml:space="preserve"> of the Charity, who was not formally appointed as its director</w:t>
      </w:r>
      <w:r w:rsidR="00035D98" w:rsidRPr="00975C9B">
        <w:rPr>
          <w:sz w:val="22"/>
          <w:szCs w:val="22"/>
        </w:rPr>
        <w:t>,</w:t>
      </w:r>
      <w:r w:rsidR="008F5796">
        <w:rPr>
          <w:sz w:val="22"/>
          <w:szCs w:val="22"/>
        </w:rPr>
        <w:t xml:space="preserve"> </w:t>
      </w:r>
      <w:r w:rsidR="00F8591A" w:rsidRPr="00975C9B">
        <w:rPr>
          <w:sz w:val="22"/>
          <w:szCs w:val="22"/>
        </w:rPr>
        <w:t xml:space="preserve">was </w:t>
      </w:r>
      <w:r w:rsidR="00035D98" w:rsidRPr="00975C9B">
        <w:rPr>
          <w:sz w:val="22"/>
          <w:szCs w:val="22"/>
        </w:rPr>
        <w:t xml:space="preserve">nonetheless a director in fact (i.e., a </w:t>
      </w:r>
      <w:r w:rsidR="00035D98" w:rsidRPr="00975C9B">
        <w:rPr>
          <w:i/>
          <w:iCs/>
          <w:sz w:val="22"/>
          <w:szCs w:val="22"/>
        </w:rPr>
        <w:t>de facto</w:t>
      </w:r>
      <w:r w:rsidR="00035D98" w:rsidRPr="00975C9B">
        <w:rPr>
          <w:sz w:val="22"/>
          <w:szCs w:val="22"/>
        </w:rPr>
        <w:t xml:space="preserve"> director) and, if she was, whether she </w:t>
      </w:r>
      <w:r w:rsidR="00070A78" w:rsidRPr="00975C9B">
        <w:rPr>
          <w:sz w:val="22"/>
          <w:szCs w:val="22"/>
        </w:rPr>
        <w:t xml:space="preserve">and the other defendants </w:t>
      </w:r>
      <w:r w:rsidR="00733D16" w:rsidRPr="00975C9B">
        <w:rPr>
          <w:sz w:val="22"/>
          <w:szCs w:val="22"/>
        </w:rPr>
        <w:t>(who were formally appointed as directors</w:t>
      </w:r>
      <w:r w:rsidR="00770247">
        <w:rPr>
          <w:sz w:val="22"/>
          <w:szCs w:val="22"/>
        </w:rPr>
        <w:t xml:space="preserve">) </w:t>
      </w:r>
      <w:r w:rsidR="00070A78" w:rsidRPr="00975C9B">
        <w:rPr>
          <w:sz w:val="22"/>
          <w:szCs w:val="22"/>
        </w:rPr>
        <w:t xml:space="preserve">were </w:t>
      </w:r>
      <w:r w:rsidR="001A5D0E" w:rsidRPr="00975C9B">
        <w:rPr>
          <w:sz w:val="22"/>
          <w:szCs w:val="22"/>
        </w:rPr>
        <w:t xml:space="preserve">each </w:t>
      </w:r>
      <w:r w:rsidR="00070A78" w:rsidRPr="00975C9B">
        <w:rPr>
          <w:sz w:val="22"/>
          <w:szCs w:val="22"/>
        </w:rPr>
        <w:t>unfit to be involved in the management of a</w:t>
      </w:r>
      <w:r w:rsidR="00D82147" w:rsidRPr="00975C9B">
        <w:rPr>
          <w:sz w:val="22"/>
          <w:szCs w:val="22"/>
        </w:rPr>
        <w:t xml:space="preserve"> company.</w:t>
      </w:r>
    </w:p>
    <w:p w14:paraId="3A0D4457" w14:textId="7C43FAA3" w:rsidR="00D82147" w:rsidRPr="00DB07D4" w:rsidRDefault="00D15FD9" w:rsidP="008A352E">
      <w:pPr>
        <w:pStyle w:val="n-Para"/>
        <w:rPr>
          <w:sz w:val="22"/>
          <w:szCs w:val="22"/>
        </w:rPr>
      </w:pPr>
      <w:r w:rsidRPr="00DB07D4">
        <w:rPr>
          <w:sz w:val="22"/>
          <w:szCs w:val="22"/>
        </w:rPr>
        <w:t xml:space="preserve"> </w:t>
      </w:r>
      <w:r w:rsidR="00860D60" w:rsidRPr="00DB07D4">
        <w:rPr>
          <w:sz w:val="22"/>
          <w:szCs w:val="22"/>
        </w:rPr>
        <w:t xml:space="preserve"> </w:t>
      </w:r>
    </w:p>
    <w:p w14:paraId="6AE40F3A" w14:textId="1D72C268" w:rsidR="001265ED" w:rsidRDefault="003724B9" w:rsidP="002D1D67">
      <w:pPr>
        <w:rPr>
          <w:rFonts w:ascii="Verdana" w:hAnsi="Verdana"/>
        </w:rPr>
      </w:pPr>
      <w:r w:rsidRPr="002D1D67">
        <w:rPr>
          <w:rFonts w:ascii="Verdana" w:hAnsi="Verdana"/>
        </w:rPr>
        <w:t xml:space="preserve">For the purpose of considering </w:t>
      </w:r>
      <w:r w:rsidR="00EA1E40" w:rsidRPr="002D1D67">
        <w:rPr>
          <w:rFonts w:ascii="Verdana" w:hAnsi="Verdana"/>
        </w:rPr>
        <w:t xml:space="preserve">the question posed by this article, </w:t>
      </w:r>
      <w:r w:rsidR="00F63DC8" w:rsidRPr="002D1D67">
        <w:rPr>
          <w:rFonts w:ascii="Verdana" w:hAnsi="Verdana"/>
        </w:rPr>
        <w:t xml:space="preserve">neither </w:t>
      </w:r>
      <w:r w:rsidR="00EA1E40" w:rsidRPr="002D1D67">
        <w:rPr>
          <w:rFonts w:ascii="Verdana" w:hAnsi="Verdana"/>
        </w:rPr>
        <w:t>th</w:t>
      </w:r>
      <w:r w:rsidR="000A2148" w:rsidRPr="002D1D67">
        <w:rPr>
          <w:rFonts w:ascii="Verdana" w:hAnsi="Verdana"/>
        </w:rPr>
        <w:t xml:space="preserve">e facts </w:t>
      </w:r>
      <w:r w:rsidR="004A0B6C" w:rsidRPr="002D1D67">
        <w:rPr>
          <w:rFonts w:ascii="Verdana" w:hAnsi="Verdana"/>
        </w:rPr>
        <w:t xml:space="preserve">of the case </w:t>
      </w:r>
      <w:r w:rsidR="00F63DC8" w:rsidRPr="002D1D67">
        <w:rPr>
          <w:rFonts w:ascii="Verdana" w:hAnsi="Verdana"/>
        </w:rPr>
        <w:t xml:space="preserve">nor the </w:t>
      </w:r>
      <w:r w:rsidR="00B02C05" w:rsidRPr="002D1D67">
        <w:rPr>
          <w:rFonts w:ascii="Verdana" w:hAnsi="Verdana"/>
        </w:rPr>
        <w:t xml:space="preserve">detailed reasons given by the Judge </w:t>
      </w:r>
      <w:r w:rsidR="00BA72DA" w:rsidRPr="002D1D67">
        <w:rPr>
          <w:rFonts w:ascii="Verdana" w:hAnsi="Verdana"/>
        </w:rPr>
        <w:t xml:space="preserve">to support her </w:t>
      </w:r>
      <w:r w:rsidR="00CA0D2E" w:rsidRPr="002D1D67">
        <w:rPr>
          <w:rFonts w:ascii="Verdana" w:hAnsi="Verdana"/>
        </w:rPr>
        <w:t xml:space="preserve">conclusions </w:t>
      </w:r>
      <w:r w:rsidR="006E4EE7" w:rsidRPr="002D1D67">
        <w:rPr>
          <w:rFonts w:ascii="Verdana" w:hAnsi="Verdana"/>
        </w:rPr>
        <w:t xml:space="preserve">(including </w:t>
      </w:r>
      <w:r w:rsidR="00534C27">
        <w:rPr>
          <w:rFonts w:ascii="Verdana" w:hAnsi="Verdana"/>
        </w:rPr>
        <w:t xml:space="preserve">the </w:t>
      </w:r>
      <w:r w:rsidR="00913A4D">
        <w:rPr>
          <w:rFonts w:ascii="Verdana" w:hAnsi="Verdana"/>
        </w:rPr>
        <w:t>J</w:t>
      </w:r>
      <w:r w:rsidR="00534C27">
        <w:rPr>
          <w:rFonts w:ascii="Verdana" w:hAnsi="Verdana"/>
        </w:rPr>
        <w:t>udge’s</w:t>
      </w:r>
      <w:r w:rsidR="006E4EE7" w:rsidRPr="002D1D67">
        <w:rPr>
          <w:rFonts w:ascii="Verdana" w:hAnsi="Verdana"/>
        </w:rPr>
        <w:t xml:space="preserve"> </w:t>
      </w:r>
      <w:r w:rsidR="00BA72DA" w:rsidRPr="002D1D67">
        <w:rPr>
          <w:rFonts w:ascii="Verdana" w:hAnsi="Verdana"/>
        </w:rPr>
        <w:t xml:space="preserve">decision </w:t>
      </w:r>
      <w:r w:rsidR="000A745A" w:rsidRPr="002D1D67">
        <w:rPr>
          <w:rFonts w:ascii="Verdana" w:hAnsi="Verdana"/>
        </w:rPr>
        <w:t>that the claim should be dismissed</w:t>
      </w:r>
      <w:r w:rsidR="006E4EE7" w:rsidRPr="002D1D67">
        <w:rPr>
          <w:rFonts w:ascii="Verdana" w:hAnsi="Verdana"/>
        </w:rPr>
        <w:t>)</w:t>
      </w:r>
      <w:r w:rsidR="000A745A" w:rsidRPr="002D1D67">
        <w:rPr>
          <w:rFonts w:ascii="Verdana" w:hAnsi="Verdana"/>
        </w:rPr>
        <w:t xml:space="preserve"> </w:t>
      </w:r>
      <w:r w:rsidR="00BA72DA" w:rsidRPr="002D1D67">
        <w:rPr>
          <w:rFonts w:ascii="Verdana" w:hAnsi="Verdana"/>
        </w:rPr>
        <w:t>req</w:t>
      </w:r>
      <w:r w:rsidR="000A2148" w:rsidRPr="002D1D67">
        <w:rPr>
          <w:rFonts w:ascii="Verdana" w:hAnsi="Verdana"/>
        </w:rPr>
        <w:t xml:space="preserve">uire </w:t>
      </w:r>
      <w:r w:rsidR="00C23F5B" w:rsidRPr="002D1D67">
        <w:rPr>
          <w:rFonts w:ascii="Verdana" w:hAnsi="Verdana"/>
        </w:rPr>
        <w:t>mention</w:t>
      </w:r>
      <w:r w:rsidR="006E4EE7" w:rsidRPr="002D1D67">
        <w:rPr>
          <w:rFonts w:ascii="Verdana" w:hAnsi="Verdana"/>
        </w:rPr>
        <w:t xml:space="preserve">. </w:t>
      </w:r>
      <w:r w:rsidR="00555941" w:rsidRPr="002D1D67">
        <w:rPr>
          <w:rFonts w:ascii="Verdana" w:hAnsi="Verdana"/>
        </w:rPr>
        <w:t>The purpose of this article is to consider whether</w:t>
      </w:r>
      <w:r w:rsidR="0023484A" w:rsidRPr="002D1D67">
        <w:rPr>
          <w:rFonts w:ascii="Verdana" w:hAnsi="Verdana"/>
        </w:rPr>
        <w:t>,</w:t>
      </w:r>
      <w:r w:rsidR="004623B4" w:rsidRPr="002D1D67">
        <w:rPr>
          <w:rFonts w:ascii="Verdana" w:hAnsi="Verdana"/>
        </w:rPr>
        <w:t xml:space="preserve"> </w:t>
      </w:r>
      <w:r w:rsidR="0023484A" w:rsidRPr="002D1D67">
        <w:rPr>
          <w:rFonts w:ascii="Verdana" w:hAnsi="Verdana"/>
        </w:rPr>
        <w:t xml:space="preserve">as a result of </w:t>
      </w:r>
      <w:r w:rsidR="00140538" w:rsidRPr="002D1D67">
        <w:rPr>
          <w:rFonts w:ascii="Verdana" w:hAnsi="Verdana"/>
        </w:rPr>
        <w:t xml:space="preserve">certain </w:t>
      </w:r>
      <w:r w:rsidR="0023484A" w:rsidRPr="002D1D67">
        <w:rPr>
          <w:rFonts w:ascii="Verdana" w:hAnsi="Verdana"/>
        </w:rPr>
        <w:t xml:space="preserve">of the </w:t>
      </w:r>
      <w:r w:rsidR="004623B4" w:rsidRPr="002D1D67">
        <w:rPr>
          <w:rFonts w:ascii="Verdana" w:hAnsi="Verdana"/>
        </w:rPr>
        <w:t xml:space="preserve">observations </w:t>
      </w:r>
      <w:r w:rsidR="00D86800" w:rsidRPr="002D1D67">
        <w:rPr>
          <w:rFonts w:ascii="Verdana" w:hAnsi="Verdana"/>
        </w:rPr>
        <w:t>made by the Judge</w:t>
      </w:r>
      <w:r w:rsidR="0023484A" w:rsidRPr="002D1D67">
        <w:rPr>
          <w:rFonts w:ascii="Verdana" w:hAnsi="Verdana"/>
        </w:rPr>
        <w:t xml:space="preserve"> in her judgment</w:t>
      </w:r>
      <w:r w:rsidR="00D86800" w:rsidRPr="002D1D67">
        <w:rPr>
          <w:rFonts w:ascii="Verdana" w:hAnsi="Verdana"/>
        </w:rPr>
        <w:t xml:space="preserve">, </w:t>
      </w:r>
      <w:r w:rsidR="00784984" w:rsidRPr="002D1D67">
        <w:rPr>
          <w:rFonts w:ascii="Verdana" w:hAnsi="Verdana"/>
        </w:rPr>
        <w:t xml:space="preserve">which can only be said to be </w:t>
      </w:r>
      <w:r w:rsidR="00784984" w:rsidRPr="002D1D67">
        <w:rPr>
          <w:rFonts w:ascii="Verdana" w:hAnsi="Verdana"/>
          <w:i/>
          <w:iCs/>
        </w:rPr>
        <w:t>obiter</w:t>
      </w:r>
      <w:r w:rsidR="00784984" w:rsidRPr="002D1D67">
        <w:rPr>
          <w:rFonts w:ascii="Verdana" w:hAnsi="Verdana"/>
        </w:rPr>
        <w:t>, t</w:t>
      </w:r>
      <w:r w:rsidR="000B092B" w:rsidRPr="002D1D67">
        <w:rPr>
          <w:rFonts w:ascii="Verdana" w:hAnsi="Verdana"/>
        </w:rPr>
        <w:t xml:space="preserve">he rules </w:t>
      </w:r>
      <w:r w:rsidR="00767B9B" w:rsidRPr="002D1D67">
        <w:rPr>
          <w:rFonts w:ascii="Verdana" w:hAnsi="Verdana"/>
        </w:rPr>
        <w:t xml:space="preserve">relating to the liability of </w:t>
      </w:r>
      <w:r w:rsidR="00F2067F" w:rsidRPr="002D1D67">
        <w:rPr>
          <w:rFonts w:ascii="Verdana" w:hAnsi="Verdana"/>
        </w:rPr>
        <w:t xml:space="preserve">persons </w:t>
      </w:r>
      <w:r w:rsidR="00690D58" w:rsidRPr="002D1D67">
        <w:rPr>
          <w:rFonts w:ascii="Verdana" w:hAnsi="Verdana"/>
        </w:rPr>
        <w:t xml:space="preserve">to be disqualified under the CDDA 1986 </w:t>
      </w:r>
      <w:r w:rsidR="00E96C9B" w:rsidRPr="002D1D67">
        <w:rPr>
          <w:rFonts w:ascii="Verdana" w:hAnsi="Verdana"/>
        </w:rPr>
        <w:t xml:space="preserve">may or </w:t>
      </w:r>
      <w:r w:rsidR="00690D58" w:rsidRPr="002D1D67">
        <w:rPr>
          <w:rFonts w:ascii="Verdana" w:hAnsi="Verdana"/>
        </w:rPr>
        <w:t xml:space="preserve">should be different </w:t>
      </w:r>
      <w:r w:rsidR="000B092B" w:rsidRPr="002D1D67">
        <w:rPr>
          <w:rFonts w:ascii="Verdana" w:hAnsi="Verdana"/>
        </w:rPr>
        <w:t>for those who run corporate entities in the charities sector</w:t>
      </w:r>
      <w:r w:rsidR="005D032B" w:rsidRPr="002D1D67">
        <w:rPr>
          <w:rFonts w:ascii="Verdana" w:hAnsi="Verdana"/>
        </w:rPr>
        <w:t xml:space="preserve"> from those who </w:t>
      </w:r>
      <w:r w:rsidR="005A2320" w:rsidRPr="002D1D67">
        <w:rPr>
          <w:rFonts w:ascii="Verdana" w:hAnsi="Verdana"/>
        </w:rPr>
        <w:t xml:space="preserve">run </w:t>
      </w:r>
      <w:r w:rsidR="0075538B" w:rsidRPr="002D1D67">
        <w:rPr>
          <w:rFonts w:ascii="Verdana" w:hAnsi="Verdana"/>
        </w:rPr>
        <w:t xml:space="preserve">other </w:t>
      </w:r>
      <w:r w:rsidR="005A2320" w:rsidRPr="002D1D67">
        <w:rPr>
          <w:rFonts w:ascii="Verdana" w:hAnsi="Verdana"/>
        </w:rPr>
        <w:t>corporate entities</w:t>
      </w:r>
      <w:r w:rsidR="0075538B" w:rsidRPr="002D1D67">
        <w:rPr>
          <w:rFonts w:ascii="Verdana" w:hAnsi="Verdana"/>
        </w:rPr>
        <w:t>.</w:t>
      </w:r>
      <w:r w:rsidR="006B6A80" w:rsidRPr="002D1D67">
        <w:rPr>
          <w:rFonts w:ascii="Verdana" w:hAnsi="Verdana"/>
        </w:rPr>
        <w:t xml:space="preserve"> However, </w:t>
      </w:r>
      <w:r w:rsidR="001642E1" w:rsidRPr="002D1D67">
        <w:rPr>
          <w:rFonts w:ascii="Verdana" w:hAnsi="Verdana"/>
        </w:rPr>
        <w:t>three points about the decision should be noted</w:t>
      </w:r>
      <w:r w:rsidR="00886888" w:rsidRPr="002D1D67">
        <w:rPr>
          <w:rFonts w:ascii="Verdana" w:hAnsi="Verdana"/>
        </w:rPr>
        <w:t xml:space="preserve">: </w:t>
      </w:r>
      <w:r w:rsidR="00E31406" w:rsidRPr="002D1D67">
        <w:rPr>
          <w:rFonts w:ascii="Verdana" w:hAnsi="Verdana"/>
        </w:rPr>
        <w:t xml:space="preserve">first, </w:t>
      </w:r>
      <w:r w:rsidR="001265ED" w:rsidRPr="002D1D67">
        <w:rPr>
          <w:rFonts w:ascii="Verdana" w:hAnsi="Verdana"/>
        </w:rPr>
        <w:t xml:space="preserve">the charge </w:t>
      </w:r>
      <w:r w:rsidR="004D576E" w:rsidRPr="002D1D67">
        <w:rPr>
          <w:rFonts w:ascii="Verdana" w:hAnsi="Verdana"/>
        </w:rPr>
        <w:t xml:space="preserve">brought </w:t>
      </w:r>
      <w:r w:rsidR="001265ED" w:rsidRPr="002D1D67">
        <w:rPr>
          <w:rFonts w:ascii="Verdana" w:hAnsi="Verdana"/>
        </w:rPr>
        <w:t xml:space="preserve">against the defendants was </w:t>
      </w:r>
      <w:r w:rsidR="006D4071" w:rsidRPr="002D1D67">
        <w:rPr>
          <w:rFonts w:ascii="Verdana" w:hAnsi="Verdana"/>
        </w:rPr>
        <w:t xml:space="preserve">that </w:t>
      </w:r>
      <w:r w:rsidR="001265ED" w:rsidRPr="002D1D67">
        <w:rPr>
          <w:rFonts w:ascii="Verdana" w:hAnsi="Verdana"/>
        </w:rPr>
        <w:t xml:space="preserve">they had </w:t>
      </w:r>
      <w:r w:rsidR="006D4071" w:rsidRPr="002D1D67">
        <w:rPr>
          <w:rFonts w:ascii="Verdana" w:hAnsi="Verdana"/>
        </w:rPr>
        <w:t>“</w:t>
      </w:r>
      <w:r w:rsidR="001265ED" w:rsidRPr="002D1D67">
        <w:rPr>
          <w:rFonts w:ascii="Verdana" w:hAnsi="Verdana"/>
        </w:rPr>
        <w:t xml:space="preserve">caused and/or allowed [the </w:t>
      </w:r>
      <w:r w:rsidR="006D4071" w:rsidRPr="002D1D67">
        <w:rPr>
          <w:rFonts w:ascii="Verdana" w:hAnsi="Verdana"/>
        </w:rPr>
        <w:t>Charity</w:t>
      </w:r>
      <w:r w:rsidR="001265ED" w:rsidRPr="002D1D67">
        <w:rPr>
          <w:rFonts w:ascii="Verdana" w:hAnsi="Verdana"/>
        </w:rPr>
        <w:t>] to operate an unsustainable business model</w:t>
      </w:r>
      <w:r w:rsidR="0099789F" w:rsidRPr="002D1D67">
        <w:rPr>
          <w:rFonts w:ascii="Verdana" w:hAnsi="Verdana"/>
        </w:rPr>
        <w:t>”</w:t>
      </w:r>
      <w:r w:rsidR="00B53B2D" w:rsidRPr="002D1D67">
        <w:rPr>
          <w:rFonts w:ascii="Verdana" w:hAnsi="Verdana"/>
        </w:rPr>
        <w:t xml:space="preserve">, </w:t>
      </w:r>
      <w:r w:rsidR="00CA734E" w:rsidRPr="002D1D67">
        <w:rPr>
          <w:rFonts w:ascii="Verdana" w:hAnsi="Verdana"/>
        </w:rPr>
        <w:t xml:space="preserve">a charge never, to the </w:t>
      </w:r>
      <w:r w:rsidR="00B53B2D" w:rsidRPr="002D1D67">
        <w:rPr>
          <w:rFonts w:ascii="Verdana" w:hAnsi="Verdana"/>
        </w:rPr>
        <w:t>authors’</w:t>
      </w:r>
      <w:r w:rsidR="00CA734E" w:rsidRPr="002D1D67">
        <w:rPr>
          <w:rFonts w:ascii="Verdana" w:hAnsi="Verdana"/>
        </w:rPr>
        <w:t xml:space="preserve"> knowledge</w:t>
      </w:r>
      <w:r w:rsidR="00B53B2D" w:rsidRPr="002D1D67">
        <w:rPr>
          <w:rFonts w:ascii="Verdana" w:hAnsi="Verdana"/>
        </w:rPr>
        <w:t xml:space="preserve">, </w:t>
      </w:r>
      <w:r w:rsidR="0099789F" w:rsidRPr="002D1D67">
        <w:rPr>
          <w:rFonts w:ascii="Verdana" w:hAnsi="Verdana"/>
        </w:rPr>
        <w:t xml:space="preserve">having </w:t>
      </w:r>
      <w:r w:rsidR="00B53B2D" w:rsidRPr="002D1D67">
        <w:rPr>
          <w:rFonts w:ascii="Verdana" w:hAnsi="Verdana"/>
        </w:rPr>
        <w:t xml:space="preserve">been brought in a previous disqualification claim. </w:t>
      </w:r>
      <w:r w:rsidR="00AE23AE" w:rsidRPr="002D1D67">
        <w:rPr>
          <w:rFonts w:ascii="Verdana" w:hAnsi="Verdana"/>
        </w:rPr>
        <w:t xml:space="preserve">The Official Receiver had sought to amend the charge before the trial but </w:t>
      </w:r>
      <w:r w:rsidR="000E1585" w:rsidRPr="002D1D67">
        <w:rPr>
          <w:rFonts w:ascii="Verdana" w:hAnsi="Verdana"/>
        </w:rPr>
        <w:t>the Judge refused to accede to i</w:t>
      </w:r>
      <w:r w:rsidR="00911BD0" w:rsidRPr="002D1D67">
        <w:rPr>
          <w:rFonts w:ascii="Verdana" w:hAnsi="Verdana"/>
        </w:rPr>
        <w:t>t</w:t>
      </w:r>
      <w:r w:rsidR="00494BF8" w:rsidRPr="002D1D67">
        <w:rPr>
          <w:rFonts w:ascii="Verdana" w:hAnsi="Verdana"/>
        </w:rPr>
        <w:t xml:space="preserve">: </w:t>
      </w:r>
      <w:r w:rsidR="006C602D" w:rsidRPr="002D1D67">
        <w:rPr>
          <w:rFonts w:ascii="Verdana" w:hAnsi="Verdana"/>
        </w:rPr>
        <w:t>[2020] EWHC 2839 (Ch)</w:t>
      </w:r>
      <w:r w:rsidR="00FF46D4" w:rsidRPr="002D1D67">
        <w:rPr>
          <w:rFonts w:ascii="Verdana" w:hAnsi="Verdana"/>
        </w:rPr>
        <w:t xml:space="preserve">; second, once, the Judge </w:t>
      </w:r>
      <w:r w:rsidR="00C86945" w:rsidRPr="002D1D67">
        <w:rPr>
          <w:rFonts w:ascii="Verdana" w:hAnsi="Verdana"/>
        </w:rPr>
        <w:t xml:space="preserve">had </w:t>
      </w:r>
      <w:r w:rsidR="00FF46D4" w:rsidRPr="002D1D67">
        <w:rPr>
          <w:rFonts w:ascii="Verdana" w:hAnsi="Verdana"/>
        </w:rPr>
        <w:t xml:space="preserve">decided that the charge could not be proved on the facts, </w:t>
      </w:r>
      <w:r w:rsidR="00F24D22" w:rsidRPr="002D1D67">
        <w:rPr>
          <w:rFonts w:ascii="Verdana" w:hAnsi="Verdana"/>
        </w:rPr>
        <w:t>there could be no question of her deciding that the defendants were unfit</w:t>
      </w:r>
      <w:r w:rsidR="006C602D" w:rsidRPr="002D1D67">
        <w:rPr>
          <w:rFonts w:ascii="Verdana" w:hAnsi="Verdana"/>
        </w:rPr>
        <w:t xml:space="preserve">. </w:t>
      </w:r>
      <w:r w:rsidR="00720EBE" w:rsidRPr="002D1D67">
        <w:rPr>
          <w:rFonts w:ascii="Verdana" w:hAnsi="Verdana"/>
        </w:rPr>
        <w:t>The claim had to be dismissed</w:t>
      </w:r>
      <w:r w:rsidR="00D77FDF" w:rsidRPr="002D1D67">
        <w:rPr>
          <w:rFonts w:ascii="Verdana" w:hAnsi="Verdana"/>
        </w:rPr>
        <w:t xml:space="preserve">, though, </w:t>
      </w:r>
      <w:r w:rsidR="002149F4" w:rsidRPr="002D1D67">
        <w:rPr>
          <w:rFonts w:ascii="Verdana" w:hAnsi="Verdana"/>
        </w:rPr>
        <w:t>it is difficult for the authors to reconcile the findings of the Judge</w:t>
      </w:r>
      <w:r w:rsidR="0088676C" w:rsidRPr="002D1D67">
        <w:rPr>
          <w:rFonts w:ascii="Verdana" w:hAnsi="Verdana"/>
        </w:rPr>
        <w:t xml:space="preserve"> with the views of the Charity Commission in its Report dated 10 February 2022</w:t>
      </w:r>
      <w:r w:rsidR="002149F4" w:rsidRPr="002D1D67">
        <w:rPr>
          <w:rFonts w:ascii="Verdana" w:hAnsi="Verdana"/>
        </w:rPr>
        <w:t xml:space="preserve">; and third, </w:t>
      </w:r>
      <w:r w:rsidR="00972BA9" w:rsidRPr="002D1D67">
        <w:rPr>
          <w:rFonts w:ascii="Verdana" w:hAnsi="Verdana"/>
        </w:rPr>
        <w:t xml:space="preserve">the </w:t>
      </w:r>
      <w:r w:rsidR="00DA52DC" w:rsidRPr="002D1D67">
        <w:rPr>
          <w:rFonts w:ascii="Verdana" w:hAnsi="Verdana"/>
        </w:rPr>
        <w:t xml:space="preserve">exoneration of the </w:t>
      </w:r>
      <w:r w:rsidR="00D80948" w:rsidRPr="002D1D67">
        <w:rPr>
          <w:rFonts w:ascii="Verdana" w:hAnsi="Verdana"/>
        </w:rPr>
        <w:t xml:space="preserve">directors of the Charity was based on a generous </w:t>
      </w:r>
      <w:r w:rsidR="003E0179" w:rsidRPr="002D1D67">
        <w:rPr>
          <w:rFonts w:ascii="Verdana" w:hAnsi="Verdana"/>
        </w:rPr>
        <w:t xml:space="preserve">application </w:t>
      </w:r>
      <w:r w:rsidR="00EB2FAE" w:rsidRPr="002D1D67">
        <w:rPr>
          <w:rFonts w:ascii="Verdana" w:hAnsi="Verdana"/>
        </w:rPr>
        <w:t xml:space="preserve">by the Judge </w:t>
      </w:r>
      <w:r w:rsidR="003E0179" w:rsidRPr="002D1D67">
        <w:rPr>
          <w:rFonts w:ascii="Verdana" w:hAnsi="Verdana"/>
        </w:rPr>
        <w:t xml:space="preserve">of the law relating to </w:t>
      </w:r>
      <w:r w:rsidR="00F774AA" w:rsidRPr="002D1D67">
        <w:rPr>
          <w:rFonts w:ascii="Verdana" w:hAnsi="Verdana"/>
        </w:rPr>
        <w:t xml:space="preserve">the </w:t>
      </w:r>
      <w:r w:rsidR="009E2B74" w:rsidRPr="002D1D67">
        <w:rPr>
          <w:rFonts w:ascii="Verdana" w:hAnsi="Verdana"/>
        </w:rPr>
        <w:t>ability of</w:t>
      </w:r>
      <w:r w:rsidR="007348C0" w:rsidRPr="002D1D67">
        <w:rPr>
          <w:rFonts w:ascii="Verdana" w:hAnsi="Verdana"/>
        </w:rPr>
        <w:t xml:space="preserve"> directors </w:t>
      </w:r>
      <w:r w:rsidR="009E2B74" w:rsidRPr="002D1D67">
        <w:rPr>
          <w:rFonts w:ascii="Verdana" w:hAnsi="Verdana"/>
        </w:rPr>
        <w:t xml:space="preserve">to delegate particular </w:t>
      </w:r>
      <w:r w:rsidR="007E22FB" w:rsidRPr="002D1D67">
        <w:rPr>
          <w:rFonts w:ascii="Verdana" w:hAnsi="Verdana"/>
        </w:rPr>
        <w:t>functions</w:t>
      </w:r>
      <w:r w:rsidR="00AA5D25" w:rsidRPr="002D1D67">
        <w:rPr>
          <w:rFonts w:ascii="Verdana" w:hAnsi="Verdana"/>
        </w:rPr>
        <w:t xml:space="preserve">, </w:t>
      </w:r>
      <w:r w:rsidR="00354F00" w:rsidRPr="002D1D67">
        <w:rPr>
          <w:rFonts w:ascii="Verdana" w:hAnsi="Verdana"/>
        </w:rPr>
        <w:t xml:space="preserve">premised </w:t>
      </w:r>
      <w:r w:rsidR="00BD2AE7" w:rsidRPr="002D1D67">
        <w:rPr>
          <w:rFonts w:ascii="Verdana" w:hAnsi="Verdana"/>
        </w:rPr>
        <w:t xml:space="preserve">on the fact that the directors were </w:t>
      </w:r>
      <w:r w:rsidR="00CD40F1" w:rsidRPr="002D1D67">
        <w:rPr>
          <w:rFonts w:ascii="Verdana" w:hAnsi="Verdana"/>
        </w:rPr>
        <w:t xml:space="preserve">“non-executive” directors </w:t>
      </w:r>
      <w:r w:rsidR="00354F00" w:rsidRPr="002D1D67">
        <w:rPr>
          <w:rFonts w:ascii="Verdana" w:hAnsi="Verdana"/>
        </w:rPr>
        <w:t xml:space="preserve">and did not receive </w:t>
      </w:r>
      <w:r w:rsidR="00EA0722" w:rsidRPr="002D1D67">
        <w:rPr>
          <w:rFonts w:ascii="Verdana" w:hAnsi="Verdana"/>
        </w:rPr>
        <w:t>remuneration for the services they provided to the Charity</w:t>
      </w:r>
      <w:r w:rsidR="00660F0A" w:rsidRPr="002D1D67">
        <w:rPr>
          <w:rFonts w:ascii="Verdana" w:hAnsi="Verdana"/>
        </w:rPr>
        <w:t xml:space="preserve">: see [2021] EWHC 175 (Ch), at </w:t>
      </w:r>
      <w:r w:rsidR="00F77038" w:rsidRPr="002D1D67">
        <w:rPr>
          <w:rFonts w:ascii="Verdana" w:hAnsi="Verdana"/>
        </w:rPr>
        <w:t xml:space="preserve">[856]-[859]. </w:t>
      </w:r>
      <w:r w:rsidR="00BB4603" w:rsidRPr="002D1D67">
        <w:rPr>
          <w:rFonts w:ascii="Verdana" w:hAnsi="Verdana"/>
        </w:rPr>
        <w:t>The analysis carried out by the Judge on this iss</w:t>
      </w:r>
      <w:r w:rsidR="00FF177C" w:rsidRPr="002D1D67">
        <w:rPr>
          <w:rFonts w:ascii="Verdana" w:hAnsi="Verdana"/>
        </w:rPr>
        <w:t xml:space="preserve">ue could allow </w:t>
      </w:r>
      <w:r w:rsidR="00FF177C" w:rsidRPr="002D1D67">
        <w:rPr>
          <w:rFonts w:ascii="Verdana" w:hAnsi="Verdana"/>
          <w:i/>
          <w:iCs/>
        </w:rPr>
        <w:t>de jure</w:t>
      </w:r>
      <w:r w:rsidR="00FF177C" w:rsidRPr="002D1D67">
        <w:rPr>
          <w:rFonts w:ascii="Verdana" w:hAnsi="Verdana"/>
        </w:rPr>
        <w:t xml:space="preserve"> directors who do not receive </w:t>
      </w:r>
      <w:r w:rsidR="008B7361" w:rsidRPr="002D1D67">
        <w:rPr>
          <w:rFonts w:ascii="Verdana" w:hAnsi="Verdana"/>
        </w:rPr>
        <w:t>remuneration</w:t>
      </w:r>
      <w:r w:rsidR="00DD7CFA" w:rsidRPr="002D1D67">
        <w:rPr>
          <w:rFonts w:ascii="Verdana" w:hAnsi="Verdana"/>
        </w:rPr>
        <w:t>,</w:t>
      </w:r>
      <w:r w:rsidR="008B7361" w:rsidRPr="002D1D67">
        <w:rPr>
          <w:rFonts w:ascii="Verdana" w:hAnsi="Verdana"/>
        </w:rPr>
        <w:t xml:space="preserve"> or adequate remuneration</w:t>
      </w:r>
      <w:r w:rsidR="00DD7CFA" w:rsidRPr="002D1D67">
        <w:rPr>
          <w:rFonts w:ascii="Verdana" w:hAnsi="Verdana"/>
        </w:rPr>
        <w:t>,</w:t>
      </w:r>
      <w:r w:rsidR="008B7361" w:rsidRPr="002D1D67">
        <w:rPr>
          <w:rFonts w:ascii="Verdana" w:hAnsi="Verdana"/>
        </w:rPr>
        <w:t xml:space="preserve"> for the services they provide to a company </w:t>
      </w:r>
      <w:r w:rsidR="00EF0FD1" w:rsidRPr="002D1D67">
        <w:rPr>
          <w:rFonts w:ascii="Verdana" w:hAnsi="Verdana"/>
        </w:rPr>
        <w:t xml:space="preserve">to pass blame for their </w:t>
      </w:r>
      <w:r w:rsidR="00D94874" w:rsidRPr="002D1D67">
        <w:rPr>
          <w:rFonts w:ascii="Verdana" w:hAnsi="Verdana"/>
        </w:rPr>
        <w:t xml:space="preserve">inadequate supervision of </w:t>
      </w:r>
      <w:r w:rsidR="000A67BA" w:rsidRPr="002D1D67">
        <w:rPr>
          <w:rFonts w:ascii="Verdana" w:hAnsi="Verdana"/>
        </w:rPr>
        <w:t xml:space="preserve">a </w:t>
      </w:r>
      <w:r w:rsidR="00D94874" w:rsidRPr="002D1D67">
        <w:rPr>
          <w:rFonts w:ascii="Verdana" w:hAnsi="Verdana"/>
        </w:rPr>
        <w:t>function</w:t>
      </w:r>
      <w:r w:rsidR="000A67BA" w:rsidRPr="002D1D67">
        <w:rPr>
          <w:rFonts w:ascii="Verdana" w:hAnsi="Verdana"/>
        </w:rPr>
        <w:t xml:space="preserve"> delegated to those below them in the </w:t>
      </w:r>
      <w:r w:rsidR="0001179F" w:rsidRPr="002D1D67">
        <w:rPr>
          <w:rFonts w:ascii="Verdana" w:hAnsi="Verdana"/>
        </w:rPr>
        <w:t>management chain</w:t>
      </w:r>
      <w:r w:rsidR="002D1D67" w:rsidRPr="002D1D67">
        <w:rPr>
          <w:rFonts w:ascii="Verdana" w:hAnsi="Verdana"/>
        </w:rPr>
        <w:t xml:space="preserve">. </w:t>
      </w:r>
      <w:r w:rsidR="00724746">
        <w:rPr>
          <w:rFonts w:ascii="Verdana" w:hAnsi="Verdana"/>
        </w:rPr>
        <w:t xml:space="preserve">Indeed, in the case itself, </w:t>
      </w:r>
      <w:r w:rsidR="003C5C81">
        <w:rPr>
          <w:rFonts w:ascii="Verdana" w:hAnsi="Verdana"/>
        </w:rPr>
        <w:t xml:space="preserve">it is difficult to </w:t>
      </w:r>
      <w:r w:rsidR="008D3A68">
        <w:rPr>
          <w:rFonts w:ascii="Verdana" w:hAnsi="Verdana"/>
        </w:rPr>
        <w:t xml:space="preserve">understand </w:t>
      </w:r>
      <w:r w:rsidR="003C5C81">
        <w:rPr>
          <w:rFonts w:ascii="Verdana" w:hAnsi="Verdana"/>
        </w:rPr>
        <w:t xml:space="preserve">where the buck would have stopped – and who would ultimately have had to bear responsibility for the demise of the Charity </w:t>
      </w:r>
      <w:r w:rsidR="00851625">
        <w:rPr>
          <w:rFonts w:ascii="Verdana" w:hAnsi="Verdana"/>
        </w:rPr>
        <w:t>–</w:t>
      </w:r>
      <w:r w:rsidR="003C5C81">
        <w:rPr>
          <w:rFonts w:ascii="Verdana" w:hAnsi="Verdana"/>
        </w:rPr>
        <w:t xml:space="preserve"> </w:t>
      </w:r>
      <w:r w:rsidR="00851625">
        <w:rPr>
          <w:rFonts w:ascii="Verdana" w:hAnsi="Verdana"/>
        </w:rPr>
        <w:t>if the charge made</w:t>
      </w:r>
      <w:r w:rsidR="00B250AE">
        <w:rPr>
          <w:rFonts w:ascii="Verdana" w:hAnsi="Verdana"/>
        </w:rPr>
        <w:t>,</w:t>
      </w:r>
      <w:r w:rsidR="00851625">
        <w:rPr>
          <w:rFonts w:ascii="Verdana" w:hAnsi="Verdana"/>
        </w:rPr>
        <w:t xml:space="preserve"> or some other charge</w:t>
      </w:r>
      <w:r w:rsidR="00B250AE">
        <w:rPr>
          <w:rFonts w:ascii="Verdana" w:hAnsi="Verdana"/>
        </w:rPr>
        <w:t>,</w:t>
      </w:r>
      <w:r w:rsidR="00851625">
        <w:rPr>
          <w:rFonts w:ascii="Verdana" w:hAnsi="Verdana"/>
        </w:rPr>
        <w:t xml:space="preserve"> had been established</w:t>
      </w:r>
      <w:r w:rsidR="0096321C">
        <w:rPr>
          <w:rFonts w:ascii="Verdana" w:hAnsi="Verdana"/>
        </w:rPr>
        <w:t>.</w:t>
      </w:r>
    </w:p>
    <w:p w14:paraId="1CD36BAC" w14:textId="3198EF6B" w:rsidR="009A4EA1" w:rsidRPr="00AD58A3" w:rsidRDefault="002557AD" w:rsidP="002557AD">
      <w:pPr>
        <w:rPr>
          <w:rFonts w:ascii="Verdana" w:hAnsi="Verdana"/>
          <w:shd w:val="clear" w:color="auto" w:fill="FFFFFF"/>
        </w:rPr>
      </w:pPr>
      <w:r>
        <w:rPr>
          <w:rFonts w:ascii="Verdana" w:hAnsi="Verdana"/>
        </w:rPr>
        <w:t xml:space="preserve">The Judge </w:t>
      </w:r>
      <w:r w:rsidR="00953820">
        <w:rPr>
          <w:rFonts w:ascii="Verdana" w:hAnsi="Verdana"/>
        </w:rPr>
        <w:t xml:space="preserve">reiterated </w:t>
      </w:r>
      <w:r w:rsidR="00080351">
        <w:rPr>
          <w:rFonts w:ascii="Verdana" w:hAnsi="Verdana"/>
        </w:rPr>
        <w:t xml:space="preserve">several matters </w:t>
      </w:r>
      <w:r w:rsidR="00953820">
        <w:rPr>
          <w:rFonts w:ascii="Verdana" w:hAnsi="Verdana"/>
        </w:rPr>
        <w:t xml:space="preserve">about the fair and transparent </w:t>
      </w:r>
      <w:r w:rsidR="00376575">
        <w:rPr>
          <w:rFonts w:ascii="Verdana" w:hAnsi="Verdana"/>
        </w:rPr>
        <w:t xml:space="preserve">pursuit of disqualification claims. Specifically, </w:t>
      </w:r>
      <w:r w:rsidR="00534C27">
        <w:rPr>
          <w:rFonts w:ascii="Verdana" w:hAnsi="Verdana"/>
        </w:rPr>
        <w:t xml:space="preserve">the </w:t>
      </w:r>
      <w:r w:rsidR="00CA1807">
        <w:rPr>
          <w:rFonts w:ascii="Verdana" w:hAnsi="Verdana"/>
        </w:rPr>
        <w:t>J</w:t>
      </w:r>
      <w:r w:rsidR="00534C27">
        <w:rPr>
          <w:rFonts w:ascii="Verdana" w:hAnsi="Verdana"/>
        </w:rPr>
        <w:t>udge</w:t>
      </w:r>
      <w:r w:rsidR="00376575">
        <w:rPr>
          <w:rFonts w:ascii="Verdana" w:hAnsi="Verdana"/>
        </w:rPr>
        <w:t xml:space="preserve">: </w:t>
      </w:r>
      <w:r w:rsidR="00315278">
        <w:rPr>
          <w:rFonts w:ascii="Verdana" w:hAnsi="Verdana"/>
        </w:rPr>
        <w:t>(</w:t>
      </w:r>
      <w:proofErr w:type="spellStart"/>
      <w:r w:rsidRPr="001157B5">
        <w:rPr>
          <w:rFonts w:ascii="Verdana" w:hAnsi="Verdana"/>
        </w:rPr>
        <w:t>i</w:t>
      </w:r>
      <w:proofErr w:type="spellEnd"/>
      <w:r w:rsidRPr="001157B5">
        <w:rPr>
          <w:rFonts w:ascii="Verdana" w:hAnsi="Verdana"/>
        </w:rPr>
        <w:t xml:space="preserve">) </w:t>
      </w:r>
      <w:r w:rsidR="00315278">
        <w:rPr>
          <w:rFonts w:ascii="Verdana" w:hAnsi="Verdana"/>
        </w:rPr>
        <w:t xml:space="preserve">indicated that it was important for </w:t>
      </w:r>
      <w:r w:rsidRPr="001157B5">
        <w:rPr>
          <w:rFonts w:ascii="Verdana" w:hAnsi="Verdana"/>
        </w:rPr>
        <w:t xml:space="preserve">defendants have to be able to clearly ascertain the allegations and evidence against them; (ii) </w:t>
      </w:r>
      <w:r w:rsidR="00315278">
        <w:rPr>
          <w:rFonts w:ascii="Verdana" w:hAnsi="Verdana"/>
        </w:rPr>
        <w:t xml:space="preserve">stated that particular </w:t>
      </w:r>
      <w:r w:rsidRPr="001157B5">
        <w:rPr>
          <w:rFonts w:ascii="Verdana" w:hAnsi="Verdana"/>
        </w:rPr>
        <w:t xml:space="preserve">emphasis </w:t>
      </w:r>
      <w:r w:rsidR="00315278">
        <w:rPr>
          <w:rFonts w:ascii="Verdana" w:hAnsi="Verdana"/>
        </w:rPr>
        <w:t xml:space="preserve">had to </w:t>
      </w:r>
      <w:r w:rsidRPr="001157B5">
        <w:rPr>
          <w:rFonts w:ascii="Verdana" w:hAnsi="Verdana"/>
        </w:rPr>
        <w:t xml:space="preserve">be placed on the requirements of balance and fairness in assembling reports and evidence and making submissions, and the decision whether to bring disqualification </w:t>
      </w:r>
      <w:r w:rsidR="00FE3E3D">
        <w:rPr>
          <w:rFonts w:ascii="Verdana" w:hAnsi="Verdana"/>
        </w:rPr>
        <w:t xml:space="preserve">claims </w:t>
      </w:r>
      <w:r w:rsidR="00FE3E3D">
        <w:rPr>
          <w:rFonts w:ascii="Verdana" w:hAnsi="Verdana"/>
        </w:rPr>
        <w:lastRenderedPageBreak/>
        <w:t xml:space="preserve">had </w:t>
      </w:r>
      <w:r w:rsidRPr="001157B5">
        <w:rPr>
          <w:rFonts w:ascii="Verdana" w:hAnsi="Verdana"/>
        </w:rPr>
        <w:t xml:space="preserve">to be reached with care; (iii) </w:t>
      </w:r>
      <w:r w:rsidR="00B22216">
        <w:rPr>
          <w:rFonts w:ascii="Verdana" w:hAnsi="Verdana"/>
        </w:rPr>
        <w:t xml:space="preserve">stated that </w:t>
      </w:r>
      <w:r w:rsidRPr="001157B5">
        <w:rPr>
          <w:rFonts w:ascii="Verdana" w:hAnsi="Verdana"/>
        </w:rPr>
        <w:t>care ha</w:t>
      </w:r>
      <w:r w:rsidR="00FE3E3D">
        <w:rPr>
          <w:rFonts w:ascii="Verdana" w:hAnsi="Verdana"/>
        </w:rPr>
        <w:t>d</w:t>
      </w:r>
      <w:r w:rsidRPr="001157B5">
        <w:rPr>
          <w:rFonts w:ascii="Verdana" w:hAnsi="Verdana"/>
        </w:rPr>
        <w:t xml:space="preserve"> to be taken to minimise the risk that lengthy reports, and thus the presentation and conduct of the case, might amount to oppression; and (iv) </w:t>
      </w:r>
      <w:r w:rsidR="006C0156">
        <w:rPr>
          <w:rFonts w:ascii="Verdana" w:hAnsi="Verdana"/>
        </w:rPr>
        <w:t xml:space="preserve">reiterated that </w:t>
      </w:r>
      <w:r w:rsidRPr="001157B5">
        <w:rPr>
          <w:rFonts w:ascii="Verdana" w:hAnsi="Verdana"/>
        </w:rPr>
        <w:t xml:space="preserve">the resources involved in bringing </w:t>
      </w:r>
      <w:r w:rsidR="006C0156">
        <w:rPr>
          <w:rFonts w:ascii="Verdana" w:hAnsi="Verdana"/>
        </w:rPr>
        <w:t xml:space="preserve">disqualification claims, </w:t>
      </w:r>
      <w:r w:rsidRPr="001157B5">
        <w:rPr>
          <w:rFonts w:ascii="Verdana" w:hAnsi="Verdana"/>
        </w:rPr>
        <w:t>and the scale and nature of the case</w:t>
      </w:r>
      <w:r w:rsidR="00FE3E3D">
        <w:rPr>
          <w:rFonts w:ascii="Verdana" w:hAnsi="Verdana"/>
        </w:rPr>
        <w:t xml:space="preserve">, had </w:t>
      </w:r>
      <w:r w:rsidRPr="001157B5">
        <w:rPr>
          <w:rFonts w:ascii="Verdana" w:hAnsi="Verdana"/>
        </w:rPr>
        <w:t>to be viewed in the overall context. These propositions are plainly correct and supported by a wealth of previous authority</w:t>
      </w:r>
      <w:r w:rsidR="00B510B0">
        <w:rPr>
          <w:rFonts w:ascii="Verdana" w:hAnsi="Verdana"/>
        </w:rPr>
        <w:t xml:space="preserve">: </w:t>
      </w:r>
      <w:r w:rsidR="00B510B0" w:rsidRPr="00AD58A3">
        <w:rPr>
          <w:rFonts w:ascii="Verdana" w:hAnsi="Verdana"/>
        </w:rPr>
        <w:t xml:space="preserve">see </w:t>
      </w:r>
      <w:r w:rsidR="009A4EA1" w:rsidRPr="00D65128">
        <w:rPr>
          <w:rFonts w:ascii="Verdana" w:hAnsi="Verdana"/>
          <w:i/>
          <w:iCs/>
        </w:rPr>
        <w:t>Mithani: Directors’ Disqualification</w:t>
      </w:r>
      <w:r w:rsidR="009A4EA1" w:rsidRPr="00D65128">
        <w:rPr>
          <w:rFonts w:ascii="Verdana" w:hAnsi="Verdana"/>
        </w:rPr>
        <w:t xml:space="preserve">, </w:t>
      </w:r>
      <w:r w:rsidR="00AD58A3">
        <w:rPr>
          <w:rFonts w:ascii="Verdana" w:hAnsi="Verdana"/>
        </w:rPr>
        <w:t xml:space="preserve">Division II, Division III Chapter 2, </w:t>
      </w:r>
      <w:r w:rsidR="009A4EA1" w:rsidRPr="00D65128">
        <w:rPr>
          <w:rFonts w:ascii="Verdana" w:hAnsi="Verdana"/>
        </w:rPr>
        <w:t>Division IV, Chapter 1,</w:t>
      </w:r>
      <w:r w:rsidR="004B6929">
        <w:rPr>
          <w:rFonts w:ascii="Verdana" w:hAnsi="Verdana"/>
        </w:rPr>
        <w:t xml:space="preserve"> Division VIII, </w:t>
      </w:r>
      <w:r w:rsidR="009A4EA1" w:rsidRPr="00D65128">
        <w:rPr>
          <w:rFonts w:ascii="Verdana" w:hAnsi="Verdana"/>
          <w:i/>
          <w:iCs/>
        </w:rPr>
        <w:t>passim</w:t>
      </w:r>
      <w:r w:rsidR="009A4EA1" w:rsidRPr="00D65128">
        <w:rPr>
          <w:rFonts w:ascii="Verdana" w:hAnsi="Verdana"/>
        </w:rPr>
        <w:t>.</w:t>
      </w:r>
    </w:p>
    <w:p w14:paraId="253A2F8E" w14:textId="77777777" w:rsidR="003D6042" w:rsidRPr="0094318A" w:rsidRDefault="003D6042" w:rsidP="003D6042">
      <w:pPr>
        <w:pStyle w:val="NormalWeb"/>
        <w:shd w:val="clear" w:color="auto" w:fill="FFFFFF"/>
        <w:spacing w:before="300" w:beforeAutospacing="0" w:after="300" w:afterAutospacing="0"/>
        <w:rPr>
          <w:rFonts w:ascii="Verdana" w:hAnsi="Verdana" w:cs="Arial"/>
          <w:color w:val="0B0C0C"/>
          <w:sz w:val="22"/>
          <w:szCs w:val="22"/>
          <w:u w:val="single"/>
        </w:rPr>
      </w:pPr>
      <w:r w:rsidRPr="0094318A">
        <w:rPr>
          <w:rFonts w:ascii="Verdana" w:hAnsi="Verdana"/>
          <w:sz w:val="22"/>
          <w:szCs w:val="22"/>
          <w:u w:val="single"/>
        </w:rPr>
        <w:t>The Judge’s comments about disqualifying those guilty of misconduct in running incorporated charities</w:t>
      </w:r>
      <w:r w:rsidRPr="0094318A">
        <w:rPr>
          <w:rFonts w:ascii="Verdana" w:hAnsi="Verdana" w:cs="Arial"/>
          <w:color w:val="0B0C0C"/>
          <w:sz w:val="22"/>
          <w:szCs w:val="22"/>
          <w:u w:val="single"/>
        </w:rPr>
        <w:t xml:space="preserve">  </w:t>
      </w:r>
    </w:p>
    <w:p w14:paraId="1B936F99" w14:textId="67EFA1D7" w:rsidR="001268DE" w:rsidRDefault="001B382F" w:rsidP="00D56486">
      <w:pPr>
        <w:rPr>
          <w:rFonts w:ascii="Verdana" w:hAnsi="Verdana"/>
          <w:shd w:val="clear" w:color="auto" w:fill="FFFFFF"/>
        </w:rPr>
      </w:pPr>
      <w:r w:rsidRPr="00A94BE8">
        <w:rPr>
          <w:rFonts w:ascii="Verdana" w:hAnsi="Verdana"/>
          <w:shd w:val="clear" w:color="auto" w:fill="FFFFFF"/>
        </w:rPr>
        <w:t xml:space="preserve">Falk J </w:t>
      </w:r>
      <w:r w:rsidR="007173D1" w:rsidRPr="00A94BE8">
        <w:rPr>
          <w:rFonts w:ascii="Verdana" w:hAnsi="Verdana"/>
          <w:shd w:val="clear" w:color="auto" w:fill="FFFFFF"/>
        </w:rPr>
        <w:t>stated</w:t>
      </w:r>
      <w:r w:rsidR="004F786B" w:rsidRPr="00A94BE8">
        <w:rPr>
          <w:rFonts w:ascii="Verdana" w:hAnsi="Verdana"/>
          <w:shd w:val="clear" w:color="auto" w:fill="FFFFFF"/>
        </w:rPr>
        <w:t xml:space="preserve">, applying cases such as </w:t>
      </w:r>
      <w:hyperlink r:id="rId7" w:history="1">
        <w:r w:rsidR="004F786B" w:rsidRPr="00A94BE8">
          <w:rPr>
            <w:rStyle w:val="Hyperlink"/>
            <w:i/>
            <w:iCs/>
            <w:color w:val="auto"/>
            <w:bdr w:val="none" w:sz="0" w:space="0" w:color="auto" w:frame="1"/>
            <w:shd w:val="clear" w:color="auto" w:fill="FFFFFF"/>
          </w:rPr>
          <w:t xml:space="preserve">Attorney General v City of Exeter </w:t>
        </w:r>
      </w:hyperlink>
      <w:r w:rsidR="004F786B" w:rsidRPr="00A94BE8">
        <w:rPr>
          <w:rFonts w:ascii="Verdana" w:hAnsi="Verdana"/>
          <w:shd w:val="clear" w:color="auto" w:fill="FFFFFF"/>
        </w:rPr>
        <w:t xml:space="preserve"> (1826) 2 Russ</w:t>
      </w:r>
      <w:r w:rsidR="004F786B" w:rsidRPr="00A94BE8">
        <w:rPr>
          <w:rFonts w:ascii="Verdana" w:hAnsi="Verdana" w:cs="Times New Roman"/>
          <w:lang w:eastAsia="en-GB"/>
        </w:rPr>
        <w:t xml:space="preserve"> 45 </w:t>
      </w:r>
      <w:r w:rsidR="004F786B" w:rsidRPr="00A94BE8">
        <w:rPr>
          <w:rFonts w:ascii="Verdana" w:hAnsi="Verdana"/>
          <w:shd w:val="clear" w:color="auto" w:fill="FFFFFF"/>
        </w:rPr>
        <w:t xml:space="preserve">and </w:t>
      </w:r>
      <w:hyperlink r:id="rId8" w:history="1">
        <w:proofErr w:type="spellStart"/>
        <w:r w:rsidR="004F786B" w:rsidRPr="00A94BE8">
          <w:rPr>
            <w:rStyle w:val="Hyperlink"/>
            <w:i/>
            <w:iCs/>
            <w:color w:val="auto"/>
            <w:bdr w:val="none" w:sz="0" w:space="0" w:color="auto" w:frame="1"/>
            <w:shd w:val="clear" w:color="auto" w:fill="FFFFFF"/>
          </w:rPr>
          <w:t>Lehtimaki</w:t>
        </w:r>
        <w:proofErr w:type="spellEnd"/>
        <w:r w:rsidR="004F786B" w:rsidRPr="00A94BE8">
          <w:rPr>
            <w:rStyle w:val="Hyperlink"/>
            <w:i/>
            <w:iCs/>
            <w:color w:val="auto"/>
            <w:bdr w:val="none" w:sz="0" w:space="0" w:color="auto" w:frame="1"/>
            <w:shd w:val="clear" w:color="auto" w:fill="FFFFFF"/>
          </w:rPr>
          <w:t xml:space="preserve"> v Cooper </w:t>
        </w:r>
        <w:r w:rsidR="004F786B" w:rsidRPr="00A94BE8">
          <w:rPr>
            <w:rStyle w:val="Hyperlink"/>
            <w:color w:val="auto"/>
            <w:bdr w:val="none" w:sz="0" w:space="0" w:color="auto" w:frame="1"/>
            <w:shd w:val="clear" w:color="auto" w:fill="FFFFFF"/>
          </w:rPr>
          <w:t>[2020] UKSC 33</w:t>
        </w:r>
      </w:hyperlink>
      <w:r w:rsidR="004F786B" w:rsidRPr="00A94BE8">
        <w:rPr>
          <w:rFonts w:ascii="Verdana" w:hAnsi="Verdana"/>
          <w:bdr w:val="none" w:sz="0" w:space="0" w:color="auto" w:frame="1"/>
          <w:shd w:val="clear" w:color="auto" w:fill="FFFFFF"/>
        </w:rPr>
        <w:t>, t</w:t>
      </w:r>
      <w:r w:rsidR="007173D1" w:rsidRPr="00A94BE8">
        <w:rPr>
          <w:rFonts w:ascii="Verdana" w:hAnsi="Verdana"/>
          <w:shd w:val="clear" w:color="auto" w:fill="FFFFFF"/>
        </w:rPr>
        <w:t xml:space="preserve">hat </w:t>
      </w:r>
      <w:r w:rsidR="00A06C79" w:rsidRPr="00A94BE8">
        <w:rPr>
          <w:rFonts w:ascii="Verdana" w:hAnsi="Verdana"/>
          <w:shd w:val="clear" w:color="auto" w:fill="FFFFFF"/>
        </w:rPr>
        <w:t xml:space="preserve">while the </w:t>
      </w:r>
      <w:r w:rsidR="007173D1" w:rsidRPr="00A94BE8">
        <w:rPr>
          <w:rFonts w:ascii="Verdana" w:hAnsi="Verdana"/>
          <w:shd w:val="clear" w:color="auto" w:fill="FFFFFF"/>
        </w:rPr>
        <w:t xml:space="preserve">directors </w:t>
      </w:r>
      <w:r w:rsidR="00A06C79" w:rsidRPr="00A94BE8">
        <w:rPr>
          <w:rFonts w:ascii="Verdana" w:hAnsi="Verdana"/>
          <w:shd w:val="clear" w:color="auto" w:fill="FFFFFF"/>
        </w:rPr>
        <w:t xml:space="preserve">or trustees </w:t>
      </w:r>
      <w:r w:rsidR="007173D1" w:rsidRPr="00A94BE8">
        <w:rPr>
          <w:rFonts w:ascii="Verdana" w:hAnsi="Verdana"/>
          <w:shd w:val="clear" w:color="auto" w:fill="FFFFFF"/>
        </w:rPr>
        <w:t xml:space="preserve">of </w:t>
      </w:r>
      <w:r w:rsidR="00A06C79" w:rsidRPr="00A94BE8">
        <w:rPr>
          <w:rFonts w:ascii="Verdana" w:hAnsi="Verdana"/>
          <w:shd w:val="clear" w:color="auto" w:fill="FFFFFF"/>
        </w:rPr>
        <w:t>charitable companies</w:t>
      </w:r>
      <w:r w:rsidR="009227F0" w:rsidRPr="00A94BE8">
        <w:rPr>
          <w:rFonts w:ascii="Verdana" w:hAnsi="Verdana"/>
          <w:shd w:val="clear" w:color="auto" w:fill="FFFFFF"/>
        </w:rPr>
        <w:t xml:space="preserve"> had the same duties, and were liable to disqualification in the same way</w:t>
      </w:r>
      <w:r w:rsidR="00653008" w:rsidRPr="00A94BE8">
        <w:rPr>
          <w:rFonts w:ascii="Verdana" w:hAnsi="Verdana"/>
          <w:shd w:val="clear" w:color="auto" w:fill="FFFFFF"/>
        </w:rPr>
        <w:t xml:space="preserve">, as other </w:t>
      </w:r>
      <w:r w:rsidR="009227F0" w:rsidRPr="00A94BE8">
        <w:rPr>
          <w:rFonts w:ascii="Verdana" w:hAnsi="Verdana"/>
          <w:shd w:val="clear" w:color="auto" w:fill="FFFFFF"/>
        </w:rPr>
        <w:t xml:space="preserve">company directors, </w:t>
      </w:r>
      <w:r w:rsidR="00774C55" w:rsidRPr="00A94BE8">
        <w:rPr>
          <w:rFonts w:ascii="Verdana" w:hAnsi="Verdana"/>
          <w:shd w:val="clear" w:color="auto" w:fill="FFFFFF"/>
        </w:rPr>
        <w:t xml:space="preserve">the courts might take a </w:t>
      </w:r>
      <w:r w:rsidR="007173D1" w:rsidRPr="00A94BE8">
        <w:rPr>
          <w:rFonts w:ascii="Verdana" w:hAnsi="Verdana"/>
          <w:shd w:val="clear" w:color="auto" w:fill="FFFFFF"/>
        </w:rPr>
        <w:t xml:space="preserve">benevolent approach towards </w:t>
      </w:r>
      <w:r w:rsidR="00A86B59" w:rsidRPr="00A94BE8">
        <w:rPr>
          <w:rFonts w:ascii="Verdana" w:hAnsi="Verdana"/>
          <w:shd w:val="clear" w:color="auto" w:fill="FFFFFF"/>
        </w:rPr>
        <w:t xml:space="preserve">directors and trustees </w:t>
      </w:r>
      <w:r w:rsidR="007173D1" w:rsidRPr="00A94BE8">
        <w:rPr>
          <w:rFonts w:ascii="Verdana" w:hAnsi="Verdana"/>
          <w:shd w:val="clear" w:color="auto" w:fill="FFFFFF"/>
        </w:rPr>
        <w:t>where there was no allegation of dishonesty or wilful misconduct</w:t>
      </w:r>
      <w:r w:rsidR="00ED4898" w:rsidRPr="00A94BE8">
        <w:rPr>
          <w:rFonts w:ascii="Verdana" w:hAnsi="Verdana"/>
          <w:shd w:val="clear" w:color="auto" w:fill="FFFFFF"/>
        </w:rPr>
        <w:t xml:space="preserve"> on their part</w:t>
      </w:r>
      <w:r w:rsidR="004D48F3" w:rsidRPr="00A94BE8">
        <w:rPr>
          <w:rFonts w:ascii="Verdana" w:hAnsi="Verdana"/>
          <w:shd w:val="clear" w:color="auto" w:fill="FFFFFF"/>
        </w:rPr>
        <w:t xml:space="preserve">. </w:t>
      </w:r>
      <w:r w:rsidR="00A05514" w:rsidRPr="00A94BE8">
        <w:rPr>
          <w:rFonts w:ascii="Verdana" w:hAnsi="Verdana"/>
          <w:shd w:val="clear" w:color="auto" w:fill="FFFFFF"/>
        </w:rPr>
        <w:t xml:space="preserve">It is difficult to see how this </w:t>
      </w:r>
      <w:r w:rsidR="0051179C" w:rsidRPr="00A94BE8">
        <w:rPr>
          <w:rFonts w:ascii="Verdana" w:hAnsi="Verdana"/>
          <w:shd w:val="clear" w:color="auto" w:fill="FFFFFF"/>
        </w:rPr>
        <w:t xml:space="preserve">statement </w:t>
      </w:r>
      <w:r w:rsidR="00A05514" w:rsidRPr="00A94BE8">
        <w:rPr>
          <w:rFonts w:ascii="Verdana" w:hAnsi="Verdana"/>
          <w:shd w:val="clear" w:color="auto" w:fill="FFFFFF"/>
        </w:rPr>
        <w:t xml:space="preserve">can be correct as </w:t>
      </w:r>
      <w:r w:rsidR="0061030C" w:rsidRPr="00A94BE8">
        <w:rPr>
          <w:rFonts w:ascii="Verdana" w:hAnsi="Verdana"/>
          <w:shd w:val="clear" w:color="auto" w:fill="FFFFFF"/>
        </w:rPr>
        <w:t xml:space="preserve">a bare proposition of law. In the cases relied upon by Falk J, the courts were </w:t>
      </w:r>
      <w:r w:rsidR="00C779DD" w:rsidRPr="00A94BE8">
        <w:rPr>
          <w:rFonts w:ascii="Verdana" w:hAnsi="Verdana"/>
          <w:shd w:val="clear" w:color="auto" w:fill="FFFFFF"/>
        </w:rPr>
        <w:t xml:space="preserve">primarily </w:t>
      </w:r>
      <w:r w:rsidR="0061030C" w:rsidRPr="00A94BE8">
        <w:rPr>
          <w:rFonts w:ascii="Verdana" w:hAnsi="Verdana"/>
          <w:shd w:val="clear" w:color="auto" w:fill="FFFFFF"/>
        </w:rPr>
        <w:t xml:space="preserve">having to consider </w:t>
      </w:r>
      <w:r w:rsidR="00063F78" w:rsidRPr="00A94BE8">
        <w:rPr>
          <w:rFonts w:ascii="Verdana" w:hAnsi="Verdana"/>
          <w:shd w:val="clear" w:color="auto" w:fill="FFFFFF"/>
        </w:rPr>
        <w:t>(or were commenting on) the liability of charity trustees for breaches of duty</w:t>
      </w:r>
      <w:r w:rsidR="00E45145">
        <w:rPr>
          <w:rFonts w:ascii="Verdana" w:hAnsi="Verdana"/>
          <w:shd w:val="clear" w:color="auto" w:fill="FFFFFF"/>
        </w:rPr>
        <w:t xml:space="preserve"> and the like</w:t>
      </w:r>
      <w:r w:rsidR="004A0765" w:rsidRPr="00A94BE8">
        <w:rPr>
          <w:rFonts w:ascii="Verdana" w:hAnsi="Verdana"/>
          <w:shd w:val="clear" w:color="auto" w:fill="FFFFFF"/>
        </w:rPr>
        <w:t xml:space="preserve">, a much narrower </w:t>
      </w:r>
      <w:r w:rsidR="00765F44">
        <w:rPr>
          <w:rFonts w:ascii="Verdana" w:hAnsi="Verdana"/>
          <w:shd w:val="clear" w:color="auto" w:fill="FFFFFF"/>
        </w:rPr>
        <w:t xml:space="preserve">enquiry which the court needed to conduct </w:t>
      </w:r>
      <w:r w:rsidR="00EA2898">
        <w:rPr>
          <w:rFonts w:ascii="Verdana" w:hAnsi="Verdana"/>
          <w:shd w:val="clear" w:color="auto" w:fill="FFFFFF"/>
        </w:rPr>
        <w:t xml:space="preserve">than the enquiry which it needs to </w:t>
      </w:r>
      <w:r w:rsidR="00E45145">
        <w:rPr>
          <w:rFonts w:ascii="Verdana" w:hAnsi="Verdana"/>
          <w:shd w:val="clear" w:color="auto" w:fill="FFFFFF"/>
        </w:rPr>
        <w:t xml:space="preserve">conduct </w:t>
      </w:r>
      <w:r w:rsidR="00EA2898">
        <w:rPr>
          <w:rFonts w:ascii="Verdana" w:hAnsi="Verdana"/>
          <w:shd w:val="clear" w:color="auto" w:fill="FFFFFF"/>
        </w:rPr>
        <w:t>whe</w:t>
      </w:r>
      <w:r w:rsidR="006A7BB4">
        <w:rPr>
          <w:rFonts w:ascii="Verdana" w:hAnsi="Verdana"/>
          <w:shd w:val="clear" w:color="auto" w:fill="FFFFFF"/>
        </w:rPr>
        <w:t xml:space="preserve">re it </w:t>
      </w:r>
      <w:r w:rsidR="004A0765" w:rsidRPr="00A94BE8">
        <w:rPr>
          <w:rFonts w:ascii="Verdana" w:hAnsi="Verdana"/>
          <w:shd w:val="clear" w:color="auto" w:fill="FFFFFF"/>
        </w:rPr>
        <w:t xml:space="preserve">has to decide </w:t>
      </w:r>
      <w:r w:rsidR="00C309A7" w:rsidRPr="00A94BE8">
        <w:rPr>
          <w:rFonts w:ascii="Verdana" w:hAnsi="Verdana"/>
          <w:shd w:val="clear" w:color="auto" w:fill="FFFFFF"/>
        </w:rPr>
        <w:t xml:space="preserve">whether a director should be </w:t>
      </w:r>
      <w:r w:rsidR="00F845DB">
        <w:rPr>
          <w:rFonts w:ascii="Verdana" w:hAnsi="Verdana"/>
          <w:shd w:val="clear" w:color="auto" w:fill="FFFFFF"/>
        </w:rPr>
        <w:t xml:space="preserve">disqualified </w:t>
      </w:r>
      <w:r w:rsidR="00C309A7" w:rsidRPr="00A94BE8">
        <w:rPr>
          <w:rFonts w:ascii="Verdana" w:hAnsi="Verdana"/>
          <w:shd w:val="clear" w:color="auto" w:fill="FFFFFF"/>
        </w:rPr>
        <w:t>under s</w:t>
      </w:r>
      <w:r w:rsidR="00855B69">
        <w:rPr>
          <w:rFonts w:ascii="Verdana" w:hAnsi="Verdana"/>
          <w:shd w:val="clear" w:color="auto" w:fill="FFFFFF"/>
        </w:rPr>
        <w:t>ection</w:t>
      </w:r>
      <w:r w:rsidR="00C309A7" w:rsidRPr="00A94BE8">
        <w:rPr>
          <w:rFonts w:ascii="Verdana" w:hAnsi="Verdana"/>
          <w:shd w:val="clear" w:color="auto" w:fill="FFFFFF"/>
        </w:rPr>
        <w:t xml:space="preserve"> 6</w:t>
      </w:r>
      <w:r w:rsidR="006A7BB4">
        <w:rPr>
          <w:rFonts w:ascii="Verdana" w:hAnsi="Verdana"/>
          <w:shd w:val="clear" w:color="auto" w:fill="FFFFFF"/>
        </w:rPr>
        <w:t xml:space="preserve"> on the ground of “unfitness”</w:t>
      </w:r>
      <w:r w:rsidR="00C309A7" w:rsidRPr="00A94BE8">
        <w:rPr>
          <w:rFonts w:ascii="Verdana" w:hAnsi="Verdana"/>
          <w:shd w:val="clear" w:color="auto" w:fill="FFFFFF"/>
        </w:rPr>
        <w:t xml:space="preserve">. </w:t>
      </w:r>
    </w:p>
    <w:p w14:paraId="23AA0405" w14:textId="520409F6" w:rsidR="00601231" w:rsidRPr="00580C66" w:rsidRDefault="008B1DE8" w:rsidP="00D56486">
      <w:pPr>
        <w:rPr>
          <w:rStyle w:val="citation"/>
          <w:rFonts w:ascii="Verdana" w:hAnsi="Verdana"/>
          <w:color w:val="auto"/>
        </w:rPr>
      </w:pPr>
      <w:r w:rsidRPr="00A94BE8">
        <w:rPr>
          <w:rFonts w:ascii="Verdana" w:hAnsi="Verdana"/>
          <w:shd w:val="clear" w:color="auto" w:fill="FFFFFF"/>
        </w:rPr>
        <w:t xml:space="preserve">“Unfitness” does not require </w:t>
      </w:r>
      <w:r w:rsidR="00552214" w:rsidRPr="00A94BE8">
        <w:rPr>
          <w:rFonts w:ascii="Verdana" w:hAnsi="Verdana"/>
          <w:shd w:val="clear" w:color="auto" w:fill="FFFFFF"/>
        </w:rPr>
        <w:t xml:space="preserve">that </w:t>
      </w:r>
      <w:r w:rsidR="006F358C" w:rsidRPr="00A94BE8">
        <w:rPr>
          <w:rFonts w:ascii="Verdana" w:hAnsi="Verdana"/>
          <w:shd w:val="clear" w:color="auto" w:fill="FFFFFF"/>
        </w:rPr>
        <w:t>the d</w:t>
      </w:r>
      <w:r w:rsidR="00552214" w:rsidRPr="00A94BE8">
        <w:rPr>
          <w:rFonts w:ascii="Verdana" w:hAnsi="Verdana"/>
          <w:shd w:val="clear" w:color="auto" w:fill="FFFFFF"/>
        </w:rPr>
        <w:t xml:space="preserve">irector </w:t>
      </w:r>
      <w:r w:rsidR="006F358C" w:rsidRPr="00A94BE8">
        <w:rPr>
          <w:rFonts w:ascii="Verdana" w:hAnsi="Verdana"/>
          <w:shd w:val="clear" w:color="auto" w:fill="FFFFFF"/>
        </w:rPr>
        <w:t xml:space="preserve">should </w:t>
      </w:r>
      <w:r w:rsidR="00552214" w:rsidRPr="00A94BE8">
        <w:rPr>
          <w:rFonts w:ascii="Verdana" w:hAnsi="Verdana"/>
          <w:shd w:val="clear" w:color="auto" w:fill="FFFFFF"/>
        </w:rPr>
        <w:t xml:space="preserve">be in breach of </w:t>
      </w:r>
      <w:r w:rsidR="00231142" w:rsidRPr="00A94BE8">
        <w:rPr>
          <w:rFonts w:ascii="Verdana" w:hAnsi="Verdana"/>
          <w:shd w:val="clear" w:color="auto" w:fill="FFFFFF"/>
        </w:rPr>
        <w:t xml:space="preserve">the fiduciary </w:t>
      </w:r>
      <w:r w:rsidR="006F358C" w:rsidRPr="00A94BE8">
        <w:rPr>
          <w:rFonts w:ascii="Verdana" w:hAnsi="Verdana"/>
          <w:shd w:val="clear" w:color="auto" w:fill="FFFFFF"/>
        </w:rPr>
        <w:t xml:space="preserve">or </w:t>
      </w:r>
      <w:r w:rsidR="00231142" w:rsidRPr="00A94BE8">
        <w:rPr>
          <w:rFonts w:ascii="Verdana" w:hAnsi="Verdana"/>
          <w:shd w:val="clear" w:color="auto" w:fill="FFFFFF"/>
        </w:rPr>
        <w:t xml:space="preserve">other duties </w:t>
      </w:r>
      <w:r w:rsidR="00214D68" w:rsidRPr="00A94BE8">
        <w:rPr>
          <w:rFonts w:ascii="Verdana" w:hAnsi="Verdana"/>
          <w:shd w:val="clear" w:color="auto" w:fill="FFFFFF"/>
        </w:rPr>
        <w:t>he owes</w:t>
      </w:r>
      <w:r w:rsidR="005E3A5B">
        <w:rPr>
          <w:rFonts w:ascii="Verdana" w:hAnsi="Verdana"/>
          <w:shd w:val="clear" w:color="auto" w:fill="FFFFFF"/>
        </w:rPr>
        <w:t>, a point that the judge appears to have accepted</w:t>
      </w:r>
      <w:r w:rsidR="000C3102" w:rsidRPr="00A94BE8">
        <w:rPr>
          <w:rFonts w:ascii="Verdana" w:hAnsi="Verdana"/>
          <w:shd w:val="clear" w:color="auto" w:fill="FFFFFF"/>
        </w:rPr>
        <w:t xml:space="preserve">: </w:t>
      </w:r>
      <w:r w:rsidR="00996DF9" w:rsidRPr="00A94BE8">
        <w:rPr>
          <w:rFonts w:ascii="Verdana" w:hAnsi="Verdana"/>
          <w:shd w:val="clear" w:color="auto" w:fill="FFFFFF"/>
        </w:rPr>
        <w:t>see</w:t>
      </w:r>
      <w:r w:rsidR="00601231" w:rsidRPr="00A94BE8">
        <w:rPr>
          <w:rFonts w:ascii="Verdana" w:hAnsi="Verdana"/>
          <w:shd w:val="clear" w:color="auto" w:fill="FFFFFF"/>
        </w:rPr>
        <w:t xml:space="preserve">, for example, </w:t>
      </w:r>
      <w:r w:rsidR="00996DF9" w:rsidRPr="00A94BE8">
        <w:rPr>
          <w:rFonts w:ascii="Verdana" w:hAnsi="Verdana"/>
          <w:i/>
        </w:rPr>
        <w:t>Secretary of State for Trade and Industry v Goldberg</w:t>
      </w:r>
      <w:r w:rsidR="00996DF9" w:rsidRPr="00A94BE8">
        <w:rPr>
          <w:rFonts w:ascii="Verdana" w:hAnsi="Verdana"/>
        </w:rPr>
        <w:t xml:space="preserve"> </w:t>
      </w:r>
      <w:r w:rsidR="00996DF9" w:rsidRPr="00A94BE8">
        <w:rPr>
          <w:rStyle w:val="citation"/>
          <w:rFonts w:ascii="Verdana" w:hAnsi="Verdana"/>
          <w:color w:val="auto"/>
        </w:rPr>
        <w:t>[2003] EWHC 2843 (Ch</w:t>
      </w:r>
      <w:r w:rsidR="007664B9">
        <w:rPr>
          <w:rStyle w:val="citation"/>
          <w:rFonts w:ascii="Verdana" w:hAnsi="Verdana"/>
          <w:color w:val="auto"/>
        </w:rPr>
        <w:t xml:space="preserve">). </w:t>
      </w:r>
      <w:r w:rsidR="00601231" w:rsidRPr="00A94BE8">
        <w:rPr>
          <w:rStyle w:val="citation"/>
          <w:rFonts w:ascii="Verdana" w:hAnsi="Verdana"/>
          <w:color w:val="auto"/>
        </w:rPr>
        <w:t xml:space="preserve">It simply requires </w:t>
      </w:r>
      <w:r w:rsidR="00643BE6" w:rsidRPr="00A94BE8">
        <w:rPr>
          <w:rStyle w:val="citation"/>
          <w:rFonts w:ascii="Verdana" w:hAnsi="Verdana"/>
          <w:color w:val="auto"/>
        </w:rPr>
        <w:t>whether, adop</w:t>
      </w:r>
      <w:r w:rsidR="00643BE6" w:rsidRPr="00A94BE8">
        <w:rPr>
          <w:rFonts w:ascii="Verdana" w:hAnsi="Verdana"/>
        </w:rPr>
        <w:t>ting a broad</w:t>
      </w:r>
      <w:r w:rsidR="007950AE">
        <w:rPr>
          <w:rFonts w:ascii="Verdana" w:hAnsi="Verdana"/>
        </w:rPr>
        <w:t>-</w:t>
      </w:r>
      <w:r w:rsidR="00643BE6" w:rsidRPr="00A94BE8">
        <w:rPr>
          <w:rFonts w:ascii="Verdana" w:hAnsi="Verdana"/>
        </w:rPr>
        <w:t xml:space="preserve">brush approach, which has </w:t>
      </w:r>
      <w:r w:rsidR="00C00969">
        <w:rPr>
          <w:rFonts w:ascii="Verdana" w:hAnsi="Verdana"/>
        </w:rPr>
        <w:t xml:space="preserve">to have </w:t>
      </w:r>
      <w:r w:rsidR="00643BE6" w:rsidRPr="00A94BE8">
        <w:rPr>
          <w:rFonts w:ascii="Verdana" w:hAnsi="Verdana"/>
        </w:rPr>
        <w:t xml:space="preserve">regard to all the circumstances of </w:t>
      </w:r>
      <w:r w:rsidR="00E14B31">
        <w:rPr>
          <w:rFonts w:ascii="Verdana" w:hAnsi="Verdana"/>
        </w:rPr>
        <w:t xml:space="preserve">a </w:t>
      </w:r>
      <w:r w:rsidR="00643BE6" w:rsidRPr="00A94BE8">
        <w:rPr>
          <w:rFonts w:ascii="Verdana" w:hAnsi="Verdana"/>
        </w:rPr>
        <w:t xml:space="preserve">particular case, the Secretary of State or Official </w:t>
      </w:r>
      <w:r w:rsidR="00A94BE8">
        <w:rPr>
          <w:rFonts w:ascii="Verdana" w:hAnsi="Verdana"/>
        </w:rPr>
        <w:t>R</w:t>
      </w:r>
      <w:r w:rsidR="00643BE6" w:rsidRPr="00A94BE8">
        <w:rPr>
          <w:rFonts w:ascii="Verdana" w:hAnsi="Verdana"/>
        </w:rPr>
        <w:t xml:space="preserve">eceiver has satisfied the court that the conduct of </w:t>
      </w:r>
      <w:r w:rsidR="002C5F1B">
        <w:rPr>
          <w:rFonts w:ascii="Verdana" w:hAnsi="Verdana"/>
        </w:rPr>
        <w:t xml:space="preserve">the director </w:t>
      </w:r>
      <w:r w:rsidR="00643BE6" w:rsidRPr="00A94BE8">
        <w:rPr>
          <w:rFonts w:ascii="Verdana" w:hAnsi="Verdana"/>
        </w:rPr>
        <w:t xml:space="preserve">was serious enough to make him unfit to be concerned in the management of a company so as to </w:t>
      </w:r>
      <w:r w:rsidR="00DE7323">
        <w:rPr>
          <w:rFonts w:ascii="Verdana" w:hAnsi="Verdana"/>
        </w:rPr>
        <w:t xml:space="preserve">warrant the making of a </w:t>
      </w:r>
      <w:r w:rsidR="00643BE6" w:rsidRPr="00A94BE8">
        <w:rPr>
          <w:rFonts w:ascii="Verdana" w:hAnsi="Verdana"/>
        </w:rPr>
        <w:t>disqualification</w:t>
      </w:r>
      <w:r w:rsidR="00DE7323">
        <w:rPr>
          <w:rFonts w:ascii="Verdana" w:hAnsi="Verdana"/>
        </w:rPr>
        <w:t xml:space="preserve"> order</w:t>
      </w:r>
      <w:r w:rsidR="007140B3">
        <w:rPr>
          <w:rFonts w:ascii="Verdana" w:hAnsi="Verdana"/>
        </w:rPr>
        <w:t xml:space="preserve"> against him</w:t>
      </w:r>
      <w:r w:rsidR="004776D1" w:rsidRPr="00A94BE8">
        <w:rPr>
          <w:rFonts w:ascii="Verdana" w:hAnsi="Verdana"/>
        </w:rPr>
        <w:t>: see</w:t>
      </w:r>
      <w:r w:rsidR="006B7327" w:rsidRPr="00A94BE8">
        <w:rPr>
          <w:rFonts w:ascii="Verdana" w:hAnsi="Verdana"/>
        </w:rPr>
        <w:t xml:space="preserve"> </w:t>
      </w:r>
      <w:r w:rsidR="006B7327" w:rsidRPr="00A94BE8">
        <w:rPr>
          <w:rFonts w:ascii="Verdana" w:hAnsi="Verdana"/>
          <w:i/>
        </w:rPr>
        <w:t xml:space="preserve">Re </w:t>
      </w:r>
      <w:proofErr w:type="spellStart"/>
      <w:r w:rsidR="006B7327" w:rsidRPr="00A94BE8">
        <w:rPr>
          <w:rFonts w:ascii="Verdana" w:hAnsi="Verdana"/>
          <w:i/>
        </w:rPr>
        <w:t>Westmid</w:t>
      </w:r>
      <w:proofErr w:type="spellEnd"/>
      <w:r w:rsidR="006B7327" w:rsidRPr="00A94BE8">
        <w:rPr>
          <w:rFonts w:ascii="Verdana" w:hAnsi="Verdana"/>
          <w:i/>
        </w:rPr>
        <w:t xml:space="preserve"> Packing Ltd (No 3), Secretary of State for Trade and Industry v Griffiths and others</w:t>
      </w:r>
      <w:r w:rsidR="006B7327" w:rsidRPr="00A94BE8">
        <w:rPr>
          <w:rFonts w:ascii="Verdana" w:hAnsi="Verdana"/>
        </w:rPr>
        <w:t xml:space="preserve"> </w:t>
      </w:r>
      <w:r w:rsidR="006B7327" w:rsidRPr="00A94BE8">
        <w:rPr>
          <w:rStyle w:val="citation"/>
          <w:rFonts w:ascii="Verdana" w:hAnsi="Verdana"/>
          <w:color w:val="auto"/>
        </w:rPr>
        <w:t xml:space="preserve">[1998] 2 All ER 124. </w:t>
      </w:r>
      <w:r w:rsidR="00C10659">
        <w:rPr>
          <w:rStyle w:val="citation"/>
          <w:rFonts w:ascii="Verdana" w:hAnsi="Verdana"/>
          <w:color w:val="auto"/>
        </w:rPr>
        <w:t>Falk J correctly observed</w:t>
      </w:r>
      <w:r w:rsidR="00F61BC0">
        <w:rPr>
          <w:rStyle w:val="citation"/>
          <w:rFonts w:ascii="Verdana" w:hAnsi="Verdana"/>
          <w:color w:val="auto"/>
        </w:rPr>
        <w:t xml:space="preserve">, at [852], </w:t>
      </w:r>
      <w:r w:rsidR="00C10659">
        <w:rPr>
          <w:rStyle w:val="citation"/>
          <w:rFonts w:ascii="Verdana" w:hAnsi="Verdana"/>
          <w:color w:val="auto"/>
        </w:rPr>
        <w:t xml:space="preserve">that in </w:t>
      </w:r>
      <w:r w:rsidR="00FA5B4A" w:rsidRPr="001F0311">
        <w:rPr>
          <w:rStyle w:val="citation"/>
          <w:rFonts w:ascii="Verdana" w:hAnsi="Verdana"/>
          <w:color w:val="auto"/>
        </w:rPr>
        <w:t>deciding</w:t>
      </w:r>
      <w:r w:rsidR="00FA5B4A" w:rsidRPr="00A94BE8">
        <w:rPr>
          <w:rStyle w:val="citation"/>
          <w:rFonts w:ascii="Verdana" w:hAnsi="Verdana"/>
          <w:color w:val="auto"/>
        </w:rPr>
        <w:t xml:space="preserve"> unfitness, </w:t>
      </w:r>
      <w:r w:rsidR="00F61BC0">
        <w:rPr>
          <w:rStyle w:val="citation"/>
          <w:rFonts w:ascii="Verdana" w:hAnsi="Verdana"/>
          <w:color w:val="auto"/>
        </w:rPr>
        <w:t>“</w:t>
      </w:r>
      <w:r w:rsidR="00FA5B4A" w:rsidRPr="00A94BE8">
        <w:rPr>
          <w:rStyle w:val="citation"/>
          <w:rFonts w:ascii="Verdana" w:hAnsi="Verdana"/>
          <w:color w:val="auto"/>
        </w:rPr>
        <w:t xml:space="preserve">what </w:t>
      </w:r>
      <w:r w:rsidR="00FA5B4A" w:rsidRPr="00A94BE8">
        <w:rPr>
          <w:rFonts w:ascii="Verdana" w:hAnsi="Verdana"/>
          <w:color w:val="333335"/>
          <w:shd w:val="clear" w:color="auto" w:fill="FFFFFF"/>
        </w:rPr>
        <w:t xml:space="preserve">must be assessed is the individual's conduct, and that must be evaluated in its context. </w:t>
      </w:r>
      <w:r w:rsidR="00F61BC0">
        <w:rPr>
          <w:rFonts w:ascii="Verdana" w:hAnsi="Verdana"/>
          <w:color w:val="333335"/>
          <w:shd w:val="clear" w:color="auto" w:fill="FFFFFF"/>
        </w:rPr>
        <w:t xml:space="preserve">That </w:t>
      </w:r>
      <w:r w:rsidR="00FA5B4A" w:rsidRPr="00A94BE8">
        <w:rPr>
          <w:rFonts w:ascii="Verdana" w:hAnsi="Verdana"/>
          <w:color w:val="333335"/>
          <w:shd w:val="clear" w:color="auto" w:fill="FFFFFF"/>
        </w:rPr>
        <w:t>context, or setting, must include the nature of the company and its activities, as well as (for example) the role played by the individual director. The fact that the company was a charitable company is a relevant part of the context</w:t>
      </w:r>
      <w:r w:rsidR="001B1943">
        <w:rPr>
          <w:rFonts w:ascii="Verdana" w:hAnsi="Verdana"/>
          <w:color w:val="333335"/>
          <w:shd w:val="clear" w:color="auto" w:fill="FFFFFF"/>
        </w:rPr>
        <w:t>”</w:t>
      </w:r>
      <w:r w:rsidR="00F02C59" w:rsidRPr="00A94BE8">
        <w:rPr>
          <w:rFonts w:ascii="Verdana" w:hAnsi="Verdana"/>
          <w:color w:val="333335"/>
          <w:shd w:val="clear" w:color="auto" w:fill="FFFFFF"/>
        </w:rPr>
        <w:t xml:space="preserve">. </w:t>
      </w:r>
      <w:r w:rsidR="001B1943">
        <w:rPr>
          <w:rFonts w:ascii="Verdana" w:hAnsi="Verdana"/>
          <w:color w:val="333335"/>
          <w:shd w:val="clear" w:color="auto" w:fill="FFFFFF"/>
        </w:rPr>
        <w:t xml:space="preserve">However, it is a little more difficult to see </w:t>
      </w:r>
      <w:r w:rsidR="00CB174D">
        <w:rPr>
          <w:rFonts w:ascii="Verdana" w:hAnsi="Verdana"/>
          <w:color w:val="333335"/>
          <w:shd w:val="clear" w:color="auto" w:fill="FFFFFF"/>
        </w:rPr>
        <w:t xml:space="preserve">how her subsequent observation – that </w:t>
      </w:r>
      <w:r w:rsidR="00323F84">
        <w:rPr>
          <w:rFonts w:ascii="Verdana" w:hAnsi="Verdana"/>
          <w:color w:val="333335"/>
          <w:shd w:val="clear" w:color="auto" w:fill="FFFFFF"/>
        </w:rPr>
        <w:t>“</w:t>
      </w:r>
      <w:r w:rsidR="00EF375E">
        <w:rPr>
          <w:rFonts w:ascii="Verdana" w:hAnsi="Verdana"/>
          <w:color w:val="333335"/>
          <w:shd w:val="clear" w:color="auto" w:fill="FFFFFF"/>
        </w:rPr>
        <w:t>[</w:t>
      </w:r>
      <w:proofErr w:type="spellStart"/>
      <w:r w:rsidR="00EF375E">
        <w:rPr>
          <w:rFonts w:ascii="Verdana" w:hAnsi="Verdana"/>
          <w:color w:val="333335"/>
          <w:shd w:val="clear" w:color="auto" w:fill="FFFFFF"/>
        </w:rPr>
        <w:t>i</w:t>
      </w:r>
      <w:proofErr w:type="spellEnd"/>
      <w:r w:rsidR="00EF375E">
        <w:rPr>
          <w:rFonts w:ascii="Verdana" w:hAnsi="Verdana"/>
          <w:color w:val="333335"/>
          <w:shd w:val="clear" w:color="auto" w:fill="FFFFFF"/>
        </w:rPr>
        <w:t>]</w:t>
      </w:r>
      <w:r w:rsidR="00FA5B4A" w:rsidRPr="00A94BE8">
        <w:rPr>
          <w:rFonts w:ascii="Verdana" w:hAnsi="Verdana"/>
          <w:color w:val="333335"/>
          <w:shd w:val="clear" w:color="auto" w:fill="FFFFFF"/>
        </w:rPr>
        <w:t>t could mean, for example, that incompetent conduct which might merit a finding of unfitness in a director of a commercial company would not </w:t>
      </w:r>
      <w:r w:rsidR="00FA5B4A" w:rsidRPr="00A94BE8">
        <w:rPr>
          <w:rStyle w:val="Emphasis"/>
          <w:rFonts w:ascii="Verdana" w:hAnsi="Verdana"/>
          <w:color w:val="333335"/>
          <w:bdr w:val="none" w:sz="0" w:space="0" w:color="auto" w:frame="1"/>
          <w:shd w:val="clear" w:color="auto" w:fill="FFFFFF"/>
        </w:rPr>
        <w:t>necessarily</w:t>
      </w:r>
      <w:r w:rsidR="00FA5B4A" w:rsidRPr="00A94BE8">
        <w:rPr>
          <w:rFonts w:ascii="Verdana" w:hAnsi="Verdana"/>
          <w:color w:val="333335"/>
          <w:shd w:val="clear" w:color="auto" w:fill="FFFFFF"/>
        </w:rPr>
        <w:t> </w:t>
      </w:r>
      <w:r w:rsidR="005F4BB9">
        <w:rPr>
          <w:rFonts w:ascii="Verdana" w:hAnsi="Verdana"/>
          <w:color w:val="333335"/>
          <w:shd w:val="clear" w:color="auto" w:fill="FFFFFF"/>
        </w:rPr>
        <w:t xml:space="preserve">[the Judge’s emphasis] </w:t>
      </w:r>
      <w:r w:rsidR="00FA5B4A" w:rsidRPr="00A94BE8">
        <w:rPr>
          <w:rFonts w:ascii="Verdana" w:hAnsi="Verdana"/>
          <w:color w:val="333335"/>
          <w:shd w:val="clear" w:color="auto" w:fill="FFFFFF"/>
        </w:rPr>
        <w:t>lead to the same conclusion in a different, charitable, context</w:t>
      </w:r>
      <w:r w:rsidR="00CB174D">
        <w:rPr>
          <w:rFonts w:ascii="Verdana" w:hAnsi="Verdana"/>
          <w:color w:val="333335"/>
          <w:shd w:val="clear" w:color="auto" w:fill="FFFFFF"/>
        </w:rPr>
        <w:t xml:space="preserve">” – can be correct. </w:t>
      </w:r>
      <w:r w:rsidR="00190DBC">
        <w:rPr>
          <w:rFonts w:ascii="Verdana" w:hAnsi="Verdana"/>
          <w:color w:val="333335"/>
          <w:shd w:val="clear" w:color="auto" w:fill="FFFFFF"/>
        </w:rPr>
        <w:t xml:space="preserve">Plainly, as </w:t>
      </w:r>
      <w:r w:rsidR="00534C27">
        <w:rPr>
          <w:rFonts w:ascii="Verdana" w:hAnsi="Verdana"/>
          <w:color w:val="333335"/>
          <w:shd w:val="clear" w:color="auto" w:fill="FFFFFF"/>
        </w:rPr>
        <w:t xml:space="preserve">the </w:t>
      </w:r>
      <w:r w:rsidR="00662554">
        <w:rPr>
          <w:rFonts w:ascii="Verdana" w:hAnsi="Verdana"/>
          <w:color w:val="333335"/>
          <w:shd w:val="clear" w:color="auto" w:fill="FFFFFF"/>
        </w:rPr>
        <w:t>J</w:t>
      </w:r>
      <w:r w:rsidR="00534C27">
        <w:rPr>
          <w:rFonts w:ascii="Verdana" w:hAnsi="Verdana"/>
          <w:color w:val="333335"/>
          <w:shd w:val="clear" w:color="auto" w:fill="FFFFFF"/>
        </w:rPr>
        <w:t>udge</w:t>
      </w:r>
      <w:r w:rsidR="00190DBC">
        <w:rPr>
          <w:rFonts w:ascii="Verdana" w:hAnsi="Verdana"/>
          <w:color w:val="333335"/>
          <w:shd w:val="clear" w:color="auto" w:fill="FFFFFF"/>
        </w:rPr>
        <w:t xml:space="preserve"> observed, </w:t>
      </w:r>
      <w:r w:rsidR="00524BC4">
        <w:rPr>
          <w:rFonts w:ascii="Verdana" w:hAnsi="Verdana"/>
          <w:color w:val="333335"/>
          <w:shd w:val="clear" w:color="auto" w:fill="FFFFFF"/>
        </w:rPr>
        <w:t>“</w:t>
      </w:r>
      <w:r w:rsidR="00FA5B4A" w:rsidRPr="00A94BE8">
        <w:rPr>
          <w:rFonts w:ascii="Verdana" w:hAnsi="Verdana"/>
          <w:color w:val="333335"/>
          <w:shd w:val="clear" w:color="auto" w:fill="FFFFFF"/>
        </w:rPr>
        <w:t>in each case conduct must be assessed in its factual setting. It is one of all the circumstances to take into account. Its materiality or otherwise will depend on the facts of the case</w:t>
      </w:r>
      <w:r w:rsidR="005F5A2B">
        <w:rPr>
          <w:rFonts w:ascii="Verdana" w:hAnsi="Verdana"/>
          <w:color w:val="333335"/>
          <w:shd w:val="clear" w:color="auto" w:fill="FFFFFF"/>
        </w:rPr>
        <w:t>”</w:t>
      </w:r>
      <w:r w:rsidR="00524BC4">
        <w:rPr>
          <w:rFonts w:ascii="Verdana" w:hAnsi="Verdana"/>
          <w:color w:val="333335"/>
          <w:shd w:val="clear" w:color="auto" w:fill="FFFFFF"/>
        </w:rPr>
        <w:t xml:space="preserve">. However, where the circumstances concerning the conduct </w:t>
      </w:r>
      <w:r w:rsidR="00642798">
        <w:rPr>
          <w:rStyle w:val="citation"/>
          <w:rFonts w:ascii="Verdana" w:hAnsi="Verdana"/>
          <w:color w:val="auto"/>
        </w:rPr>
        <w:t xml:space="preserve">of a director </w:t>
      </w:r>
      <w:r w:rsidR="00E647C7">
        <w:rPr>
          <w:rStyle w:val="citation"/>
          <w:rFonts w:ascii="Verdana" w:hAnsi="Verdana"/>
          <w:color w:val="auto"/>
        </w:rPr>
        <w:t xml:space="preserve">in a non-charitable corporate </w:t>
      </w:r>
      <w:r w:rsidR="00E647C7">
        <w:rPr>
          <w:rStyle w:val="citation"/>
          <w:rFonts w:ascii="Verdana" w:hAnsi="Verdana"/>
          <w:color w:val="auto"/>
        </w:rPr>
        <w:lastRenderedPageBreak/>
        <w:t xml:space="preserve">enterprise </w:t>
      </w:r>
      <w:r w:rsidR="00A072D5">
        <w:rPr>
          <w:rStyle w:val="citation"/>
          <w:rFonts w:ascii="Verdana" w:hAnsi="Verdana"/>
          <w:color w:val="auto"/>
        </w:rPr>
        <w:t>warrant the making of a finding of unfitness against</w:t>
      </w:r>
      <w:r w:rsidR="003214E6">
        <w:rPr>
          <w:rStyle w:val="citation"/>
          <w:rFonts w:ascii="Verdana" w:hAnsi="Verdana"/>
          <w:color w:val="auto"/>
        </w:rPr>
        <w:t xml:space="preserve"> that </w:t>
      </w:r>
      <w:r w:rsidR="00A072D5">
        <w:rPr>
          <w:rStyle w:val="citation"/>
          <w:rFonts w:ascii="Verdana" w:hAnsi="Verdana"/>
          <w:color w:val="auto"/>
        </w:rPr>
        <w:t xml:space="preserve">director, it is difficult to conceive of circumstances where the </w:t>
      </w:r>
      <w:r w:rsidR="00695426">
        <w:rPr>
          <w:rStyle w:val="citation"/>
          <w:rFonts w:ascii="Verdana" w:hAnsi="Verdana"/>
          <w:color w:val="auto"/>
        </w:rPr>
        <w:t xml:space="preserve">exact </w:t>
      </w:r>
      <w:r w:rsidR="00A072D5">
        <w:rPr>
          <w:rStyle w:val="citation"/>
          <w:rFonts w:ascii="Verdana" w:hAnsi="Verdana"/>
          <w:color w:val="auto"/>
        </w:rPr>
        <w:t>same conduct</w:t>
      </w:r>
      <w:r w:rsidR="003606CC" w:rsidRPr="00580C66">
        <w:rPr>
          <w:rStyle w:val="citation"/>
          <w:rFonts w:ascii="Verdana" w:hAnsi="Verdana"/>
          <w:color w:val="auto"/>
        </w:rPr>
        <w:t xml:space="preserve">, without more, would </w:t>
      </w:r>
      <w:r w:rsidR="00653AFB" w:rsidRPr="00580C66">
        <w:rPr>
          <w:rStyle w:val="citation"/>
          <w:rFonts w:ascii="Verdana" w:hAnsi="Verdana"/>
          <w:color w:val="auto"/>
        </w:rPr>
        <w:t xml:space="preserve">be </w:t>
      </w:r>
      <w:r w:rsidR="00820B0B" w:rsidRPr="00580C66">
        <w:rPr>
          <w:rStyle w:val="citation"/>
          <w:rFonts w:ascii="Verdana" w:hAnsi="Verdana"/>
          <w:color w:val="auto"/>
        </w:rPr>
        <w:t xml:space="preserve">considered to be </w:t>
      </w:r>
      <w:r w:rsidR="00653AFB" w:rsidRPr="00580C66">
        <w:rPr>
          <w:rStyle w:val="citation"/>
          <w:rFonts w:ascii="Verdana" w:hAnsi="Verdana"/>
          <w:color w:val="auto"/>
        </w:rPr>
        <w:t xml:space="preserve">insufficient to </w:t>
      </w:r>
      <w:r w:rsidR="00820B0B" w:rsidRPr="00580C66">
        <w:rPr>
          <w:rStyle w:val="citation"/>
          <w:rFonts w:ascii="Verdana" w:hAnsi="Verdana"/>
          <w:color w:val="auto"/>
        </w:rPr>
        <w:t xml:space="preserve">constitute unfitness </w:t>
      </w:r>
      <w:r w:rsidR="00027294">
        <w:rPr>
          <w:rStyle w:val="citation"/>
          <w:rFonts w:ascii="Verdana" w:hAnsi="Verdana"/>
          <w:color w:val="auto"/>
        </w:rPr>
        <w:t xml:space="preserve">against a director </w:t>
      </w:r>
      <w:r w:rsidR="00820B0B" w:rsidRPr="00580C66">
        <w:rPr>
          <w:rStyle w:val="citation"/>
          <w:rFonts w:ascii="Verdana" w:hAnsi="Verdana"/>
          <w:color w:val="auto"/>
        </w:rPr>
        <w:t>in a</w:t>
      </w:r>
      <w:r w:rsidR="000E73D4">
        <w:rPr>
          <w:rStyle w:val="citation"/>
          <w:rFonts w:ascii="Verdana" w:hAnsi="Verdana"/>
          <w:color w:val="auto"/>
        </w:rPr>
        <w:t xml:space="preserve">n incorporated charity. </w:t>
      </w:r>
      <w:r w:rsidR="002E0876" w:rsidRPr="00580C66">
        <w:rPr>
          <w:rStyle w:val="citation"/>
          <w:rFonts w:ascii="Verdana" w:hAnsi="Verdana"/>
          <w:color w:val="auto"/>
        </w:rPr>
        <w:t xml:space="preserve">As </w:t>
      </w:r>
      <w:r w:rsidR="004B48C0" w:rsidRPr="00580C66">
        <w:rPr>
          <w:rStyle w:val="citation"/>
          <w:rFonts w:ascii="Verdana" w:hAnsi="Verdana"/>
          <w:color w:val="auto"/>
        </w:rPr>
        <w:t xml:space="preserve">His Honour Judge </w:t>
      </w:r>
      <w:r w:rsidR="00D56486" w:rsidRPr="00580C66">
        <w:rPr>
          <w:rStyle w:val="citation"/>
          <w:rFonts w:ascii="Verdana" w:hAnsi="Verdana"/>
          <w:color w:val="auto"/>
        </w:rPr>
        <w:t xml:space="preserve">Behrens, sitting as a Judge of the High Court, observed in </w:t>
      </w:r>
      <w:r w:rsidR="004B48C0" w:rsidRPr="00580C66">
        <w:rPr>
          <w:rFonts w:ascii="Verdana" w:hAnsi="Verdana"/>
          <w:i/>
        </w:rPr>
        <w:t>Re Brampton Manor (Leisure) Ltd</w:t>
      </w:r>
      <w:r w:rsidR="004B48C0" w:rsidRPr="00580C66">
        <w:rPr>
          <w:rFonts w:ascii="Verdana" w:hAnsi="Verdana"/>
        </w:rPr>
        <w:t xml:space="preserve"> </w:t>
      </w:r>
      <w:r w:rsidR="004B48C0" w:rsidRPr="00580C66">
        <w:rPr>
          <w:rStyle w:val="citation"/>
          <w:rFonts w:ascii="Verdana" w:hAnsi="Verdana"/>
          <w:color w:val="auto"/>
        </w:rPr>
        <w:t>[2009] EWHC 1796 (Ch)</w:t>
      </w:r>
      <w:r w:rsidR="004B48C0" w:rsidRPr="00580C66">
        <w:rPr>
          <w:rFonts w:ascii="Verdana" w:hAnsi="Verdana"/>
        </w:rPr>
        <w:t xml:space="preserve">: </w:t>
      </w:r>
      <w:r w:rsidR="00580C66" w:rsidRPr="00580C66">
        <w:rPr>
          <w:rFonts w:ascii="Verdana" w:hAnsi="Verdana"/>
        </w:rPr>
        <w:t>“</w:t>
      </w:r>
      <w:r w:rsidR="004B48C0" w:rsidRPr="00580C66">
        <w:rPr>
          <w:rFonts w:ascii="Verdana" w:hAnsi="Verdana"/>
        </w:rPr>
        <w:t>where a director simply fails to undertake, whether through lack of knowledge, incompetence or whatever, those duties which he ought to undertake, he is as guilty as those who do positive wrong, and, if anything, probably even more dangerous</w:t>
      </w:r>
      <w:r w:rsidR="00580C66" w:rsidRPr="00580C66">
        <w:rPr>
          <w:rFonts w:ascii="Verdana" w:hAnsi="Verdana"/>
        </w:rPr>
        <w:t xml:space="preserve">”. </w:t>
      </w:r>
      <w:r w:rsidR="00642798" w:rsidRPr="00580C66">
        <w:rPr>
          <w:rStyle w:val="citation"/>
          <w:rFonts w:ascii="Verdana" w:hAnsi="Verdana"/>
          <w:color w:val="auto"/>
        </w:rPr>
        <w:t xml:space="preserve"> </w:t>
      </w:r>
    </w:p>
    <w:p w14:paraId="5E59A420" w14:textId="24A770CC" w:rsidR="00B63E1C" w:rsidRPr="000A11F9" w:rsidRDefault="000A0DE8" w:rsidP="00FE4D74">
      <w:pPr>
        <w:rPr>
          <w:rFonts w:ascii="Verdana" w:hAnsi="Verdana"/>
        </w:rPr>
      </w:pPr>
      <w:r w:rsidRPr="000A11F9">
        <w:rPr>
          <w:rFonts w:ascii="Verdana" w:hAnsi="Verdana"/>
        </w:rPr>
        <w:t xml:space="preserve">Nor is it clear to the </w:t>
      </w:r>
      <w:r w:rsidR="00AA6B53">
        <w:rPr>
          <w:rFonts w:ascii="Verdana" w:hAnsi="Verdana"/>
        </w:rPr>
        <w:t xml:space="preserve">authors </w:t>
      </w:r>
      <w:r w:rsidRPr="000A11F9">
        <w:rPr>
          <w:rFonts w:ascii="Verdana" w:hAnsi="Verdana"/>
        </w:rPr>
        <w:t>why</w:t>
      </w:r>
      <w:r w:rsidR="00472168" w:rsidRPr="000A11F9">
        <w:rPr>
          <w:rFonts w:ascii="Verdana" w:hAnsi="Verdana"/>
        </w:rPr>
        <w:t xml:space="preserve">, as Falk J </w:t>
      </w:r>
      <w:r w:rsidR="005B71B7" w:rsidRPr="000A11F9">
        <w:rPr>
          <w:rFonts w:ascii="Verdana" w:hAnsi="Verdana"/>
        </w:rPr>
        <w:t xml:space="preserve">stated, </w:t>
      </w:r>
      <w:r w:rsidR="00472168" w:rsidRPr="000A11F9">
        <w:rPr>
          <w:rFonts w:ascii="Verdana" w:hAnsi="Verdana"/>
        </w:rPr>
        <w:t xml:space="preserve">at </w:t>
      </w:r>
      <w:r w:rsidR="009A71AD" w:rsidRPr="000A11F9">
        <w:rPr>
          <w:rFonts w:ascii="Verdana" w:hAnsi="Verdana"/>
        </w:rPr>
        <w:t>[911], directors or trustees of incorporated charities should be afforded special treatment based on the premise that</w:t>
      </w:r>
      <w:r w:rsidR="00CA7381" w:rsidRPr="000A11F9">
        <w:rPr>
          <w:rFonts w:ascii="Verdana" w:hAnsi="Verdana"/>
        </w:rPr>
        <w:t xml:space="preserve"> the charity sector </w:t>
      </w:r>
      <w:r w:rsidR="006C7FD8" w:rsidRPr="000A11F9">
        <w:rPr>
          <w:rFonts w:ascii="Verdana" w:hAnsi="Verdana"/>
          <w:shd w:val="clear" w:color="auto" w:fill="FFFFFF"/>
        </w:rPr>
        <w:t>depend</w:t>
      </w:r>
      <w:r w:rsidR="00DA42C0">
        <w:rPr>
          <w:rFonts w:ascii="Verdana" w:hAnsi="Verdana"/>
          <w:shd w:val="clear" w:color="auto" w:fill="FFFFFF"/>
        </w:rPr>
        <w:t xml:space="preserve">s </w:t>
      </w:r>
      <w:r w:rsidR="006C7FD8" w:rsidRPr="000A11F9">
        <w:rPr>
          <w:rFonts w:ascii="Verdana" w:hAnsi="Verdana"/>
          <w:shd w:val="clear" w:color="auto" w:fill="FFFFFF"/>
        </w:rPr>
        <w:t>on capable individuals being prepared voluntarily to take trusteeship roles</w:t>
      </w:r>
      <w:r w:rsidR="00CA0CA3" w:rsidRPr="000A11F9">
        <w:rPr>
          <w:rFonts w:ascii="Verdana" w:hAnsi="Verdana"/>
          <w:shd w:val="clear" w:color="auto" w:fill="FFFFFF"/>
        </w:rPr>
        <w:t xml:space="preserve"> (</w:t>
      </w:r>
      <w:r w:rsidR="00843998" w:rsidRPr="000A11F9">
        <w:rPr>
          <w:rFonts w:ascii="Verdana" w:hAnsi="Verdana"/>
          <w:shd w:val="clear" w:color="auto" w:fill="FFFFFF"/>
        </w:rPr>
        <w:t>particularly</w:t>
      </w:r>
      <w:r w:rsidR="00CA0CA3" w:rsidRPr="000A11F9">
        <w:rPr>
          <w:rFonts w:ascii="Verdana" w:hAnsi="Verdana"/>
          <w:shd w:val="clear" w:color="auto" w:fill="FFFFFF"/>
        </w:rPr>
        <w:t xml:space="preserve">, as </w:t>
      </w:r>
      <w:r w:rsidR="00534C27">
        <w:rPr>
          <w:rFonts w:ascii="Verdana" w:hAnsi="Verdana"/>
          <w:shd w:val="clear" w:color="auto" w:fill="FFFFFF"/>
        </w:rPr>
        <w:t xml:space="preserve">the </w:t>
      </w:r>
      <w:r w:rsidR="00662554">
        <w:rPr>
          <w:rFonts w:ascii="Verdana" w:hAnsi="Verdana"/>
          <w:shd w:val="clear" w:color="auto" w:fill="FFFFFF"/>
        </w:rPr>
        <w:t>J</w:t>
      </w:r>
      <w:r w:rsidR="00534C27">
        <w:rPr>
          <w:rFonts w:ascii="Verdana" w:hAnsi="Verdana"/>
          <w:shd w:val="clear" w:color="auto" w:fill="FFFFFF"/>
        </w:rPr>
        <w:t>udge</w:t>
      </w:r>
      <w:r w:rsidR="00CA0CA3" w:rsidRPr="000A11F9">
        <w:rPr>
          <w:rFonts w:ascii="Verdana" w:hAnsi="Verdana"/>
          <w:shd w:val="clear" w:color="auto" w:fill="FFFFFF"/>
        </w:rPr>
        <w:t xml:space="preserve"> observed, </w:t>
      </w:r>
      <w:r w:rsidR="00843998" w:rsidRPr="000A11F9">
        <w:rPr>
          <w:rFonts w:ascii="Verdana" w:hAnsi="Verdana"/>
          <w:shd w:val="clear" w:color="auto" w:fill="FFFFFF"/>
        </w:rPr>
        <w:t xml:space="preserve">if, </w:t>
      </w:r>
      <w:r w:rsidR="00517539" w:rsidRPr="000A11F9">
        <w:rPr>
          <w:rFonts w:ascii="Verdana" w:hAnsi="Verdana"/>
          <w:shd w:val="clear" w:color="auto" w:fill="FFFFFF"/>
        </w:rPr>
        <w:t xml:space="preserve">as was the position in </w:t>
      </w:r>
      <w:r w:rsidR="00F6743F" w:rsidRPr="000A11F9">
        <w:rPr>
          <w:rFonts w:ascii="Verdana" w:hAnsi="Verdana"/>
          <w:shd w:val="clear" w:color="auto" w:fill="FFFFFF"/>
        </w:rPr>
        <w:t xml:space="preserve">relation to all but one defendant in that case, </w:t>
      </w:r>
      <w:r w:rsidR="0096143F" w:rsidRPr="000A11F9">
        <w:rPr>
          <w:rFonts w:ascii="Verdana" w:hAnsi="Verdana"/>
          <w:shd w:val="clear" w:color="auto" w:fill="FFFFFF"/>
        </w:rPr>
        <w:t>the directors or trustees provide</w:t>
      </w:r>
      <w:r w:rsidR="000D67CD" w:rsidRPr="000A11F9">
        <w:rPr>
          <w:rFonts w:ascii="Verdana" w:hAnsi="Verdana"/>
          <w:shd w:val="clear" w:color="auto" w:fill="FFFFFF"/>
        </w:rPr>
        <w:t>d</w:t>
      </w:r>
      <w:r w:rsidR="0096143F" w:rsidRPr="000A11F9">
        <w:rPr>
          <w:rFonts w:ascii="Verdana" w:hAnsi="Verdana"/>
          <w:shd w:val="clear" w:color="auto" w:fill="FFFFFF"/>
        </w:rPr>
        <w:t xml:space="preserve"> </w:t>
      </w:r>
      <w:r w:rsidR="00517539" w:rsidRPr="000A11F9">
        <w:rPr>
          <w:rFonts w:ascii="Verdana" w:hAnsi="Verdana"/>
          <w:shd w:val="clear" w:color="auto" w:fill="FFFFFF"/>
        </w:rPr>
        <w:t xml:space="preserve">their services to the </w:t>
      </w:r>
      <w:r w:rsidR="0096143F" w:rsidRPr="000A11F9">
        <w:rPr>
          <w:rFonts w:ascii="Verdana" w:hAnsi="Verdana"/>
          <w:shd w:val="clear" w:color="auto" w:fill="FFFFFF"/>
        </w:rPr>
        <w:t>charity e</w:t>
      </w:r>
      <w:r w:rsidR="00517539" w:rsidRPr="000A11F9">
        <w:rPr>
          <w:rFonts w:ascii="Verdana" w:hAnsi="Verdana"/>
          <w:shd w:val="clear" w:color="auto" w:fill="FFFFFF"/>
        </w:rPr>
        <w:t>ntirely gratuitously</w:t>
      </w:r>
      <w:r w:rsidR="00516D23" w:rsidRPr="000A11F9">
        <w:rPr>
          <w:rFonts w:ascii="Verdana" w:hAnsi="Verdana"/>
          <w:shd w:val="clear" w:color="auto" w:fill="FFFFFF"/>
        </w:rPr>
        <w:t>)</w:t>
      </w:r>
      <w:r w:rsidR="0096143F" w:rsidRPr="000A11F9">
        <w:rPr>
          <w:rFonts w:ascii="Verdana" w:hAnsi="Verdana"/>
          <w:shd w:val="clear" w:color="auto" w:fill="FFFFFF"/>
        </w:rPr>
        <w:t xml:space="preserve">. </w:t>
      </w:r>
      <w:r w:rsidR="00633372">
        <w:rPr>
          <w:rFonts w:ascii="Verdana" w:hAnsi="Verdana"/>
          <w:shd w:val="clear" w:color="auto" w:fill="FFFFFF"/>
        </w:rPr>
        <w:t xml:space="preserve">The Judge </w:t>
      </w:r>
      <w:r w:rsidR="002A195A" w:rsidRPr="000A11F9">
        <w:rPr>
          <w:rFonts w:ascii="Verdana" w:hAnsi="Verdana"/>
          <w:shd w:val="clear" w:color="auto" w:fill="FFFFFF"/>
        </w:rPr>
        <w:t xml:space="preserve">qualified this </w:t>
      </w:r>
      <w:r w:rsidR="00BA16D7" w:rsidRPr="000A11F9">
        <w:rPr>
          <w:rFonts w:ascii="Verdana" w:hAnsi="Verdana"/>
          <w:shd w:val="clear" w:color="auto" w:fill="FFFFFF"/>
        </w:rPr>
        <w:t xml:space="preserve">statement </w:t>
      </w:r>
      <w:r w:rsidR="002A195A" w:rsidRPr="000A11F9">
        <w:rPr>
          <w:rFonts w:ascii="Verdana" w:hAnsi="Verdana"/>
          <w:shd w:val="clear" w:color="auto" w:fill="FFFFFF"/>
        </w:rPr>
        <w:t xml:space="preserve">by </w:t>
      </w:r>
      <w:r w:rsidR="00516D23" w:rsidRPr="000A11F9">
        <w:rPr>
          <w:rFonts w:ascii="Verdana" w:hAnsi="Verdana"/>
          <w:shd w:val="clear" w:color="auto" w:fill="FFFFFF"/>
        </w:rPr>
        <w:t xml:space="preserve">saying </w:t>
      </w:r>
      <w:r w:rsidR="002A195A" w:rsidRPr="000A11F9">
        <w:rPr>
          <w:rFonts w:ascii="Verdana" w:hAnsi="Verdana"/>
          <w:shd w:val="clear" w:color="auto" w:fill="FFFFFF"/>
        </w:rPr>
        <w:t xml:space="preserve">that </w:t>
      </w:r>
      <w:r w:rsidR="00DD0681" w:rsidRPr="000A11F9">
        <w:rPr>
          <w:rFonts w:ascii="Verdana" w:hAnsi="Verdana"/>
          <w:shd w:val="clear" w:color="auto" w:fill="FFFFFF"/>
        </w:rPr>
        <w:t xml:space="preserve">such individuals might be dissuaded from doing so </w:t>
      </w:r>
      <w:r w:rsidR="00C55C64" w:rsidRPr="000A11F9">
        <w:rPr>
          <w:rFonts w:ascii="Verdana" w:hAnsi="Verdana"/>
          <w:shd w:val="clear" w:color="auto" w:fill="FFFFFF"/>
        </w:rPr>
        <w:t xml:space="preserve">on the basis of the </w:t>
      </w:r>
      <w:r w:rsidR="006C7FD8" w:rsidRPr="000A11F9">
        <w:rPr>
          <w:rFonts w:ascii="Verdana" w:hAnsi="Verdana"/>
          <w:shd w:val="clear" w:color="auto" w:fill="FFFFFF"/>
        </w:rPr>
        <w:t xml:space="preserve">perceived risk of disqualification proceedings based on </w:t>
      </w:r>
      <w:r w:rsidR="00C55C64" w:rsidRPr="000A11F9">
        <w:rPr>
          <w:rFonts w:ascii="Verdana" w:hAnsi="Verdana"/>
          <w:shd w:val="clear" w:color="auto" w:fill="FFFFFF"/>
        </w:rPr>
        <w:t>“</w:t>
      </w:r>
      <w:r w:rsidR="006C7FD8" w:rsidRPr="000A11F9">
        <w:rPr>
          <w:rFonts w:ascii="Verdana" w:hAnsi="Verdana"/>
          <w:shd w:val="clear" w:color="auto" w:fill="FFFFFF"/>
        </w:rPr>
        <w:t>wide-ranging but unclear allegations of incompetence</w:t>
      </w:r>
      <w:r w:rsidR="00C55C64" w:rsidRPr="000A11F9">
        <w:rPr>
          <w:rFonts w:ascii="Verdana" w:hAnsi="Verdana"/>
          <w:shd w:val="clear" w:color="auto" w:fill="FFFFFF"/>
        </w:rPr>
        <w:t xml:space="preserve">”. </w:t>
      </w:r>
      <w:r w:rsidR="003A06A8" w:rsidRPr="000A11F9">
        <w:rPr>
          <w:rFonts w:ascii="Verdana" w:hAnsi="Verdana"/>
          <w:shd w:val="clear" w:color="auto" w:fill="FFFFFF"/>
        </w:rPr>
        <w:t xml:space="preserve">While </w:t>
      </w:r>
      <w:r w:rsidR="008C5480" w:rsidRPr="000A11F9">
        <w:rPr>
          <w:rFonts w:ascii="Verdana" w:hAnsi="Verdana"/>
          <w:shd w:val="clear" w:color="auto" w:fill="FFFFFF"/>
        </w:rPr>
        <w:t>the a</w:t>
      </w:r>
      <w:r w:rsidR="00491D49" w:rsidRPr="000A11F9">
        <w:rPr>
          <w:rFonts w:ascii="Verdana" w:hAnsi="Verdana"/>
          <w:shd w:val="clear" w:color="auto" w:fill="FFFFFF"/>
        </w:rPr>
        <w:t xml:space="preserve">llegation in that </w:t>
      </w:r>
      <w:r w:rsidR="00232AB5" w:rsidRPr="000A11F9">
        <w:rPr>
          <w:rFonts w:ascii="Verdana" w:hAnsi="Verdana"/>
          <w:shd w:val="clear" w:color="auto" w:fill="FFFFFF"/>
        </w:rPr>
        <w:t xml:space="preserve">case </w:t>
      </w:r>
      <w:r w:rsidR="008C5480" w:rsidRPr="000A11F9">
        <w:rPr>
          <w:rFonts w:ascii="Verdana" w:hAnsi="Verdana"/>
          <w:shd w:val="clear" w:color="auto" w:fill="FFFFFF"/>
        </w:rPr>
        <w:t xml:space="preserve">might have been </w:t>
      </w:r>
      <w:r w:rsidR="00232AB5" w:rsidRPr="000A11F9">
        <w:rPr>
          <w:rFonts w:ascii="Verdana" w:hAnsi="Verdana"/>
          <w:shd w:val="clear" w:color="auto" w:fill="FFFFFF"/>
        </w:rPr>
        <w:t>wide-ranging and unclear</w:t>
      </w:r>
      <w:r w:rsidR="008C5480" w:rsidRPr="000A11F9">
        <w:rPr>
          <w:rFonts w:ascii="Verdana" w:hAnsi="Verdana"/>
          <w:shd w:val="clear" w:color="auto" w:fill="FFFFFF"/>
        </w:rPr>
        <w:t xml:space="preserve"> </w:t>
      </w:r>
      <w:r w:rsidR="00B13EED">
        <w:rPr>
          <w:rFonts w:ascii="Verdana" w:hAnsi="Verdana"/>
          <w:shd w:val="clear" w:color="auto" w:fill="FFFFFF"/>
        </w:rPr>
        <w:t>and, therefore</w:t>
      </w:r>
      <w:r w:rsidR="008044E2">
        <w:rPr>
          <w:rFonts w:ascii="Verdana" w:hAnsi="Verdana"/>
          <w:shd w:val="clear" w:color="auto" w:fill="FFFFFF"/>
        </w:rPr>
        <w:t xml:space="preserve">, insufficient </w:t>
      </w:r>
      <w:r w:rsidR="008C5480" w:rsidRPr="000A11F9">
        <w:rPr>
          <w:rFonts w:ascii="Verdana" w:hAnsi="Verdana"/>
          <w:shd w:val="clear" w:color="auto" w:fill="FFFFFF"/>
        </w:rPr>
        <w:t xml:space="preserve">to warrant </w:t>
      </w:r>
      <w:r w:rsidR="00B247F1" w:rsidRPr="000A11F9">
        <w:rPr>
          <w:rFonts w:ascii="Verdana" w:hAnsi="Verdana"/>
          <w:shd w:val="clear" w:color="auto" w:fill="FFFFFF"/>
        </w:rPr>
        <w:t>disqualification</w:t>
      </w:r>
      <w:r w:rsidR="008044E2">
        <w:rPr>
          <w:rFonts w:ascii="Verdana" w:hAnsi="Verdana"/>
          <w:shd w:val="clear" w:color="auto" w:fill="FFFFFF"/>
        </w:rPr>
        <w:t xml:space="preserve"> (</w:t>
      </w:r>
      <w:r w:rsidR="00B247F1" w:rsidRPr="000A11F9">
        <w:rPr>
          <w:rFonts w:ascii="Verdana" w:hAnsi="Verdana"/>
          <w:shd w:val="clear" w:color="auto" w:fill="FFFFFF"/>
        </w:rPr>
        <w:t>though opinions on this will differ</w:t>
      </w:r>
      <w:r w:rsidR="008044E2">
        <w:rPr>
          <w:rFonts w:ascii="Verdana" w:hAnsi="Verdana"/>
          <w:shd w:val="clear" w:color="auto" w:fill="FFFFFF"/>
        </w:rPr>
        <w:t>)</w:t>
      </w:r>
      <w:r w:rsidR="00B247F1" w:rsidRPr="000A11F9">
        <w:rPr>
          <w:rFonts w:ascii="Verdana" w:hAnsi="Verdana"/>
          <w:shd w:val="clear" w:color="auto" w:fill="FFFFFF"/>
        </w:rPr>
        <w:t xml:space="preserve">, </w:t>
      </w:r>
      <w:r w:rsidR="00D20D9F" w:rsidRPr="000A11F9">
        <w:rPr>
          <w:rFonts w:ascii="Verdana" w:hAnsi="Verdana"/>
          <w:shd w:val="clear" w:color="auto" w:fill="FFFFFF"/>
        </w:rPr>
        <w:t>if th</w:t>
      </w:r>
      <w:r w:rsidR="00890D03" w:rsidRPr="000A11F9">
        <w:rPr>
          <w:rFonts w:ascii="Verdana" w:hAnsi="Verdana"/>
          <w:shd w:val="clear" w:color="auto" w:fill="FFFFFF"/>
        </w:rPr>
        <w:t xml:space="preserve">at statement </w:t>
      </w:r>
      <w:r w:rsidR="006C7FD8" w:rsidRPr="000A11F9">
        <w:rPr>
          <w:rFonts w:ascii="Verdana" w:hAnsi="Verdana"/>
        </w:rPr>
        <w:t xml:space="preserve">were accepted by the court, directors (particularly non-executive directors) of companies in other sectors might also be able to argue that they should be treated differently (particularly if they were also not paid) because the availability of expertise in their sector was scarce. </w:t>
      </w:r>
      <w:r w:rsidR="005E6478" w:rsidRPr="000A11F9">
        <w:rPr>
          <w:rFonts w:ascii="Verdana" w:hAnsi="Verdana"/>
        </w:rPr>
        <w:t xml:space="preserve">This argument might also be adopted by directors </w:t>
      </w:r>
      <w:r w:rsidR="00753A07">
        <w:rPr>
          <w:rFonts w:ascii="Verdana" w:hAnsi="Verdana"/>
        </w:rPr>
        <w:t xml:space="preserve">who were members </w:t>
      </w:r>
      <w:r w:rsidR="005E6478" w:rsidRPr="000A11F9">
        <w:rPr>
          <w:rFonts w:ascii="Verdana" w:hAnsi="Verdana"/>
        </w:rPr>
        <w:t xml:space="preserve">of </w:t>
      </w:r>
      <w:r w:rsidR="00373C3A" w:rsidRPr="000A11F9">
        <w:rPr>
          <w:rFonts w:ascii="Verdana" w:hAnsi="Verdana"/>
        </w:rPr>
        <w:t xml:space="preserve">“unlimited” </w:t>
      </w:r>
      <w:r w:rsidR="005E6478" w:rsidRPr="000A11F9">
        <w:rPr>
          <w:rFonts w:ascii="Verdana" w:hAnsi="Verdana"/>
        </w:rPr>
        <w:t>companies</w:t>
      </w:r>
      <w:r w:rsidR="00C50F79" w:rsidRPr="000A11F9">
        <w:rPr>
          <w:rFonts w:ascii="Verdana" w:hAnsi="Verdana"/>
        </w:rPr>
        <w:t xml:space="preserve"> – </w:t>
      </w:r>
      <w:r w:rsidR="00C743D0" w:rsidRPr="000A11F9">
        <w:rPr>
          <w:rFonts w:ascii="Verdana" w:hAnsi="Verdana"/>
        </w:rPr>
        <w:t xml:space="preserve">i.e., </w:t>
      </w:r>
      <w:r w:rsidR="00C50F79" w:rsidRPr="000A11F9">
        <w:rPr>
          <w:rFonts w:ascii="Verdana" w:hAnsi="Verdana"/>
        </w:rPr>
        <w:t>a company where the liability of the members is unlimited – on the basis</w:t>
      </w:r>
      <w:r w:rsidR="00753A07">
        <w:rPr>
          <w:rFonts w:ascii="Verdana" w:hAnsi="Verdana"/>
        </w:rPr>
        <w:t xml:space="preserve"> that </w:t>
      </w:r>
      <w:r w:rsidR="00AB13FD">
        <w:rPr>
          <w:rFonts w:ascii="Verdana" w:hAnsi="Verdana"/>
        </w:rPr>
        <w:t xml:space="preserve">because they decided to be liable for all the debts of the company, </w:t>
      </w:r>
      <w:r w:rsidR="008E4A44" w:rsidRPr="000A11F9">
        <w:rPr>
          <w:rFonts w:ascii="Verdana" w:hAnsi="Verdana"/>
        </w:rPr>
        <w:t xml:space="preserve">they should be afforded special </w:t>
      </w:r>
      <w:r w:rsidR="00C743D0" w:rsidRPr="000A11F9">
        <w:rPr>
          <w:rFonts w:ascii="Verdana" w:hAnsi="Verdana"/>
        </w:rPr>
        <w:t xml:space="preserve">treatment </w:t>
      </w:r>
      <w:r w:rsidR="006F0DB6">
        <w:rPr>
          <w:rFonts w:ascii="Verdana" w:hAnsi="Verdana"/>
        </w:rPr>
        <w:t xml:space="preserve">on </w:t>
      </w:r>
      <w:r w:rsidR="00755E24">
        <w:rPr>
          <w:rFonts w:ascii="Verdana" w:hAnsi="Verdana"/>
        </w:rPr>
        <w:t xml:space="preserve">the ground that </w:t>
      </w:r>
      <w:r w:rsidR="00C743D0" w:rsidRPr="000A11F9">
        <w:rPr>
          <w:rFonts w:ascii="Verdana" w:hAnsi="Verdana"/>
        </w:rPr>
        <w:t xml:space="preserve">they did </w:t>
      </w:r>
      <w:r w:rsidR="00AB13FD">
        <w:rPr>
          <w:rFonts w:ascii="Verdana" w:hAnsi="Verdana"/>
        </w:rPr>
        <w:t xml:space="preserve">not </w:t>
      </w:r>
      <w:r w:rsidR="00C743D0" w:rsidRPr="000A11F9">
        <w:rPr>
          <w:rFonts w:ascii="Verdana" w:hAnsi="Verdana"/>
        </w:rPr>
        <w:t>seek to abuse the privilege of limited liability</w:t>
      </w:r>
      <w:r w:rsidR="00812767" w:rsidRPr="000A11F9">
        <w:rPr>
          <w:rFonts w:ascii="Verdana" w:hAnsi="Verdana"/>
        </w:rPr>
        <w:t xml:space="preserve">. It is not surprising that </w:t>
      </w:r>
      <w:r w:rsidR="006C79C5" w:rsidRPr="000A11F9">
        <w:rPr>
          <w:rFonts w:ascii="Verdana" w:hAnsi="Verdana"/>
        </w:rPr>
        <w:t>argument</w:t>
      </w:r>
      <w:r w:rsidR="00565BD5">
        <w:rPr>
          <w:rFonts w:ascii="Verdana" w:hAnsi="Verdana"/>
        </w:rPr>
        <w:t xml:space="preserve">s of this type have </w:t>
      </w:r>
      <w:r w:rsidR="00812767" w:rsidRPr="000A11F9">
        <w:rPr>
          <w:rFonts w:ascii="Verdana" w:hAnsi="Verdana"/>
        </w:rPr>
        <w:t xml:space="preserve">largely been rejected </w:t>
      </w:r>
      <w:r w:rsidR="00DD16A1" w:rsidRPr="000A11F9">
        <w:rPr>
          <w:rFonts w:ascii="Verdana" w:hAnsi="Verdana"/>
        </w:rPr>
        <w:t xml:space="preserve">by </w:t>
      </w:r>
      <w:r w:rsidR="00503E46">
        <w:rPr>
          <w:rFonts w:ascii="Verdana" w:hAnsi="Verdana"/>
        </w:rPr>
        <w:t xml:space="preserve">the courts: </w:t>
      </w:r>
      <w:r w:rsidR="00565BD5">
        <w:rPr>
          <w:rFonts w:ascii="Verdana" w:hAnsi="Verdana"/>
        </w:rPr>
        <w:t>see</w:t>
      </w:r>
      <w:r w:rsidR="00DD16A1" w:rsidRPr="000A11F9">
        <w:rPr>
          <w:rFonts w:ascii="Verdana" w:hAnsi="Verdana"/>
        </w:rPr>
        <w:t xml:space="preserve">, for example, </w:t>
      </w:r>
      <w:r w:rsidR="00DD16A1" w:rsidRPr="000A11F9">
        <w:rPr>
          <w:rFonts w:ascii="Verdana" w:hAnsi="Verdana"/>
          <w:i/>
        </w:rPr>
        <w:t>Re Continental Assurance of London Co plc</w:t>
      </w:r>
      <w:r w:rsidR="00DD16A1" w:rsidRPr="000A11F9">
        <w:rPr>
          <w:rFonts w:ascii="Verdana" w:hAnsi="Verdana"/>
        </w:rPr>
        <w:t xml:space="preserve"> </w:t>
      </w:r>
      <w:r w:rsidR="00DD16A1" w:rsidRPr="000A11F9">
        <w:rPr>
          <w:rStyle w:val="citation"/>
          <w:rFonts w:ascii="Verdana" w:hAnsi="Verdana"/>
          <w:color w:val="auto"/>
        </w:rPr>
        <w:t>[1997] 1 BCLC 48</w:t>
      </w:r>
      <w:r w:rsidR="00FE4D74">
        <w:rPr>
          <w:rStyle w:val="citation"/>
          <w:rFonts w:ascii="Verdana" w:hAnsi="Verdana"/>
          <w:color w:val="auto"/>
        </w:rPr>
        <w:t xml:space="preserve">. Indeed, </w:t>
      </w:r>
      <w:r w:rsidR="00E45E72">
        <w:rPr>
          <w:rStyle w:val="citation"/>
          <w:rFonts w:ascii="Verdana" w:hAnsi="Verdana"/>
          <w:color w:val="auto"/>
        </w:rPr>
        <w:t xml:space="preserve">the application of the </w:t>
      </w:r>
      <w:r w:rsidR="00FE4D74">
        <w:rPr>
          <w:rStyle w:val="citation"/>
          <w:rFonts w:ascii="Verdana" w:hAnsi="Verdana"/>
          <w:color w:val="auto"/>
        </w:rPr>
        <w:t>disqualification</w:t>
      </w:r>
      <w:r w:rsidR="00E45E72">
        <w:rPr>
          <w:rStyle w:val="citation"/>
          <w:rFonts w:ascii="Verdana" w:hAnsi="Verdana"/>
          <w:color w:val="auto"/>
        </w:rPr>
        <w:t xml:space="preserve"> regime </w:t>
      </w:r>
      <w:r w:rsidR="00FE4D74">
        <w:rPr>
          <w:rStyle w:val="citation"/>
          <w:rFonts w:ascii="Verdana" w:hAnsi="Verdana"/>
          <w:color w:val="auto"/>
        </w:rPr>
        <w:t xml:space="preserve">of the CDDA 1986 </w:t>
      </w:r>
      <w:r w:rsidR="00E45E72">
        <w:rPr>
          <w:rStyle w:val="citation"/>
          <w:rFonts w:ascii="Verdana" w:hAnsi="Verdana"/>
          <w:color w:val="auto"/>
        </w:rPr>
        <w:t>to an insolvent partnership</w:t>
      </w:r>
      <w:r w:rsidR="00F22965">
        <w:rPr>
          <w:rStyle w:val="citation"/>
          <w:rFonts w:ascii="Verdana" w:hAnsi="Verdana"/>
          <w:color w:val="auto"/>
        </w:rPr>
        <w:t xml:space="preserve">, albeit by an express </w:t>
      </w:r>
      <w:r w:rsidR="00B27199">
        <w:rPr>
          <w:rStyle w:val="citation"/>
          <w:rFonts w:ascii="Verdana" w:hAnsi="Verdana"/>
          <w:color w:val="auto"/>
        </w:rPr>
        <w:t xml:space="preserve">extension of the regime </w:t>
      </w:r>
      <w:r w:rsidR="003B0BAC">
        <w:rPr>
          <w:rStyle w:val="citation"/>
          <w:rFonts w:ascii="Verdana" w:hAnsi="Verdana"/>
          <w:color w:val="auto"/>
        </w:rPr>
        <w:t>pursuant to delegated legislation (i.e., th</w:t>
      </w:r>
      <w:r w:rsidR="00E45E72">
        <w:rPr>
          <w:rStyle w:val="citation"/>
          <w:rFonts w:ascii="Verdana" w:hAnsi="Verdana"/>
          <w:color w:val="auto"/>
        </w:rPr>
        <w:t>e Insolvent Partnerships Order 1994</w:t>
      </w:r>
      <w:r w:rsidR="003B0BAC">
        <w:rPr>
          <w:rStyle w:val="citation"/>
          <w:rFonts w:ascii="Verdana" w:hAnsi="Verdana"/>
          <w:color w:val="auto"/>
        </w:rPr>
        <w:t>)</w:t>
      </w:r>
      <w:r w:rsidR="008C1A42">
        <w:rPr>
          <w:rStyle w:val="citation"/>
          <w:rFonts w:ascii="Verdana" w:hAnsi="Verdana"/>
          <w:color w:val="auto"/>
        </w:rPr>
        <w:t>,</w:t>
      </w:r>
      <w:r w:rsidR="00E45E72">
        <w:rPr>
          <w:rStyle w:val="citation"/>
          <w:rFonts w:ascii="Verdana" w:hAnsi="Verdana"/>
          <w:color w:val="auto"/>
        </w:rPr>
        <w:t xml:space="preserve"> is evidence of the fact that </w:t>
      </w:r>
      <w:r w:rsidR="00BA61C1">
        <w:rPr>
          <w:rStyle w:val="citation"/>
          <w:rFonts w:ascii="Verdana" w:hAnsi="Verdana"/>
          <w:color w:val="auto"/>
        </w:rPr>
        <w:t>a person may</w:t>
      </w:r>
      <w:r w:rsidR="00472D62">
        <w:rPr>
          <w:rStyle w:val="citation"/>
          <w:rFonts w:ascii="Verdana" w:hAnsi="Verdana"/>
          <w:color w:val="auto"/>
        </w:rPr>
        <w:t xml:space="preserve">, in certain circumstances prescribed by Parliament, </w:t>
      </w:r>
      <w:r w:rsidR="00BA61C1">
        <w:rPr>
          <w:rStyle w:val="citation"/>
          <w:rFonts w:ascii="Verdana" w:hAnsi="Verdana"/>
          <w:color w:val="auto"/>
        </w:rPr>
        <w:t xml:space="preserve">be </w:t>
      </w:r>
      <w:r w:rsidR="003B0BAC">
        <w:rPr>
          <w:rStyle w:val="citation"/>
          <w:rFonts w:ascii="Verdana" w:hAnsi="Verdana"/>
          <w:color w:val="auto"/>
        </w:rPr>
        <w:t>disqualified</w:t>
      </w:r>
      <w:r w:rsidR="00BA61C1">
        <w:rPr>
          <w:rStyle w:val="citation"/>
          <w:rFonts w:ascii="Verdana" w:hAnsi="Verdana"/>
          <w:color w:val="auto"/>
        </w:rPr>
        <w:t xml:space="preserve"> </w:t>
      </w:r>
      <w:r w:rsidR="001F079A">
        <w:rPr>
          <w:rStyle w:val="citation"/>
          <w:rFonts w:ascii="Verdana" w:hAnsi="Verdana"/>
          <w:color w:val="auto"/>
        </w:rPr>
        <w:t xml:space="preserve">for running a company </w:t>
      </w:r>
      <w:r w:rsidR="00472D62">
        <w:rPr>
          <w:rStyle w:val="citation"/>
          <w:rFonts w:ascii="Verdana" w:hAnsi="Verdana"/>
          <w:color w:val="auto"/>
        </w:rPr>
        <w:t xml:space="preserve">on the basis of his conduct in running </w:t>
      </w:r>
      <w:r w:rsidR="00BA61C1">
        <w:rPr>
          <w:rStyle w:val="citation"/>
          <w:rFonts w:ascii="Verdana" w:hAnsi="Verdana"/>
          <w:color w:val="auto"/>
        </w:rPr>
        <w:t xml:space="preserve">an </w:t>
      </w:r>
      <w:r w:rsidR="003B0BAC">
        <w:rPr>
          <w:rStyle w:val="citation"/>
          <w:rFonts w:ascii="Verdana" w:hAnsi="Verdana"/>
          <w:color w:val="auto"/>
        </w:rPr>
        <w:t>unincorporated</w:t>
      </w:r>
      <w:r w:rsidR="00BA61C1">
        <w:rPr>
          <w:rStyle w:val="citation"/>
          <w:rFonts w:ascii="Verdana" w:hAnsi="Verdana"/>
          <w:color w:val="auto"/>
        </w:rPr>
        <w:t xml:space="preserve"> organisation </w:t>
      </w:r>
      <w:r w:rsidR="002A10C9">
        <w:rPr>
          <w:rStyle w:val="citation"/>
          <w:rFonts w:ascii="Verdana" w:hAnsi="Verdana"/>
          <w:color w:val="auto"/>
        </w:rPr>
        <w:t>i</w:t>
      </w:r>
      <w:r w:rsidR="003731F0">
        <w:rPr>
          <w:rStyle w:val="citation"/>
          <w:rFonts w:ascii="Verdana" w:hAnsi="Verdana"/>
          <w:color w:val="auto"/>
        </w:rPr>
        <w:t xml:space="preserve">f it </w:t>
      </w:r>
      <w:r w:rsidR="002408F8">
        <w:rPr>
          <w:rStyle w:val="citation"/>
          <w:rFonts w:ascii="Verdana" w:hAnsi="Verdana"/>
          <w:color w:val="auto"/>
        </w:rPr>
        <w:t>can be demonstrated that that conduct made him unfit to run a company. T</w:t>
      </w:r>
      <w:r w:rsidR="006C7FD8" w:rsidRPr="000A11F9">
        <w:rPr>
          <w:rFonts w:ascii="Verdana" w:hAnsi="Verdana"/>
        </w:rPr>
        <w:t xml:space="preserve">he question also arises whether, in such circumstances, individuals </w:t>
      </w:r>
      <w:r w:rsidR="00B1308D">
        <w:rPr>
          <w:rFonts w:ascii="Verdana" w:hAnsi="Verdana"/>
        </w:rPr>
        <w:t xml:space="preserve">might decide to </w:t>
      </w:r>
      <w:r w:rsidR="006C7FD8" w:rsidRPr="000A11F9">
        <w:rPr>
          <w:rFonts w:ascii="Verdana" w:hAnsi="Verdana"/>
        </w:rPr>
        <w:t xml:space="preserve">set up as charitable companies in order to avoid the full rigour of the insolvency and disqualification regimes. </w:t>
      </w:r>
    </w:p>
    <w:p w14:paraId="696E7C9D" w14:textId="051FEF89" w:rsidR="005E5C90" w:rsidRDefault="00B63E1C" w:rsidP="00860932">
      <w:pPr>
        <w:pStyle w:val="FootnoteText"/>
        <w:rPr>
          <w:rFonts w:ascii="Verdana" w:hAnsi="Verdana"/>
          <w:sz w:val="22"/>
          <w:szCs w:val="22"/>
        </w:rPr>
      </w:pPr>
      <w:r w:rsidRPr="00E21C12">
        <w:rPr>
          <w:rFonts w:ascii="Verdana" w:hAnsi="Verdana"/>
          <w:sz w:val="22"/>
          <w:szCs w:val="22"/>
        </w:rPr>
        <w:t xml:space="preserve">Falk </w:t>
      </w:r>
      <w:r w:rsidR="009A3756" w:rsidRPr="00E21C12">
        <w:rPr>
          <w:rFonts w:ascii="Verdana" w:hAnsi="Verdana"/>
          <w:sz w:val="22"/>
          <w:szCs w:val="22"/>
        </w:rPr>
        <w:t xml:space="preserve">J </w:t>
      </w:r>
      <w:r w:rsidR="00697C29">
        <w:rPr>
          <w:rFonts w:ascii="Verdana" w:hAnsi="Verdana"/>
          <w:sz w:val="22"/>
          <w:szCs w:val="22"/>
        </w:rPr>
        <w:t xml:space="preserve">also </w:t>
      </w:r>
      <w:r w:rsidR="006F699A">
        <w:rPr>
          <w:rFonts w:ascii="Verdana" w:hAnsi="Verdana"/>
          <w:sz w:val="22"/>
          <w:szCs w:val="22"/>
        </w:rPr>
        <w:t>suggested</w:t>
      </w:r>
      <w:r w:rsidRPr="00E21C12">
        <w:rPr>
          <w:rFonts w:ascii="Verdana" w:hAnsi="Verdana"/>
          <w:sz w:val="22"/>
          <w:szCs w:val="22"/>
        </w:rPr>
        <w:t xml:space="preserve">, at </w:t>
      </w:r>
      <w:r w:rsidR="001F110C" w:rsidRPr="00E21C12">
        <w:rPr>
          <w:rFonts w:ascii="Verdana" w:hAnsi="Verdana"/>
          <w:sz w:val="22"/>
          <w:szCs w:val="22"/>
        </w:rPr>
        <w:t xml:space="preserve">[910], that the </w:t>
      </w:r>
      <w:r w:rsidR="006C7FD8" w:rsidRPr="00E21C12">
        <w:rPr>
          <w:rFonts w:ascii="Verdana" w:hAnsi="Verdana"/>
          <w:sz w:val="22"/>
          <w:szCs w:val="22"/>
        </w:rPr>
        <w:t xml:space="preserve">primary means of regulating </w:t>
      </w:r>
      <w:r w:rsidR="001F110C" w:rsidRPr="00E21C12">
        <w:rPr>
          <w:rFonts w:ascii="Verdana" w:hAnsi="Verdana"/>
          <w:sz w:val="22"/>
          <w:szCs w:val="22"/>
        </w:rPr>
        <w:t xml:space="preserve">the behaviour </w:t>
      </w:r>
      <w:r w:rsidR="005C6405" w:rsidRPr="00E21C12">
        <w:rPr>
          <w:rFonts w:ascii="Verdana" w:hAnsi="Verdana"/>
          <w:sz w:val="22"/>
          <w:szCs w:val="22"/>
        </w:rPr>
        <w:t xml:space="preserve">of directors or trustees of incorporated </w:t>
      </w:r>
      <w:r w:rsidR="002504B4" w:rsidRPr="00E21C12">
        <w:rPr>
          <w:rFonts w:ascii="Verdana" w:hAnsi="Verdana"/>
          <w:sz w:val="22"/>
          <w:szCs w:val="22"/>
        </w:rPr>
        <w:t xml:space="preserve">charities should </w:t>
      </w:r>
      <w:r w:rsidR="006C7FD8" w:rsidRPr="00E21C12">
        <w:rPr>
          <w:rFonts w:ascii="Verdana" w:hAnsi="Verdana"/>
          <w:sz w:val="22"/>
          <w:szCs w:val="22"/>
        </w:rPr>
        <w:t>be the Charity Commission</w:t>
      </w:r>
      <w:r w:rsidR="00616CAA" w:rsidRPr="00E21C12">
        <w:rPr>
          <w:rFonts w:ascii="Verdana" w:hAnsi="Verdana"/>
          <w:sz w:val="22"/>
          <w:szCs w:val="22"/>
        </w:rPr>
        <w:t>, ”</w:t>
      </w:r>
      <w:r w:rsidR="00616CAA" w:rsidRPr="00E21C12">
        <w:rPr>
          <w:rFonts w:ascii="Verdana" w:hAnsi="Verdana"/>
          <w:color w:val="333335"/>
          <w:sz w:val="22"/>
          <w:szCs w:val="22"/>
          <w:shd w:val="clear" w:color="auto" w:fill="FFFFFF"/>
        </w:rPr>
        <w:t>being the regulator that has the most appropriate expertise”</w:t>
      </w:r>
      <w:r w:rsidR="00F407FD" w:rsidRPr="00E21C12">
        <w:rPr>
          <w:rFonts w:ascii="Verdana" w:hAnsi="Verdana"/>
          <w:color w:val="333335"/>
          <w:sz w:val="22"/>
          <w:szCs w:val="22"/>
          <w:shd w:val="clear" w:color="auto" w:fill="FFFFFF"/>
        </w:rPr>
        <w:t xml:space="preserve">, stating, at [909], that </w:t>
      </w:r>
      <w:r w:rsidR="00584F29">
        <w:rPr>
          <w:rFonts w:ascii="Verdana" w:hAnsi="Verdana"/>
          <w:color w:val="333335"/>
          <w:sz w:val="22"/>
          <w:szCs w:val="22"/>
          <w:shd w:val="clear" w:color="auto" w:fill="FFFFFF"/>
        </w:rPr>
        <w:t>“</w:t>
      </w:r>
      <w:r w:rsidR="00F407FD" w:rsidRPr="00E21C12">
        <w:rPr>
          <w:rFonts w:ascii="Verdana" w:hAnsi="Verdana"/>
          <w:color w:val="333335"/>
          <w:sz w:val="22"/>
          <w:szCs w:val="22"/>
          <w:shd w:val="clear" w:color="auto" w:fill="FFFFFF"/>
        </w:rPr>
        <w:t xml:space="preserve">she was struck by the lack of experience that the Official Receiver had had in relation to charities, in particular the failure to give full recognition to the fact that it is common for charities to be heavily dependent on donations, and the apparent difficulties that both </w:t>
      </w:r>
      <w:r w:rsidR="00E21C12" w:rsidRPr="00E21C12">
        <w:rPr>
          <w:rFonts w:ascii="Verdana" w:hAnsi="Verdana"/>
          <w:color w:val="333335"/>
          <w:sz w:val="22"/>
          <w:szCs w:val="22"/>
          <w:shd w:val="clear" w:color="auto" w:fill="FFFFFF"/>
        </w:rPr>
        <w:t xml:space="preserve">the Official Receiver and </w:t>
      </w:r>
      <w:r w:rsidR="00E21C12" w:rsidRPr="00E21C12">
        <w:rPr>
          <w:rFonts w:ascii="Verdana" w:hAnsi="Verdana"/>
          <w:color w:val="333335"/>
          <w:sz w:val="22"/>
          <w:szCs w:val="22"/>
          <w:shd w:val="clear" w:color="auto" w:fill="FFFFFF"/>
        </w:rPr>
        <w:lastRenderedPageBreak/>
        <w:t>deputy Official</w:t>
      </w:r>
      <w:r w:rsidR="00584F29">
        <w:rPr>
          <w:rFonts w:ascii="Verdana" w:hAnsi="Verdana"/>
          <w:color w:val="333335"/>
          <w:sz w:val="22"/>
          <w:szCs w:val="22"/>
          <w:shd w:val="clear" w:color="auto" w:fill="FFFFFF"/>
        </w:rPr>
        <w:t xml:space="preserve"> R</w:t>
      </w:r>
      <w:r w:rsidR="00E21C12" w:rsidRPr="00E21C12">
        <w:rPr>
          <w:rFonts w:ascii="Verdana" w:hAnsi="Verdana"/>
          <w:color w:val="333335"/>
          <w:sz w:val="22"/>
          <w:szCs w:val="22"/>
          <w:shd w:val="clear" w:color="auto" w:fill="FFFFFF"/>
        </w:rPr>
        <w:t xml:space="preserve">eceiver] </w:t>
      </w:r>
      <w:r w:rsidR="00F407FD" w:rsidRPr="00E21C12">
        <w:rPr>
          <w:rFonts w:ascii="Verdana" w:hAnsi="Verdana"/>
          <w:color w:val="333335"/>
          <w:sz w:val="22"/>
          <w:szCs w:val="22"/>
          <w:shd w:val="clear" w:color="auto" w:fill="FFFFFF"/>
        </w:rPr>
        <w:t>had with the concept of wholly non-executive boards of directors</w:t>
      </w:r>
      <w:r w:rsidR="00E21C12" w:rsidRPr="00E21C12">
        <w:rPr>
          <w:rFonts w:ascii="Verdana" w:hAnsi="Verdana"/>
          <w:color w:val="333335"/>
          <w:sz w:val="22"/>
          <w:szCs w:val="22"/>
          <w:shd w:val="clear" w:color="auto" w:fill="FFFFFF"/>
        </w:rPr>
        <w:t xml:space="preserve">”. </w:t>
      </w:r>
      <w:r w:rsidR="006C7FD8" w:rsidRPr="00E21C12">
        <w:rPr>
          <w:rFonts w:ascii="Verdana" w:hAnsi="Verdana"/>
          <w:sz w:val="22"/>
          <w:szCs w:val="22"/>
        </w:rPr>
        <w:t xml:space="preserve">The </w:t>
      </w:r>
      <w:r w:rsidR="00AE6CA5">
        <w:rPr>
          <w:rFonts w:ascii="Verdana" w:hAnsi="Verdana"/>
          <w:sz w:val="22"/>
          <w:szCs w:val="22"/>
        </w:rPr>
        <w:t xml:space="preserve">authors </w:t>
      </w:r>
      <w:r w:rsidR="006C7FD8" w:rsidRPr="00E21C12">
        <w:rPr>
          <w:rFonts w:ascii="Verdana" w:hAnsi="Verdana"/>
          <w:sz w:val="22"/>
          <w:szCs w:val="22"/>
        </w:rPr>
        <w:t>disagree with this suggestion for a number of reasons</w:t>
      </w:r>
      <w:r w:rsidR="00F652CB" w:rsidRPr="00E21C12">
        <w:rPr>
          <w:rFonts w:ascii="Verdana" w:hAnsi="Verdana"/>
          <w:sz w:val="22"/>
          <w:szCs w:val="22"/>
        </w:rPr>
        <w:t>. They include the following</w:t>
      </w:r>
      <w:r w:rsidR="006C7FD8" w:rsidRPr="00E21C12">
        <w:rPr>
          <w:rFonts w:ascii="Verdana" w:hAnsi="Verdana"/>
          <w:sz w:val="22"/>
          <w:szCs w:val="22"/>
        </w:rPr>
        <w:t xml:space="preserve">: </w:t>
      </w:r>
    </w:p>
    <w:p w14:paraId="3ED8F20B" w14:textId="77777777" w:rsidR="005E5C90" w:rsidRDefault="005E5C90" w:rsidP="00860932">
      <w:pPr>
        <w:pStyle w:val="FootnoteText"/>
        <w:rPr>
          <w:rFonts w:ascii="Verdana" w:hAnsi="Verdana"/>
          <w:sz w:val="22"/>
          <w:szCs w:val="22"/>
        </w:rPr>
      </w:pPr>
    </w:p>
    <w:p w14:paraId="43FFDFDF" w14:textId="5F20008C" w:rsidR="005E5C90" w:rsidRDefault="00564182" w:rsidP="005E5C90">
      <w:pPr>
        <w:pStyle w:val="FootnoteText"/>
        <w:numPr>
          <w:ilvl w:val="0"/>
          <w:numId w:val="4"/>
        </w:numPr>
        <w:rPr>
          <w:rStyle w:val="Emphasis"/>
          <w:rFonts w:ascii="Verdana" w:hAnsi="Verdana"/>
          <w:i w:val="0"/>
          <w:iCs w:val="0"/>
          <w:sz w:val="22"/>
          <w:szCs w:val="22"/>
          <w:bdr w:val="none" w:sz="0" w:space="0" w:color="auto" w:frame="1"/>
          <w:shd w:val="clear" w:color="auto" w:fill="FFFFFF"/>
        </w:rPr>
      </w:pPr>
      <w:r>
        <w:rPr>
          <w:rFonts w:ascii="Verdana" w:hAnsi="Verdana"/>
          <w:sz w:val="22"/>
          <w:szCs w:val="22"/>
        </w:rPr>
        <w:t>T</w:t>
      </w:r>
      <w:r w:rsidR="006C7FD8" w:rsidRPr="00E21C12">
        <w:rPr>
          <w:rFonts w:ascii="Verdana" w:hAnsi="Verdana"/>
          <w:sz w:val="22"/>
          <w:szCs w:val="22"/>
        </w:rPr>
        <w:t xml:space="preserve">he regulation of incorporated bodies, including an incorporated charity, </w:t>
      </w:r>
      <w:r w:rsidR="009835BF">
        <w:rPr>
          <w:rFonts w:ascii="Verdana" w:hAnsi="Verdana"/>
          <w:sz w:val="22"/>
          <w:szCs w:val="22"/>
        </w:rPr>
        <w:t xml:space="preserve">has </w:t>
      </w:r>
      <w:r w:rsidR="00CD7A2B">
        <w:rPr>
          <w:rFonts w:ascii="Verdana" w:hAnsi="Verdana"/>
          <w:sz w:val="22"/>
          <w:szCs w:val="22"/>
        </w:rPr>
        <w:t xml:space="preserve">expressly been prescribed by Parliament </w:t>
      </w:r>
      <w:r w:rsidR="00F2447A">
        <w:rPr>
          <w:rFonts w:ascii="Verdana" w:hAnsi="Verdana"/>
          <w:sz w:val="22"/>
          <w:szCs w:val="22"/>
        </w:rPr>
        <w:t xml:space="preserve">to be undertaken </w:t>
      </w:r>
      <w:r w:rsidR="006C7FD8" w:rsidRPr="00E21C12">
        <w:rPr>
          <w:rFonts w:ascii="Verdana" w:hAnsi="Verdana"/>
          <w:sz w:val="22"/>
          <w:szCs w:val="22"/>
        </w:rPr>
        <w:t>through the disqualification regime under the CDDA 1986, which, for this purpose, has been described as “regulatory” in nature</w:t>
      </w:r>
      <w:r w:rsidR="00F652CB" w:rsidRPr="00E21C12">
        <w:rPr>
          <w:rFonts w:ascii="Verdana" w:hAnsi="Verdana"/>
          <w:sz w:val="22"/>
          <w:szCs w:val="22"/>
        </w:rPr>
        <w:t xml:space="preserve">: see, for example, </w:t>
      </w:r>
      <w:r w:rsidR="00F652CB" w:rsidRPr="00E21C12">
        <w:rPr>
          <w:rStyle w:val="Emphasis"/>
          <w:rFonts w:ascii="Verdana" w:hAnsi="Verdana"/>
          <w:sz w:val="22"/>
          <w:szCs w:val="22"/>
          <w:bdr w:val="none" w:sz="0" w:space="0" w:color="auto" w:frame="1"/>
          <w:shd w:val="clear" w:color="auto" w:fill="FFFFFF"/>
        </w:rPr>
        <w:t xml:space="preserve">Re Westminster Property Management Ltd (No 1), Official Receiver v Stern </w:t>
      </w:r>
      <w:r w:rsidR="00F652CB" w:rsidRPr="00E21C12">
        <w:rPr>
          <w:rStyle w:val="Emphasis"/>
          <w:rFonts w:ascii="Verdana" w:hAnsi="Verdana"/>
          <w:i w:val="0"/>
          <w:iCs w:val="0"/>
          <w:sz w:val="22"/>
          <w:szCs w:val="22"/>
          <w:bdr w:val="none" w:sz="0" w:space="0" w:color="auto" w:frame="1"/>
          <w:shd w:val="clear" w:color="auto" w:fill="FFFFFF"/>
        </w:rPr>
        <w:t>[2000] 2 BCLC 396</w:t>
      </w:r>
      <w:r w:rsidR="00096E8D">
        <w:rPr>
          <w:rStyle w:val="Emphasis"/>
          <w:rFonts w:ascii="Verdana" w:hAnsi="Verdana"/>
          <w:i w:val="0"/>
          <w:iCs w:val="0"/>
          <w:sz w:val="22"/>
          <w:szCs w:val="22"/>
          <w:bdr w:val="none" w:sz="0" w:space="0" w:color="auto" w:frame="1"/>
          <w:shd w:val="clear" w:color="auto" w:fill="FFFFFF"/>
        </w:rPr>
        <w:t>, CA</w:t>
      </w:r>
      <w:r w:rsidR="00CD7A2B">
        <w:rPr>
          <w:rStyle w:val="Emphasis"/>
          <w:rFonts w:ascii="Verdana" w:hAnsi="Verdana"/>
          <w:i w:val="0"/>
          <w:iCs w:val="0"/>
          <w:sz w:val="22"/>
          <w:szCs w:val="22"/>
          <w:bdr w:val="none" w:sz="0" w:space="0" w:color="auto" w:frame="1"/>
          <w:shd w:val="clear" w:color="auto" w:fill="FFFFFF"/>
        </w:rPr>
        <w:t xml:space="preserve">. </w:t>
      </w:r>
      <w:r w:rsidR="00F652CB" w:rsidRPr="00E21C12">
        <w:rPr>
          <w:rStyle w:val="Emphasis"/>
          <w:rFonts w:ascii="Verdana" w:hAnsi="Verdana"/>
          <w:i w:val="0"/>
          <w:iCs w:val="0"/>
          <w:sz w:val="22"/>
          <w:szCs w:val="22"/>
          <w:bdr w:val="none" w:sz="0" w:space="0" w:color="auto" w:frame="1"/>
          <w:shd w:val="clear" w:color="auto" w:fill="FFFFFF"/>
        </w:rPr>
        <w:t xml:space="preserve"> </w:t>
      </w:r>
    </w:p>
    <w:p w14:paraId="6090914F" w14:textId="77777777" w:rsidR="005E5C90" w:rsidRDefault="005E5C90" w:rsidP="005E5C90">
      <w:pPr>
        <w:pStyle w:val="FootnoteText"/>
        <w:ind w:left="1080"/>
        <w:rPr>
          <w:rStyle w:val="Emphasis"/>
          <w:rFonts w:ascii="Verdana" w:hAnsi="Verdana"/>
          <w:i w:val="0"/>
          <w:iCs w:val="0"/>
          <w:sz w:val="22"/>
          <w:szCs w:val="22"/>
          <w:bdr w:val="none" w:sz="0" w:space="0" w:color="auto" w:frame="1"/>
          <w:shd w:val="clear" w:color="auto" w:fill="FFFFFF"/>
        </w:rPr>
      </w:pPr>
    </w:p>
    <w:p w14:paraId="2EFF2808" w14:textId="69C1D1EC" w:rsidR="00564182" w:rsidRDefault="00564182" w:rsidP="005E5C90">
      <w:pPr>
        <w:pStyle w:val="FootnoteText"/>
        <w:numPr>
          <w:ilvl w:val="0"/>
          <w:numId w:val="4"/>
        </w:numPr>
        <w:rPr>
          <w:rFonts w:ascii="Verdana" w:hAnsi="Verdana"/>
          <w:sz w:val="22"/>
          <w:szCs w:val="22"/>
        </w:rPr>
      </w:pPr>
      <w:r>
        <w:rPr>
          <w:rFonts w:ascii="Verdana" w:hAnsi="Verdana"/>
          <w:sz w:val="22"/>
          <w:szCs w:val="22"/>
        </w:rPr>
        <w:t>T</w:t>
      </w:r>
      <w:r w:rsidR="006C7FD8" w:rsidRPr="00E21C12">
        <w:rPr>
          <w:rFonts w:ascii="Verdana" w:hAnsi="Verdana"/>
          <w:sz w:val="22"/>
          <w:szCs w:val="22"/>
        </w:rPr>
        <w:t xml:space="preserve">he effect of a disqualification order or disqualification undertaking is “economy wide” so that if the conduct of the directors </w:t>
      </w:r>
      <w:r w:rsidR="006D5415">
        <w:rPr>
          <w:rFonts w:ascii="Verdana" w:hAnsi="Verdana"/>
          <w:sz w:val="22"/>
          <w:szCs w:val="22"/>
        </w:rPr>
        <w:t xml:space="preserve">of a charitable company </w:t>
      </w:r>
      <w:r w:rsidR="006C7FD8" w:rsidRPr="00E21C12">
        <w:rPr>
          <w:rFonts w:ascii="Verdana" w:hAnsi="Verdana"/>
          <w:sz w:val="22"/>
          <w:szCs w:val="22"/>
        </w:rPr>
        <w:t>warrants the imposition of disqualification, they will be prohibited from running any company (</w:t>
      </w:r>
      <w:r w:rsidR="00C31098">
        <w:rPr>
          <w:rFonts w:ascii="Verdana" w:hAnsi="Verdana"/>
          <w:sz w:val="22"/>
          <w:szCs w:val="22"/>
        </w:rPr>
        <w:t xml:space="preserve">whether </w:t>
      </w:r>
      <w:r w:rsidR="006C7FD8" w:rsidRPr="00E21C12">
        <w:rPr>
          <w:rFonts w:ascii="Verdana" w:hAnsi="Verdana"/>
          <w:sz w:val="22"/>
          <w:szCs w:val="22"/>
        </w:rPr>
        <w:t>charitable or not) for the period of the disqualification and (by way of the extension of the prohibitions which apply to disqualified persons) also barred from being charity trustee</w:t>
      </w:r>
      <w:r w:rsidR="002959FA">
        <w:rPr>
          <w:rFonts w:ascii="Verdana" w:hAnsi="Verdana"/>
          <w:sz w:val="22"/>
          <w:szCs w:val="22"/>
        </w:rPr>
        <w:t>s</w:t>
      </w:r>
      <w:r w:rsidR="00932284" w:rsidRPr="00E21C12">
        <w:rPr>
          <w:rFonts w:ascii="Verdana" w:hAnsi="Verdana"/>
          <w:sz w:val="22"/>
          <w:szCs w:val="22"/>
        </w:rPr>
        <w:t xml:space="preserve"> under s</w:t>
      </w:r>
      <w:r w:rsidR="00855B69">
        <w:rPr>
          <w:rFonts w:ascii="Verdana" w:hAnsi="Verdana"/>
          <w:sz w:val="22"/>
          <w:szCs w:val="22"/>
        </w:rPr>
        <w:t>ection</w:t>
      </w:r>
      <w:r w:rsidR="00932284" w:rsidRPr="00E21C12">
        <w:rPr>
          <w:rFonts w:ascii="Verdana" w:hAnsi="Verdana"/>
          <w:sz w:val="22"/>
          <w:szCs w:val="22"/>
        </w:rPr>
        <w:t xml:space="preserve"> 178 of the Charities Act </w:t>
      </w:r>
      <w:r w:rsidR="00DD184B" w:rsidRPr="00E21C12">
        <w:rPr>
          <w:rFonts w:ascii="Verdana" w:hAnsi="Verdana"/>
          <w:sz w:val="22"/>
          <w:szCs w:val="22"/>
        </w:rPr>
        <w:t>2011</w:t>
      </w:r>
      <w:r w:rsidR="006C7FD8" w:rsidRPr="00E21C12">
        <w:rPr>
          <w:rFonts w:ascii="Verdana" w:hAnsi="Verdana"/>
          <w:sz w:val="22"/>
          <w:szCs w:val="22"/>
        </w:rPr>
        <w:t xml:space="preserve">. In contrast, disqualification as a charity trustee is limited to involvement in the charity sector, so if a person is disqualified as a charity trustee by the Charity Commission, he or she can run or continue to run an incorporated body which is not a charity with impunity; </w:t>
      </w:r>
    </w:p>
    <w:p w14:paraId="0DAF9619" w14:textId="77777777" w:rsidR="00564182" w:rsidRDefault="00564182" w:rsidP="00564182">
      <w:pPr>
        <w:pStyle w:val="ListParagraph"/>
        <w:rPr>
          <w:rFonts w:ascii="Verdana" w:hAnsi="Verdana"/>
        </w:rPr>
      </w:pPr>
    </w:p>
    <w:p w14:paraId="344BD0E9" w14:textId="0EA3A399" w:rsidR="00720C0A" w:rsidRDefault="00564182" w:rsidP="00C062FE">
      <w:pPr>
        <w:pStyle w:val="FootnoteText"/>
        <w:numPr>
          <w:ilvl w:val="0"/>
          <w:numId w:val="4"/>
        </w:numPr>
        <w:rPr>
          <w:rFonts w:ascii="Verdana" w:hAnsi="Verdana"/>
          <w:sz w:val="22"/>
          <w:szCs w:val="22"/>
        </w:rPr>
      </w:pPr>
      <w:r w:rsidRPr="00AE7D7C">
        <w:rPr>
          <w:rFonts w:ascii="Verdana" w:hAnsi="Verdana"/>
          <w:sz w:val="22"/>
          <w:szCs w:val="22"/>
        </w:rPr>
        <w:t>T</w:t>
      </w:r>
      <w:r w:rsidR="006C7FD8" w:rsidRPr="00AE7D7C">
        <w:rPr>
          <w:rFonts w:ascii="Verdana" w:hAnsi="Verdana"/>
          <w:sz w:val="22"/>
          <w:szCs w:val="22"/>
        </w:rPr>
        <w:t xml:space="preserve">he </w:t>
      </w:r>
      <w:r w:rsidR="007F1204">
        <w:rPr>
          <w:rFonts w:ascii="Verdana" w:hAnsi="Verdana"/>
          <w:sz w:val="22"/>
          <w:szCs w:val="22"/>
        </w:rPr>
        <w:t xml:space="preserve">clear </w:t>
      </w:r>
      <w:r w:rsidR="006C7FD8" w:rsidRPr="00AE7D7C">
        <w:rPr>
          <w:rFonts w:ascii="Verdana" w:hAnsi="Verdana"/>
          <w:sz w:val="22"/>
          <w:szCs w:val="22"/>
        </w:rPr>
        <w:t xml:space="preserve">intention of Parliament was that the disqualification regime should regulate standards of corporate behaviour, regardless of the type of business </w:t>
      </w:r>
      <w:r w:rsidR="008F4A61" w:rsidRPr="00AE7D7C">
        <w:rPr>
          <w:rFonts w:ascii="Verdana" w:hAnsi="Verdana"/>
          <w:sz w:val="22"/>
          <w:szCs w:val="22"/>
        </w:rPr>
        <w:t xml:space="preserve">which </w:t>
      </w:r>
      <w:r w:rsidR="006C7FD8" w:rsidRPr="00AE7D7C">
        <w:rPr>
          <w:rFonts w:ascii="Verdana" w:hAnsi="Verdana"/>
          <w:sz w:val="22"/>
          <w:szCs w:val="22"/>
        </w:rPr>
        <w:t>the corporate vehicle deployed for this purpose undert</w:t>
      </w:r>
      <w:r w:rsidR="0003383A">
        <w:rPr>
          <w:rFonts w:ascii="Verdana" w:hAnsi="Verdana"/>
          <w:sz w:val="22"/>
          <w:szCs w:val="22"/>
        </w:rPr>
        <w:t xml:space="preserve">akes. </w:t>
      </w:r>
      <w:r w:rsidR="006C7FD8" w:rsidRPr="00AE7D7C">
        <w:rPr>
          <w:rFonts w:ascii="Verdana" w:hAnsi="Verdana"/>
          <w:sz w:val="22"/>
          <w:szCs w:val="22"/>
        </w:rPr>
        <w:t xml:space="preserve">The charity sector is no exception to this – a fact </w:t>
      </w:r>
      <w:r w:rsidR="0003383A">
        <w:rPr>
          <w:rFonts w:ascii="Verdana" w:hAnsi="Verdana"/>
          <w:sz w:val="22"/>
          <w:szCs w:val="22"/>
        </w:rPr>
        <w:t xml:space="preserve">made </w:t>
      </w:r>
      <w:r w:rsidR="006C7FD8" w:rsidRPr="00AE7D7C">
        <w:rPr>
          <w:rFonts w:ascii="Verdana" w:hAnsi="Verdana"/>
          <w:sz w:val="22"/>
          <w:szCs w:val="22"/>
        </w:rPr>
        <w:t xml:space="preserve">clear from section 22(2) of the CDDA 1986, which defines the expression “company” in the widest possible terms, </w:t>
      </w:r>
      <w:r w:rsidR="00A60DB9" w:rsidRPr="00AE7D7C">
        <w:rPr>
          <w:rFonts w:ascii="Verdana" w:hAnsi="Verdana"/>
          <w:sz w:val="22"/>
          <w:szCs w:val="22"/>
        </w:rPr>
        <w:t>to include virtually every type of company</w:t>
      </w:r>
      <w:r w:rsidR="00CD3B16" w:rsidRPr="00AE7D7C">
        <w:rPr>
          <w:rFonts w:ascii="Verdana" w:hAnsi="Verdana"/>
          <w:sz w:val="22"/>
          <w:szCs w:val="22"/>
        </w:rPr>
        <w:t xml:space="preserve">. </w:t>
      </w:r>
      <w:r w:rsidR="000D4CBC" w:rsidRPr="00AE7D7C">
        <w:rPr>
          <w:rFonts w:ascii="Verdana" w:hAnsi="Verdana"/>
          <w:sz w:val="22"/>
          <w:szCs w:val="22"/>
        </w:rPr>
        <w:t>There is no suggestion in the CDDA 1986</w:t>
      </w:r>
      <w:r w:rsidR="00561ABC" w:rsidRPr="00AE7D7C">
        <w:rPr>
          <w:rFonts w:ascii="Verdana" w:hAnsi="Verdana"/>
          <w:sz w:val="22"/>
          <w:szCs w:val="22"/>
        </w:rPr>
        <w:t xml:space="preserve">, Charities Act 2011, </w:t>
      </w:r>
      <w:r w:rsidR="000D4CBC" w:rsidRPr="00AE7D7C">
        <w:rPr>
          <w:rFonts w:ascii="Verdana" w:hAnsi="Verdana"/>
          <w:sz w:val="22"/>
          <w:szCs w:val="22"/>
        </w:rPr>
        <w:t xml:space="preserve">or any other </w:t>
      </w:r>
      <w:r w:rsidR="00561ABC" w:rsidRPr="00AE7D7C">
        <w:rPr>
          <w:rFonts w:ascii="Verdana" w:hAnsi="Verdana"/>
          <w:sz w:val="22"/>
          <w:szCs w:val="22"/>
        </w:rPr>
        <w:t xml:space="preserve">legislation </w:t>
      </w:r>
      <w:r w:rsidR="00C93F90" w:rsidRPr="00AE7D7C">
        <w:rPr>
          <w:rFonts w:ascii="Verdana" w:hAnsi="Verdana"/>
          <w:sz w:val="22"/>
          <w:szCs w:val="22"/>
        </w:rPr>
        <w:t xml:space="preserve">that </w:t>
      </w:r>
      <w:r w:rsidR="00135443" w:rsidRPr="00AE7D7C">
        <w:rPr>
          <w:rFonts w:ascii="Verdana" w:hAnsi="Verdana"/>
          <w:sz w:val="22"/>
          <w:szCs w:val="22"/>
        </w:rPr>
        <w:t xml:space="preserve">alternative </w:t>
      </w:r>
      <w:r w:rsidR="00C93F90" w:rsidRPr="00AE7D7C">
        <w:rPr>
          <w:rFonts w:ascii="Verdana" w:hAnsi="Verdana"/>
          <w:sz w:val="22"/>
          <w:szCs w:val="22"/>
        </w:rPr>
        <w:t xml:space="preserve">regulatory regimes would be </w:t>
      </w:r>
      <w:r w:rsidR="00583A7A" w:rsidRPr="00AE7D7C">
        <w:rPr>
          <w:rFonts w:ascii="Verdana" w:hAnsi="Verdana"/>
          <w:sz w:val="22"/>
          <w:szCs w:val="22"/>
        </w:rPr>
        <w:t xml:space="preserve">more </w:t>
      </w:r>
      <w:r w:rsidR="00C93F90" w:rsidRPr="00AE7D7C">
        <w:rPr>
          <w:rFonts w:ascii="Verdana" w:hAnsi="Verdana"/>
          <w:sz w:val="22"/>
          <w:szCs w:val="22"/>
        </w:rPr>
        <w:t xml:space="preserve">appropriate to bring those who run </w:t>
      </w:r>
      <w:r w:rsidR="001A0EF5" w:rsidRPr="00AE7D7C">
        <w:rPr>
          <w:rFonts w:ascii="Verdana" w:hAnsi="Verdana"/>
          <w:sz w:val="22"/>
          <w:szCs w:val="22"/>
        </w:rPr>
        <w:t>incorporated entit</w:t>
      </w:r>
      <w:r w:rsidR="00135443" w:rsidRPr="00AE7D7C">
        <w:rPr>
          <w:rFonts w:ascii="Verdana" w:hAnsi="Verdana"/>
          <w:sz w:val="22"/>
          <w:szCs w:val="22"/>
        </w:rPr>
        <w:t>i</w:t>
      </w:r>
      <w:r w:rsidR="001A0EF5" w:rsidRPr="00AE7D7C">
        <w:rPr>
          <w:rFonts w:ascii="Verdana" w:hAnsi="Verdana"/>
          <w:sz w:val="22"/>
          <w:szCs w:val="22"/>
        </w:rPr>
        <w:t xml:space="preserve">es </w:t>
      </w:r>
      <w:r w:rsidR="00C93F90" w:rsidRPr="00AE7D7C">
        <w:rPr>
          <w:rFonts w:ascii="Verdana" w:hAnsi="Verdana"/>
          <w:sz w:val="22"/>
          <w:szCs w:val="22"/>
        </w:rPr>
        <w:t xml:space="preserve">to </w:t>
      </w:r>
      <w:r w:rsidR="00EA295F">
        <w:rPr>
          <w:rFonts w:ascii="Verdana" w:hAnsi="Verdana"/>
          <w:sz w:val="22"/>
          <w:szCs w:val="22"/>
        </w:rPr>
        <w:t xml:space="preserve">account </w:t>
      </w:r>
      <w:r w:rsidR="00C93F90" w:rsidRPr="00AE7D7C">
        <w:rPr>
          <w:rFonts w:ascii="Verdana" w:hAnsi="Verdana"/>
          <w:sz w:val="22"/>
          <w:szCs w:val="22"/>
        </w:rPr>
        <w:t xml:space="preserve">for their behaviour. </w:t>
      </w:r>
      <w:r w:rsidR="00583A7A" w:rsidRPr="00AE7D7C">
        <w:rPr>
          <w:rFonts w:ascii="Verdana" w:hAnsi="Verdana"/>
          <w:sz w:val="22"/>
          <w:szCs w:val="22"/>
        </w:rPr>
        <w:t>Indeed,</w:t>
      </w:r>
      <w:r w:rsidR="00B830B4" w:rsidRPr="00AE7D7C">
        <w:rPr>
          <w:rFonts w:ascii="Verdana" w:hAnsi="Verdana"/>
          <w:sz w:val="22"/>
          <w:szCs w:val="22"/>
        </w:rPr>
        <w:t xml:space="preserve"> </w:t>
      </w:r>
      <w:r w:rsidR="00583A7A" w:rsidRPr="00AE7D7C">
        <w:rPr>
          <w:rFonts w:ascii="Verdana" w:hAnsi="Verdana"/>
          <w:sz w:val="22"/>
          <w:szCs w:val="22"/>
        </w:rPr>
        <w:t xml:space="preserve">every indication is that the regime for disqualifying directors is the most appropriate regime to </w:t>
      </w:r>
      <w:r w:rsidR="00B830B4" w:rsidRPr="00AE7D7C">
        <w:rPr>
          <w:rFonts w:ascii="Verdana" w:hAnsi="Verdana"/>
          <w:sz w:val="22"/>
          <w:szCs w:val="22"/>
        </w:rPr>
        <w:t>regulate the standards of corporate behaviou</w:t>
      </w:r>
      <w:r w:rsidR="000230BC" w:rsidRPr="00AE7D7C">
        <w:rPr>
          <w:rFonts w:ascii="Verdana" w:hAnsi="Verdana"/>
          <w:sz w:val="22"/>
          <w:szCs w:val="22"/>
        </w:rPr>
        <w:t xml:space="preserve">r </w:t>
      </w:r>
      <w:r w:rsidR="00B830B4" w:rsidRPr="00AE7D7C">
        <w:rPr>
          <w:rFonts w:ascii="Verdana" w:hAnsi="Verdana"/>
          <w:sz w:val="22"/>
          <w:szCs w:val="22"/>
        </w:rPr>
        <w:t xml:space="preserve">across all sectors, </w:t>
      </w:r>
      <w:r w:rsidR="003F5E7A">
        <w:rPr>
          <w:rFonts w:ascii="Verdana" w:hAnsi="Verdana"/>
          <w:sz w:val="22"/>
          <w:szCs w:val="22"/>
        </w:rPr>
        <w:t xml:space="preserve">including the charity sector, </w:t>
      </w:r>
      <w:r w:rsidR="000230BC" w:rsidRPr="00AE7D7C">
        <w:rPr>
          <w:rFonts w:ascii="Verdana" w:hAnsi="Verdana"/>
          <w:sz w:val="22"/>
          <w:szCs w:val="22"/>
        </w:rPr>
        <w:t xml:space="preserve">a fact made clear by section 22F of the CDDA 1986 </w:t>
      </w:r>
      <w:r w:rsidR="004B416E" w:rsidRPr="00AE7D7C">
        <w:rPr>
          <w:rFonts w:ascii="Verdana" w:hAnsi="Verdana"/>
          <w:sz w:val="22"/>
          <w:szCs w:val="22"/>
        </w:rPr>
        <w:t xml:space="preserve">which applies the disqualification regime under the CDDA 1986 </w:t>
      </w:r>
      <w:r w:rsidR="00376D4E" w:rsidRPr="00AE7D7C">
        <w:rPr>
          <w:rFonts w:ascii="Verdana" w:hAnsi="Verdana"/>
          <w:sz w:val="22"/>
          <w:szCs w:val="22"/>
        </w:rPr>
        <w:t xml:space="preserve">to a charitable </w:t>
      </w:r>
      <w:r w:rsidR="00534A67" w:rsidRPr="00AE7D7C">
        <w:rPr>
          <w:rFonts w:ascii="Verdana" w:hAnsi="Verdana"/>
          <w:sz w:val="22"/>
          <w:szCs w:val="22"/>
        </w:rPr>
        <w:t xml:space="preserve">incorporated organisation (“CIO”) even though a CIO does not fall within the meaning of the expression “company” in s 22(2). </w:t>
      </w:r>
      <w:r w:rsidR="00AE7D7C" w:rsidRPr="00AE7D7C">
        <w:rPr>
          <w:rFonts w:ascii="Verdana" w:hAnsi="Verdana"/>
          <w:sz w:val="22"/>
          <w:szCs w:val="22"/>
        </w:rPr>
        <w:t xml:space="preserve">Even </w:t>
      </w:r>
      <w:r w:rsidR="00FC2CAE" w:rsidRPr="00AE7D7C">
        <w:rPr>
          <w:rFonts w:ascii="Verdana" w:hAnsi="Verdana"/>
          <w:sz w:val="22"/>
          <w:szCs w:val="22"/>
        </w:rPr>
        <w:t>banks and (by virtue of section 22A of the CDDA 1986) building societies are susceptible to the disqualification regime</w:t>
      </w:r>
      <w:r w:rsidR="00720C0A">
        <w:rPr>
          <w:rFonts w:ascii="Verdana" w:hAnsi="Verdana"/>
          <w:sz w:val="22"/>
          <w:szCs w:val="22"/>
        </w:rPr>
        <w:t xml:space="preserve"> under the CDDA 1986</w:t>
      </w:r>
      <w:r w:rsidR="00FC2CAE" w:rsidRPr="00AE7D7C">
        <w:rPr>
          <w:rFonts w:ascii="Verdana" w:hAnsi="Verdana"/>
          <w:sz w:val="22"/>
          <w:szCs w:val="22"/>
        </w:rPr>
        <w:t xml:space="preserve">, </w:t>
      </w:r>
      <w:r w:rsidR="00CB6C73">
        <w:rPr>
          <w:rFonts w:ascii="Verdana" w:hAnsi="Verdana"/>
          <w:sz w:val="22"/>
          <w:szCs w:val="22"/>
        </w:rPr>
        <w:t xml:space="preserve">despite the fact that </w:t>
      </w:r>
      <w:r w:rsidR="00FC2CAE" w:rsidRPr="00AE7D7C">
        <w:rPr>
          <w:rFonts w:ascii="Verdana" w:hAnsi="Verdana"/>
          <w:sz w:val="22"/>
          <w:szCs w:val="22"/>
        </w:rPr>
        <w:t xml:space="preserve">the regulation of those institutions is </w:t>
      </w:r>
      <w:r w:rsidR="00EA3422">
        <w:rPr>
          <w:rFonts w:ascii="Verdana" w:hAnsi="Verdana"/>
          <w:sz w:val="22"/>
          <w:szCs w:val="22"/>
        </w:rPr>
        <w:t xml:space="preserve">primarily </w:t>
      </w:r>
      <w:r w:rsidR="00FC2CAE" w:rsidRPr="00AE7D7C">
        <w:rPr>
          <w:rFonts w:ascii="Verdana" w:hAnsi="Verdana"/>
          <w:sz w:val="22"/>
          <w:szCs w:val="22"/>
        </w:rPr>
        <w:t xml:space="preserve">in the hands of the Financial Conduct Authority (“FCA”) and/or the Prudential Regulation Authority, neither of which bodies are given standing to bring disqualification </w:t>
      </w:r>
      <w:r w:rsidR="001611F5">
        <w:rPr>
          <w:rFonts w:ascii="Verdana" w:hAnsi="Verdana"/>
          <w:sz w:val="22"/>
          <w:szCs w:val="22"/>
        </w:rPr>
        <w:t xml:space="preserve">claims </w:t>
      </w:r>
      <w:r w:rsidR="00FC2CAE" w:rsidRPr="00AE7D7C">
        <w:rPr>
          <w:rFonts w:ascii="Verdana" w:hAnsi="Verdana"/>
          <w:sz w:val="22"/>
          <w:szCs w:val="22"/>
        </w:rPr>
        <w:t>(other than the FCA under section 9A for competition breaches</w:t>
      </w:r>
      <w:r w:rsidR="006E1478">
        <w:rPr>
          <w:rFonts w:ascii="Verdana" w:hAnsi="Verdana"/>
          <w:sz w:val="22"/>
          <w:szCs w:val="22"/>
        </w:rPr>
        <w:t>)</w:t>
      </w:r>
      <w:r w:rsidR="00720C0A">
        <w:rPr>
          <w:rFonts w:ascii="Verdana" w:hAnsi="Verdana"/>
          <w:sz w:val="22"/>
          <w:szCs w:val="22"/>
        </w:rPr>
        <w:t xml:space="preserve">. </w:t>
      </w:r>
    </w:p>
    <w:p w14:paraId="472FB2AE" w14:textId="77777777" w:rsidR="00720C0A" w:rsidRDefault="00720C0A" w:rsidP="00720C0A">
      <w:pPr>
        <w:pStyle w:val="FootnoteText"/>
        <w:ind w:left="1080"/>
        <w:rPr>
          <w:rFonts w:ascii="Verdana" w:hAnsi="Verdana"/>
          <w:sz w:val="22"/>
          <w:szCs w:val="22"/>
        </w:rPr>
      </w:pPr>
    </w:p>
    <w:p w14:paraId="4A95E8A1" w14:textId="36C7D92F" w:rsidR="00F2431D" w:rsidRPr="006F774C" w:rsidRDefault="00720C0A" w:rsidP="00C062FE">
      <w:pPr>
        <w:pStyle w:val="FootnoteText"/>
        <w:numPr>
          <w:ilvl w:val="0"/>
          <w:numId w:val="4"/>
        </w:numPr>
        <w:rPr>
          <w:rFonts w:ascii="Verdana" w:hAnsi="Verdana"/>
          <w:sz w:val="22"/>
          <w:szCs w:val="22"/>
        </w:rPr>
      </w:pPr>
      <w:r w:rsidRPr="006F774C">
        <w:rPr>
          <w:rFonts w:ascii="Verdana" w:hAnsi="Verdana"/>
          <w:sz w:val="22"/>
          <w:szCs w:val="22"/>
        </w:rPr>
        <w:t>T</w:t>
      </w:r>
      <w:r w:rsidR="006C7FD8" w:rsidRPr="006F774C">
        <w:rPr>
          <w:rFonts w:ascii="Verdana" w:hAnsi="Verdana"/>
          <w:sz w:val="22"/>
          <w:szCs w:val="22"/>
        </w:rPr>
        <w:t xml:space="preserve">he Charity Commission (and many other sectoral regulators) are, it is respectfully suggested, ill-equipped to conduct the type of detailed investigation which the Insolvency Service </w:t>
      </w:r>
      <w:r w:rsidR="006815C7" w:rsidRPr="006F774C">
        <w:rPr>
          <w:rFonts w:ascii="Verdana" w:hAnsi="Verdana"/>
          <w:sz w:val="22"/>
          <w:szCs w:val="22"/>
        </w:rPr>
        <w:t>(on behalf of the Secretary of State or Official Receiver</w:t>
      </w:r>
      <w:r w:rsidR="006F774C" w:rsidRPr="006F774C">
        <w:rPr>
          <w:rFonts w:ascii="Verdana" w:hAnsi="Verdana"/>
          <w:sz w:val="22"/>
          <w:szCs w:val="22"/>
        </w:rPr>
        <w:t xml:space="preserve">) </w:t>
      </w:r>
      <w:r w:rsidR="006C7FD8" w:rsidRPr="006F774C">
        <w:rPr>
          <w:rFonts w:ascii="Verdana" w:hAnsi="Verdana"/>
          <w:sz w:val="22"/>
          <w:szCs w:val="22"/>
        </w:rPr>
        <w:t xml:space="preserve">is able to do. That is why (other than for </w:t>
      </w:r>
      <w:r w:rsidR="006C7FD8" w:rsidRPr="006F774C">
        <w:rPr>
          <w:rFonts w:ascii="Verdana" w:hAnsi="Verdana"/>
          <w:sz w:val="22"/>
          <w:szCs w:val="22"/>
        </w:rPr>
        <w:lastRenderedPageBreak/>
        <w:t xml:space="preserve">competition breaches under section 9A of the CDDA 1986) none of them is given power to bring disqualification </w:t>
      </w:r>
      <w:r w:rsidR="001611F5">
        <w:rPr>
          <w:rFonts w:ascii="Verdana" w:hAnsi="Verdana"/>
          <w:sz w:val="22"/>
          <w:szCs w:val="22"/>
        </w:rPr>
        <w:t>claims</w:t>
      </w:r>
      <w:r w:rsidR="00F2431D" w:rsidRPr="006F774C">
        <w:rPr>
          <w:rFonts w:ascii="Verdana" w:hAnsi="Verdana"/>
          <w:sz w:val="22"/>
          <w:szCs w:val="22"/>
        </w:rPr>
        <w:t xml:space="preserve">. </w:t>
      </w:r>
    </w:p>
    <w:p w14:paraId="740A446C" w14:textId="77777777" w:rsidR="00F2431D" w:rsidRDefault="00F2431D" w:rsidP="00F2431D">
      <w:pPr>
        <w:pStyle w:val="ListParagraph"/>
        <w:rPr>
          <w:rFonts w:ascii="Verdana" w:hAnsi="Verdana"/>
        </w:rPr>
      </w:pPr>
    </w:p>
    <w:p w14:paraId="51CF1DF9" w14:textId="74BB8272" w:rsidR="002D1E1E" w:rsidRDefault="00F2431D" w:rsidP="00C062FE">
      <w:pPr>
        <w:pStyle w:val="FootnoteText"/>
        <w:numPr>
          <w:ilvl w:val="0"/>
          <w:numId w:val="4"/>
        </w:numPr>
        <w:rPr>
          <w:rFonts w:ascii="Verdana" w:hAnsi="Verdana"/>
          <w:sz w:val="22"/>
          <w:szCs w:val="22"/>
        </w:rPr>
      </w:pPr>
      <w:r>
        <w:rPr>
          <w:rFonts w:ascii="Verdana" w:hAnsi="Verdana"/>
          <w:sz w:val="22"/>
          <w:szCs w:val="22"/>
        </w:rPr>
        <w:t>I</w:t>
      </w:r>
      <w:r w:rsidR="006C7FD8" w:rsidRPr="00AE7D7C">
        <w:rPr>
          <w:rFonts w:ascii="Verdana" w:hAnsi="Verdana"/>
          <w:sz w:val="22"/>
          <w:szCs w:val="22"/>
        </w:rPr>
        <w:t xml:space="preserve">t is important also not to place too much emphasis on the </w:t>
      </w:r>
      <w:r w:rsidR="00833367">
        <w:rPr>
          <w:rFonts w:ascii="Verdana" w:hAnsi="Verdana"/>
          <w:sz w:val="22"/>
          <w:szCs w:val="22"/>
        </w:rPr>
        <w:t xml:space="preserve">apparent </w:t>
      </w:r>
      <w:r w:rsidR="001D0FD1">
        <w:rPr>
          <w:rFonts w:ascii="Verdana" w:hAnsi="Verdana"/>
          <w:sz w:val="22"/>
          <w:szCs w:val="22"/>
        </w:rPr>
        <w:t xml:space="preserve">lack </w:t>
      </w:r>
      <w:r w:rsidR="006C7FD8" w:rsidRPr="00AE7D7C">
        <w:rPr>
          <w:rFonts w:ascii="Verdana" w:hAnsi="Verdana"/>
          <w:sz w:val="22"/>
          <w:szCs w:val="22"/>
        </w:rPr>
        <w:t xml:space="preserve">experience </w:t>
      </w:r>
      <w:r w:rsidR="001D0FD1">
        <w:rPr>
          <w:rFonts w:ascii="Verdana" w:hAnsi="Verdana"/>
          <w:sz w:val="22"/>
          <w:szCs w:val="22"/>
        </w:rPr>
        <w:t xml:space="preserve">and </w:t>
      </w:r>
      <w:r w:rsidR="006C7FD8" w:rsidRPr="00AE7D7C">
        <w:rPr>
          <w:rFonts w:ascii="Verdana" w:hAnsi="Verdana"/>
          <w:sz w:val="22"/>
          <w:szCs w:val="22"/>
        </w:rPr>
        <w:t xml:space="preserve">expertise </w:t>
      </w:r>
      <w:r w:rsidR="001D0FD1">
        <w:rPr>
          <w:rFonts w:ascii="Verdana" w:hAnsi="Verdana"/>
          <w:sz w:val="22"/>
          <w:szCs w:val="22"/>
        </w:rPr>
        <w:t xml:space="preserve">on the part of the Insolvency Service </w:t>
      </w:r>
      <w:r w:rsidR="006C7FD8" w:rsidRPr="00AE7D7C">
        <w:rPr>
          <w:rFonts w:ascii="Verdana" w:hAnsi="Verdana"/>
          <w:sz w:val="22"/>
          <w:szCs w:val="22"/>
        </w:rPr>
        <w:t>in dealing with particular sectors, such as charities. In the first place, the test for deciding whether a person should be disqualified (under sections 6 and 8, at any rate) is whether he has shown himself to be unfit in the running of a company</w:t>
      </w:r>
      <w:r w:rsidR="00E37B28">
        <w:rPr>
          <w:rFonts w:ascii="Verdana" w:hAnsi="Verdana"/>
          <w:sz w:val="22"/>
          <w:szCs w:val="22"/>
        </w:rPr>
        <w:t>:</w:t>
      </w:r>
      <w:r w:rsidR="00E37B28" w:rsidRPr="00E37B28">
        <w:rPr>
          <w:rFonts w:ascii="Verdana" w:hAnsi="Verdana"/>
          <w:sz w:val="22"/>
          <w:szCs w:val="22"/>
        </w:rPr>
        <w:t xml:space="preserve"> </w:t>
      </w:r>
      <w:r w:rsidR="00E37B28">
        <w:rPr>
          <w:rFonts w:ascii="Verdana" w:hAnsi="Verdana"/>
          <w:sz w:val="22"/>
          <w:szCs w:val="22"/>
        </w:rPr>
        <w:t xml:space="preserve">see, </w:t>
      </w:r>
      <w:r w:rsidR="00E37B28" w:rsidRPr="00AE7D7C">
        <w:rPr>
          <w:rFonts w:ascii="Verdana" w:hAnsi="Verdana"/>
          <w:sz w:val="22"/>
          <w:szCs w:val="22"/>
        </w:rPr>
        <w:t xml:space="preserve">for example, </w:t>
      </w:r>
      <w:r w:rsidR="00E37B28" w:rsidRPr="00AE7D7C">
        <w:rPr>
          <w:rFonts w:ascii="Verdana" w:hAnsi="Verdana"/>
          <w:i/>
          <w:sz w:val="22"/>
          <w:szCs w:val="22"/>
        </w:rPr>
        <w:t>Re Clean &amp; Colour Ltd, Secretary of State for Trade and Industry v Tuck</w:t>
      </w:r>
      <w:r w:rsidR="00E37B28" w:rsidRPr="00AE7D7C">
        <w:rPr>
          <w:rFonts w:ascii="Verdana" w:hAnsi="Verdana"/>
          <w:sz w:val="22"/>
          <w:szCs w:val="22"/>
        </w:rPr>
        <w:t xml:space="preserve"> </w:t>
      </w:r>
      <w:r w:rsidR="00E37B28" w:rsidRPr="00AE7D7C">
        <w:rPr>
          <w:rStyle w:val="case"/>
          <w:rFonts w:ascii="Verdana" w:hAnsi="Verdana"/>
          <w:i w:val="0"/>
          <w:color w:val="auto"/>
          <w:sz w:val="22"/>
          <w:szCs w:val="22"/>
        </w:rPr>
        <w:t>[2001] All ER (D) 200 (Apr), referring to</w:t>
      </w:r>
      <w:r w:rsidR="00E37B28" w:rsidRPr="00AE7D7C">
        <w:rPr>
          <w:rStyle w:val="case"/>
          <w:rFonts w:ascii="Verdana" w:hAnsi="Verdana"/>
          <w:iCs/>
          <w:color w:val="auto"/>
          <w:sz w:val="22"/>
          <w:szCs w:val="22"/>
        </w:rPr>
        <w:t xml:space="preserve"> </w:t>
      </w:r>
      <w:r w:rsidR="00E37B28" w:rsidRPr="00AE7D7C">
        <w:rPr>
          <w:rFonts w:ascii="Verdana" w:hAnsi="Verdana"/>
          <w:i/>
          <w:sz w:val="22"/>
          <w:szCs w:val="22"/>
        </w:rPr>
        <w:t xml:space="preserve">Re </w:t>
      </w:r>
      <w:proofErr w:type="spellStart"/>
      <w:r w:rsidR="00E37B28" w:rsidRPr="00AE7D7C">
        <w:rPr>
          <w:rFonts w:ascii="Verdana" w:hAnsi="Verdana"/>
          <w:i/>
          <w:sz w:val="22"/>
          <w:szCs w:val="22"/>
        </w:rPr>
        <w:t>Westmid</w:t>
      </w:r>
      <w:proofErr w:type="spellEnd"/>
      <w:r w:rsidR="00E37B28" w:rsidRPr="00AE7D7C">
        <w:rPr>
          <w:rFonts w:ascii="Verdana" w:hAnsi="Verdana"/>
          <w:i/>
          <w:sz w:val="22"/>
          <w:szCs w:val="22"/>
        </w:rPr>
        <w:t xml:space="preserve"> Packing Services Ltd (No 3), Secretary of State for Trade and Industry v Griffiths and others</w:t>
      </w:r>
      <w:r w:rsidR="00E37B28" w:rsidRPr="00AE7D7C">
        <w:rPr>
          <w:rFonts w:ascii="Verdana" w:hAnsi="Verdana"/>
          <w:sz w:val="22"/>
          <w:szCs w:val="22"/>
        </w:rPr>
        <w:t xml:space="preserve"> </w:t>
      </w:r>
      <w:r w:rsidR="00E37B28" w:rsidRPr="00AE7D7C">
        <w:rPr>
          <w:rStyle w:val="case"/>
          <w:rFonts w:ascii="Verdana" w:hAnsi="Verdana"/>
          <w:i w:val="0"/>
          <w:iCs/>
          <w:color w:val="auto"/>
          <w:sz w:val="22"/>
          <w:szCs w:val="22"/>
        </w:rPr>
        <w:t>[1998] 2 All ER 124</w:t>
      </w:r>
      <w:r w:rsidR="00E37B28" w:rsidRPr="00AE7D7C">
        <w:rPr>
          <w:rFonts w:ascii="Verdana" w:hAnsi="Verdana"/>
          <w:sz w:val="22"/>
          <w:szCs w:val="22"/>
        </w:rPr>
        <w:t>: a “broad brush approach” is required</w:t>
      </w:r>
      <w:r w:rsidR="006C7FD8" w:rsidRPr="00AE7D7C">
        <w:rPr>
          <w:rFonts w:ascii="Verdana" w:hAnsi="Verdana"/>
          <w:sz w:val="22"/>
          <w:szCs w:val="22"/>
        </w:rPr>
        <w:t>. That does not require any substantial expertise or knowledge of the particular sector in which the company operates</w:t>
      </w:r>
      <w:r w:rsidR="00E37B28">
        <w:rPr>
          <w:rFonts w:ascii="Verdana" w:hAnsi="Verdana"/>
          <w:sz w:val="22"/>
          <w:szCs w:val="22"/>
        </w:rPr>
        <w:t>,</w:t>
      </w:r>
      <w:r w:rsidR="00354C65">
        <w:rPr>
          <w:rFonts w:ascii="Verdana" w:hAnsi="Verdana"/>
          <w:sz w:val="22"/>
          <w:szCs w:val="22"/>
        </w:rPr>
        <w:t xml:space="preserve"> </w:t>
      </w:r>
      <w:r w:rsidR="00EE2948">
        <w:rPr>
          <w:rFonts w:ascii="Verdana" w:hAnsi="Verdana"/>
          <w:sz w:val="22"/>
          <w:szCs w:val="22"/>
        </w:rPr>
        <w:t xml:space="preserve">though this type of expertise or </w:t>
      </w:r>
      <w:r w:rsidR="00FE0854">
        <w:rPr>
          <w:rFonts w:ascii="Verdana" w:hAnsi="Verdana"/>
          <w:sz w:val="22"/>
          <w:szCs w:val="22"/>
        </w:rPr>
        <w:t xml:space="preserve">knowledge </w:t>
      </w:r>
      <w:r w:rsidR="00EE2948">
        <w:rPr>
          <w:rFonts w:ascii="Verdana" w:hAnsi="Verdana"/>
          <w:sz w:val="22"/>
          <w:szCs w:val="22"/>
        </w:rPr>
        <w:t>will</w:t>
      </w:r>
      <w:r w:rsidR="006406DD">
        <w:rPr>
          <w:rFonts w:ascii="Verdana" w:hAnsi="Verdana"/>
          <w:sz w:val="22"/>
          <w:szCs w:val="22"/>
        </w:rPr>
        <w:t xml:space="preserve">, in </w:t>
      </w:r>
      <w:r w:rsidR="00FF5BA2">
        <w:rPr>
          <w:rFonts w:ascii="Verdana" w:hAnsi="Verdana"/>
          <w:sz w:val="22"/>
          <w:szCs w:val="22"/>
        </w:rPr>
        <w:t xml:space="preserve">almost </w:t>
      </w:r>
      <w:r w:rsidR="006406DD">
        <w:rPr>
          <w:rFonts w:ascii="Verdana" w:hAnsi="Verdana"/>
          <w:sz w:val="22"/>
          <w:szCs w:val="22"/>
        </w:rPr>
        <w:t xml:space="preserve">cases, </w:t>
      </w:r>
      <w:r w:rsidR="00EE2948">
        <w:rPr>
          <w:rFonts w:ascii="Verdana" w:hAnsi="Verdana"/>
          <w:sz w:val="22"/>
          <w:szCs w:val="22"/>
        </w:rPr>
        <w:t>b</w:t>
      </w:r>
      <w:r w:rsidR="00354C65">
        <w:rPr>
          <w:rFonts w:ascii="Verdana" w:hAnsi="Verdana"/>
          <w:sz w:val="22"/>
          <w:szCs w:val="22"/>
        </w:rPr>
        <w:t xml:space="preserve">e </w:t>
      </w:r>
      <w:r w:rsidR="001829D3">
        <w:rPr>
          <w:rFonts w:ascii="Verdana" w:hAnsi="Verdana"/>
          <w:sz w:val="22"/>
          <w:szCs w:val="22"/>
        </w:rPr>
        <w:t xml:space="preserve">available to </w:t>
      </w:r>
      <w:r w:rsidR="009526D7">
        <w:rPr>
          <w:rFonts w:ascii="Verdana" w:hAnsi="Verdana"/>
          <w:sz w:val="22"/>
          <w:szCs w:val="22"/>
        </w:rPr>
        <w:t>the Insolvency Service</w:t>
      </w:r>
      <w:r w:rsidR="006406DD">
        <w:rPr>
          <w:rFonts w:ascii="Verdana" w:hAnsi="Verdana"/>
          <w:sz w:val="22"/>
          <w:szCs w:val="22"/>
        </w:rPr>
        <w:t xml:space="preserve"> anyway</w:t>
      </w:r>
      <w:r w:rsidR="00F37FF6">
        <w:rPr>
          <w:rFonts w:ascii="Verdana" w:hAnsi="Verdana"/>
          <w:sz w:val="22"/>
          <w:szCs w:val="22"/>
        </w:rPr>
        <w:t xml:space="preserve">, if not from </w:t>
      </w:r>
      <w:r w:rsidR="00673DCE">
        <w:rPr>
          <w:rFonts w:ascii="Verdana" w:hAnsi="Verdana"/>
          <w:sz w:val="22"/>
          <w:szCs w:val="22"/>
        </w:rPr>
        <w:t xml:space="preserve">officials from </w:t>
      </w:r>
      <w:r w:rsidR="00F37FF6">
        <w:rPr>
          <w:rFonts w:ascii="Verdana" w:hAnsi="Verdana"/>
          <w:sz w:val="22"/>
          <w:szCs w:val="22"/>
        </w:rPr>
        <w:t xml:space="preserve">those </w:t>
      </w:r>
      <w:r w:rsidR="00354C65">
        <w:rPr>
          <w:rFonts w:ascii="Verdana" w:hAnsi="Verdana"/>
          <w:sz w:val="22"/>
          <w:szCs w:val="22"/>
        </w:rPr>
        <w:t>sectors</w:t>
      </w:r>
      <w:r w:rsidR="00F37FF6">
        <w:rPr>
          <w:rFonts w:ascii="Verdana" w:hAnsi="Verdana"/>
          <w:sz w:val="22"/>
          <w:szCs w:val="22"/>
        </w:rPr>
        <w:t xml:space="preserve"> </w:t>
      </w:r>
      <w:r w:rsidR="00FA7BEF">
        <w:rPr>
          <w:rFonts w:ascii="Verdana" w:hAnsi="Verdana"/>
          <w:sz w:val="22"/>
          <w:szCs w:val="22"/>
        </w:rPr>
        <w:t xml:space="preserve">(with whom the Insolvency Service will always work closely) </w:t>
      </w:r>
      <w:r w:rsidR="00F37FF6">
        <w:rPr>
          <w:rFonts w:ascii="Verdana" w:hAnsi="Verdana"/>
          <w:sz w:val="22"/>
          <w:szCs w:val="22"/>
        </w:rPr>
        <w:t xml:space="preserve">then </w:t>
      </w:r>
      <w:r w:rsidR="001829D3">
        <w:rPr>
          <w:rFonts w:ascii="Verdana" w:hAnsi="Verdana"/>
          <w:sz w:val="22"/>
          <w:szCs w:val="22"/>
        </w:rPr>
        <w:t xml:space="preserve">from solicitors and counsel </w:t>
      </w:r>
      <w:r w:rsidR="002A63D8">
        <w:rPr>
          <w:rFonts w:ascii="Verdana" w:hAnsi="Verdana"/>
          <w:sz w:val="22"/>
          <w:szCs w:val="22"/>
        </w:rPr>
        <w:t>that it instruct</w:t>
      </w:r>
      <w:r w:rsidR="003D1C26">
        <w:rPr>
          <w:rFonts w:ascii="Verdana" w:hAnsi="Verdana"/>
          <w:sz w:val="22"/>
          <w:szCs w:val="22"/>
        </w:rPr>
        <w:t>s</w:t>
      </w:r>
      <w:r w:rsidR="00E85E53">
        <w:rPr>
          <w:rFonts w:ascii="Verdana" w:hAnsi="Verdana"/>
          <w:sz w:val="22"/>
          <w:szCs w:val="22"/>
        </w:rPr>
        <w:t xml:space="preserve">. </w:t>
      </w:r>
      <w:r w:rsidR="006C7FD8" w:rsidRPr="00AE7D7C">
        <w:rPr>
          <w:rFonts w:ascii="Verdana" w:hAnsi="Verdana"/>
          <w:sz w:val="22"/>
          <w:szCs w:val="22"/>
        </w:rPr>
        <w:t xml:space="preserve">Second, taking to its logical conclusion, the same could be said of corporate entities </w:t>
      </w:r>
      <w:r w:rsidR="006D5462">
        <w:rPr>
          <w:rFonts w:ascii="Verdana" w:hAnsi="Verdana"/>
          <w:sz w:val="22"/>
          <w:szCs w:val="22"/>
        </w:rPr>
        <w:t xml:space="preserve">in other sectors </w:t>
      </w:r>
      <w:r w:rsidR="006C7FD8" w:rsidRPr="00AE7D7C">
        <w:rPr>
          <w:rFonts w:ascii="Verdana" w:hAnsi="Verdana"/>
          <w:sz w:val="22"/>
          <w:szCs w:val="22"/>
        </w:rPr>
        <w:t xml:space="preserve">which fall to be “regulated” as companies under the disqualification regime, such as </w:t>
      </w:r>
      <w:r w:rsidR="002D1E1E">
        <w:rPr>
          <w:rFonts w:ascii="Verdana" w:hAnsi="Verdana"/>
          <w:sz w:val="22"/>
          <w:szCs w:val="22"/>
        </w:rPr>
        <w:t xml:space="preserve">those which operate in </w:t>
      </w:r>
      <w:r w:rsidR="006C7FD8" w:rsidRPr="00AE7D7C">
        <w:rPr>
          <w:rFonts w:ascii="Verdana" w:hAnsi="Verdana"/>
          <w:sz w:val="22"/>
          <w:szCs w:val="22"/>
        </w:rPr>
        <w:t xml:space="preserve">the financial services sector. </w:t>
      </w:r>
      <w:r w:rsidR="005D05EA">
        <w:rPr>
          <w:rFonts w:ascii="Verdana" w:hAnsi="Verdana"/>
          <w:sz w:val="22"/>
          <w:szCs w:val="22"/>
        </w:rPr>
        <w:t xml:space="preserve">If the Judge’s observations were adopted, </w:t>
      </w:r>
      <w:r w:rsidR="001445D3">
        <w:rPr>
          <w:rFonts w:ascii="Verdana" w:hAnsi="Verdana"/>
          <w:sz w:val="22"/>
          <w:szCs w:val="22"/>
        </w:rPr>
        <w:t xml:space="preserve">it </w:t>
      </w:r>
      <w:r w:rsidR="006C7FD8" w:rsidRPr="00AE7D7C">
        <w:rPr>
          <w:rFonts w:ascii="Verdana" w:hAnsi="Verdana"/>
          <w:sz w:val="22"/>
          <w:szCs w:val="22"/>
        </w:rPr>
        <w:t xml:space="preserve">would mean that only regulators for those sectors (rather than the Insolvency Service) should be responsible to bring </w:t>
      </w:r>
      <w:r w:rsidR="004C54BD">
        <w:rPr>
          <w:rFonts w:ascii="Verdana" w:hAnsi="Verdana"/>
          <w:sz w:val="22"/>
          <w:szCs w:val="22"/>
        </w:rPr>
        <w:t xml:space="preserve">those who run </w:t>
      </w:r>
      <w:r w:rsidR="007869C7">
        <w:rPr>
          <w:rFonts w:ascii="Verdana" w:hAnsi="Verdana"/>
          <w:sz w:val="22"/>
          <w:szCs w:val="22"/>
        </w:rPr>
        <w:t xml:space="preserve">such </w:t>
      </w:r>
      <w:r w:rsidR="004C54BD">
        <w:rPr>
          <w:rFonts w:ascii="Verdana" w:hAnsi="Verdana"/>
          <w:sz w:val="22"/>
          <w:szCs w:val="22"/>
        </w:rPr>
        <w:t xml:space="preserve">entities </w:t>
      </w:r>
      <w:r w:rsidR="006C7FD8" w:rsidRPr="00AE7D7C">
        <w:rPr>
          <w:rFonts w:ascii="Verdana" w:hAnsi="Verdana"/>
          <w:sz w:val="22"/>
          <w:szCs w:val="22"/>
        </w:rPr>
        <w:t>to account for their misconduct</w:t>
      </w:r>
      <w:r w:rsidR="003E2920">
        <w:rPr>
          <w:rFonts w:ascii="Verdana" w:hAnsi="Verdana"/>
          <w:sz w:val="22"/>
          <w:szCs w:val="22"/>
        </w:rPr>
        <w:t xml:space="preserve">. </w:t>
      </w:r>
      <w:r w:rsidR="006C7FD8" w:rsidRPr="00AE7D7C">
        <w:rPr>
          <w:rFonts w:ascii="Verdana" w:hAnsi="Verdana"/>
          <w:sz w:val="22"/>
          <w:szCs w:val="22"/>
        </w:rPr>
        <w:t xml:space="preserve"> </w:t>
      </w:r>
    </w:p>
    <w:p w14:paraId="33D99033" w14:textId="77777777" w:rsidR="002D1E1E" w:rsidRDefault="002D1E1E" w:rsidP="002D1E1E">
      <w:pPr>
        <w:pStyle w:val="FootnoteText"/>
        <w:ind w:left="1080"/>
        <w:rPr>
          <w:rFonts w:ascii="Verdana" w:hAnsi="Verdana"/>
          <w:sz w:val="22"/>
          <w:szCs w:val="22"/>
        </w:rPr>
      </w:pPr>
    </w:p>
    <w:p w14:paraId="717E3F00" w14:textId="749C5EBB" w:rsidR="00860932" w:rsidRDefault="002D1E1E" w:rsidP="00C062FE">
      <w:pPr>
        <w:pStyle w:val="FootnoteText"/>
        <w:numPr>
          <w:ilvl w:val="0"/>
          <w:numId w:val="4"/>
        </w:numPr>
        <w:rPr>
          <w:rFonts w:ascii="Verdana" w:hAnsi="Verdana"/>
          <w:sz w:val="22"/>
          <w:szCs w:val="22"/>
        </w:rPr>
      </w:pPr>
      <w:r>
        <w:rPr>
          <w:rFonts w:ascii="Verdana" w:hAnsi="Verdana"/>
          <w:sz w:val="22"/>
          <w:szCs w:val="22"/>
        </w:rPr>
        <w:t>T</w:t>
      </w:r>
      <w:r w:rsidR="00D603A8" w:rsidRPr="00AE7D7C">
        <w:rPr>
          <w:rFonts w:ascii="Verdana" w:hAnsi="Verdana"/>
          <w:sz w:val="22"/>
          <w:szCs w:val="22"/>
        </w:rPr>
        <w:t xml:space="preserve">here is no </w:t>
      </w:r>
      <w:r w:rsidR="002E20F6" w:rsidRPr="00AE7D7C">
        <w:rPr>
          <w:rFonts w:ascii="Verdana" w:hAnsi="Verdana"/>
          <w:sz w:val="22"/>
          <w:szCs w:val="22"/>
        </w:rPr>
        <w:t xml:space="preserve">statutory </w:t>
      </w:r>
      <w:r w:rsidR="00D603A8" w:rsidRPr="00AE7D7C">
        <w:rPr>
          <w:rFonts w:ascii="Verdana" w:hAnsi="Verdana"/>
          <w:sz w:val="22"/>
          <w:szCs w:val="22"/>
        </w:rPr>
        <w:t xml:space="preserve">equivalent of </w:t>
      </w:r>
      <w:r w:rsidR="00CE77DA" w:rsidRPr="00AE7D7C">
        <w:rPr>
          <w:rFonts w:ascii="Verdana" w:hAnsi="Verdana"/>
          <w:sz w:val="22"/>
          <w:szCs w:val="22"/>
        </w:rPr>
        <w:t xml:space="preserve">many of the </w:t>
      </w:r>
      <w:r w:rsidR="003335AF" w:rsidRPr="00AE7D7C">
        <w:rPr>
          <w:rFonts w:ascii="Verdana" w:hAnsi="Verdana"/>
          <w:sz w:val="22"/>
          <w:szCs w:val="22"/>
        </w:rPr>
        <w:t xml:space="preserve">measures </w:t>
      </w:r>
      <w:r w:rsidR="00E33DC2" w:rsidRPr="00AE7D7C">
        <w:rPr>
          <w:rFonts w:ascii="Verdana" w:hAnsi="Verdana"/>
          <w:sz w:val="22"/>
          <w:szCs w:val="22"/>
        </w:rPr>
        <w:t xml:space="preserve">which have been put in </w:t>
      </w:r>
      <w:r w:rsidR="00A93487" w:rsidRPr="00AE7D7C">
        <w:rPr>
          <w:rFonts w:ascii="Verdana" w:hAnsi="Verdana"/>
          <w:sz w:val="22"/>
          <w:szCs w:val="22"/>
        </w:rPr>
        <w:t>place</w:t>
      </w:r>
      <w:r w:rsidR="000A75CA" w:rsidRPr="00AE7D7C">
        <w:rPr>
          <w:rFonts w:ascii="Verdana" w:hAnsi="Verdana"/>
          <w:sz w:val="22"/>
          <w:szCs w:val="22"/>
        </w:rPr>
        <w:t xml:space="preserve"> under the CDDA 1986</w:t>
      </w:r>
      <w:r w:rsidR="00A93487" w:rsidRPr="00AE7D7C">
        <w:rPr>
          <w:rFonts w:ascii="Verdana" w:hAnsi="Verdana"/>
          <w:sz w:val="22"/>
          <w:szCs w:val="22"/>
        </w:rPr>
        <w:t xml:space="preserve"> </w:t>
      </w:r>
      <w:r w:rsidR="00ED5D7A" w:rsidRPr="00AE7D7C">
        <w:rPr>
          <w:rFonts w:ascii="Verdana" w:hAnsi="Verdana"/>
          <w:sz w:val="22"/>
          <w:szCs w:val="22"/>
        </w:rPr>
        <w:t xml:space="preserve">to </w:t>
      </w:r>
      <w:r w:rsidR="002E20F6" w:rsidRPr="00AE7D7C">
        <w:rPr>
          <w:rFonts w:ascii="Verdana" w:hAnsi="Verdana"/>
          <w:sz w:val="22"/>
          <w:szCs w:val="22"/>
        </w:rPr>
        <w:t xml:space="preserve">ensure that </w:t>
      </w:r>
      <w:r w:rsidR="00A8546E">
        <w:rPr>
          <w:rFonts w:ascii="Verdana" w:hAnsi="Verdana"/>
          <w:sz w:val="22"/>
          <w:szCs w:val="22"/>
        </w:rPr>
        <w:t xml:space="preserve">the </w:t>
      </w:r>
      <w:r w:rsidR="000A75CA" w:rsidRPr="00AE7D7C">
        <w:rPr>
          <w:rFonts w:ascii="Verdana" w:hAnsi="Verdana"/>
          <w:sz w:val="22"/>
          <w:szCs w:val="22"/>
        </w:rPr>
        <w:t xml:space="preserve">regime for disqualifying </w:t>
      </w:r>
      <w:r w:rsidR="0045366E" w:rsidRPr="00AE7D7C">
        <w:rPr>
          <w:rFonts w:ascii="Verdana" w:hAnsi="Verdana"/>
          <w:sz w:val="22"/>
          <w:szCs w:val="22"/>
        </w:rPr>
        <w:t xml:space="preserve">directors operates efficiently at a practical level (for example, through the </w:t>
      </w:r>
      <w:r w:rsidR="00B94D25" w:rsidRPr="00AE7D7C">
        <w:rPr>
          <w:rFonts w:ascii="Verdana" w:hAnsi="Verdana"/>
          <w:sz w:val="22"/>
          <w:szCs w:val="22"/>
        </w:rPr>
        <w:t xml:space="preserve">“undertakings” regime) </w:t>
      </w:r>
      <w:r w:rsidR="007F5618" w:rsidRPr="00AE7D7C">
        <w:rPr>
          <w:rFonts w:ascii="Verdana" w:hAnsi="Verdana"/>
          <w:sz w:val="22"/>
          <w:szCs w:val="22"/>
        </w:rPr>
        <w:t xml:space="preserve">and </w:t>
      </w:r>
      <w:r w:rsidR="00C529B6" w:rsidRPr="00AE7D7C">
        <w:rPr>
          <w:rFonts w:ascii="Verdana" w:hAnsi="Verdana"/>
          <w:sz w:val="22"/>
          <w:szCs w:val="22"/>
        </w:rPr>
        <w:t xml:space="preserve">allows </w:t>
      </w:r>
      <w:r w:rsidR="0088540B" w:rsidRPr="00AE7D7C">
        <w:rPr>
          <w:rFonts w:ascii="Verdana" w:hAnsi="Verdana"/>
          <w:sz w:val="22"/>
          <w:szCs w:val="22"/>
        </w:rPr>
        <w:t xml:space="preserve">creditors to be </w:t>
      </w:r>
      <w:r w:rsidR="00C529B6" w:rsidRPr="00AE7D7C">
        <w:rPr>
          <w:rFonts w:ascii="Verdana" w:hAnsi="Verdana"/>
          <w:sz w:val="22"/>
          <w:szCs w:val="22"/>
        </w:rPr>
        <w:t>compensat</w:t>
      </w:r>
      <w:r w:rsidR="0088540B" w:rsidRPr="00AE7D7C">
        <w:rPr>
          <w:rFonts w:ascii="Verdana" w:hAnsi="Verdana"/>
          <w:sz w:val="22"/>
          <w:szCs w:val="22"/>
        </w:rPr>
        <w:t>ed for directors’ misconduct</w:t>
      </w:r>
      <w:r w:rsidR="00860932" w:rsidRPr="00AE7D7C">
        <w:rPr>
          <w:rFonts w:ascii="Verdana" w:hAnsi="Verdana"/>
          <w:sz w:val="22"/>
          <w:szCs w:val="22"/>
        </w:rPr>
        <w:t xml:space="preserve"> (for example, </w:t>
      </w:r>
      <w:r w:rsidR="002340D8">
        <w:rPr>
          <w:rFonts w:ascii="Verdana" w:hAnsi="Verdana"/>
          <w:sz w:val="22"/>
          <w:szCs w:val="22"/>
        </w:rPr>
        <w:t xml:space="preserve">through the </w:t>
      </w:r>
      <w:r w:rsidR="00860932" w:rsidRPr="00AE7D7C">
        <w:rPr>
          <w:rFonts w:ascii="Verdana" w:hAnsi="Verdana"/>
          <w:sz w:val="22"/>
          <w:szCs w:val="22"/>
        </w:rPr>
        <w:t>payment of</w:t>
      </w:r>
      <w:r w:rsidR="006C7FD8" w:rsidRPr="00AE7D7C">
        <w:rPr>
          <w:rFonts w:ascii="Verdana" w:hAnsi="Verdana"/>
          <w:sz w:val="22"/>
          <w:szCs w:val="22"/>
        </w:rPr>
        <w:t xml:space="preserve"> compensation under sections 15A and 15B of the CDDA 1986</w:t>
      </w:r>
      <w:r w:rsidR="00860932" w:rsidRPr="00AE7D7C">
        <w:rPr>
          <w:rFonts w:ascii="Verdana" w:hAnsi="Verdana"/>
          <w:sz w:val="22"/>
          <w:szCs w:val="22"/>
        </w:rPr>
        <w:t>)</w:t>
      </w:r>
      <w:r w:rsidR="006C7FD8" w:rsidRPr="00AE7D7C">
        <w:rPr>
          <w:rFonts w:ascii="Verdana" w:hAnsi="Verdana"/>
          <w:sz w:val="22"/>
          <w:szCs w:val="22"/>
        </w:rPr>
        <w:t xml:space="preserve">. </w:t>
      </w:r>
      <w:r w:rsidR="003619F3">
        <w:rPr>
          <w:rFonts w:ascii="Verdana" w:hAnsi="Verdana"/>
          <w:sz w:val="22"/>
          <w:szCs w:val="22"/>
        </w:rPr>
        <w:t xml:space="preserve">On the latter point, the public would be seriously short-changed if </w:t>
      </w:r>
      <w:r w:rsidR="00045B76">
        <w:rPr>
          <w:rFonts w:ascii="Verdana" w:hAnsi="Verdana"/>
          <w:sz w:val="22"/>
          <w:szCs w:val="22"/>
        </w:rPr>
        <w:t>regulation were undertaken through the Charity Commission</w:t>
      </w:r>
      <w:r w:rsidR="00717C31">
        <w:rPr>
          <w:rFonts w:ascii="Verdana" w:hAnsi="Verdana"/>
          <w:sz w:val="22"/>
          <w:szCs w:val="22"/>
        </w:rPr>
        <w:t>. Although</w:t>
      </w:r>
      <w:r w:rsidR="006F7CE8">
        <w:rPr>
          <w:rFonts w:ascii="Verdana" w:hAnsi="Verdana"/>
          <w:sz w:val="22"/>
          <w:szCs w:val="22"/>
        </w:rPr>
        <w:t xml:space="preserve"> i</w:t>
      </w:r>
      <w:r w:rsidR="0085309F">
        <w:rPr>
          <w:rFonts w:ascii="Verdana" w:hAnsi="Verdana"/>
          <w:sz w:val="22"/>
          <w:szCs w:val="22"/>
        </w:rPr>
        <w:t xml:space="preserve">n such a case, </w:t>
      </w:r>
      <w:r w:rsidR="00717C31">
        <w:rPr>
          <w:rFonts w:ascii="Verdana" w:hAnsi="Verdana"/>
          <w:sz w:val="22"/>
          <w:szCs w:val="22"/>
        </w:rPr>
        <w:t xml:space="preserve">the possibility </w:t>
      </w:r>
      <w:r w:rsidR="004460AB">
        <w:rPr>
          <w:rFonts w:ascii="Verdana" w:hAnsi="Verdana"/>
          <w:sz w:val="22"/>
          <w:szCs w:val="22"/>
        </w:rPr>
        <w:t xml:space="preserve">exists </w:t>
      </w:r>
      <w:r w:rsidR="00717C31">
        <w:rPr>
          <w:rFonts w:ascii="Verdana" w:hAnsi="Verdana"/>
          <w:sz w:val="22"/>
          <w:szCs w:val="22"/>
        </w:rPr>
        <w:t xml:space="preserve">that a disqualification claim </w:t>
      </w:r>
      <w:r w:rsidR="0041670A">
        <w:rPr>
          <w:rFonts w:ascii="Verdana" w:hAnsi="Verdana"/>
          <w:sz w:val="22"/>
          <w:szCs w:val="22"/>
        </w:rPr>
        <w:t xml:space="preserve">could </w:t>
      </w:r>
      <w:r w:rsidR="00717C31">
        <w:rPr>
          <w:rFonts w:ascii="Verdana" w:hAnsi="Verdana"/>
          <w:sz w:val="22"/>
          <w:szCs w:val="22"/>
        </w:rPr>
        <w:t xml:space="preserve">follow </w:t>
      </w:r>
      <w:r w:rsidR="004460AB">
        <w:rPr>
          <w:rFonts w:ascii="Verdana" w:hAnsi="Verdana"/>
          <w:sz w:val="22"/>
          <w:szCs w:val="22"/>
        </w:rPr>
        <w:t xml:space="preserve">any </w:t>
      </w:r>
      <w:r w:rsidR="00531A9E">
        <w:rPr>
          <w:rFonts w:ascii="Verdana" w:hAnsi="Verdana"/>
          <w:sz w:val="22"/>
          <w:szCs w:val="22"/>
        </w:rPr>
        <w:t xml:space="preserve">action which the </w:t>
      </w:r>
      <w:r w:rsidR="00717C31">
        <w:rPr>
          <w:rFonts w:ascii="Verdana" w:hAnsi="Verdana"/>
          <w:sz w:val="22"/>
          <w:szCs w:val="22"/>
        </w:rPr>
        <w:t xml:space="preserve">Charity Commission </w:t>
      </w:r>
      <w:r w:rsidR="004460AB">
        <w:rPr>
          <w:rFonts w:ascii="Verdana" w:hAnsi="Verdana"/>
          <w:sz w:val="22"/>
          <w:szCs w:val="22"/>
        </w:rPr>
        <w:t xml:space="preserve">decided to take, there would be </w:t>
      </w:r>
      <w:r w:rsidR="00715AFA">
        <w:rPr>
          <w:rFonts w:ascii="Verdana" w:hAnsi="Verdana"/>
          <w:sz w:val="22"/>
          <w:szCs w:val="22"/>
        </w:rPr>
        <w:t xml:space="preserve">immense practical difficulties (not to mention the costs involved) </w:t>
      </w:r>
      <w:r w:rsidR="00E5244F">
        <w:rPr>
          <w:rFonts w:ascii="Verdana" w:hAnsi="Verdana"/>
          <w:sz w:val="22"/>
          <w:szCs w:val="22"/>
        </w:rPr>
        <w:t xml:space="preserve">in </w:t>
      </w:r>
      <w:r w:rsidR="008A0820">
        <w:rPr>
          <w:rFonts w:ascii="Verdana" w:hAnsi="Verdana"/>
          <w:sz w:val="22"/>
          <w:szCs w:val="22"/>
        </w:rPr>
        <w:t xml:space="preserve">doing so. </w:t>
      </w:r>
    </w:p>
    <w:p w14:paraId="038F581B" w14:textId="77777777" w:rsidR="004C54BD" w:rsidRDefault="004C54BD" w:rsidP="00860932">
      <w:pPr>
        <w:pStyle w:val="FootnoteText"/>
        <w:rPr>
          <w:rFonts w:ascii="Verdana" w:hAnsi="Verdana"/>
          <w:sz w:val="22"/>
          <w:szCs w:val="22"/>
          <w:u w:val="single"/>
        </w:rPr>
      </w:pPr>
    </w:p>
    <w:p w14:paraId="2B4B37DA" w14:textId="72A6C98F" w:rsidR="00860932" w:rsidRPr="000E21A8" w:rsidRDefault="000E21A8" w:rsidP="00860932">
      <w:pPr>
        <w:pStyle w:val="FootnoteText"/>
        <w:rPr>
          <w:rFonts w:ascii="Verdana" w:hAnsi="Verdana"/>
          <w:sz w:val="22"/>
          <w:szCs w:val="22"/>
          <w:u w:val="single"/>
        </w:rPr>
      </w:pPr>
      <w:r w:rsidRPr="000E21A8">
        <w:rPr>
          <w:rFonts w:ascii="Verdana" w:hAnsi="Verdana"/>
          <w:sz w:val="22"/>
          <w:szCs w:val="22"/>
          <w:u w:val="single"/>
        </w:rPr>
        <w:t xml:space="preserve">Conclusion </w:t>
      </w:r>
    </w:p>
    <w:p w14:paraId="596236C1" w14:textId="1FC71FE6" w:rsidR="00141344" w:rsidRDefault="001C48C0" w:rsidP="00E5359B">
      <w:pPr>
        <w:pStyle w:val="n-Para"/>
        <w:rPr>
          <w:sz w:val="22"/>
          <w:szCs w:val="22"/>
        </w:rPr>
      </w:pPr>
      <w:r w:rsidRPr="003B3567">
        <w:rPr>
          <w:rStyle w:val="citation"/>
          <w:color w:val="auto"/>
          <w:sz w:val="22"/>
          <w:szCs w:val="22"/>
        </w:rPr>
        <w:t>It</w:t>
      </w:r>
      <w:r w:rsidR="00BF69B6" w:rsidRPr="003B3567">
        <w:rPr>
          <w:rStyle w:val="citation"/>
          <w:color w:val="auto"/>
          <w:sz w:val="22"/>
          <w:szCs w:val="22"/>
        </w:rPr>
        <w:t xml:space="preserve"> </w:t>
      </w:r>
      <w:r w:rsidR="006A4A36" w:rsidRPr="003B3567">
        <w:rPr>
          <w:rStyle w:val="citation"/>
          <w:color w:val="auto"/>
          <w:sz w:val="22"/>
          <w:szCs w:val="22"/>
        </w:rPr>
        <w:t xml:space="preserve">is unlikely that </w:t>
      </w:r>
      <w:r w:rsidR="006C7FD8" w:rsidRPr="003B3567">
        <w:rPr>
          <w:rStyle w:val="citation"/>
          <w:color w:val="auto"/>
          <w:sz w:val="22"/>
          <w:szCs w:val="22"/>
        </w:rPr>
        <w:t xml:space="preserve">the </w:t>
      </w:r>
      <w:r w:rsidR="00BF69B6" w:rsidRPr="003B3567">
        <w:rPr>
          <w:rStyle w:val="citation"/>
          <w:color w:val="auto"/>
          <w:sz w:val="22"/>
          <w:szCs w:val="22"/>
        </w:rPr>
        <w:t xml:space="preserve">general proposition </w:t>
      </w:r>
      <w:r w:rsidR="0050002D" w:rsidRPr="003B3567">
        <w:rPr>
          <w:rStyle w:val="citation"/>
          <w:color w:val="auto"/>
          <w:sz w:val="22"/>
          <w:szCs w:val="22"/>
        </w:rPr>
        <w:t xml:space="preserve">that directors or trustees </w:t>
      </w:r>
      <w:r w:rsidR="00767A21" w:rsidRPr="003B3567">
        <w:rPr>
          <w:rStyle w:val="citation"/>
          <w:color w:val="auto"/>
          <w:sz w:val="22"/>
          <w:szCs w:val="22"/>
        </w:rPr>
        <w:t xml:space="preserve">of an incorporated charity </w:t>
      </w:r>
      <w:r w:rsidR="0050002D" w:rsidRPr="003B3567">
        <w:rPr>
          <w:rStyle w:val="citation"/>
          <w:color w:val="auto"/>
          <w:sz w:val="22"/>
          <w:szCs w:val="22"/>
        </w:rPr>
        <w:t xml:space="preserve">should be treated more benevolently </w:t>
      </w:r>
      <w:r w:rsidR="003B3567">
        <w:rPr>
          <w:rStyle w:val="citation"/>
          <w:color w:val="auto"/>
          <w:sz w:val="22"/>
          <w:szCs w:val="22"/>
        </w:rPr>
        <w:t xml:space="preserve">(by reason only of </w:t>
      </w:r>
      <w:r w:rsidR="00D82195">
        <w:rPr>
          <w:rStyle w:val="citation"/>
          <w:color w:val="auto"/>
          <w:sz w:val="22"/>
          <w:szCs w:val="22"/>
        </w:rPr>
        <w:t xml:space="preserve">their </w:t>
      </w:r>
      <w:r w:rsidR="003B3567">
        <w:rPr>
          <w:rStyle w:val="citation"/>
          <w:color w:val="auto"/>
          <w:sz w:val="22"/>
          <w:szCs w:val="22"/>
        </w:rPr>
        <w:t xml:space="preserve">being </w:t>
      </w:r>
      <w:r w:rsidR="00DB2524">
        <w:rPr>
          <w:rStyle w:val="citation"/>
          <w:color w:val="auto"/>
          <w:sz w:val="22"/>
          <w:szCs w:val="22"/>
        </w:rPr>
        <w:t xml:space="preserve">a director of an incorporated charity) </w:t>
      </w:r>
      <w:r w:rsidR="0050002D" w:rsidRPr="003B3567">
        <w:rPr>
          <w:rStyle w:val="citation"/>
          <w:color w:val="auto"/>
          <w:sz w:val="22"/>
          <w:szCs w:val="22"/>
        </w:rPr>
        <w:t>will be adopted by</w:t>
      </w:r>
      <w:r w:rsidR="00310FD9" w:rsidRPr="003B3567">
        <w:rPr>
          <w:rStyle w:val="citation"/>
          <w:color w:val="auto"/>
          <w:sz w:val="22"/>
          <w:szCs w:val="22"/>
        </w:rPr>
        <w:t xml:space="preserve"> a higher court. To do so </w:t>
      </w:r>
      <w:r w:rsidR="006C5783" w:rsidRPr="003B3567">
        <w:rPr>
          <w:rStyle w:val="citation"/>
          <w:color w:val="auto"/>
          <w:sz w:val="22"/>
          <w:szCs w:val="22"/>
        </w:rPr>
        <w:t xml:space="preserve">would drive a coach and horses through the disqualification regime, with </w:t>
      </w:r>
      <w:r w:rsidR="00C939A1" w:rsidRPr="003B3567">
        <w:rPr>
          <w:rStyle w:val="citation"/>
          <w:color w:val="auto"/>
          <w:sz w:val="22"/>
          <w:szCs w:val="22"/>
        </w:rPr>
        <w:t xml:space="preserve">those who run </w:t>
      </w:r>
      <w:r w:rsidR="00076743" w:rsidRPr="003B3567">
        <w:rPr>
          <w:rStyle w:val="citation"/>
          <w:color w:val="auto"/>
          <w:sz w:val="22"/>
          <w:szCs w:val="22"/>
        </w:rPr>
        <w:t xml:space="preserve">corporate enterprises in </w:t>
      </w:r>
      <w:r w:rsidR="00A65C6B" w:rsidRPr="003B3567">
        <w:rPr>
          <w:rStyle w:val="citation"/>
          <w:color w:val="auto"/>
          <w:sz w:val="22"/>
          <w:szCs w:val="22"/>
        </w:rPr>
        <w:t>other sectors similarly claiming to be entitled to special treatment.</w:t>
      </w:r>
      <w:r w:rsidR="00076743" w:rsidRPr="003B3567">
        <w:rPr>
          <w:rStyle w:val="citation"/>
          <w:color w:val="auto"/>
          <w:sz w:val="22"/>
          <w:szCs w:val="22"/>
        </w:rPr>
        <w:t xml:space="preserve"> </w:t>
      </w:r>
      <w:r w:rsidR="00837A7D" w:rsidRPr="003B3567">
        <w:rPr>
          <w:rStyle w:val="citation"/>
          <w:color w:val="auto"/>
          <w:sz w:val="22"/>
          <w:szCs w:val="22"/>
        </w:rPr>
        <w:t xml:space="preserve">As Jonathan Parker J (as he then was) observed in </w:t>
      </w:r>
      <w:r w:rsidR="00B157D4" w:rsidRPr="003B3567">
        <w:rPr>
          <w:i/>
          <w:sz w:val="22"/>
          <w:szCs w:val="22"/>
        </w:rPr>
        <w:t>Re Barings plc (No 5)</w:t>
      </w:r>
      <w:r w:rsidR="00B157D4" w:rsidRPr="003B3567">
        <w:rPr>
          <w:sz w:val="22"/>
          <w:szCs w:val="22"/>
        </w:rPr>
        <w:t xml:space="preserve"> </w:t>
      </w:r>
      <w:r w:rsidR="00B157D4" w:rsidRPr="003B3567">
        <w:rPr>
          <w:rStyle w:val="citation"/>
          <w:color w:val="auto"/>
          <w:sz w:val="22"/>
          <w:szCs w:val="22"/>
        </w:rPr>
        <w:t>[1999] 1 BCLC 433 at 488b–d (</w:t>
      </w:r>
      <w:proofErr w:type="spellStart"/>
      <w:r w:rsidR="00B157D4" w:rsidRPr="003B3567">
        <w:rPr>
          <w:sz w:val="22"/>
          <w:szCs w:val="22"/>
        </w:rPr>
        <w:t>affd</w:t>
      </w:r>
      <w:proofErr w:type="spellEnd"/>
      <w:r w:rsidR="00B157D4" w:rsidRPr="003B3567">
        <w:rPr>
          <w:sz w:val="22"/>
          <w:szCs w:val="22"/>
        </w:rPr>
        <w:t xml:space="preserve"> </w:t>
      </w:r>
      <w:r w:rsidR="00B157D4" w:rsidRPr="003B3567">
        <w:rPr>
          <w:rStyle w:val="citation"/>
          <w:color w:val="auto"/>
          <w:sz w:val="22"/>
          <w:szCs w:val="22"/>
        </w:rPr>
        <w:t>[2000] 1 BCLC 523 at 535</w:t>
      </w:r>
      <w:r w:rsidR="00B157D4" w:rsidRPr="003B3567">
        <w:rPr>
          <w:sz w:val="22"/>
          <w:szCs w:val="22"/>
        </w:rPr>
        <w:t xml:space="preserve">, CA), the </w:t>
      </w:r>
      <w:r w:rsidR="00837A7D" w:rsidRPr="003B3567">
        <w:rPr>
          <w:rStyle w:val="citation"/>
          <w:color w:val="auto"/>
          <w:sz w:val="22"/>
          <w:szCs w:val="22"/>
        </w:rPr>
        <w:t xml:space="preserve">degree of care required from a director may vary </w:t>
      </w:r>
      <w:r w:rsidR="00E5359B" w:rsidRPr="003B3567">
        <w:rPr>
          <w:sz w:val="22"/>
          <w:szCs w:val="22"/>
        </w:rPr>
        <w:t xml:space="preserve">substantially with the size and type of business of the company, with greater care being required of a director of a larger company. The degree of care required may also vary </w:t>
      </w:r>
      <w:r w:rsidR="00E5359B" w:rsidRPr="003B3567">
        <w:rPr>
          <w:sz w:val="22"/>
          <w:szCs w:val="22"/>
        </w:rPr>
        <w:lastRenderedPageBreak/>
        <w:t>depending upon a wide variety of other factors</w:t>
      </w:r>
      <w:r w:rsidR="00DC457D" w:rsidRPr="003B3567">
        <w:rPr>
          <w:sz w:val="22"/>
          <w:szCs w:val="22"/>
        </w:rPr>
        <w:t xml:space="preserve">, </w:t>
      </w:r>
      <w:r w:rsidR="002D1669" w:rsidRPr="003B3567">
        <w:rPr>
          <w:sz w:val="22"/>
          <w:szCs w:val="22"/>
        </w:rPr>
        <w:t xml:space="preserve">such as </w:t>
      </w:r>
      <w:r w:rsidR="00FD47B5" w:rsidRPr="003B3567">
        <w:rPr>
          <w:sz w:val="22"/>
          <w:szCs w:val="22"/>
        </w:rPr>
        <w:t xml:space="preserve">the level of </w:t>
      </w:r>
      <w:r w:rsidR="008100A1">
        <w:rPr>
          <w:sz w:val="22"/>
          <w:szCs w:val="22"/>
        </w:rPr>
        <w:t>“</w:t>
      </w:r>
      <w:r w:rsidR="00FD47B5" w:rsidRPr="003B3567">
        <w:rPr>
          <w:sz w:val="22"/>
          <w:szCs w:val="22"/>
        </w:rPr>
        <w:t>reward</w:t>
      </w:r>
      <w:r w:rsidR="008100A1">
        <w:rPr>
          <w:sz w:val="22"/>
          <w:szCs w:val="22"/>
        </w:rPr>
        <w:t>”</w:t>
      </w:r>
      <w:r w:rsidR="00FD47B5" w:rsidRPr="003B3567">
        <w:rPr>
          <w:sz w:val="22"/>
          <w:szCs w:val="22"/>
        </w:rPr>
        <w:t xml:space="preserve"> which the director received or was entitled to</w:t>
      </w:r>
      <w:r w:rsidR="004E200B">
        <w:rPr>
          <w:sz w:val="22"/>
          <w:szCs w:val="22"/>
        </w:rPr>
        <w:t xml:space="preserve"> receive</w:t>
      </w:r>
      <w:r w:rsidR="001D3441">
        <w:rPr>
          <w:sz w:val="22"/>
          <w:szCs w:val="22"/>
        </w:rPr>
        <w:t xml:space="preserve">. In </w:t>
      </w:r>
      <w:r w:rsidR="00944BCC">
        <w:rPr>
          <w:sz w:val="22"/>
          <w:szCs w:val="22"/>
        </w:rPr>
        <w:t xml:space="preserve">the context of a director or trustee of an incorporated charity, these are all matters which must be put in the mix in deciding whether </w:t>
      </w:r>
      <w:r w:rsidR="001D3441">
        <w:rPr>
          <w:sz w:val="22"/>
          <w:szCs w:val="22"/>
        </w:rPr>
        <w:t xml:space="preserve">a director </w:t>
      </w:r>
      <w:r w:rsidR="00944BCC">
        <w:rPr>
          <w:sz w:val="22"/>
          <w:szCs w:val="22"/>
        </w:rPr>
        <w:t xml:space="preserve">is unfit. However, it is quite </w:t>
      </w:r>
      <w:r w:rsidR="004F1BCB">
        <w:rPr>
          <w:sz w:val="22"/>
          <w:szCs w:val="22"/>
        </w:rPr>
        <w:t>a</w:t>
      </w:r>
      <w:r w:rsidR="0068274E">
        <w:rPr>
          <w:sz w:val="22"/>
          <w:szCs w:val="22"/>
        </w:rPr>
        <w:t xml:space="preserve">nother matter to </w:t>
      </w:r>
      <w:r w:rsidR="0068274E" w:rsidRPr="003D0878">
        <w:rPr>
          <w:sz w:val="22"/>
          <w:szCs w:val="22"/>
        </w:rPr>
        <w:t>posit the proposition that a director or trustee of a</w:t>
      </w:r>
      <w:r w:rsidR="00067D1B" w:rsidRPr="003D0878">
        <w:rPr>
          <w:sz w:val="22"/>
          <w:szCs w:val="22"/>
        </w:rPr>
        <w:t xml:space="preserve">n incorporated </w:t>
      </w:r>
      <w:r w:rsidR="0068274E" w:rsidRPr="003D0878">
        <w:rPr>
          <w:sz w:val="22"/>
          <w:szCs w:val="22"/>
        </w:rPr>
        <w:t xml:space="preserve">charity may escape disqualification by reason of </w:t>
      </w:r>
      <w:r w:rsidR="00067D1B" w:rsidRPr="003D0878">
        <w:rPr>
          <w:sz w:val="22"/>
          <w:szCs w:val="22"/>
        </w:rPr>
        <w:t>his running a charity in circumstances where a</w:t>
      </w:r>
      <w:r w:rsidR="00D427C9" w:rsidRPr="003D0878">
        <w:rPr>
          <w:sz w:val="22"/>
          <w:szCs w:val="22"/>
        </w:rPr>
        <w:t xml:space="preserve"> </w:t>
      </w:r>
      <w:r w:rsidR="00067D1B" w:rsidRPr="003D0878">
        <w:rPr>
          <w:sz w:val="22"/>
          <w:szCs w:val="22"/>
        </w:rPr>
        <w:t xml:space="preserve">director </w:t>
      </w:r>
      <w:r w:rsidR="008918E1" w:rsidRPr="003D0878">
        <w:rPr>
          <w:sz w:val="22"/>
          <w:szCs w:val="22"/>
        </w:rPr>
        <w:t xml:space="preserve">running a </w:t>
      </w:r>
      <w:r w:rsidR="00312E0E" w:rsidRPr="003D0878">
        <w:rPr>
          <w:sz w:val="22"/>
          <w:szCs w:val="22"/>
        </w:rPr>
        <w:t>non-charitable enterprise</w:t>
      </w:r>
      <w:r w:rsidR="003D7398" w:rsidRPr="003D0878">
        <w:rPr>
          <w:sz w:val="22"/>
          <w:szCs w:val="22"/>
        </w:rPr>
        <w:t>, in similar circumstances, would not.</w:t>
      </w:r>
      <w:r w:rsidR="00975F85" w:rsidRPr="003D0878">
        <w:rPr>
          <w:sz w:val="22"/>
          <w:szCs w:val="22"/>
        </w:rPr>
        <w:t xml:space="preserve"> The Judge accepted, as must be correct, that directors of all companies (including charitable companies) owe the same duties</w:t>
      </w:r>
      <w:r w:rsidR="006D0372">
        <w:rPr>
          <w:sz w:val="22"/>
          <w:szCs w:val="22"/>
        </w:rPr>
        <w:t xml:space="preserve">. </w:t>
      </w:r>
      <w:r w:rsidR="00CC737C" w:rsidRPr="003D0878">
        <w:rPr>
          <w:sz w:val="22"/>
          <w:szCs w:val="22"/>
        </w:rPr>
        <w:t xml:space="preserve">However, the observations of the Judge </w:t>
      </w:r>
      <w:r w:rsidR="003D7398" w:rsidRPr="003D0878">
        <w:rPr>
          <w:sz w:val="22"/>
          <w:szCs w:val="22"/>
        </w:rPr>
        <w:t>cou</w:t>
      </w:r>
      <w:r w:rsidR="00C916A3" w:rsidRPr="003D0878">
        <w:rPr>
          <w:sz w:val="22"/>
          <w:szCs w:val="22"/>
        </w:rPr>
        <w:t>ld be</w:t>
      </w:r>
      <w:r w:rsidR="00D61E59" w:rsidRPr="003D0878">
        <w:rPr>
          <w:sz w:val="22"/>
          <w:szCs w:val="22"/>
        </w:rPr>
        <w:t xml:space="preserve"> interpreted </w:t>
      </w:r>
      <w:r w:rsidR="00390618" w:rsidRPr="003D0878">
        <w:rPr>
          <w:sz w:val="22"/>
          <w:szCs w:val="22"/>
        </w:rPr>
        <w:t xml:space="preserve">as supporting the premise that the duties owed by directors or trustees of incorporated charities </w:t>
      </w:r>
      <w:r w:rsidR="004F3ECC">
        <w:rPr>
          <w:sz w:val="22"/>
          <w:szCs w:val="22"/>
        </w:rPr>
        <w:t xml:space="preserve">are </w:t>
      </w:r>
      <w:r w:rsidR="00390618" w:rsidRPr="003D0878">
        <w:rPr>
          <w:sz w:val="22"/>
          <w:szCs w:val="22"/>
        </w:rPr>
        <w:t>different</w:t>
      </w:r>
      <w:r w:rsidR="00255BAA" w:rsidRPr="003D0878">
        <w:rPr>
          <w:sz w:val="22"/>
          <w:szCs w:val="22"/>
        </w:rPr>
        <w:t xml:space="preserve"> from those owed by other directors</w:t>
      </w:r>
      <w:r w:rsidR="00E93B2F">
        <w:rPr>
          <w:sz w:val="22"/>
          <w:szCs w:val="22"/>
        </w:rPr>
        <w:t xml:space="preserve">. This would </w:t>
      </w:r>
      <w:r w:rsidR="00F75DFD" w:rsidRPr="003D0878">
        <w:rPr>
          <w:sz w:val="22"/>
          <w:szCs w:val="22"/>
        </w:rPr>
        <w:t>not only be wrong in principle but also not supported by authority</w:t>
      </w:r>
      <w:r w:rsidR="00E34061" w:rsidRPr="003D0878">
        <w:rPr>
          <w:sz w:val="22"/>
          <w:szCs w:val="22"/>
        </w:rPr>
        <w:t xml:space="preserve">. </w:t>
      </w:r>
    </w:p>
    <w:p w14:paraId="015D8F7C" w14:textId="6C09F982" w:rsidR="006C7FD8" w:rsidRPr="00860932" w:rsidRDefault="00FE44AF" w:rsidP="000911B1">
      <w:pPr>
        <w:pStyle w:val="n-Para"/>
        <w:rPr>
          <w:sz w:val="22"/>
          <w:szCs w:val="22"/>
          <w:shd w:val="clear" w:color="auto" w:fill="FFFFFF"/>
        </w:rPr>
      </w:pPr>
      <w:r w:rsidRPr="00BA3046">
        <w:rPr>
          <w:sz w:val="22"/>
          <w:szCs w:val="22"/>
        </w:rPr>
        <w:t xml:space="preserve">Nor can the suggestion that </w:t>
      </w:r>
      <w:r w:rsidR="006D33A8" w:rsidRPr="00BA3046">
        <w:rPr>
          <w:sz w:val="22"/>
          <w:szCs w:val="22"/>
        </w:rPr>
        <w:t xml:space="preserve">the Charity Commission </w:t>
      </w:r>
      <w:r w:rsidR="00B020D8">
        <w:rPr>
          <w:sz w:val="22"/>
          <w:szCs w:val="22"/>
        </w:rPr>
        <w:t>(</w:t>
      </w:r>
      <w:r w:rsidR="006D33A8" w:rsidRPr="00BA3046">
        <w:rPr>
          <w:sz w:val="22"/>
          <w:szCs w:val="22"/>
        </w:rPr>
        <w:t>not the Insolvency Service</w:t>
      </w:r>
      <w:r w:rsidR="00000B2E">
        <w:rPr>
          <w:sz w:val="22"/>
          <w:szCs w:val="22"/>
        </w:rPr>
        <w:t xml:space="preserve"> through the operation of the disqualification regime</w:t>
      </w:r>
      <w:r w:rsidR="00B020D8">
        <w:rPr>
          <w:sz w:val="22"/>
          <w:szCs w:val="22"/>
        </w:rPr>
        <w:t>)</w:t>
      </w:r>
      <w:r w:rsidR="006D33A8" w:rsidRPr="00BA3046">
        <w:rPr>
          <w:sz w:val="22"/>
          <w:szCs w:val="22"/>
        </w:rPr>
        <w:t xml:space="preserve"> should regulate </w:t>
      </w:r>
      <w:r w:rsidR="00BB235D" w:rsidRPr="00BA3046">
        <w:rPr>
          <w:sz w:val="22"/>
          <w:szCs w:val="22"/>
        </w:rPr>
        <w:t xml:space="preserve">the </w:t>
      </w:r>
      <w:r w:rsidR="00AD2B5E" w:rsidRPr="00BA3046">
        <w:rPr>
          <w:sz w:val="22"/>
          <w:szCs w:val="22"/>
        </w:rPr>
        <w:t>behaviour of directors or trustees of incorporated charities</w:t>
      </w:r>
      <w:r w:rsidR="00B020D8">
        <w:rPr>
          <w:sz w:val="22"/>
          <w:szCs w:val="22"/>
        </w:rPr>
        <w:t xml:space="preserve"> </w:t>
      </w:r>
      <w:r w:rsidR="00AD7D75">
        <w:rPr>
          <w:sz w:val="22"/>
          <w:szCs w:val="22"/>
        </w:rPr>
        <w:t xml:space="preserve">be correct. That suggestion </w:t>
      </w:r>
      <w:r w:rsidR="000911B1">
        <w:rPr>
          <w:sz w:val="22"/>
          <w:szCs w:val="22"/>
        </w:rPr>
        <w:t xml:space="preserve">could only be implemented by </w:t>
      </w:r>
      <w:r w:rsidR="004143FD">
        <w:rPr>
          <w:sz w:val="22"/>
          <w:szCs w:val="22"/>
        </w:rPr>
        <w:t xml:space="preserve">wholesale </w:t>
      </w:r>
      <w:r w:rsidR="000911B1">
        <w:rPr>
          <w:sz w:val="22"/>
          <w:szCs w:val="22"/>
        </w:rPr>
        <w:t xml:space="preserve">changes being made to </w:t>
      </w:r>
      <w:r w:rsidR="004143FD">
        <w:rPr>
          <w:sz w:val="22"/>
          <w:szCs w:val="22"/>
        </w:rPr>
        <w:t xml:space="preserve">the CDDA 1986 and other </w:t>
      </w:r>
      <w:r w:rsidR="006C7FD8" w:rsidRPr="00BA3046">
        <w:rPr>
          <w:rStyle w:val="citation"/>
          <w:color w:val="auto"/>
          <w:sz w:val="22"/>
          <w:szCs w:val="22"/>
        </w:rPr>
        <w:t>legislation</w:t>
      </w:r>
      <w:r w:rsidR="004143FD">
        <w:rPr>
          <w:rStyle w:val="citation"/>
          <w:color w:val="auto"/>
          <w:sz w:val="22"/>
          <w:szCs w:val="22"/>
        </w:rPr>
        <w:t xml:space="preserve">. </w:t>
      </w:r>
      <w:r w:rsidR="00535E0E">
        <w:rPr>
          <w:rStyle w:val="citation"/>
          <w:color w:val="auto"/>
          <w:sz w:val="22"/>
          <w:szCs w:val="22"/>
        </w:rPr>
        <w:t xml:space="preserve">The CDDA 1986 has evolved </w:t>
      </w:r>
      <w:r w:rsidR="00E6787E">
        <w:rPr>
          <w:rStyle w:val="citation"/>
          <w:color w:val="auto"/>
          <w:sz w:val="22"/>
          <w:szCs w:val="22"/>
        </w:rPr>
        <w:t xml:space="preserve">over a number of years to </w:t>
      </w:r>
      <w:r w:rsidR="008B3C41">
        <w:rPr>
          <w:rStyle w:val="citation"/>
          <w:color w:val="auto"/>
          <w:sz w:val="22"/>
          <w:szCs w:val="22"/>
        </w:rPr>
        <w:t xml:space="preserve">provide the </w:t>
      </w:r>
      <w:r w:rsidR="006E1561">
        <w:rPr>
          <w:rStyle w:val="citation"/>
          <w:color w:val="auto"/>
          <w:sz w:val="22"/>
          <w:szCs w:val="22"/>
        </w:rPr>
        <w:t xml:space="preserve">most effective form </w:t>
      </w:r>
      <w:r w:rsidR="008B3C41">
        <w:rPr>
          <w:rStyle w:val="citation"/>
          <w:color w:val="auto"/>
          <w:sz w:val="22"/>
          <w:szCs w:val="22"/>
        </w:rPr>
        <w:t xml:space="preserve">of protection to the public from the </w:t>
      </w:r>
      <w:r w:rsidR="008E0FC0">
        <w:rPr>
          <w:rStyle w:val="citation"/>
          <w:color w:val="auto"/>
          <w:sz w:val="22"/>
          <w:szCs w:val="22"/>
        </w:rPr>
        <w:t xml:space="preserve">conduct </w:t>
      </w:r>
      <w:r w:rsidR="008B3C41">
        <w:rPr>
          <w:rStyle w:val="citation"/>
          <w:color w:val="auto"/>
          <w:sz w:val="22"/>
          <w:szCs w:val="22"/>
        </w:rPr>
        <w:t xml:space="preserve">of errant directors. </w:t>
      </w:r>
      <w:r w:rsidR="00EB46A3">
        <w:rPr>
          <w:rStyle w:val="citation"/>
          <w:color w:val="auto"/>
          <w:sz w:val="22"/>
          <w:szCs w:val="22"/>
        </w:rPr>
        <w:t xml:space="preserve">Any such </w:t>
      </w:r>
      <w:r w:rsidR="004639C9">
        <w:rPr>
          <w:rStyle w:val="citation"/>
          <w:color w:val="auto"/>
          <w:sz w:val="22"/>
          <w:szCs w:val="22"/>
        </w:rPr>
        <w:t>changes would substantially l</w:t>
      </w:r>
      <w:r w:rsidR="008A776B">
        <w:rPr>
          <w:rStyle w:val="citation"/>
          <w:color w:val="auto"/>
          <w:sz w:val="22"/>
          <w:szCs w:val="22"/>
        </w:rPr>
        <w:t xml:space="preserve">essen </w:t>
      </w:r>
      <w:r w:rsidR="005E6777">
        <w:rPr>
          <w:rStyle w:val="citation"/>
          <w:color w:val="auto"/>
          <w:sz w:val="22"/>
          <w:szCs w:val="22"/>
        </w:rPr>
        <w:t>that protection</w:t>
      </w:r>
      <w:r w:rsidR="00EB46A3">
        <w:rPr>
          <w:rStyle w:val="citation"/>
          <w:color w:val="auto"/>
          <w:sz w:val="22"/>
          <w:szCs w:val="22"/>
        </w:rPr>
        <w:t xml:space="preserve"> and would be a retrograde </w:t>
      </w:r>
      <w:r w:rsidR="00FE6DFC">
        <w:rPr>
          <w:rStyle w:val="citation"/>
          <w:color w:val="auto"/>
          <w:sz w:val="22"/>
          <w:szCs w:val="22"/>
        </w:rPr>
        <w:t xml:space="preserve">step for the Government to take. </w:t>
      </w:r>
      <w:r w:rsidR="002F69B3">
        <w:rPr>
          <w:rStyle w:val="citation"/>
          <w:color w:val="auto"/>
          <w:sz w:val="22"/>
          <w:szCs w:val="22"/>
        </w:rPr>
        <w:t xml:space="preserve"> </w:t>
      </w:r>
      <w:r w:rsidR="006C7FD8" w:rsidRPr="00860932">
        <w:rPr>
          <w:rStyle w:val="citation"/>
          <w:color w:val="auto"/>
          <w:sz w:val="22"/>
          <w:szCs w:val="22"/>
        </w:rPr>
        <w:t xml:space="preserve">    </w:t>
      </w:r>
      <w:r w:rsidR="006C7FD8" w:rsidRPr="00860932">
        <w:rPr>
          <w:sz w:val="22"/>
          <w:szCs w:val="22"/>
        </w:rPr>
        <w:t xml:space="preserve">    </w:t>
      </w:r>
    </w:p>
    <w:p w14:paraId="054BCEF2" w14:textId="77777777" w:rsidR="00F27E39" w:rsidRDefault="00F27E39" w:rsidP="00F27E39">
      <w:pPr>
        <w:rPr>
          <w:rFonts w:ascii="Verdana" w:hAnsi="Verdana" w:cs="Arial"/>
          <w:i/>
        </w:rPr>
      </w:pPr>
    </w:p>
    <w:p w14:paraId="797C3861" w14:textId="5B014530" w:rsidR="002C5428" w:rsidRDefault="002C5428" w:rsidP="002C5428">
      <w:pPr>
        <w:ind w:left="720" w:hanging="720"/>
        <w:rPr>
          <w:rFonts w:ascii="Verdana" w:hAnsi="Verdana" w:cs="Arial"/>
          <w:b/>
          <w:iCs/>
        </w:rPr>
      </w:pPr>
      <w:r>
        <w:rPr>
          <w:rFonts w:ascii="Verdana" w:hAnsi="Verdana" w:cs="Arial"/>
          <w:b/>
          <w:iCs/>
        </w:rPr>
        <w:t>*</w:t>
      </w:r>
      <w:r>
        <w:rPr>
          <w:rFonts w:ascii="Verdana" w:hAnsi="Verdana" w:cs="Arial"/>
          <w:b/>
          <w:iCs/>
        </w:rPr>
        <w:tab/>
        <w:t xml:space="preserve">Abbas Mithani </w:t>
      </w:r>
      <w:r w:rsidR="003628F7" w:rsidRPr="00277244">
        <w:rPr>
          <w:rFonts w:ascii="Verdana" w:hAnsi="Verdana" w:cs="Arial"/>
          <w:b/>
          <w:iCs/>
        </w:rPr>
        <w:t xml:space="preserve">is the former General Editor </w:t>
      </w:r>
      <w:r w:rsidR="00277244" w:rsidRPr="00277244">
        <w:rPr>
          <w:rFonts w:ascii="Verdana" w:hAnsi="Verdana" w:cs="Arial"/>
          <w:b/>
          <w:iCs/>
        </w:rPr>
        <w:t xml:space="preserve">(and now one of the contributors) </w:t>
      </w:r>
      <w:r w:rsidR="00F27E39" w:rsidRPr="00277244">
        <w:rPr>
          <w:rFonts w:ascii="Verdana" w:hAnsi="Verdana" w:cs="Arial"/>
          <w:b/>
          <w:iCs/>
        </w:rPr>
        <w:t xml:space="preserve">of </w:t>
      </w:r>
      <w:r w:rsidR="00F27E39" w:rsidRPr="00277244">
        <w:rPr>
          <w:rFonts w:ascii="Verdana" w:hAnsi="Verdana" w:cs="Arial"/>
          <w:b/>
          <w:i/>
        </w:rPr>
        <w:t>Mithani: Directors’ Disqualification</w:t>
      </w:r>
      <w:r w:rsidR="00F27E39" w:rsidRPr="00277244">
        <w:rPr>
          <w:rFonts w:ascii="Verdana" w:hAnsi="Verdana" w:cs="Arial"/>
          <w:b/>
          <w:iCs/>
        </w:rPr>
        <w:t xml:space="preserve"> </w:t>
      </w:r>
    </w:p>
    <w:p w14:paraId="1118D925" w14:textId="7DD2BA7A" w:rsidR="003F5FBD" w:rsidRDefault="00425636" w:rsidP="003F5FBD">
      <w:pPr>
        <w:ind w:left="720" w:hanging="720"/>
        <w:rPr>
          <w:rFonts w:ascii="Verdana" w:hAnsi="Verdana" w:cs="Arial"/>
          <w:b/>
          <w:iCs/>
        </w:rPr>
      </w:pPr>
      <w:r>
        <w:rPr>
          <w:rFonts w:ascii="Verdana" w:hAnsi="Verdana" w:cs="Arial"/>
          <w:b/>
          <w:iCs/>
        </w:rPr>
        <w:t>**</w:t>
      </w:r>
      <w:r>
        <w:rPr>
          <w:rFonts w:ascii="Verdana" w:hAnsi="Verdana" w:cs="Arial"/>
          <w:b/>
          <w:iCs/>
        </w:rPr>
        <w:tab/>
      </w:r>
      <w:r w:rsidR="003F5FBD">
        <w:rPr>
          <w:rFonts w:ascii="Verdana" w:hAnsi="Verdana" w:cs="Arial"/>
          <w:b/>
          <w:iCs/>
        </w:rPr>
        <w:t xml:space="preserve">Dr John Tribe is a </w:t>
      </w:r>
      <w:r w:rsidR="003F5FBD" w:rsidRPr="003F5FBD">
        <w:rPr>
          <w:rFonts w:ascii="Verdana" w:hAnsi="Verdana" w:cs="Arial"/>
          <w:b/>
          <w:iCs/>
        </w:rPr>
        <w:t>Senior Lecturer in Law, Liverpool Law School, University of Liverpool,</w:t>
      </w:r>
      <w:r w:rsidR="006D7E0F">
        <w:rPr>
          <w:rFonts w:ascii="Verdana" w:hAnsi="Verdana" w:cs="Arial"/>
          <w:b/>
          <w:iCs/>
        </w:rPr>
        <w:t xml:space="preserve"> and an </w:t>
      </w:r>
      <w:r w:rsidR="003F5FBD" w:rsidRPr="003F5FBD">
        <w:rPr>
          <w:rFonts w:ascii="Verdana" w:hAnsi="Verdana" w:cs="Arial"/>
          <w:b/>
          <w:iCs/>
        </w:rPr>
        <w:t>Academic Associate</w:t>
      </w:r>
      <w:r w:rsidR="006D7E0F">
        <w:rPr>
          <w:rFonts w:ascii="Verdana" w:hAnsi="Verdana" w:cs="Arial"/>
          <w:b/>
          <w:iCs/>
        </w:rPr>
        <w:t xml:space="preserve"> at </w:t>
      </w:r>
      <w:r w:rsidR="003F5FBD" w:rsidRPr="003F5FBD">
        <w:rPr>
          <w:rFonts w:ascii="Verdana" w:hAnsi="Verdana" w:cs="Arial"/>
          <w:b/>
          <w:iCs/>
        </w:rPr>
        <w:t>Exchange Chambers</w:t>
      </w:r>
      <w:r w:rsidR="006D7E0F">
        <w:rPr>
          <w:rFonts w:ascii="Verdana" w:hAnsi="Verdana" w:cs="Arial"/>
          <w:b/>
          <w:iCs/>
        </w:rPr>
        <w:t xml:space="preserve">. He is also an </w:t>
      </w:r>
      <w:r w:rsidR="005437BE">
        <w:rPr>
          <w:rFonts w:ascii="Verdana" w:hAnsi="Verdana" w:cs="Arial"/>
          <w:b/>
          <w:iCs/>
        </w:rPr>
        <w:t>A</w:t>
      </w:r>
      <w:r w:rsidR="006D7E0F">
        <w:rPr>
          <w:rFonts w:ascii="Verdana" w:hAnsi="Verdana" w:cs="Arial"/>
          <w:b/>
          <w:iCs/>
        </w:rPr>
        <w:t xml:space="preserve">dvisory </w:t>
      </w:r>
      <w:r w:rsidR="005437BE">
        <w:rPr>
          <w:rFonts w:ascii="Verdana" w:hAnsi="Verdana" w:cs="Arial"/>
          <w:b/>
          <w:iCs/>
        </w:rPr>
        <w:t xml:space="preserve">Editor </w:t>
      </w:r>
      <w:r w:rsidR="005437BE" w:rsidRPr="00277244">
        <w:rPr>
          <w:rFonts w:ascii="Verdana" w:hAnsi="Verdana" w:cs="Arial"/>
          <w:b/>
          <w:iCs/>
        </w:rPr>
        <w:t xml:space="preserve">of </w:t>
      </w:r>
      <w:r w:rsidR="005437BE" w:rsidRPr="00277244">
        <w:rPr>
          <w:rFonts w:ascii="Verdana" w:hAnsi="Verdana" w:cs="Arial"/>
          <w:b/>
          <w:i/>
        </w:rPr>
        <w:t>Mithani: Directors’ Disqualification</w:t>
      </w:r>
    </w:p>
    <w:p w14:paraId="452403E0" w14:textId="55D9A011" w:rsidR="00277244" w:rsidRPr="00277244" w:rsidRDefault="00277244" w:rsidP="00194E4C">
      <w:pPr>
        <w:rPr>
          <w:rFonts w:ascii="Verdana" w:hAnsi="Verdana" w:cs="Arial"/>
          <w:b/>
          <w:iCs/>
        </w:rPr>
      </w:pPr>
      <w:r w:rsidRPr="00277244">
        <w:rPr>
          <w:rFonts w:ascii="Verdana" w:hAnsi="Verdana" w:cs="Arial"/>
          <w:b/>
          <w:iCs/>
        </w:rPr>
        <w:t xml:space="preserve">The views expressed in this </w:t>
      </w:r>
      <w:r>
        <w:rPr>
          <w:rFonts w:ascii="Verdana" w:hAnsi="Verdana" w:cs="Arial"/>
          <w:b/>
          <w:iCs/>
        </w:rPr>
        <w:t xml:space="preserve">article </w:t>
      </w:r>
      <w:r w:rsidRPr="00277244">
        <w:rPr>
          <w:rFonts w:ascii="Verdana" w:hAnsi="Verdana" w:cs="Arial"/>
          <w:b/>
          <w:iCs/>
        </w:rPr>
        <w:t xml:space="preserve">are those of the </w:t>
      </w:r>
      <w:r w:rsidR="00194E4C">
        <w:rPr>
          <w:rFonts w:ascii="Verdana" w:hAnsi="Verdana" w:cs="Arial"/>
          <w:b/>
          <w:iCs/>
        </w:rPr>
        <w:t xml:space="preserve">authors </w:t>
      </w:r>
      <w:r w:rsidRPr="00277244">
        <w:rPr>
          <w:rFonts w:ascii="Verdana" w:hAnsi="Verdana" w:cs="Arial"/>
          <w:b/>
          <w:iCs/>
        </w:rPr>
        <w:t xml:space="preserve">alone and are given in </w:t>
      </w:r>
      <w:r w:rsidR="00194E4C">
        <w:rPr>
          <w:rFonts w:ascii="Verdana" w:hAnsi="Verdana" w:cs="Arial"/>
          <w:b/>
          <w:iCs/>
        </w:rPr>
        <w:t xml:space="preserve">their </w:t>
      </w:r>
      <w:r w:rsidRPr="00277244">
        <w:rPr>
          <w:rFonts w:ascii="Verdana" w:hAnsi="Verdana" w:cs="Arial"/>
          <w:b/>
          <w:iCs/>
        </w:rPr>
        <w:t xml:space="preserve">personal capacity. </w:t>
      </w:r>
    </w:p>
    <w:p w14:paraId="11B59181" w14:textId="77777777" w:rsidR="00277244" w:rsidRDefault="00277244" w:rsidP="00277244">
      <w:pPr>
        <w:rPr>
          <w:rFonts w:ascii="Verdana" w:hAnsi="Verdana" w:cs="Arial"/>
          <w:i/>
        </w:rPr>
      </w:pPr>
    </w:p>
    <w:p w14:paraId="194270EB" w14:textId="77777777" w:rsidR="00277244" w:rsidRDefault="00277244" w:rsidP="00F27E39">
      <w:pPr>
        <w:rPr>
          <w:rFonts w:ascii="Verdana" w:hAnsi="Verdana" w:cs="Arial"/>
          <w:b/>
          <w:i/>
        </w:rPr>
      </w:pPr>
    </w:p>
    <w:p w14:paraId="14D94818" w14:textId="77777777" w:rsidR="00F27E39" w:rsidRDefault="00F27E39" w:rsidP="00F27E39">
      <w:pPr>
        <w:rPr>
          <w:rFonts w:ascii="Verdana" w:hAnsi="Verdana" w:cs="Arial"/>
          <w:i/>
        </w:rPr>
      </w:pPr>
    </w:p>
    <w:p w14:paraId="140C4BF0" w14:textId="77777777" w:rsidR="00F27E39" w:rsidRDefault="00F27E39" w:rsidP="0075538B">
      <w:pPr>
        <w:rPr>
          <w:rFonts w:ascii="Verdana" w:hAnsi="Verdana"/>
        </w:rPr>
      </w:pPr>
    </w:p>
    <w:sectPr w:rsidR="00F27E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0FAA4" w14:textId="77777777" w:rsidR="001E37BA" w:rsidRDefault="001E37BA" w:rsidP="006C7FD8">
      <w:pPr>
        <w:spacing w:after="0" w:line="240" w:lineRule="auto"/>
      </w:pPr>
      <w:r>
        <w:separator/>
      </w:r>
    </w:p>
  </w:endnote>
  <w:endnote w:type="continuationSeparator" w:id="0">
    <w:p w14:paraId="5C07E6FB" w14:textId="77777777" w:rsidR="001E37BA" w:rsidRDefault="001E37BA" w:rsidP="006C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FE3E4" w14:textId="77777777" w:rsidR="001E37BA" w:rsidRDefault="001E37BA" w:rsidP="006C7FD8">
      <w:pPr>
        <w:spacing w:after="0" w:line="240" w:lineRule="auto"/>
      </w:pPr>
      <w:r>
        <w:separator/>
      </w:r>
    </w:p>
  </w:footnote>
  <w:footnote w:type="continuationSeparator" w:id="0">
    <w:p w14:paraId="5B9BE183" w14:textId="77777777" w:rsidR="001E37BA" w:rsidRDefault="001E37BA" w:rsidP="006C7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EEA"/>
    <w:multiLevelType w:val="hybridMultilevel"/>
    <w:tmpl w:val="F34AF7D8"/>
    <w:lvl w:ilvl="0" w:tplc="A98E5C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403D6"/>
    <w:multiLevelType w:val="hybridMultilevel"/>
    <w:tmpl w:val="DEA87C7A"/>
    <w:lvl w:ilvl="0" w:tplc="F5AAFF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B7BDE"/>
    <w:multiLevelType w:val="hybridMultilevel"/>
    <w:tmpl w:val="40CAE556"/>
    <w:lvl w:ilvl="0" w:tplc="8A94C0C0">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6B043AC5"/>
    <w:multiLevelType w:val="hybridMultilevel"/>
    <w:tmpl w:val="6FDA7AC0"/>
    <w:lvl w:ilvl="0" w:tplc="7E0AB648">
      <w:start w:val="1"/>
      <w:numFmt w:val="decimal"/>
      <w:lvlText w:val="%1"/>
      <w:lvlJc w:val="left"/>
      <w:pPr>
        <w:ind w:left="1440" w:hanging="720"/>
      </w:pPr>
      <w:rPr>
        <w:rFonts w:cs="Arial"/>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9E"/>
    <w:rsid w:val="00000B2E"/>
    <w:rsid w:val="00003E8D"/>
    <w:rsid w:val="0000605D"/>
    <w:rsid w:val="00006B0C"/>
    <w:rsid w:val="00007A2D"/>
    <w:rsid w:val="0001179F"/>
    <w:rsid w:val="0001430A"/>
    <w:rsid w:val="000230BC"/>
    <w:rsid w:val="00024AAF"/>
    <w:rsid w:val="00027294"/>
    <w:rsid w:val="0003383A"/>
    <w:rsid w:val="00035D98"/>
    <w:rsid w:val="00036166"/>
    <w:rsid w:val="000401EF"/>
    <w:rsid w:val="000402A1"/>
    <w:rsid w:val="00040A50"/>
    <w:rsid w:val="00045B76"/>
    <w:rsid w:val="00050801"/>
    <w:rsid w:val="0005177E"/>
    <w:rsid w:val="00063F78"/>
    <w:rsid w:val="00064BF5"/>
    <w:rsid w:val="00067D1B"/>
    <w:rsid w:val="00070468"/>
    <w:rsid w:val="00070A78"/>
    <w:rsid w:val="000737E7"/>
    <w:rsid w:val="00076743"/>
    <w:rsid w:val="0007678A"/>
    <w:rsid w:val="00080351"/>
    <w:rsid w:val="000911B1"/>
    <w:rsid w:val="00092CDE"/>
    <w:rsid w:val="00096E8D"/>
    <w:rsid w:val="000A0DE8"/>
    <w:rsid w:val="000A11F9"/>
    <w:rsid w:val="000A2148"/>
    <w:rsid w:val="000A67BA"/>
    <w:rsid w:val="000A745A"/>
    <w:rsid w:val="000A75CA"/>
    <w:rsid w:val="000B092B"/>
    <w:rsid w:val="000C0F85"/>
    <w:rsid w:val="000C198D"/>
    <w:rsid w:val="000C3102"/>
    <w:rsid w:val="000D4CBC"/>
    <w:rsid w:val="000D67CD"/>
    <w:rsid w:val="000E1585"/>
    <w:rsid w:val="000E21A8"/>
    <w:rsid w:val="000E73D4"/>
    <w:rsid w:val="000F0BDD"/>
    <w:rsid w:val="000F5511"/>
    <w:rsid w:val="00100CCD"/>
    <w:rsid w:val="00103E89"/>
    <w:rsid w:val="00111182"/>
    <w:rsid w:val="0011243F"/>
    <w:rsid w:val="001157B5"/>
    <w:rsid w:val="00115C59"/>
    <w:rsid w:val="00120C13"/>
    <w:rsid w:val="001210E5"/>
    <w:rsid w:val="001265ED"/>
    <w:rsid w:val="001268DE"/>
    <w:rsid w:val="00133648"/>
    <w:rsid w:val="00135443"/>
    <w:rsid w:val="001372B3"/>
    <w:rsid w:val="00140538"/>
    <w:rsid w:val="00141344"/>
    <w:rsid w:val="00142A3A"/>
    <w:rsid w:val="001445D3"/>
    <w:rsid w:val="00151B88"/>
    <w:rsid w:val="0015238F"/>
    <w:rsid w:val="00152EA0"/>
    <w:rsid w:val="001545D8"/>
    <w:rsid w:val="00157FB1"/>
    <w:rsid w:val="001611F5"/>
    <w:rsid w:val="001624B6"/>
    <w:rsid w:val="00162ADB"/>
    <w:rsid w:val="00162B88"/>
    <w:rsid w:val="001642E1"/>
    <w:rsid w:val="00166DF3"/>
    <w:rsid w:val="00167A3A"/>
    <w:rsid w:val="001829D3"/>
    <w:rsid w:val="001850A7"/>
    <w:rsid w:val="00190AA8"/>
    <w:rsid w:val="00190DBC"/>
    <w:rsid w:val="00194E4C"/>
    <w:rsid w:val="001A0EF5"/>
    <w:rsid w:val="001A1E85"/>
    <w:rsid w:val="001A4B1E"/>
    <w:rsid w:val="001A5D0E"/>
    <w:rsid w:val="001B1943"/>
    <w:rsid w:val="001B382F"/>
    <w:rsid w:val="001B3DF8"/>
    <w:rsid w:val="001C312B"/>
    <w:rsid w:val="001C48C0"/>
    <w:rsid w:val="001C52CF"/>
    <w:rsid w:val="001C6E04"/>
    <w:rsid w:val="001D0FD1"/>
    <w:rsid w:val="001D192E"/>
    <w:rsid w:val="001D1B03"/>
    <w:rsid w:val="001D3441"/>
    <w:rsid w:val="001E017E"/>
    <w:rsid w:val="001E0843"/>
    <w:rsid w:val="001E37BA"/>
    <w:rsid w:val="001E5921"/>
    <w:rsid w:val="001E66E1"/>
    <w:rsid w:val="001F0311"/>
    <w:rsid w:val="001F079A"/>
    <w:rsid w:val="001F110C"/>
    <w:rsid w:val="002149F4"/>
    <w:rsid w:val="00214D68"/>
    <w:rsid w:val="002211A8"/>
    <w:rsid w:val="00223943"/>
    <w:rsid w:val="002242A5"/>
    <w:rsid w:val="00231142"/>
    <w:rsid w:val="00232AB5"/>
    <w:rsid w:val="002340D8"/>
    <w:rsid w:val="0023484A"/>
    <w:rsid w:val="002408F8"/>
    <w:rsid w:val="002447B2"/>
    <w:rsid w:val="002504B4"/>
    <w:rsid w:val="002557AD"/>
    <w:rsid w:val="00255B59"/>
    <w:rsid w:val="00255BAA"/>
    <w:rsid w:val="002659CB"/>
    <w:rsid w:val="00270922"/>
    <w:rsid w:val="002709C6"/>
    <w:rsid w:val="002765E1"/>
    <w:rsid w:val="00277244"/>
    <w:rsid w:val="00281AC3"/>
    <w:rsid w:val="00282E7A"/>
    <w:rsid w:val="002947CD"/>
    <w:rsid w:val="002959FA"/>
    <w:rsid w:val="002A10C9"/>
    <w:rsid w:val="002A141F"/>
    <w:rsid w:val="002A195A"/>
    <w:rsid w:val="002A63D8"/>
    <w:rsid w:val="002B387A"/>
    <w:rsid w:val="002C1969"/>
    <w:rsid w:val="002C5428"/>
    <w:rsid w:val="002C5F1B"/>
    <w:rsid w:val="002D1669"/>
    <w:rsid w:val="002D1C3C"/>
    <w:rsid w:val="002D1C40"/>
    <w:rsid w:val="002D1D67"/>
    <w:rsid w:val="002D1E1E"/>
    <w:rsid w:val="002E0876"/>
    <w:rsid w:val="002E20F6"/>
    <w:rsid w:val="002E22C5"/>
    <w:rsid w:val="002E4F40"/>
    <w:rsid w:val="002F1318"/>
    <w:rsid w:val="002F14CA"/>
    <w:rsid w:val="002F69B3"/>
    <w:rsid w:val="00301536"/>
    <w:rsid w:val="00310FD9"/>
    <w:rsid w:val="003110B6"/>
    <w:rsid w:val="00312E0E"/>
    <w:rsid w:val="00315278"/>
    <w:rsid w:val="003214E6"/>
    <w:rsid w:val="00323F84"/>
    <w:rsid w:val="003335AF"/>
    <w:rsid w:val="00353C64"/>
    <w:rsid w:val="00354C65"/>
    <w:rsid w:val="00354F00"/>
    <w:rsid w:val="003606CC"/>
    <w:rsid w:val="003619F3"/>
    <w:rsid w:val="003628F7"/>
    <w:rsid w:val="003640DC"/>
    <w:rsid w:val="00365EC2"/>
    <w:rsid w:val="003724B9"/>
    <w:rsid w:val="003731F0"/>
    <w:rsid w:val="00373C3A"/>
    <w:rsid w:val="00374325"/>
    <w:rsid w:val="00376575"/>
    <w:rsid w:val="00376D4E"/>
    <w:rsid w:val="003804DD"/>
    <w:rsid w:val="00390618"/>
    <w:rsid w:val="00391D9C"/>
    <w:rsid w:val="003951CD"/>
    <w:rsid w:val="0039756A"/>
    <w:rsid w:val="003A06A8"/>
    <w:rsid w:val="003A0D61"/>
    <w:rsid w:val="003A1ECD"/>
    <w:rsid w:val="003B0BAC"/>
    <w:rsid w:val="003B2BBF"/>
    <w:rsid w:val="003B3567"/>
    <w:rsid w:val="003B40FD"/>
    <w:rsid w:val="003B4666"/>
    <w:rsid w:val="003C082F"/>
    <w:rsid w:val="003C5C81"/>
    <w:rsid w:val="003C6A53"/>
    <w:rsid w:val="003D0444"/>
    <w:rsid w:val="003D0878"/>
    <w:rsid w:val="003D1C26"/>
    <w:rsid w:val="003D4268"/>
    <w:rsid w:val="003D6042"/>
    <w:rsid w:val="003D7398"/>
    <w:rsid w:val="003E0179"/>
    <w:rsid w:val="003E2920"/>
    <w:rsid w:val="003F4D88"/>
    <w:rsid w:val="003F5E7A"/>
    <w:rsid w:val="003F5FBD"/>
    <w:rsid w:val="00413186"/>
    <w:rsid w:val="004143FD"/>
    <w:rsid w:val="00416268"/>
    <w:rsid w:val="0041670A"/>
    <w:rsid w:val="00420F08"/>
    <w:rsid w:val="004242E6"/>
    <w:rsid w:val="0042533F"/>
    <w:rsid w:val="00425636"/>
    <w:rsid w:val="00432CF2"/>
    <w:rsid w:val="00432EEC"/>
    <w:rsid w:val="004460AB"/>
    <w:rsid w:val="0045366E"/>
    <w:rsid w:val="00455DF1"/>
    <w:rsid w:val="004623B4"/>
    <w:rsid w:val="004639C9"/>
    <w:rsid w:val="00467AB4"/>
    <w:rsid w:val="00472168"/>
    <w:rsid w:val="00472D62"/>
    <w:rsid w:val="00473D59"/>
    <w:rsid w:val="004776D1"/>
    <w:rsid w:val="00481CA7"/>
    <w:rsid w:val="00491D49"/>
    <w:rsid w:val="004925C0"/>
    <w:rsid w:val="00494BF8"/>
    <w:rsid w:val="004A0765"/>
    <w:rsid w:val="004A0B6C"/>
    <w:rsid w:val="004A2A95"/>
    <w:rsid w:val="004A762B"/>
    <w:rsid w:val="004B416E"/>
    <w:rsid w:val="004B48C0"/>
    <w:rsid w:val="004B6929"/>
    <w:rsid w:val="004C54BD"/>
    <w:rsid w:val="004D1DBC"/>
    <w:rsid w:val="004D45A1"/>
    <w:rsid w:val="004D48F3"/>
    <w:rsid w:val="004D576E"/>
    <w:rsid w:val="004E200B"/>
    <w:rsid w:val="004E31B9"/>
    <w:rsid w:val="004E3FDC"/>
    <w:rsid w:val="004F1BCB"/>
    <w:rsid w:val="004F1EE4"/>
    <w:rsid w:val="004F3ECC"/>
    <w:rsid w:val="004F786B"/>
    <w:rsid w:val="0050002D"/>
    <w:rsid w:val="005027BF"/>
    <w:rsid w:val="00503E46"/>
    <w:rsid w:val="00504720"/>
    <w:rsid w:val="00504792"/>
    <w:rsid w:val="00506231"/>
    <w:rsid w:val="0051179C"/>
    <w:rsid w:val="00516D23"/>
    <w:rsid w:val="00517539"/>
    <w:rsid w:val="00523963"/>
    <w:rsid w:val="00524BC4"/>
    <w:rsid w:val="005316F5"/>
    <w:rsid w:val="00531A9E"/>
    <w:rsid w:val="00532637"/>
    <w:rsid w:val="00534A67"/>
    <w:rsid w:val="00534C27"/>
    <w:rsid w:val="00535E0E"/>
    <w:rsid w:val="005415BE"/>
    <w:rsid w:val="005437BE"/>
    <w:rsid w:val="00543D4D"/>
    <w:rsid w:val="00551320"/>
    <w:rsid w:val="00552214"/>
    <w:rsid w:val="00555941"/>
    <w:rsid w:val="00561ABC"/>
    <w:rsid w:val="00562A30"/>
    <w:rsid w:val="00564182"/>
    <w:rsid w:val="00565BD5"/>
    <w:rsid w:val="00570C06"/>
    <w:rsid w:val="005742ED"/>
    <w:rsid w:val="00580C66"/>
    <w:rsid w:val="00583A7A"/>
    <w:rsid w:val="005841DB"/>
    <w:rsid w:val="00584DA8"/>
    <w:rsid w:val="00584F29"/>
    <w:rsid w:val="0059168B"/>
    <w:rsid w:val="005A1E23"/>
    <w:rsid w:val="005A2320"/>
    <w:rsid w:val="005A5C54"/>
    <w:rsid w:val="005B71B7"/>
    <w:rsid w:val="005C6405"/>
    <w:rsid w:val="005D032B"/>
    <w:rsid w:val="005D05EA"/>
    <w:rsid w:val="005D33EC"/>
    <w:rsid w:val="005E3A5B"/>
    <w:rsid w:val="005E5C90"/>
    <w:rsid w:val="005E6478"/>
    <w:rsid w:val="005E6777"/>
    <w:rsid w:val="005F14F4"/>
    <w:rsid w:val="005F4BB9"/>
    <w:rsid w:val="005F5A2B"/>
    <w:rsid w:val="00601231"/>
    <w:rsid w:val="00604EAA"/>
    <w:rsid w:val="0061030C"/>
    <w:rsid w:val="00616CAA"/>
    <w:rsid w:val="00626536"/>
    <w:rsid w:val="00626B8A"/>
    <w:rsid w:val="00630E67"/>
    <w:rsid w:val="00633372"/>
    <w:rsid w:val="00633A5B"/>
    <w:rsid w:val="006406DD"/>
    <w:rsid w:val="00642798"/>
    <w:rsid w:val="00643A49"/>
    <w:rsid w:val="00643BE6"/>
    <w:rsid w:val="0064447B"/>
    <w:rsid w:val="00653008"/>
    <w:rsid w:val="00653AFB"/>
    <w:rsid w:val="00660F0A"/>
    <w:rsid w:val="00662554"/>
    <w:rsid w:val="00663C9C"/>
    <w:rsid w:val="00663D4F"/>
    <w:rsid w:val="00673DCE"/>
    <w:rsid w:val="00681028"/>
    <w:rsid w:val="006815C7"/>
    <w:rsid w:val="0068274E"/>
    <w:rsid w:val="006860E5"/>
    <w:rsid w:val="00690D58"/>
    <w:rsid w:val="0069318A"/>
    <w:rsid w:val="00693752"/>
    <w:rsid w:val="00695426"/>
    <w:rsid w:val="00697C29"/>
    <w:rsid w:val="006A280C"/>
    <w:rsid w:val="006A4A36"/>
    <w:rsid w:val="006A7BB4"/>
    <w:rsid w:val="006B01B5"/>
    <w:rsid w:val="006B2013"/>
    <w:rsid w:val="006B6A80"/>
    <w:rsid w:val="006B7327"/>
    <w:rsid w:val="006B78A8"/>
    <w:rsid w:val="006C0156"/>
    <w:rsid w:val="006C5783"/>
    <w:rsid w:val="006C602D"/>
    <w:rsid w:val="006C79C5"/>
    <w:rsid w:val="006C7FD8"/>
    <w:rsid w:val="006D0372"/>
    <w:rsid w:val="006D33A8"/>
    <w:rsid w:val="006D4071"/>
    <w:rsid w:val="006D5415"/>
    <w:rsid w:val="006D5462"/>
    <w:rsid w:val="006D7E0F"/>
    <w:rsid w:val="006E0912"/>
    <w:rsid w:val="006E1478"/>
    <w:rsid w:val="006E1561"/>
    <w:rsid w:val="006E4EE7"/>
    <w:rsid w:val="006E6826"/>
    <w:rsid w:val="006E69A2"/>
    <w:rsid w:val="006F0DB6"/>
    <w:rsid w:val="006F358C"/>
    <w:rsid w:val="006F699A"/>
    <w:rsid w:val="006F774C"/>
    <w:rsid w:val="006F7CE8"/>
    <w:rsid w:val="007004E1"/>
    <w:rsid w:val="007015DD"/>
    <w:rsid w:val="00705F3F"/>
    <w:rsid w:val="007140B3"/>
    <w:rsid w:val="00715AFA"/>
    <w:rsid w:val="007173D1"/>
    <w:rsid w:val="00717C31"/>
    <w:rsid w:val="00720C0A"/>
    <w:rsid w:val="00720EBE"/>
    <w:rsid w:val="00721D56"/>
    <w:rsid w:val="00723909"/>
    <w:rsid w:val="00724746"/>
    <w:rsid w:val="007267B5"/>
    <w:rsid w:val="00733D16"/>
    <w:rsid w:val="007348C0"/>
    <w:rsid w:val="007350A5"/>
    <w:rsid w:val="00742758"/>
    <w:rsid w:val="007434A9"/>
    <w:rsid w:val="007465B7"/>
    <w:rsid w:val="00753A07"/>
    <w:rsid w:val="0075538B"/>
    <w:rsid w:val="00755E24"/>
    <w:rsid w:val="00765F44"/>
    <w:rsid w:val="007664B9"/>
    <w:rsid w:val="00767A21"/>
    <w:rsid w:val="00767B9B"/>
    <w:rsid w:val="00770247"/>
    <w:rsid w:val="00774C55"/>
    <w:rsid w:val="00784984"/>
    <w:rsid w:val="007869C7"/>
    <w:rsid w:val="00787D0D"/>
    <w:rsid w:val="007950AE"/>
    <w:rsid w:val="0079575C"/>
    <w:rsid w:val="007A3000"/>
    <w:rsid w:val="007B0AF9"/>
    <w:rsid w:val="007B7F21"/>
    <w:rsid w:val="007D2573"/>
    <w:rsid w:val="007D6F9C"/>
    <w:rsid w:val="007E22FB"/>
    <w:rsid w:val="007E4E26"/>
    <w:rsid w:val="007F1204"/>
    <w:rsid w:val="007F5618"/>
    <w:rsid w:val="007F6FA8"/>
    <w:rsid w:val="00800B2B"/>
    <w:rsid w:val="008044E2"/>
    <w:rsid w:val="008100A1"/>
    <w:rsid w:val="00812767"/>
    <w:rsid w:val="00813258"/>
    <w:rsid w:val="00814FAD"/>
    <w:rsid w:val="00816CCE"/>
    <w:rsid w:val="00816F4E"/>
    <w:rsid w:val="00820B0B"/>
    <w:rsid w:val="0082540A"/>
    <w:rsid w:val="008270DF"/>
    <w:rsid w:val="00832965"/>
    <w:rsid w:val="00833367"/>
    <w:rsid w:val="00837A7D"/>
    <w:rsid w:val="00843998"/>
    <w:rsid w:val="008500BE"/>
    <w:rsid w:val="00850145"/>
    <w:rsid w:val="00851625"/>
    <w:rsid w:val="0085309F"/>
    <w:rsid w:val="008541B0"/>
    <w:rsid w:val="00855B69"/>
    <w:rsid w:val="008574CC"/>
    <w:rsid w:val="00860932"/>
    <w:rsid w:val="00860D60"/>
    <w:rsid w:val="0086712F"/>
    <w:rsid w:val="00870C45"/>
    <w:rsid w:val="00875D4A"/>
    <w:rsid w:val="00876078"/>
    <w:rsid w:val="00877A59"/>
    <w:rsid w:val="0088406F"/>
    <w:rsid w:val="00884BCF"/>
    <w:rsid w:val="0088540B"/>
    <w:rsid w:val="0088610C"/>
    <w:rsid w:val="0088676C"/>
    <w:rsid w:val="00886888"/>
    <w:rsid w:val="00890D03"/>
    <w:rsid w:val="008918E1"/>
    <w:rsid w:val="008A0820"/>
    <w:rsid w:val="008A15C5"/>
    <w:rsid w:val="008A352E"/>
    <w:rsid w:val="008A776B"/>
    <w:rsid w:val="008B1DE8"/>
    <w:rsid w:val="008B3383"/>
    <w:rsid w:val="008B3C41"/>
    <w:rsid w:val="008B7361"/>
    <w:rsid w:val="008C1A42"/>
    <w:rsid w:val="008C5480"/>
    <w:rsid w:val="008D10CC"/>
    <w:rsid w:val="008D3A68"/>
    <w:rsid w:val="008D6F19"/>
    <w:rsid w:val="008E0FC0"/>
    <w:rsid w:val="008E4A44"/>
    <w:rsid w:val="008F170A"/>
    <w:rsid w:val="008F4A61"/>
    <w:rsid w:val="008F5796"/>
    <w:rsid w:val="008F6770"/>
    <w:rsid w:val="0090220C"/>
    <w:rsid w:val="00905CF2"/>
    <w:rsid w:val="009061D8"/>
    <w:rsid w:val="00906702"/>
    <w:rsid w:val="00911BD0"/>
    <w:rsid w:val="00912715"/>
    <w:rsid w:val="00913A4D"/>
    <w:rsid w:val="00916021"/>
    <w:rsid w:val="00917224"/>
    <w:rsid w:val="009173D2"/>
    <w:rsid w:val="00917A5E"/>
    <w:rsid w:val="009227F0"/>
    <w:rsid w:val="00925BCE"/>
    <w:rsid w:val="00932284"/>
    <w:rsid w:val="00936D5A"/>
    <w:rsid w:val="0094318A"/>
    <w:rsid w:val="00944BCC"/>
    <w:rsid w:val="009502A3"/>
    <w:rsid w:val="00951120"/>
    <w:rsid w:val="009526D7"/>
    <w:rsid w:val="00953820"/>
    <w:rsid w:val="0096143F"/>
    <w:rsid w:val="0096321C"/>
    <w:rsid w:val="00970E9E"/>
    <w:rsid w:val="00972932"/>
    <w:rsid w:val="00972BA9"/>
    <w:rsid w:val="00975C9B"/>
    <w:rsid w:val="00975F85"/>
    <w:rsid w:val="009835BF"/>
    <w:rsid w:val="0098479A"/>
    <w:rsid w:val="009958C1"/>
    <w:rsid w:val="00996DF9"/>
    <w:rsid w:val="0099789F"/>
    <w:rsid w:val="009A3756"/>
    <w:rsid w:val="009A3CBA"/>
    <w:rsid w:val="009A4EA1"/>
    <w:rsid w:val="009A6254"/>
    <w:rsid w:val="009A71AD"/>
    <w:rsid w:val="009B07FB"/>
    <w:rsid w:val="009B2FE2"/>
    <w:rsid w:val="009D3A01"/>
    <w:rsid w:val="009E2B74"/>
    <w:rsid w:val="009E6B6B"/>
    <w:rsid w:val="00A05514"/>
    <w:rsid w:val="00A06C79"/>
    <w:rsid w:val="00A07055"/>
    <w:rsid w:val="00A072D5"/>
    <w:rsid w:val="00A102BA"/>
    <w:rsid w:val="00A1303D"/>
    <w:rsid w:val="00A21ECA"/>
    <w:rsid w:val="00A326AB"/>
    <w:rsid w:val="00A37F05"/>
    <w:rsid w:val="00A4346C"/>
    <w:rsid w:val="00A60DB9"/>
    <w:rsid w:val="00A65C6B"/>
    <w:rsid w:val="00A66ABF"/>
    <w:rsid w:val="00A72FEB"/>
    <w:rsid w:val="00A77E9D"/>
    <w:rsid w:val="00A8546E"/>
    <w:rsid w:val="00A86B59"/>
    <w:rsid w:val="00A93487"/>
    <w:rsid w:val="00A93ABA"/>
    <w:rsid w:val="00A94BE8"/>
    <w:rsid w:val="00A953B3"/>
    <w:rsid w:val="00A966A9"/>
    <w:rsid w:val="00AA5D25"/>
    <w:rsid w:val="00AA6B53"/>
    <w:rsid w:val="00AB13FD"/>
    <w:rsid w:val="00AC2CA4"/>
    <w:rsid w:val="00AC6687"/>
    <w:rsid w:val="00AC7861"/>
    <w:rsid w:val="00AD1B86"/>
    <w:rsid w:val="00AD2B5E"/>
    <w:rsid w:val="00AD5269"/>
    <w:rsid w:val="00AD58A3"/>
    <w:rsid w:val="00AD7D75"/>
    <w:rsid w:val="00AE23AE"/>
    <w:rsid w:val="00AE4EB5"/>
    <w:rsid w:val="00AE6CA5"/>
    <w:rsid w:val="00AE7D7C"/>
    <w:rsid w:val="00AF30AA"/>
    <w:rsid w:val="00B020D8"/>
    <w:rsid w:val="00B02875"/>
    <w:rsid w:val="00B02C05"/>
    <w:rsid w:val="00B036D9"/>
    <w:rsid w:val="00B07D4C"/>
    <w:rsid w:val="00B1308D"/>
    <w:rsid w:val="00B13EED"/>
    <w:rsid w:val="00B157D4"/>
    <w:rsid w:val="00B22216"/>
    <w:rsid w:val="00B247F1"/>
    <w:rsid w:val="00B250AE"/>
    <w:rsid w:val="00B251C1"/>
    <w:rsid w:val="00B27199"/>
    <w:rsid w:val="00B36E71"/>
    <w:rsid w:val="00B41DEE"/>
    <w:rsid w:val="00B510B0"/>
    <w:rsid w:val="00B53B2D"/>
    <w:rsid w:val="00B56355"/>
    <w:rsid w:val="00B63E1C"/>
    <w:rsid w:val="00B6524B"/>
    <w:rsid w:val="00B70A8D"/>
    <w:rsid w:val="00B744AB"/>
    <w:rsid w:val="00B830B4"/>
    <w:rsid w:val="00B90085"/>
    <w:rsid w:val="00B94D25"/>
    <w:rsid w:val="00BA16D7"/>
    <w:rsid w:val="00BA3046"/>
    <w:rsid w:val="00BA5998"/>
    <w:rsid w:val="00BA61C1"/>
    <w:rsid w:val="00BA72DA"/>
    <w:rsid w:val="00BA740F"/>
    <w:rsid w:val="00BB235D"/>
    <w:rsid w:val="00BB4603"/>
    <w:rsid w:val="00BB51CB"/>
    <w:rsid w:val="00BB79AF"/>
    <w:rsid w:val="00BC6C4D"/>
    <w:rsid w:val="00BC70E9"/>
    <w:rsid w:val="00BD0D7D"/>
    <w:rsid w:val="00BD2AE7"/>
    <w:rsid w:val="00BD74FE"/>
    <w:rsid w:val="00BD7622"/>
    <w:rsid w:val="00BE3D8E"/>
    <w:rsid w:val="00BE757F"/>
    <w:rsid w:val="00BF3487"/>
    <w:rsid w:val="00BF69B6"/>
    <w:rsid w:val="00C00969"/>
    <w:rsid w:val="00C071F1"/>
    <w:rsid w:val="00C07C7B"/>
    <w:rsid w:val="00C10659"/>
    <w:rsid w:val="00C126DE"/>
    <w:rsid w:val="00C16412"/>
    <w:rsid w:val="00C23F5B"/>
    <w:rsid w:val="00C24457"/>
    <w:rsid w:val="00C309A7"/>
    <w:rsid w:val="00C31098"/>
    <w:rsid w:val="00C342A2"/>
    <w:rsid w:val="00C36BB1"/>
    <w:rsid w:val="00C40966"/>
    <w:rsid w:val="00C42A38"/>
    <w:rsid w:val="00C4447B"/>
    <w:rsid w:val="00C50F79"/>
    <w:rsid w:val="00C529B6"/>
    <w:rsid w:val="00C55C64"/>
    <w:rsid w:val="00C55D3C"/>
    <w:rsid w:val="00C57CC3"/>
    <w:rsid w:val="00C62623"/>
    <w:rsid w:val="00C743D0"/>
    <w:rsid w:val="00C76586"/>
    <w:rsid w:val="00C76D4C"/>
    <w:rsid w:val="00C779DD"/>
    <w:rsid w:val="00C811F8"/>
    <w:rsid w:val="00C86945"/>
    <w:rsid w:val="00C86EDE"/>
    <w:rsid w:val="00C914EC"/>
    <w:rsid w:val="00C916A3"/>
    <w:rsid w:val="00C939A1"/>
    <w:rsid w:val="00C93F90"/>
    <w:rsid w:val="00CA0CA3"/>
    <w:rsid w:val="00CA0D2E"/>
    <w:rsid w:val="00CA1807"/>
    <w:rsid w:val="00CA1D3C"/>
    <w:rsid w:val="00CA734E"/>
    <w:rsid w:val="00CA7381"/>
    <w:rsid w:val="00CB174D"/>
    <w:rsid w:val="00CB2071"/>
    <w:rsid w:val="00CB351B"/>
    <w:rsid w:val="00CB6C73"/>
    <w:rsid w:val="00CB74AA"/>
    <w:rsid w:val="00CC737C"/>
    <w:rsid w:val="00CD3B16"/>
    <w:rsid w:val="00CD40F1"/>
    <w:rsid w:val="00CD7A2B"/>
    <w:rsid w:val="00CE77DA"/>
    <w:rsid w:val="00D102A8"/>
    <w:rsid w:val="00D1491D"/>
    <w:rsid w:val="00D15FD9"/>
    <w:rsid w:val="00D17113"/>
    <w:rsid w:val="00D20D9F"/>
    <w:rsid w:val="00D23E23"/>
    <w:rsid w:val="00D30181"/>
    <w:rsid w:val="00D427C9"/>
    <w:rsid w:val="00D548CA"/>
    <w:rsid w:val="00D55501"/>
    <w:rsid w:val="00D56486"/>
    <w:rsid w:val="00D603A8"/>
    <w:rsid w:val="00D61E59"/>
    <w:rsid w:val="00D61E8A"/>
    <w:rsid w:val="00D65128"/>
    <w:rsid w:val="00D74C9B"/>
    <w:rsid w:val="00D750A8"/>
    <w:rsid w:val="00D77FDF"/>
    <w:rsid w:val="00D80948"/>
    <w:rsid w:val="00D82147"/>
    <w:rsid w:val="00D8215A"/>
    <w:rsid w:val="00D82195"/>
    <w:rsid w:val="00D82985"/>
    <w:rsid w:val="00D86800"/>
    <w:rsid w:val="00D90A4B"/>
    <w:rsid w:val="00D92730"/>
    <w:rsid w:val="00D94874"/>
    <w:rsid w:val="00DA2043"/>
    <w:rsid w:val="00DA42C0"/>
    <w:rsid w:val="00DA52DC"/>
    <w:rsid w:val="00DB07D4"/>
    <w:rsid w:val="00DB2524"/>
    <w:rsid w:val="00DB5220"/>
    <w:rsid w:val="00DB669C"/>
    <w:rsid w:val="00DC1652"/>
    <w:rsid w:val="00DC457D"/>
    <w:rsid w:val="00DD0681"/>
    <w:rsid w:val="00DD16A1"/>
    <w:rsid w:val="00DD184B"/>
    <w:rsid w:val="00DD2F54"/>
    <w:rsid w:val="00DD7CFA"/>
    <w:rsid w:val="00DE5FC3"/>
    <w:rsid w:val="00DE7323"/>
    <w:rsid w:val="00DE762C"/>
    <w:rsid w:val="00DF7D3B"/>
    <w:rsid w:val="00DF7FFB"/>
    <w:rsid w:val="00E14B31"/>
    <w:rsid w:val="00E1726A"/>
    <w:rsid w:val="00E21C12"/>
    <w:rsid w:val="00E31406"/>
    <w:rsid w:val="00E32896"/>
    <w:rsid w:val="00E33DC2"/>
    <w:rsid w:val="00E34061"/>
    <w:rsid w:val="00E37B28"/>
    <w:rsid w:val="00E41657"/>
    <w:rsid w:val="00E45145"/>
    <w:rsid w:val="00E45E72"/>
    <w:rsid w:val="00E5244F"/>
    <w:rsid w:val="00E5359B"/>
    <w:rsid w:val="00E542C5"/>
    <w:rsid w:val="00E647C7"/>
    <w:rsid w:val="00E6787E"/>
    <w:rsid w:val="00E768A3"/>
    <w:rsid w:val="00E81361"/>
    <w:rsid w:val="00E85E53"/>
    <w:rsid w:val="00E93B2F"/>
    <w:rsid w:val="00E95C5B"/>
    <w:rsid w:val="00E96C9B"/>
    <w:rsid w:val="00EA0722"/>
    <w:rsid w:val="00EA1E40"/>
    <w:rsid w:val="00EA2898"/>
    <w:rsid w:val="00EA295F"/>
    <w:rsid w:val="00EA3422"/>
    <w:rsid w:val="00EA72D9"/>
    <w:rsid w:val="00EB0C52"/>
    <w:rsid w:val="00EB12E2"/>
    <w:rsid w:val="00EB28E1"/>
    <w:rsid w:val="00EB2FAE"/>
    <w:rsid w:val="00EB46A3"/>
    <w:rsid w:val="00EB72B8"/>
    <w:rsid w:val="00EC3F71"/>
    <w:rsid w:val="00ED0731"/>
    <w:rsid w:val="00ED4657"/>
    <w:rsid w:val="00ED4898"/>
    <w:rsid w:val="00ED5D7A"/>
    <w:rsid w:val="00EE19FB"/>
    <w:rsid w:val="00EE2948"/>
    <w:rsid w:val="00EF0FD1"/>
    <w:rsid w:val="00EF375E"/>
    <w:rsid w:val="00F02C59"/>
    <w:rsid w:val="00F0424C"/>
    <w:rsid w:val="00F10AE4"/>
    <w:rsid w:val="00F15AE3"/>
    <w:rsid w:val="00F16399"/>
    <w:rsid w:val="00F2067F"/>
    <w:rsid w:val="00F21160"/>
    <w:rsid w:val="00F22965"/>
    <w:rsid w:val="00F2341B"/>
    <w:rsid w:val="00F23477"/>
    <w:rsid w:val="00F2431D"/>
    <w:rsid w:val="00F2447A"/>
    <w:rsid w:val="00F24D22"/>
    <w:rsid w:val="00F27E39"/>
    <w:rsid w:val="00F3485C"/>
    <w:rsid w:val="00F35FA1"/>
    <w:rsid w:val="00F37FF6"/>
    <w:rsid w:val="00F407FD"/>
    <w:rsid w:val="00F409D4"/>
    <w:rsid w:val="00F41E40"/>
    <w:rsid w:val="00F51CC0"/>
    <w:rsid w:val="00F61BC0"/>
    <w:rsid w:val="00F63DC8"/>
    <w:rsid w:val="00F652CB"/>
    <w:rsid w:val="00F6743F"/>
    <w:rsid w:val="00F745D7"/>
    <w:rsid w:val="00F75DFD"/>
    <w:rsid w:val="00F77038"/>
    <w:rsid w:val="00F774AA"/>
    <w:rsid w:val="00F77FEE"/>
    <w:rsid w:val="00F82D27"/>
    <w:rsid w:val="00F845DB"/>
    <w:rsid w:val="00F8591A"/>
    <w:rsid w:val="00FA0320"/>
    <w:rsid w:val="00FA5897"/>
    <w:rsid w:val="00FA5B4A"/>
    <w:rsid w:val="00FA7998"/>
    <w:rsid w:val="00FA7BEF"/>
    <w:rsid w:val="00FC2CAE"/>
    <w:rsid w:val="00FC53A6"/>
    <w:rsid w:val="00FD2C09"/>
    <w:rsid w:val="00FD47B5"/>
    <w:rsid w:val="00FD60B0"/>
    <w:rsid w:val="00FD6D60"/>
    <w:rsid w:val="00FE0854"/>
    <w:rsid w:val="00FE3E3D"/>
    <w:rsid w:val="00FE44AF"/>
    <w:rsid w:val="00FE4D74"/>
    <w:rsid w:val="00FE6DFC"/>
    <w:rsid w:val="00FF177C"/>
    <w:rsid w:val="00FF46D4"/>
    <w:rsid w:val="00FF5B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4F21"/>
  <w15:chartTrackingRefBased/>
  <w15:docId w15:val="{3D944B4D-F9E7-4807-99CE-1BCBD44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84BCF"/>
    <w:rPr>
      <w:i/>
      <w:iCs/>
    </w:rPr>
  </w:style>
  <w:style w:type="paragraph" w:styleId="NormalWeb">
    <w:name w:val="Normal (Web)"/>
    <w:basedOn w:val="Normal"/>
    <w:uiPriority w:val="99"/>
    <w:unhideWhenUsed/>
    <w:rsid w:val="00040A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D7622"/>
    <w:pPr>
      <w:ind w:left="720"/>
      <w:contextualSpacing/>
    </w:pPr>
  </w:style>
  <w:style w:type="paragraph" w:customStyle="1" w:styleId="n-List1">
    <w:name w:val="n-List1"/>
    <w:uiPriority w:val="99"/>
    <w:qFormat/>
    <w:rsid w:val="00BA72DA"/>
    <w:pPr>
      <w:tabs>
        <w:tab w:val="left" w:pos="567"/>
      </w:tabs>
      <w:spacing w:before="120" w:after="0" w:line="240" w:lineRule="auto"/>
      <w:ind w:left="1134" w:hanging="567"/>
    </w:pPr>
    <w:rPr>
      <w:rFonts w:ascii="Verdana" w:eastAsia="Arial" w:hAnsi="Verdana" w:cs="Arial"/>
      <w:sz w:val="16"/>
      <w:szCs w:val="20"/>
      <w:lang w:eastAsia="en-GB"/>
    </w:rPr>
  </w:style>
  <w:style w:type="character" w:customStyle="1" w:styleId="citation">
    <w:name w:val="*citation"/>
    <w:rsid w:val="00BA72DA"/>
    <w:rPr>
      <w:color w:val="008080"/>
      <w:lang w:val="en-GB"/>
    </w:rPr>
  </w:style>
  <w:style w:type="character" w:styleId="Hyperlink">
    <w:name w:val="Hyperlink"/>
    <w:basedOn w:val="DefaultParagraphFont"/>
    <w:uiPriority w:val="99"/>
    <w:semiHidden/>
    <w:unhideWhenUsed/>
    <w:rsid w:val="006C7FD8"/>
    <w:rPr>
      <w:rFonts w:ascii="Verdana" w:hAnsi="Verdana" w:cs="Times New Roman" w:hint="default"/>
      <w:strike w:val="0"/>
      <w:dstrike w:val="0"/>
      <w:color w:val="004B91"/>
      <w:u w:val="none"/>
      <w:effect w:val="none"/>
    </w:rPr>
  </w:style>
  <w:style w:type="paragraph" w:styleId="FootnoteText">
    <w:name w:val="footnote text"/>
    <w:basedOn w:val="Normal"/>
    <w:link w:val="FootnoteTextChar"/>
    <w:unhideWhenUsed/>
    <w:rsid w:val="006C7FD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C7FD8"/>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6C7FD8"/>
    <w:rPr>
      <w:rFonts w:ascii="Times New Roman" w:hAnsi="Times New Roman" w:cs="Times New Roman" w:hint="default"/>
      <w:vertAlign w:val="superscript"/>
    </w:rPr>
  </w:style>
  <w:style w:type="character" w:customStyle="1" w:styleId="case">
    <w:name w:val="*case"/>
    <w:rsid w:val="006C7FD8"/>
    <w:rPr>
      <w:i/>
      <w:iCs w:val="0"/>
      <w:color w:val="0000FF"/>
      <w:lang w:val="en-GB" w:eastAsia="x-none"/>
    </w:rPr>
  </w:style>
  <w:style w:type="character" w:customStyle="1" w:styleId="cosearchterm">
    <w:name w:val="co_searchterm"/>
    <w:basedOn w:val="DefaultParagraphFont"/>
    <w:rsid w:val="007173D1"/>
  </w:style>
  <w:style w:type="paragraph" w:customStyle="1" w:styleId="n-Para">
    <w:name w:val="n-Para"/>
    <w:qFormat/>
    <w:rsid w:val="00DF7FFB"/>
    <w:pPr>
      <w:tabs>
        <w:tab w:val="left" w:pos="567"/>
      </w:tabs>
      <w:spacing w:before="120" w:after="0" w:line="240" w:lineRule="auto"/>
      <w:jc w:val="both"/>
    </w:pPr>
    <w:rPr>
      <w:rFonts w:ascii="Verdana" w:eastAsia="Arial" w:hAnsi="Verdana" w:cs="Arial"/>
      <w:sz w:val="16"/>
      <w:szCs w:val="20"/>
      <w:lang w:eastAsia="en-GB"/>
    </w:rPr>
  </w:style>
  <w:style w:type="character" w:customStyle="1" w:styleId="footnote">
    <w:name w:val="*footnote"/>
    <w:rsid w:val="00DF7FFB"/>
    <w:rPr>
      <w:vertAlign w:val="superscript"/>
      <w:lang w:val="en-GB"/>
    </w:rPr>
  </w:style>
  <w:style w:type="character" w:styleId="CommentReference">
    <w:name w:val="annotation reference"/>
    <w:basedOn w:val="DefaultParagraphFont"/>
    <w:uiPriority w:val="99"/>
    <w:semiHidden/>
    <w:unhideWhenUsed/>
    <w:rsid w:val="009A3CBA"/>
    <w:rPr>
      <w:sz w:val="16"/>
      <w:szCs w:val="16"/>
    </w:rPr>
  </w:style>
  <w:style w:type="paragraph" w:styleId="CommentText">
    <w:name w:val="annotation text"/>
    <w:basedOn w:val="Normal"/>
    <w:link w:val="CommentTextChar"/>
    <w:uiPriority w:val="99"/>
    <w:unhideWhenUsed/>
    <w:rsid w:val="009A3CBA"/>
    <w:pPr>
      <w:spacing w:line="240" w:lineRule="auto"/>
    </w:pPr>
    <w:rPr>
      <w:sz w:val="20"/>
      <w:szCs w:val="20"/>
    </w:rPr>
  </w:style>
  <w:style w:type="character" w:customStyle="1" w:styleId="CommentTextChar">
    <w:name w:val="Comment Text Char"/>
    <w:basedOn w:val="DefaultParagraphFont"/>
    <w:link w:val="CommentText"/>
    <w:uiPriority w:val="99"/>
    <w:rsid w:val="009A3CBA"/>
    <w:rPr>
      <w:sz w:val="20"/>
      <w:szCs w:val="20"/>
    </w:rPr>
  </w:style>
  <w:style w:type="paragraph" w:styleId="CommentSubject">
    <w:name w:val="annotation subject"/>
    <w:basedOn w:val="CommentText"/>
    <w:next w:val="CommentText"/>
    <w:link w:val="CommentSubjectChar"/>
    <w:uiPriority w:val="99"/>
    <w:semiHidden/>
    <w:unhideWhenUsed/>
    <w:rsid w:val="009A3CBA"/>
    <w:rPr>
      <w:b/>
      <w:bCs/>
    </w:rPr>
  </w:style>
  <w:style w:type="character" w:customStyle="1" w:styleId="CommentSubjectChar">
    <w:name w:val="Comment Subject Char"/>
    <w:basedOn w:val="CommentTextChar"/>
    <w:link w:val="CommentSubject"/>
    <w:uiPriority w:val="99"/>
    <w:semiHidden/>
    <w:rsid w:val="009A3CBA"/>
    <w:rPr>
      <w:b/>
      <w:bCs/>
      <w:sz w:val="20"/>
      <w:szCs w:val="20"/>
    </w:rPr>
  </w:style>
  <w:style w:type="paragraph" w:styleId="Revision">
    <w:name w:val="Revision"/>
    <w:hidden/>
    <w:uiPriority w:val="99"/>
    <w:semiHidden/>
    <w:rsid w:val="00DC1652"/>
    <w:pPr>
      <w:spacing w:after="0" w:line="240" w:lineRule="auto"/>
    </w:pPr>
  </w:style>
  <w:style w:type="paragraph" w:styleId="BalloonText">
    <w:name w:val="Balloon Text"/>
    <w:basedOn w:val="Normal"/>
    <w:link w:val="BalloonTextChar"/>
    <w:uiPriority w:val="99"/>
    <w:semiHidden/>
    <w:unhideWhenUsed/>
    <w:rsid w:val="0052396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39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01337">
      <w:bodyDiv w:val="1"/>
      <w:marLeft w:val="0"/>
      <w:marRight w:val="0"/>
      <w:marTop w:val="0"/>
      <w:marBottom w:val="0"/>
      <w:divBdr>
        <w:top w:val="none" w:sz="0" w:space="0" w:color="auto"/>
        <w:left w:val="none" w:sz="0" w:space="0" w:color="auto"/>
        <w:bottom w:val="none" w:sz="0" w:space="0" w:color="auto"/>
        <w:right w:val="none" w:sz="0" w:space="0" w:color="auto"/>
      </w:divBdr>
    </w:div>
    <w:div w:id="301271984">
      <w:bodyDiv w:val="1"/>
      <w:marLeft w:val="0"/>
      <w:marRight w:val="0"/>
      <w:marTop w:val="0"/>
      <w:marBottom w:val="0"/>
      <w:divBdr>
        <w:top w:val="none" w:sz="0" w:space="0" w:color="auto"/>
        <w:left w:val="none" w:sz="0" w:space="0" w:color="auto"/>
        <w:bottom w:val="none" w:sz="0" w:space="0" w:color="auto"/>
        <w:right w:val="none" w:sz="0" w:space="0" w:color="auto"/>
      </w:divBdr>
    </w:div>
    <w:div w:id="324862791">
      <w:bodyDiv w:val="1"/>
      <w:marLeft w:val="0"/>
      <w:marRight w:val="0"/>
      <w:marTop w:val="0"/>
      <w:marBottom w:val="0"/>
      <w:divBdr>
        <w:top w:val="none" w:sz="0" w:space="0" w:color="auto"/>
        <w:left w:val="none" w:sz="0" w:space="0" w:color="auto"/>
        <w:bottom w:val="none" w:sz="0" w:space="0" w:color="auto"/>
        <w:right w:val="none" w:sz="0" w:space="0" w:color="auto"/>
      </w:divBdr>
    </w:div>
    <w:div w:id="588807333">
      <w:bodyDiv w:val="1"/>
      <w:marLeft w:val="0"/>
      <w:marRight w:val="0"/>
      <w:marTop w:val="0"/>
      <w:marBottom w:val="0"/>
      <w:divBdr>
        <w:top w:val="none" w:sz="0" w:space="0" w:color="auto"/>
        <w:left w:val="none" w:sz="0" w:space="0" w:color="auto"/>
        <w:bottom w:val="none" w:sz="0" w:space="0" w:color="auto"/>
        <w:right w:val="none" w:sz="0" w:space="0" w:color="auto"/>
      </w:divBdr>
    </w:div>
    <w:div w:id="742065716">
      <w:bodyDiv w:val="1"/>
      <w:marLeft w:val="0"/>
      <w:marRight w:val="0"/>
      <w:marTop w:val="0"/>
      <w:marBottom w:val="0"/>
      <w:divBdr>
        <w:top w:val="none" w:sz="0" w:space="0" w:color="auto"/>
        <w:left w:val="none" w:sz="0" w:space="0" w:color="auto"/>
        <w:bottom w:val="none" w:sz="0" w:space="0" w:color="auto"/>
        <w:right w:val="none" w:sz="0" w:space="0" w:color="auto"/>
      </w:divBdr>
    </w:div>
    <w:div w:id="754278570">
      <w:bodyDiv w:val="1"/>
      <w:marLeft w:val="0"/>
      <w:marRight w:val="0"/>
      <w:marTop w:val="0"/>
      <w:marBottom w:val="0"/>
      <w:divBdr>
        <w:top w:val="none" w:sz="0" w:space="0" w:color="auto"/>
        <w:left w:val="none" w:sz="0" w:space="0" w:color="auto"/>
        <w:bottom w:val="none" w:sz="0" w:space="0" w:color="auto"/>
        <w:right w:val="none" w:sz="0" w:space="0" w:color="auto"/>
      </w:divBdr>
    </w:div>
    <w:div w:id="772868644">
      <w:bodyDiv w:val="1"/>
      <w:marLeft w:val="0"/>
      <w:marRight w:val="0"/>
      <w:marTop w:val="0"/>
      <w:marBottom w:val="0"/>
      <w:divBdr>
        <w:top w:val="none" w:sz="0" w:space="0" w:color="auto"/>
        <w:left w:val="none" w:sz="0" w:space="0" w:color="auto"/>
        <w:bottom w:val="none" w:sz="0" w:space="0" w:color="auto"/>
        <w:right w:val="none" w:sz="0" w:space="0" w:color="auto"/>
      </w:divBdr>
    </w:div>
    <w:div w:id="885800712">
      <w:bodyDiv w:val="1"/>
      <w:marLeft w:val="0"/>
      <w:marRight w:val="0"/>
      <w:marTop w:val="0"/>
      <w:marBottom w:val="0"/>
      <w:divBdr>
        <w:top w:val="none" w:sz="0" w:space="0" w:color="auto"/>
        <w:left w:val="none" w:sz="0" w:space="0" w:color="auto"/>
        <w:bottom w:val="none" w:sz="0" w:space="0" w:color="auto"/>
        <w:right w:val="none" w:sz="0" w:space="0" w:color="auto"/>
      </w:divBdr>
    </w:div>
    <w:div w:id="1000080297">
      <w:bodyDiv w:val="1"/>
      <w:marLeft w:val="0"/>
      <w:marRight w:val="0"/>
      <w:marTop w:val="0"/>
      <w:marBottom w:val="0"/>
      <w:divBdr>
        <w:top w:val="none" w:sz="0" w:space="0" w:color="auto"/>
        <w:left w:val="none" w:sz="0" w:space="0" w:color="auto"/>
        <w:bottom w:val="none" w:sz="0" w:space="0" w:color="auto"/>
        <w:right w:val="none" w:sz="0" w:space="0" w:color="auto"/>
      </w:divBdr>
    </w:div>
    <w:div w:id="1014961796">
      <w:bodyDiv w:val="1"/>
      <w:marLeft w:val="0"/>
      <w:marRight w:val="0"/>
      <w:marTop w:val="0"/>
      <w:marBottom w:val="0"/>
      <w:divBdr>
        <w:top w:val="none" w:sz="0" w:space="0" w:color="auto"/>
        <w:left w:val="none" w:sz="0" w:space="0" w:color="auto"/>
        <w:bottom w:val="none" w:sz="0" w:space="0" w:color="auto"/>
        <w:right w:val="none" w:sz="0" w:space="0" w:color="auto"/>
      </w:divBdr>
    </w:div>
    <w:div w:id="1083137749">
      <w:bodyDiv w:val="1"/>
      <w:marLeft w:val="0"/>
      <w:marRight w:val="0"/>
      <w:marTop w:val="0"/>
      <w:marBottom w:val="0"/>
      <w:divBdr>
        <w:top w:val="none" w:sz="0" w:space="0" w:color="auto"/>
        <w:left w:val="none" w:sz="0" w:space="0" w:color="auto"/>
        <w:bottom w:val="none" w:sz="0" w:space="0" w:color="auto"/>
        <w:right w:val="none" w:sz="0" w:space="0" w:color="auto"/>
      </w:divBdr>
    </w:div>
    <w:div w:id="1264874680">
      <w:bodyDiv w:val="1"/>
      <w:marLeft w:val="0"/>
      <w:marRight w:val="0"/>
      <w:marTop w:val="0"/>
      <w:marBottom w:val="0"/>
      <w:divBdr>
        <w:top w:val="none" w:sz="0" w:space="0" w:color="auto"/>
        <w:left w:val="none" w:sz="0" w:space="0" w:color="auto"/>
        <w:bottom w:val="none" w:sz="0" w:space="0" w:color="auto"/>
        <w:right w:val="none" w:sz="0" w:space="0" w:color="auto"/>
      </w:divBdr>
    </w:div>
    <w:div w:id="1299383261">
      <w:bodyDiv w:val="1"/>
      <w:marLeft w:val="0"/>
      <w:marRight w:val="0"/>
      <w:marTop w:val="0"/>
      <w:marBottom w:val="0"/>
      <w:divBdr>
        <w:top w:val="none" w:sz="0" w:space="0" w:color="auto"/>
        <w:left w:val="none" w:sz="0" w:space="0" w:color="auto"/>
        <w:bottom w:val="none" w:sz="0" w:space="0" w:color="auto"/>
        <w:right w:val="none" w:sz="0" w:space="0" w:color="auto"/>
      </w:divBdr>
    </w:div>
    <w:div w:id="1444300514">
      <w:bodyDiv w:val="1"/>
      <w:marLeft w:val="0"/>
      <w:marRight w:val="0"/>
      <w:marTop w:val="0"/>
      <w:marBottom w:val="0"/>
      <w:divBdr>
        <w:top w:val="none" w:sz="0" w:space="0" w:color="auto"/>
        <w:left w:val="none" w:sz="0" w:space="0" w:color="auto"/>
        <w:bottom w:val="none" w:sz="0" w:space="0" w:color="auto"/>
        <w:right w:val="none" w:sz="0" w:space="0" w:color="auto"/>
      </w:divBdr>
    </w:div>
    <w:div w:id="1601991724">
      <w:bodyDiv w:val="1"/>
      <w:marLeft w:val="0"/>
      <w:marRight w:val="0"/>
      <w:marTop w:val="0"/>
      <w:marBottom w:val="0"/>
      <w:divBdr>
        <w:top w:val="none" w:sz="0" w:space="0" w:color="auto"/>
        <w:left w:val="none" w:sz="0" w:space="0" w:color="auto"/>
        <w:bottom w:val="none" w:sz="0" w:space="0" w:color="auto"/>
        <w:right w:val="none" w:sz="0" w:space="0" w:color="auto"/>
      </w:divBdr>
    </w:div>
    <w:div w:id="1702053993">
      <w:bodyDiv w:val="1"/>
      <w:marLeft w:val="0"/>
      <w:marRight w:val="0"/>
      <w:marTop w:val="0"/>
      <w:marBottom w:val="0"/>
      <w:divBdr>
        <w:top w:val="none" w:sz="0" w:space="0" w:color="auto"/>
        <w:left w:val="none" w:sz="0" w:space="0" w:color="auto"/>
        <w:bottom w:val="none" w:sz="0" w:space="0" w:color="auto"/>
        <w:right w:val="none" w:sz="0" w:space="0" w:color="auto"/>
      </w:divBdr>
    </w:div>
    <w:div w:id="1747145691">
      <w:bodyDiv w:val="1"/>
      <w:marLeft w:val="0"/>
      <w:marRight w:val="0"/>
      <w:marTop w:val="0"/>
      <w:marBottom w:val="0"/>
      <w:divBdr>
        <w:top w:val="none" w:sz="0" w:space="0" w:color="auto"/>
        <w:left w:val="none" w:sz="0" w:space="0" w:color="auto"/>
        <w:bottom w:val="none" w:sz="0" w:space="0" w:color="auto"/>
        <w:right w:val="none" w:sz="0" w:space="0" w:color="auto"/>
      </w:divBdr>
    </w:div>
    <w:div w:id="1803112592">
      <w:bodyDiv w:val="1"/>
      <w:marLeft w:val="0"/>
      <w:marRight w:val="0"/>
      <w:marTop w:val="0"/>
      <w:marBottom w:val="0"/>
      <w:divBdr>
        <w:top w:val="none" w:sz="0" w:space="0" w:color="auto"/>
        <w:left w:val="none" w:sz="0" w:space="0" w:color="auto"/>
        <w:bottom w:val="none" w:sz="0" w:space="0" w:color="auto"/>
        <w:right w:val="none" w:sz="0" w:space="0" w:color="auto"/>
      </w:divBdr>
    </w:div>
    <w:div w:id="1889493498">
      <w:bodyDiv w:val="1"/>
      <w:marLeft w:val="0"/>
      <w:marRight w:val="0"/>
      <w:marTop w:val="0"/>
      <w:marBottom w:val="0"/>
      <w:divBdr>
        <w:top w:val="none" w:sz="0" w:space="0" w:color="auto"/>
        <w:left w:val="none" w:sz="0" w:space="0" w:color="auto"/>
        <w:bottom w:val="none" w:sz="0" w:space="0" w:color="auto"/>
        <w:right w:val="none" w:sz="0" w:space="0" w:color="auto"/>
      </w:divBdr>
    </w:div>
    <w:div w:id="189334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estlaw.com/Document/IC5AF2C40D19711EABFC1E47CD76B7CE5/View/FullText.html?originationContext=document&amp;transitionType=DocumentItem&amp;ppcid=da516a1eaadd4616a1a83cb2586e646b&amp;contextData=(sc.Search)" TargetMode="External"/><Relationship Id="rId3" Type="http://schemas.openxmlformats.org/officeDocument/2006/relationships/settings" Target="settings.xml"/><Relationship Id="rId7" Type="http://schemas.openxmlformats.org/officeDocument/2006/relationships/hyperlink" Target="https://uk.westlaw.com/Document/I3D174E90094311DEA5EFF13444E92BFC/View/FullText.html?originationContext=document&amp;transitionType=DocumentItem&amp;ppcid=da516a1eaadd4616a1a83cb2586e646b&amp;contextData=(sc.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3346</Words>
  <Characters>19076</Characters>
  <Application>Microsoft Office Word</Application>
  <DocSecurity>0</DocSecurity>
  <Lines>158</Lines>
  <Paragraphs>44</Paragraphs>
  <ScaleCrop>false</ScaleCrop>
  <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Mithani, HHJ Abbas</dc:creator>
  <cp:keywords/>
  <dc:description/>
  <cp:lastModifiedBy>John Tribe</cp:lastModifiedBy>
  <cp:revision>2</cp:revision>
  <dcterms:created xsi:type="dcterms:W3CDTF">2022-02-21T12:59:00Z</dcterms:created>
  <dcterms:modified xsi:type="dcterms:W3CDTF">2022-02-21T12:59:00Z</dcterms:modified>
</cp:coreProperties>
</file>