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B133" w14:textId="4DABFABB" w:rsidR="008B1F57" w:rsidRPr="008B1F57" w:rsidRDefault="008B1F57" w:rsidP="008B1F57">
      <w:pPr>
        <w:spacing w:line="360" w:lineRule="auto"/>
        <w:rPr>
          <w:color w:val="000000" w:themeColor="text1"/>
        </w:rPr>
      </w:pPr>
      <w:r w:rsidRPr="008B1F57">
        <w:rPr>
          <w:color w:val="000000" w:themeColor="text1"/>
        </w:rPr>
        <w:t xml:space="preserve">Hospital Admission for </w:t>
      </w:r>
      <w:r w:rsidR="00ED4C19">
        <w:rPr>
          <w:color w:val="000000" w:themeColor="text1"/>
        </w:rPr>
        <w:t xml:space="preserve">symptomatic </w:t>
      </w:r>
      <w:r w:rsidRPr="008B1F57">
        <w:rPr>
          <w:color w:val="000000" w:themeColor="text1"/>
        </w:rPr>
        <w:t>COVID-19 and impact of vaccination: analysis of linked data from the Coronavirus Clinical Information Network (CO-CIN)</w:t>
      </w:r>
      <w:r w:rsidR="00ED4C19" w:rsidRPr="00ED4C19">
        <w:rPr>
          <w:color w:val="000000" w:themeColor="text1"/>
        </w:rPr>
        <w:t xml:space="preserve"> </w:t>
      </w:r>
      <w:r w:rsidR="00ED4C19" w:rsidRPr="008B1F57">
        <w:rPr>
          <w:color w:val="000000" w:themeColor="text1"/>
        </w:rPr>
        <w:t>and the National Immunisation Management Service (NIMS)</w:t>
      </w:r>
    </w:p>
    <w:p w14:paraId="4A4CDC60" w14:textId="77777777" w:rsidR="008B1F57" w:rsidRPr="008B1F57" w:rsidRDefault="008B1F57" w:rsidP="008B1F57">
      <w:pPr>
        <w:spacing w:line="360" w:lineRule="auto"/>
        <w:rPr>
          <w:color w:val="000000" w:themeColor="text1"/>
        </w:rPr>
      </w:pPr>
    </w:p>
    <w:p w14:paraId="57B9894B" w14:textId="02EAB0BC" w:rsidR="008B1F57" w:rsidRDefault="008B1F57" w:rsidP="008B1F57">
      <w:pPr>
        <w:spacing w:line="360" w:lineRule="auto"/>
        <w:rPr>
          <w:color w:val="000000" w:themeColor="text1"/>
        </w:rPr>
      </w:pPr>
      <w:r w:rsidRPr="008B1F57">
        <w:rPr>
          <w:color w:val="000000" w:themeColor="text1"/>
        </w:rPr>
        <w:t>Conor Egan, Lance Turtle, Mathew Thorpe,</w:t>
      </w:r>
      <w:r w:rsidR="00D10F1E">
        <w:rPr>
          <w:color w:val="000000" w:themeColor="text1"/>
        </w:rPr>
        <w:t xml:space="preserve"> Andy Law, Gary Leeming,</w:t>
      </w:r>
      <w:r w:rsidRPr="008B1F57">
        <w:rPr>
          <w:color w:val="000000" w:themeColor="text1"/>
        </w:rPr>
        <w:t xml:space="preserve"> Ewen </w:t>
      </w:r>
      <w:r w:rsidR="00487447">
        <w:rPr>
          <w:color w:val="000000" w:themeColor="text1"/>
        </w:rPr>
        <w:t xml:space="preserve">M </w:t>
      </w:r>
      <w:r w:rsidRPr="008B1F57">
        <w:rPr>
          <w:color w:val="000000" w:themeColor="text1"/>
        </w:rPr>
        <w:t xml:space="preserve">Harrison, </w:t>
      </w:r>
      <w:r w:rsidR="00487447">
        <w:rPr>
          <w:color w:val="000000" w:themeColor="text1"/>
        </w:rPr>
        <w:t>Malcolm G</w:t>
      </w:r>
      <w:r w:rsidRPr="008B1F57">
        <w:rPr>
          <w:color w:val="000000" w:themeColor="text1"/>
        </w:rPr>
        <w:t xml:space="preserve"> Semple, Annemarie </w:t>
      </w:r>
      <w:r w:rsidR="00487447">
        <w:rPr>
          <w:color w:val="000000" w:themeColor="text1"/>
        </w:rPr>
        <w:t xml:space="preserve"> B </w:t>
      </w:r>
      <w:r w:rsidRPr="008B1F57">
        <w:rPr>
          <w:color w:val="000000" w:themeColor="text1"/>
        </w:rPr>
        <w:t>Docherty</w:t>
      </w:r>
      <w:r w:rsidR="00F92A37">
        <w:rPr>
          <w:color w:val="000000" w:themeColor="text1"/>
        </w:rPr>
        <w:t>*</w:t>
      </w:r>
      <w:r w:rsidR="008960DE">
        <w:rPr>
          <w:color w:val="000000" w:themeColor="text1"/>
        </w:rPr>
        <w:t xml:space="preserve"> </w:t>
      </w:r>
      <w:r w:rsidR="008960DE">
        <w:t>and ISARIC4C investigators</w:t>
      </w:r>
    </w:p>
    <w:p w14:paraId="625A9999" w14:textId="2E1695D1" w:rsidR="00A37C0D" w:rsidRDefault="00A37C0D" w:rsidP="00A97C22">
      <w:pPr>
        <w:spacing w:line="360" w:lineRule="auto"/>
        <w:rPr>
          <w:color w:val="000000" w:themeColor="text1"/>
        </w:rPr>
      </w:pPr>
      <w:r w:rsidRPr="00A37C0D">
        <w:rPr>
          <w:color w:val="000000" w:themeColor="text1"/>
        </w:rPr>
        <w:t>*Correspondence to</w:t>
      </w:r>
      <w:r>
        <w:rPr>
          <w:color w:val="000000" w:themeColor="text1"/>
        </w:rPr>
        <w:t>: Dr Annemarie B Docherty, The Usher Institute, University of Edinburgh, Edinburgh UK.</w:t>
      </w:r>
    </w:p>
    <w:p w14:paraId="6FA22412" w14:textId="77777777" w:rsidR="008B1F57" w:rsidRDefault="008B1F57" w:rsidP="00A97C22">
      <w:pPr>
        <w:spacing w:line="360" w:lineRule="auto"/>
        <w:rPr>
          <w:color w:val="000000" w:themeColor="text1"/>
        </w:rPr>
      </w:pPr>
    </w:p>
    <w:p w14:paraId="119CBB07" w14:textId="49FA62D4" w:rsidR="00912732" w:rsidRDefault="00DF0FC7" w:rsidP="00A97C22">
      <w:pPr>
        <w:spacing w:line="360" w:lineRule="auto"/>
      </w:pPr>
      <w:r>
        <w:rPr>
          <w:color w:val="000000" w:themeColor="text1"/>
        </w:rPr>
        <w:t xml:space="preserve">The </w:t>
      </w:r>
      <w:r w:rsidR="00487447">
        <w:rPr>
          <w:color w:val="000000" w:themeColor="text1"/>
        </w:rPr>
        <w:t>SARS-CoV-2</w:t>
      </w:r>
      <w:r>
        <w:rPr>
          <w:color w:val="000000" w:themeColor="text1"/>
        </w:rPr>
        <w:t xml:space="preserve"> vaccines </w:t>
      </w:r>
      <w:r w:rsidR="006C752E">
        <w:rPr>
          <w:color w:val="000000" w:themeColor="text1"/>
        </w:rPr>
        <w:t xml:space="preserve">administered </w:t>
      </w:r>
      <w:r>
        <w:rPr>
          <w:color w:val="000000" w:themeColor="text1"/>
        </w:rPr>
        <w:t>in the UK are highly effective in preventing hospitalisation</w:t>
      </w:r>
      <w:r w:rsidR="00F32D41">
        <w:rPr>
          <w:color w:val="000000" w:themeColor="text1"/>
        </w:rPr>
        <w:t xml:space="preserve"> and death</w:t>
      </w:r>
      <w:r>
        <w:rPr>
          <w:color w:val="000000" w:themeColor="text1"/>
        </w:rPr>
        <w:t xml:space="preserve"> from COVID-19</w:t>
      </w:r>
      <w:r w:rsidR="002E5FD9">
        <w:rPr>
          <w:color w:val="000000" w:themeColor="text1"/>
        </w:rPr>
        <w:t>.</w:t>
      </w:r>
      <w:r w:rsidR="002E5FD9" w:rsidRPr="00A37C0D">
        <w:rPr>
          <w:color w:val="000000" w:themeColor="text1"/>
          <w:vertAlign w:val="superscript"/>
        </w:rPr>
        <w:t>1</w:t>
      </w:r>
      <w:r>
        <w:rPr>
          <w:color w:val="000000" w:themeColor="text1"/>
        </w:rPr>
        <w:t xml:space="preserve"> </w:t>
      </w:r>
      <w:r w:rsidR="008B1F57">
        <w:rPr>
          <w:color w:val="000000" w:themeColor="text1"/>
        </w:rPr>
        <w:t>P</w:t>
      </w:r>
      <w:r w:rsidR="00912732">
        <w:t xml:space="preserve">atients with immunocompromise are less likely to be able to mount a </w:t>
      </w:r>
      <w:r w:rsidR="002F2EC4">
        <w:t xml:space="preserve">satisfactory </w:t>
      </w:r>
      <w:r w:rsidR="00912732">
        <w:t xml:space="preserve">immunological response to the vaccine, and therefore </w:t>
      </w:r>
      <w:r w:rsidR="008B1F57">
        <w:t xml:space="preserve">may </w:t>
      </w:r>
      <w:r w:rsidR="00912732">
        <w:t xml:space="preserve">remain at higher risk of moderate to severe </w:t>
      </w:r>
      <w:r w:rsidR="002F2EC4">
        <w:rPr>
          <w:rFonts w:cstheme="minorHAnsi"/>
        </w:rPr>
        <w:t>COVID</w:t>
      </w:r>
      <w:r w:rsidR="00912732">
        <w:t>-19.</w:t>
      </w:r>
      <w:r w:rsidR="00A37C0D" w:rsidRPr="00F92A37">
        <w:rPr>
          <w:vertAlign w:val="superscript"/>
        </w:rPr>
        <w:t>2</w:t>
      </w:r>
      <w:r w:rsidR="00912732">
        <w:t xml:space="preserve"> </w:t>
      </w:r>
    </w:p>
    <w:p w14:paraId="3590AB49" w14:textId="555BE405" w:rsidR="00DF0FC7" w:rsidRPr="005B609C" w:rsidRDefault="00664C45" w:rsidP="007F4524">
      <w:pPr>
        <w:spacing w:line="360" w:lineRule="auto"/>
        <w:rPr>
          <w:color w:val="000000" w:themeColor="text1"/>
        </w:rPr>
      </w:pPr>
      <w:r>
        <w:rPr>
          <w:color w:val="000000" w:themeColor="text1"/>
        </w:rPr>
        <w:t>Understanding the reasons and risk factors for admission will</w:t>
      </w:r>
      <w:r w:rsidR="00DF0FC7">
        <w:rPr>
          <w:color w:val="000000" w:themeColor="text1"/>
        </w:rPr>
        <w:t xml:space="preserve"> provide insight into strategies for future vaccination. </w:t>
      </w:r>
      <w:r w:rsidR="002F2EC4">
        <w:rPr>
          <w:color w:val="000000" w:themeColor="text1"/>
        </w:rPr>
        <w:t>The</w:t>
      </w:r>
      <w:r w:rsidR="000B16B7">
        <w:rPr>
          <w:color w:val="000000" w:themeColor="text1"/>
        </w:rPr>
        <w:t xml:space="preserve"> aim of this study was to</w:t>
      </w:r>
      <w:r w:rsidR="002F2EC4">
        <w:rPr>
          <w:color w:val="000000" w:themeColor="text1"/>
        </w:rPr>
        <w:t xml:space="preserve"> </w:t>
      </w:r>
      <w:r>
        <w:rPr>
          <w:color w:val="000000" w:themeColor="text1"/>
        </w:rPr>
        <w:t xml:space="preserve">characterise the hospitalised vaccinated population and identify risk factors associated with </w:t>
      </w:r>
      <w:r w:rsidR="008B1F57">
        <w:rPr>
          <w:color w:val="000000" w:themeColor="text1"/>
        </w:rPr>
        <w:t>hospital mortality</w:t>
      </w:r>
      <w:r>
        <w:rPr>
          <w:color w:val="000000" w:themeColor="text1"/>
        </w:rPr>
        <w:t xml:space="preserve"> using the prospective observational cohort </w:t>
      </w:r>
      <w:r w:rsidR="002F2EC4">
        <w:rPr>
          <w:color w:val="000000" w:themeColor="text1"/>
        </w:rPr>
        <w:t>recruited from the UK Coronavirus Clinical Information Network (CO-CIN)</w:t>
      </w:r>
      <w:r>
        <w:rPr>
          <w:color w:val="000000" w:themeColor="text1"/>
        </w:rPr>
        <w:t xml:space="preserve">. </w:t>
      </w:r>
    </w:p>
    <w:p w14:paraId="120751B9" w14:textId="3885DEAA" w:rsidR="006C752E" w:rsidRPr="0026380E" w:rsidRDefault="00664C45" w:rsidP="009C1A6B">
      <w:pPr>
        <w:spacing w:line="360" w:lineRule="auto"/>
        <w:rPr>
          <w:rFonts w:cs="Times New Roman"/>
          <w:lang w:val="en-US"/>
        </w:rPr>
      </w:pPr>
      <w:r>
        <w:t xml:space="preserve">ISARIC4C/CO-CIN has collected data on hospitalised patients with </w:t>
      </w:r>
      <w:r w:rsidR="006E0D94">
        <w:t>COVID</w:t>
      </w:r>
      <w:r>
        <w:t xml:space="preserve">-19 in the UK since </w:t>
      </w:r>
      <w:r w:rsidR="006E0D94">
        <w:t>February 202</w:t>
      </w:r>
      <w:r w:rsidR="008A116B">
        <w:t>0</w:t>
      </w:r>
      <w:r w:rsidR="008F224D">
        <w:rPr>
          <w:rFonts w:cs="Times New Roman"/>
          <w:color w:val="000000" w:themeColor="text1"/>
        </w:rPr>
        <w:t>.</w:t>
      </w:r>
      <w:r w:rsidR="00F92A37">
        <w:rPr>
          <w:rFonts w:cs="Times New Roman"/>
          <w:color w:val="000000" w:themeColor="text1"/>
          <w:vertAlign w:val="superscript"/>
        </w:rPr>
        <w:t>3</w:t>
      </w:r>
      <w:r w:rsidR="008F224D">
        <w:rPr>
          <w:rFonts w:cs="Times New Roman"/>
          <w:color w:val="000000" w:themeColor="text1"/>
        </w:rPr>
        <w:t xml:space="preserve"> </w:t>
      </w:r>
      <w:r w:rsidR="00554D57">
        <w:t>T</w:t>
      </w:r>
      <w:r w:rsidRPr="00A43F58">
        <w:t>he National Immunisation Management Service (NIMS)</w:t>
      </w:r>
      <w:r>
        <w:t xml:space="preserve"> contains vaccine type and date of first and/or second vaccination, since t</w:t>
      </w:r>
      <w:r w:rsidR="00DF0FC7">
        <w:t xml:space="preserve">he </w:t>
      </w:r>
      <w:r w:rsidR="009C1A6B">
        <w:t>COVID-19</w:t>
      </w:r>
      <w:r w:rsidR="008B1F57">
        <w:t xml:space="preserve"> </w:t>
      </w:r>
      <w:r>
        <w:t xml:space="preserve">vaccination programme started in the UK (08/12/2020). </w:t>
      </w:r>
      <w:r w:rsidR="00554D57">
        <w:t>We have linked data in CO-CIN and NIMS</w:t>
      </w:r>
      <w:r w:rsidR="009C1A6B">
        <w:t xml:space="preserve"> and </w:t>
      </w:r>
      <w:r w:rsidR="006C752E">
        <w:t xml:space="preserve">restricted our population to adults </w:t>
      </w:r>
      <w:r w:rsidR="009C1A6B">
        <w:t xml:space="preserve">admitted to hospital with </w:t>
      </w:r>
      <w:r w:rsidR="006C752E">
        <w:t xml:space="preserve">symptomatic </w:t>
      </w:r>
      <w:r w:rsidR="009C1A6B">
        <w:t xml:space="preserve">PCR positive </w:t>
      </w:r>
      <w:r w:rsidR="006C752E">
        <w:t>SARS-CoV-2 infection</w:t>
      </w:r>
      <w:r w:rsidR="00F81A40">
        <w:t xml:space="preserve"> </w:t>
      </w:r>
      <w:r w:rsidR="00554D57">
        <w:t xml:space="preserve">with </w:t>
      </w:r>
      <w:r w:rsidR="00554D57">
        <w:rPr>
          <w:lang w:val="en-US"/>
        </w:rPr>
        <w:t>at least 28 days follow-up</w:t>
      </w:r>
      <w:r w:rsidR="006C752E">
        <w:t xml:space="preserve">. Patients with re-infection were removed from this analysis. </w:t>
      </w:r>
      <w:bookmarkStart w:id="0" w:name="_Hlk83051102"/>
      <w:r w:rsidR="006C752E">
        <w:t xml:space="preserve">We categorised </w:t>
      </w:r>
      <w:r w:rsidR="006052C4">
        <w:rPr>
          <w:lang w:val="en-US"/>
        </w:rPr>
        <w:t xml:space="preserve">patients </w:t>
      </w:r>
      <w:r w:rsidR="006C752E">
        <w:rPr>
          <w:lang w:val="en-US"/>
        </w:rPr>
        <w:t xml:space="preserve">into the following three groups: </w:t>
      </w:r>
      <w:r w:rsidR="006C752E" w:rsidRPr="00576C01">
        <w:rPr>
          <w:lang w:val="en-US"/>
        </w:rPr>
        <w:t xml:space="preserve"> </w:t>
      </w:r>
      <w:r w:rsidR="006C752E">
        <w:rPr>
          <w:lang w:val="en-US"/>
        </w:rPr>
        <w:t>1. “</w:t>
      </w:r>
      <w:r w:rsidR="006C752E" w:rsidRPr="00443D03">
        <w:rPr>
          <w:rFonts w:cs="Times New Roman"/>
          <w:lang w:val="en-US"/>
        </w:rPr>
        <w:t>No virus immunity</w:t>
      </w:r>
      <w:r w:rsidR="009C1A6B">
        <w:rPr>
          <w:rFonts w:cs="Times New Roman"/>
          <w:lang w:val="en-US"/>
        </w:rPr>
        <w:t xml:space="preserve"> (</w:t>
      </w:r>
      <w:r w:rsidR="00F47C0C">
        <w:rPr>
          <w:rFonts w:cs="Times New Roman"/>
          <w:lang w:val="en-US"/>
        </w:rPr>
        <w:t>NVI</w:t>
      </w:r>
      <w:r w:rsidR="009C1A6B">
        <w:rPr>
          <w:rFonts w:cs="Times New Roman"/>
          <w:lang w:val="en-US"/>
        </w:rPr>
        <w:t>)</w:t>
      </w:r>
      <w:r w:rsidR="006C752E">
        <w:rPr>
          <w:rFonts w:cs="Times New Roman"/>
          <w:lang w:val="en-US"/>
        </w:rPr>
        <w:t xml:space="preserve">” </w:t>
      </w:r>
      <w:r w:rsidR="009C1A6B">
        <w:rPr>
          <w:rFonts w:cs="Times New Roman"/>
          <w:lang w:val="en-US"/>
        </w:rPr>
        <w:t>–</w:t>
      </w:r>
      <w:r w:rsidR="006C752E">
        <w:rPr>
          <w:rFonts w:cs="Times New Roman"/>
          <w:lang w:val="en-US"/>
        </w:rPr>
        <w:t xml:space="preserve"> u</w:t>
      </w:r>
      <w:r w:rsidR="006C752E" w:rsidRPr="00443D03">
        <w:rPr>
          <w:rFonts w:cs="Times New Roman"/>
          <w:lang w:val="en-US"/>
        </w:rPr>
        <w:t xml:space="preserve">nvaccinated patients and patients experiencing </w:t>
      </w:r>
      <w:r w:rsidR="006C752E" w:rsidRPr="00443D03">
        <w:rPr>
          <w:rFonts w:cs="Times New Roman"/>
          <w:color w:val="000000" w:themeColor="text1"/>
          <w:lang w:val="en-US"/>
        </w:rPr>
        <w:t xml:space="preserve">symptoms </w:t>
      </w:r>
      <m:oMath>
        <m:r>
          <w:rPr>
            <w:rFonts w:ascii="Cambria Math" w:hAnsi="Cambria Math" w:cs="Times New Roman"/>
            <w:color w:val="000000" w:themeColor="text1"/>
            <w:lang w:val="en-US"/>
          </w:rPr>
          <m:t>≤</m:t>
        </m:r>
      </m:oMath>
      <w:r w:rsidR="006C752E" w:rsidRPr="00443D03">
        <w:rPr>
          <w:rFonts w:cs="Times New Roman"/>
          <w:color w:val="000000" w:themeColor="text1"/>
          <w:lang w:val="en-US"/>
        </w:rPr>
        <w:t xml:space="preserve"> 20 days after first vaccination dose</w:t>
      </w:r>
      <w:r w:rsidR="006C752E">
        <w:rPr>
          <w:rFonts w:cs="Times New Roman"/>
          <w:color w:val="000000" w:themeColor="text1"/>
          <w:lang w:val="en-US"/>
        </w:rPr>
        <w:t>;</w:t>
      </w:r>
      <w:r w:rsidR="00F92A37">
        <w:rPr>
          <w:rFonts w:cs="Times New Roman"/>
          <w:color w:val="000000" w:themeColor="text1"/>
          <w:vertAlign w:val="superscript"/>
          <w:lang w:val="en-US"/>
        </w:rPr>
        <w:t>4</w:t>
      </w:r>
      <w:r w:rsidR="006C752E">
        <w:rPr>
          <w:rFonts w:cs="Times New Roman"/>
          <w:color w:val="000000" w:themeColor="text1"/>
          <w:lang w:val="en-US"/>
        </w:rPr>
        <w:t xml:space="preserve"> 2. “</w:t>
      </w:r>
      <w:r w:rsidR="006C752E" w:rsidRPr="00443D03">
        <w:rPr>
          <w:rFonts w:cs="Times New Roman"/>
          <w:lang w:val="en-US"/>
        </w:rPr>
        <w:t>First dose failure</w:t>
      </w:r>
      <w:r w:rsidR="009C1A6B">
        <w:rPr>
          <w:rFonts w:cs="Times New Roman"/>
          <w:lang w:val="en-US"/>
        </w:rPr>
        <w:t xml:space="preserve"> (</w:t>
      </w:r>
      <w:r w:rsidR="00F47C0C">
        <w:rPr>
          <w:rFonts w:cs="Times New Roman"/>
          <w:lang w:val="en-US"/>
        </w:rPr>
        <w:t>FDF</w:t>
      </w:r>
      <w:r w:rsidR="009C1A6B">
        <w:rPr>
          <w:rFonts w:cs="Times New Roman"/>
          <w:lang w:val="en-US"/>
        </w:rPr>
        <w:t>)</w:t>
      </w:r>
      <w:r w:rsidR="006C752E">
        <w:rPr>
          <w:rFonts w:cs="Times New Roman"/>
          <w:lang w:val="en-US"/>
        </w:rPr>
        <w:t xml:space="preserve">” </w:t>
      </w:r>
      <w:r w:rsidR="009C1A6B">
        <w:rPr>
          <w:rFonts w:cs="Times New Roman"/>
          <w:lang w:val="en-US"/>
        </w:rPr>
        <w:t>–</w:t>
      </w:r>
      <w:r w:rsidR="006C752E">
        <w:rPr>
          <w:rFonts w:cs="Times New Roman"/>
          <w:lang w:val="en-US"/>
        </w:rPr>
        <w:t xml:space="preserve"> p</w:t>
      </w:r>
      <w:r w:rsidR="006C752E" w:rsidRPr="00443D03">
        <w:rPr>
          <w:rFonts w:cs="Times New Roman"/>
          <w:lang w:val="en-US"/>
        </w:rPr>
        <w:t xml:space="preserve">atients experiencing symptoms in 21 days or more after first vaccination dose or patients experiencing symptoms </w:t>
      </w:r>
      <m:oMath>
        <m:r>
          <w:rPr>
            <w:rFonts w:ascii="Cambria Math" w:hAnsi="Cambria Math" w:cs="Times New Roman"/>
            <w:lang w:val="en-US"/>
          </w:rPr>
          <m:t>≤13</m:t>
        </m:r>
      </m:oMath>
      <w:r w:rsidR="006C752E" w:rsidRPr="00443D03">
        <w:rPr>
          <w:rFonts w:cs="Times New Roman"/>
          <w:lang w:val="en-US"/>
        </w:rPr>
        <w:t xml:space="preserve"> days after second vaccination dose</w:t>
      </w:r>
      <w:r w:rsidR="006C752E">
        <w:rPr>
          <w:rFonts w:cs="Times New Roman"/>
          <w:lang w:val="en-US"/>
        </w:rPr>
        <w:t>; and 3. “</w:t>
      </w:r>
      <w:r w:rsidR="006C752E" w:rsidRPr="00443D03">
        <w:rPr>
          <w:rFonts w:cs="Times New Roman"/>
          <w:lang w:val="en-US"/>
        </w:rPr>
        <w:t>Second dose failure</w:t>
      </w:r>
      <w:r w:rsidR="009C1A6B">
        <w:rPr>
          <w:rFonts w:cs="Times New Roman"/>
          <w:lang w:val="en-US"/>
        </w:rPr>
        <w:t xml:space="preserve"> (</w:t>
      </w:r>
      <w:r w:rsidR="00F47C0C">
        <w:rPr>
          <w:rFonts w:cs="Times New Roman"/>
          <w:lang w:val="en-US"/>
        </w:rPr>
        <w:t>SDF</w:t>
      </w:r>
      <w:r w:rsidR="009C1A6B">
        <w:rPr>
          <w:rFonts w:cs="Times New Roman"/>
          <w:lang w:val="en-US"/>
        </w:rPr>
        <w:t>)</w:t>
      </w:r>
      <w:r w:rsidR="006C752E">
        <w:rPr>
          <w:rFonts w:cs="Times New Roman"/>
          <w:lang w:val="en-US"/>
        </w:rPr>
        <w:t>”</w:t>
      </w:r>
      <w:r w:rsidR="006C752E" w:rsidRPr="00443D03">
        <w:rPr>
          <w:rFonts w:cs="Times New Roman"/>
          <w:lang w:val="en-US"/>
        </w:rPr>
        <w:t xml:space="preserve"> </w:t>
      </w:r>
      <w:r w:rsidR="009C1A6B">
        <w:rPr>
          <w:rFonts w:cs="Times New Roman"/>
          <w:lang w:val="en-US"/>
        </w:rPr>
        <w:t>–</w:t>
      </w:r>
      <w:r w:rsidR="006C752E">
        <w:rPr>
          <w:rFonts w:cs="Times New Roman"/>
          <w:lang w:val="en-US"/>
        </w:rPr>
        <w:t xml:space="preserve"> p</w:t>
      </w:r>
      <w:r w:rsidR="006C752E" w:rsidRPr="00443D03">
        <w:rPr>
          <w:rFonts w:cs="Times New Roman"/>
          <w:lang w:val="en-US"/>
        </w:rPr>
        <w:t>atients experiencing symptoms 14 days or more after second vaccination dose</w:t>
      </w:r>
      <w:r w:rsidR="006C752E">
        <w:rPr>
          <w:rFonts w:cs="Times New Roman"/>
          <w:lang w:val="en-US"/>
        </w:rPr>
        <w:t>.</w:t>
      </w:r>
      <w:r w:rsidR="00F47C0C">
        <w:rPr>
          <w:rFonts w:cs="Times New Roman"/>
          <w:lang w:val="en-US"/>
        </w:rPr>
        <w:t xml:space="preserve"> </w:t>
      </w:r>
      <w:bookmarkEnd w:id="0"/>
      <w:r w:rsidR="00912732">
        <w:rPr>
          <w:rFonts w:cs="Times New Roman"/>
          <w:lang w:val="en-US"/>
        </w:rPr>
        <w:t xml:space="preserve">Immunocompromise was defined as </w:t>
      </w:r>
      <w:r w:rsidR="00912732" w:rsidRPr="00912732">
        <w:rPr>
          <w:rFonts w:cs="Times New Roman"/>
          <w:lang w:val="en-US"/>
        </w:rPr>
        <w:t xml:space="preserve">pre-existing immunological or metabolic disorder (for example, severe combined immunodeficiency or common variable immunodeficiency); solid </w:t>
      </w:r>
      <w:r w:rsidR="00912732" w:rsidRPr="00912732">
        <w:rPr>
          <w:rFonts w:cs="Times New Roman"/>
          <w:lang w:val="en-US"/>
        </w:rPr>
        <w:lastRenderedPageBreak/>
        <w:t xml:space="preserve">organ transplant; HIV/AIDs; </w:t>
      </w:r>
      <w:r w:rsidR="0026380E">
        <w:rPr>
          <w:rFonts w:cs="Times New Roman"/>
          <w:lang w:val="en-US"/>
        </w:rPr>
        <w:t xml:space="preserve">cancer </w:t>
      </w:r>
      <w:r w:rsidR="00FE50C1">
        <w:rPr>
          <w:rFonts w:cs="Times New Roman"/>
          <w:lang w:val="en-US"/>
        </w:rPr>
        <w:t xml:space="preserve">on active </w:t>
      </w:r>
      <w:r w:rsidR="0026380E">
        <w:rPr>
          <w:rFonts w:cs="Times New Roman"/>
          <w:lang w:val="en-US"/>
        </w:rPr>
        <w:t>treatment</w:t>
      </w:r>
      <w:r w:rsidR="00FE50C1">
        <w:rPr>
          <w:rFonts w:cs="Times New Roman"/>
          <w:lang w:val="en-US"/>
        </w:rPr>
        <w:t xml:space="preserve"> with chemotherapy or immune modifying drugs</w:t>
      </w:r>
      <w:r w:rsidR="00912732" w:rsidRPr="00912732">
        <w:rPr>
          <w:rFonts w:cs="Times New Roman"/>
          <w:lang w:val="en-US"/>
        </w:rPr>
        <w:t>;</w:t>
      </w:r>
      <w:r w:rsidR="00FE50C1">
        <w:rPr>
          <w:rFonts w:cs="Times New Roman"/>
          <w:lang w:val="en-US"/>
        </w:rPr>
        <w:t xml:space="preserve"> receipt of immunosuppressing drugs</w:t>
      </w:r>
      <w:r w:rsidR="00912732" w:rsidRPr="00912732">
        <w:rPr>
          <w:rFonts w:cs="Times New Roman"/>
          <w:lang w:val="en-US"/>
        </w:rPr>
        <w:t>.</w:t>
      </w:r>
      <w:r w:rsidR="00912732">
        <w:rPr>
          <w:rFonts w:cs="Times New Roman"/>
          <w:lang w:val="en-US"/>
        </w:rPr>
        <w:t xml:space="preserve"> </w:t>
      </w:r>
      <w:r w:rsidR="00F47C0C">
        <w:rPr>
          <w:rFonts w:cs="Times New Roman"/>
          <w:lang w:val="en-US"/>
        </w:rPr>
        <w:t xml:space="preserve">We looked at the association between </w:t>
      </w:r>
      <w:r w:rsidR="00912732">
        <w:rPr>
          <w:rFonts w:cs="Times New Roman"/>
          <w:lang w:val="en-US"/>
        </w:rPr>
        <w:t>immunocompromise, vaccine failure status and</w:t>
      </w:r>
      <w:r w:rsidR="00F47C0C">
        <w:rPr>
          <w:rFonts w:cs="Times New Roman"/>
          <w:lang w:val="en-US"/>
        </w:rPr>
        <w:t xml:space="preserve"> </w:t>
      </w:r>
      <w:r w:rsidR="00912732">
        <w:rPr>
          <w:rFonts w:cs="Times New Roman"/>
          <w:lang w:val="en-US"/>
        </w:rPr>
        <w:t>28</w:t>
      </w:r>
      <w:r w:rsidR="0026380E">
        <w:rPr>
          <w:rFonts w:cs="Times New Roman"/>
          <w:lang w:val="en-US"/>
        </w:rPr>
        <w:t>-</w:t>
      </w:r>
      <w:r w:rsidR="00912732">
        <w:rPr>
          <w:rFonts w:cs="Times New Roman"/>
          <w:lang w:val="en-US"/>
        </w:rPr>
        <w:t xml:space="preserve">day </w:t>
      </w:r>
      <w:r w:rsidR="00F47C0C">
        <w:rPr>
          <w:rFonts w:cs="Times New Roman"/>
          <w:lang w:val="en-US"/>
        </w:rPr>
        <w:t>mortality</w:t>
      </w:r>
      <w:r w:rsidR="00912732">
        <w:rPr>
          <w:lang w:val="en-US"/>
        </w:rPr>
        <w:t xml:space="preserve">, adjusting for age, sex, ethnicity, socioeconomic status, and comorbidity using logistic regression </w:t>
      </w:r>
      <w:r w:rsidR="007022BF">
        <w:rPr>
          <w:lang w:val="en-US"/>
        </w:rPr>
        <w:t>with an interaction between immunocompromise and vaccine failure status</w:t>
      </w:r>
      <w:r w:rsidR="00912732">
        <w:rPr>
          <w:lang w:val="en-US"/>
        </w:rPr>
        <w:t>.</w:t>
      </w:r>
    </w:p>
    <w:p w14:paraId="76C07779" w14:textId="77777777" w:rsidR="00912732" w:rsidRPr="00ED57A0" w:rsidRDefault="00912732" w:rsidP="006C752E">
      <w:pPr>
        <w:spacing w:line="360" w:lineRule="auto"/>
        <w:rPr>
          <w:lang w:val="en-US"/>
        </w:rPr>
      </w:pPr>
    </w:p>
    <w:p w14:paraId="1350A0EC" w14:textId="29058F6C" w:rsidR="00B879CB" w:rsidRDefault="006C752E" w:rsidP="007F4524">
      <w:pPr>
        <w:spacing w:line="360" w:lineRule="auto"/>
        <w:rPr>
          <w:rFonts w:cs="Times New Roman"/>
        </w:rPr>
      </w:pPr>
      <w:r>
        <w:t xml:space="preserve">There were </w:t>
      </w:r>
      <w:r w:rsidR="00F47C0C">
        <w:t>40,870 patients recruited to ISARIC4C/CO-CIN between December 8</w:t>
      </w:r>
      <w:r w:rsidR="00F47C0C" w:rsidRPr="00A97C22">
        <w:rPr>
          <w:vertAlign w:val="superscript"/>
        </w:rPr>
        <w:t>th</w:t>
      </w:r>
      <w:r w:rsidR="00F47C0C">
        <w:t xml:space="preserve"> 2020 and August 15</w:t>
      </w:r>
      <w:r w:rsidR="00F47C0C" w:rsidRPr="00A97C22">
        <w:rPr>
          <w:vertAlign w:val="superscript"/>
        </w:rPr>
        <w:t>th</w:t>
      </w:r>
      <w:r w:rsidR="00F47C0C">
        <w:t xml:space="preserve"> 2021 </w:t>
      </w:r>
      <w:r w:rsidR="00ED4C19">
        <w:t>with symptomatic PCR</w:t>
      </w:r>
      <w:r w:rsidR="00F81A40">
        <w:t xml:space="preserve"> positive</w:t>
      </w:r>
      <w:r w:rsidR="00ED4C19">
        <w:t xml:space="preserve"> </w:t>
      </w:r>
      <w:r w:rsidR="00F81A40">
        <w:t>COVID</w:t>
      </w:r>
      <w:r w:rsidR="00ED4C19">
        <w:t>-19</w:t>
      </w:r>
      <w:r w:rsidR="00F47C0C">
        <w:t xml:space="preserve">. </w:t>
      </w:r>
      <w:r w:rsidR="00F47C0C">
        <w:rPr>
          <w:rFonts w:cs="Times New Roman"/>
          <w:color w:val="000000" w:themeColor="text1"/>
        </w:rPr>
        <w:t xml:space="preserve">At </w:t>
      </w:r>
      <w:r w:rsidR="00F47C0C" w:rsidRPr="00D37197">
        <w:t xml:space="preserve">the time of admission, </w:t>
      </w:r>
      <w:r w:rsidR="00F47C0C">
        <w:t>33,</w:t>
      </w:r>
      <w:r w:rsidR="006E12E5">
        <w:t>856</w:t>
      </w:r>
      <w:r w:rsidR="00F47C0C" w:rsidRPr="00D37197">
        <w:t xml:space="preserve"> (</w:t>
      </w:r>
      <w:r w:rsidR="00A97C22">
        <w:t>82.8</w:t>
      </w:r>
      <w:r w:rsidR="00F47C0C" w:rsidRPr="00D37197">
        <w:t xml:space="preserve">%) </w:t>
      </w:r>
      <w:r w:rsidR="00F47C0C">
        <w:t xml:space="preserve">patients </w:t>
      </w:r>
      <w:r w:rsidR="00F47C0C" w:rsidRPr="00D37197">
        <w:t xml:space="preserve">were unvaccinated, </w:t>
      </w:r>
      <w:r w:rsidR="006E12E5">
        <w:t>5</w:t>
      </w:r>
      <w:r w:rsidR="00590427">
        <w:t>,</w:t>
      </w:r>
      <w:r w:rsidR="006E12E5">
        <w:t>332</w:t>
      </w:r>
      <w:r w:rsidR="00F47C0C" w:rsidRPr="00D37197">
        <w:t xml:space="preserve"> (</w:t>
      </w:r>
      <w:r w:rsidR="00A97C22">
        <w:t>13.0</w:t>
      </w:r>
      <w:r w:rsidR="00F47C0C" w:rsidRPr="00D37197">
        <w:t xml:space="preserve">%) had received their first vaccination and </w:t>
      </w:r>
      <w:r w:rsidR="006E12E5">
        <w:t>1,682</w:t>
      </w:r>
      <w:r w:rsidR="00F47C0C" w:rsidRPr="00D37197">
        <w:t xml:space="preserve"> (</w:t>
      </w:r>
      <w:r w:rsidR="00A97C22">
        <w:t>4.1</w:t>
      </w:r>
      <w:r w:rsidR="00F47C0C" w:rsidRPr="00D37197">
        <w:t>%) had received their second vaccination.</w:t>
      </w:r>
      <w:r w:rsidR="00F47C0C">
        <w:t xml:space="preserve"> </w:t>
      </w:r>
      <w:r w:rsidR="00F47C0C">
        <w:rPr>
          <w:rFonts w:cs="Times New Roman"/>
        </w:rPr>
        <w:t>Of the patients who had received a vaccination</w:t>
      </w:r>
      <w:r w:rsidR="0026380E">
        <w:rPr>
          <w:rFonts w:cs="Times New Roman"/>
        </w:rPr>
        <w:t>,</w:t>
      </w:r>
      <w:r w:rsidR="00F47C0C">
        <w:rPr>
          <w:rFonts w:cs="Times New Roman"/>
        </w:rPr>
        <w:t xml:space="preserve"> </w:t>
      </w:r>
      <w:r w:rsidR="00A97C22">
        <w:rPr>
          <w:rFonts w:cs="Times New Roman"/>
        </w:rPr>
        <w:t>51.4</w:t>
      </w:r>
      <w:r w:rsidR="00912732">
        <w:rPr>
          <w:rFonts w:cs="Times New Roman"/>
        </w:rPr>
        <w:t>%</w:t>
      </w:r>
      <w:r w:rsidR="00F47C0C">
        <w:rPr>
          <w:rFonts w:cs="Times New Roman"/>
        </w:rPr>
        <w:t xml:space="preserve"> </w:t>
      </w:r>
      <w:r w:rsidR="0026380E">
        <w:rPr>
          <w:rFonts w:cs="Times New Roman"/>
        </w:rPr>
        <w:t xml:space="preserve">(n=3,606) </w:t>
      </w:r>
      <w:r w:rsidR="008B1F57" w:rsidRPr="00A650A7">
        <w:rPr>
          <w:rFonts w:cs="Times New Roman"/>
        </w:rPr>
        <w:t>had no virus immunity</w:t>
      </w:r>
      <w:r w:rsidR="00F47C0C">
        <w:rPr>
          <w:rFonts w:cs="Times New Roman"/>
        </w:rPr>
        <w:t xml:space="preserve">, </w:t>
      </w:r>
      <w:r w:rsidR="00A97C22">
        <w:rPr>
          <w:rFonts w:cs="Times New Roman"/>
        </w:rPr>
        <w:t>27.7</w:t>
      </w:r>
      <w:r w:rsidR="00912732">
        <w:rPr>
          <w:rFonts w:cs="Times New Roman"/>
        </w:rPr>
        <w:t>%</w:t>
      </w:r>
      <w:r w:rsidR="00F47C0C">
        <w:rPr>
          <w:rFonts w:cs="Times New Roman"/>
        </w:rPr>
        <w:t xml:space="preserve"> </w:t>
      </w:r>
      <w:r w:rsidR="00A97C22">
        <w:rPr>
          <w:rFonts w:cs="Times New Roman"/>
        </w:rPr>
        <w:t>(n=1,941)</w:t>
      </w:r>
      <w:r w:rsidR="00A97C22" w:rsidRPr="00A650A7">
        <w:rPr>
          <w:rFonts w:cs="Times New Roman"/>
        </w:rPr>
        <w:t xml:space="preserve"> </w:t>
      </w:r>
      <w:r w:rsidR="008B1F57">
        <w:rPr>
          <w:rFonts w:cs="Times New Roman"/>
        </w:rPr>
        <w:t>had first dose failure</w:t>
      </w:r>
      <w:r w:rsidR="00F47C0C">
        <w:rPr>
          <w:rFonts w:cs="Times New Roman"/>
        </w:rPr>
        <w:t xml:space="preserve">, </w:t>
      </w:r>
      <w:r w:rsidR="00A97C22">
        <w:rPr>
          <w:rFonts w:cs="Times New Roman"/>
        </w:rPr>
        <w:t>and 20.9</w:t>
      </w:r>
      <w:r w:rsidR="00912732">
        <w:rPr>
          <w:rFonts w:cs="Times New Roman"/>
        </w:rPr>
        <w:t>%</w:t>
      </w:r>
      <w:r w:rsidR="00F47C0C">
        <w:rPr>
          <w:rFonts w:cs="Times New Roman"/>
        </w:rPr>
        <w:t xml:space="preserve"> </w:t>
      </w:r>
      <w:r w:rsidR="008B1F57">
        <w:rPr>
          <w:rFonts w:cs="Times New Roman"/>
        </w:rPr>
        <w:t xml:space="preserve">(n=1,467) </w:t>
      </w:r>
      <w:r w:rsidR="008B1F57" w:rsidRPr="00A650A7">
        <w:rPr>
          <w:rFonts w:cs="Times New Roman"/>
        </w:rPr>
        <w:t>had second dose failure</w:t>
      </w:r>
      <w:r w:rsidR="00590427">
        <w:rPr>
          <w:rFonts w:cs="Times New Roman"/>
        </w:rPr>
        <w:t xml:space="preserve"> (figure 1A)</w:t>
      </w:r>
      <w:r w:rsidR="00B879CB">
        <w:rPr>
          <w:rFonts w:cs="Times New Roman"/>
        </w:rPr>
        <w:t xml:space="preserve">, </w:t>
      </w:r>
      <w:r w:rsidR="00DF1AE7">
        <w:rPr>
          <w:rFonts w:cs="Times New Roman"/>
        </w:rPr>
        <w:t xml:space="preserve">proportions </w:t>
      </w:r>
      <w:r w:rsidR="00B879CB">
        <w:rPr>
          <w:rFonts w:cs="Times New Roman"/>
        </w:rPr>
        <w:t>which persisted when restricting to patients with at least 60 days follow up (</w:t>
      </w:r>
      <w:r w:rsidR="00A05E97">
        <w:rPr>
          <w:rFonts w:cs="Times New Roman"/>
        </w:rPr>
        <w:t xml:space="preserve">figure E1, </w:t>
      </w:r>
      <w:r w:rsidR="00B879CB">
        <w:rPr>
          <w:rFonts w:cs="Times New Roman"/>
        </w:rPr>
        <w:t>online supplement).</w:t>
      </w:r>
      <w:r w:rsidR="00912732">
        <w:rPr>
          <w:rFonts w:cs="Times New Roman"/>
        </w:rPr>
        <w:t xml:space="preserve"> </w:t>
      </w:r>
      <w:r w:rsidR="00B879CB" w:rsidRPr="00B879CB">
        <w:rPr>
          <w:rFonts w:cs="Times New Roman"/>
        </w:rPr>
        <w:t>Despite lower absolute values, the relative proportion of immunocompromised</w:t>
      </w:r>
      <w:r w:rsidR="00DF1AE7">
        <w:rPr>
          <w:rFonts w:cs="Times New Roman"/>
        </w:rPr>
        <w:t xml:space="preserve"> patients</w:t>
      </w:r>
      <w:r w:rsidR="00B879CB" w:rsidRPr="00B879CB">
        <w:rPr>
          <w:rFonts w:cs="Times New Roman"/>
        </w:rPr>
        <w:t xml:space="preserve"> increased from no virus immunity (1</w:t>
      </w:r>
      <w:r w:rsidR="008A116B">
        <w:rPr>
          <w:rFonts w:cs="Times New Roman"/>
        </w:rPr>
        <w:t>2.4</w:t>
      </w:r>
      <w:r w:rsidR="00B879CB" w:rsidRPr="00B879CB">
        <w:rPr>
          <w:rFonts w:cs="Times New Roman"/>
        </w:rPr>
        <w:t>%) to first dose failure (</w:t>
      </w:r>
      <w:r w:rsidR="008A116B">
        <w:rPr>
          <w:rFonts w:cs="Times New Roman"/>
        </w:rPr>
        <w:t>17.5</w:t>
      </w:r>
      <w:r w:rsidR="00B879CB" w:rsidRPr="00B879CB">
        <w:rPr>
          <w:rFonts w:cs="Times New Roman"/>
        </w:rPr>
        <w:t>%) to second dose failure (2</w:t>
      </w:r>
      <w:r w:rsidR="008A116B">
        <w:rPr>
          <w:rFonts w:cs="Times New Roman"/>
        </w:rPr>
        <w:t>0.6</w:t>
      </w:r>
      <w:r w:rsidR="00B879CB" w:rsidRPr="00B879CB">
        <w:rPr>
          <w:rFonts w:cs="Times New Roman"/>
        </w:rPr>
        <w:t>%)</w:t>
      </w:r>
      <w:r w:rsidR="00B879CB">
        <w:rPr>
          <w:rFonts w:cs="Times New Roman"/>
        </w:rPr>
        <w:t xml:space="preserve"> (</w:t>
      </w:r>
      <w:r w:rsidR="00A05E97">
        <w:rPr>
          <w:rFonts w:cs="Times New Roman"/>
        </w:rPr>
        <w:t xml:space="preserve">table E1, </w:t>
      </w:r>
      <w:r w:rsidR="00B879CB">
        <w:rPr>
          <w:rFonts w:cs="Times New Roman"/>
        </w:rPr>
        <w:t>online supplement)</w:t>
      </w:r>
      <w:r w:rsidR="00B879CB" w:rsidRPr="00B879CB">
        <w:rPr>
          <w:rFonts w:cs="Times New Roman"/>
        </w:rPr>
        <w:t xml:space="preserve">. </w:t>
      </w:r>
      <w:r w:rsidR="00A97C22">
        <w:rPr>
          <w:rFonts w:cs="Times New Roman"/>
        </w:rPr>
        <w:t xml:space="preserve"> </w:t>
      </w:r>
    </w:p>
    <w:p w14:paraId="42B7842C" w14:textId="525DD710" w:rsidR="002D7E99" w:rsidRDefault="002D7E99" w:rsidP="007F4524">
      <w:pPr>
        <w:spacing w:line="360" w:lineRule="auto"/>
      </w:pPr>
      <w:r>
        <w:rPr>
          <w:rFonts w:cs="Times New Roman"/>
        </w:rPr>
        <w:t xml:space="preserve">After adjustment, </w:t>
      </w:r>
      <w:r w:rsidR="00590427">
        <w:rPr>
          <w:rFonts w:cs="Times New Roman"/>
        </w:rPr>
        <w:t>vaccination reduced the odds of mortality in patients admitted to hospital (figure 1B</w:t>
      </w:r>
      <w:r w:rsidR="00A97C22">
        <w:rPr>
          <w:rFonts w:cs="Times New Roman"/>
        </w:rPr>
        <w:t>, E2</w:t>
      </w:r>
      <w:r w:rsidR="00590427">
        <w:rPr>
          <w:rFonts w:cs="Times New Roman"/>
        </w:rPr>
        <w:t xml:space="preserve">). </w:t>
      </w:r>
      <w:r w:rsidR="00E575A1">
        <w:rPr>
          <w:rFonts w:cs="Times New Roman"/>
        </w:rPr>
        <w:t>I</w:t>
      </w:r>
      <w:r w:rsidR="006E12E5">
        <w:rPr>
          <w:rFonts w:cs="Times New Roman"/>
        </w:rPr>
        <w:t>mmunocompromised patients</w:t>
      </w:r>
      <w:r w:rsidR="00912732">
        <w:rPr>
          <w:rFonts w:cs="Times New Roman"/>
        </w:rPr>
        <w:t xml:space="preserve"> had consistently </w:t>
      </w:r>
      <w:r w:rsidR="006E12E5">
        <w:rPr>
          <w:rFonts w:cs="Times New Roman"/>
        </w:rPr>
        <w:t>higher odds of mortality compared with immunocompetent patients (Ref level immunocompetent NVI; immunocompetent patients FDF 0.69 (95%</w:t>
      </w:r>
      <w:r w:rsidR="00E27843">
        <w:rPr>
          <w:rFonts w:cs="Times New Roman"/>
        </w:rPr>
        <w:t xml:space="preserve"> </w:t>
      </w:r>
      <w:r w:rsidR="006E12E5">
        <w:rPr>
          <w:rFonts w:cs="Times New Roman"/>
        </w:rPr>
        <w:t>CI 0.59, 0.81), SDF: 0.28 (95%CI 0.22, 0.35); immunocompromised patients - NVI: OR 1.40 (95%CI 1.28, 1.53), FDF OR 1.12 (95%CI 0.83, 1.50), SDF 0.78 (95%CI 0.55, 1.09))</w:t>
      </w:r>
      <w:r w:rsidR="007022BF">
        <w:rPr>
          <w:rFonts w:cs="Times New Roman"/>
        </w:rPr>
        <w:t>, there was a significant interaction between vaccination status and immunocompromise (p=0.0012)</w:t>
      </w:r>
      <w:r>
        <w:rPr>
          <w:rFonts w:cs="Times New Roman"/>
        </w:rPr>
        <w:t>.</w:t>
      </w:r>
    </w:p>
    <w:p w14:paraId="6E24BF39" w14:textId="35A0CD97" w:rsidR="002D7E99" w:rsidRDefault="00590427" w:rsidP="007F4524">
      <w:pPr>
        <w:spacing w:line="360" w:lineRule="auto"/>
        <w:rPr>
          <w:rFonts w:cs="Times New Roman"/>
          <w:color w:val="000000" w:themeColor="text1"/>
        </w:rPr>
      </w:pPr>
      <w:r>
        <w:t xml:space="preserve">Most </w:t>
      </w:r>
      <w:r w:rsidR="002D7E99">
        <w:t xml:space="preserve">patients admitted to hospital with </w:t>
      </w:r>
      <w:r w:rsidR="00B879CB">
        <w:t xml:space="preserve">symptomatic </w:t>
      </w:r>
      <w:r w:rsidR="007406CD">
        <w:t>COVID</w:t>
      </w:r>
      <w:r w:rsidR="002D7E99">
        <w:t>-19 since the vaccination programme began in the UK have not been vacc</w:t>
      </w:r>
      <w:r w:rsidR="00B879CB">
        <w:t>inated, and for those who have received a vaccine, most admissions</w:t>
      </w:r>
      <w:r w:rsidR="002D7E99">
        <w:t xml:space="preserve"> occurred within three weeks of the first dose before the vaccine would be expected to be effective. </w:t>
      </w:r>
      <w:r>
        <w:rPr>
          <w:color w:val="000000" w:themeColor="text1"/>
        </w:rPr>
        <w:t>It is important to highlight to the general population that there is a lag between receiving a vaccination, and developing the immunity required to prevent hospitalisation or death</w:t>
      </w:r>
      <w:r w:rsidR="00E575A1">
        <w:rPr>
          <w:color w:val="000000" w:themeColor="text1"/>
        </w:rPr>
        <w:t>.</w:t>
      </w:r>
      <w:r>
        <w:t xml:space="preserve"> </w:t>
      </w:r>
      <w:r w:rsidR="002D7E99">
        <w:t>Vaccination generally reduced the odds of in-hospital mortality in both immunocompetent and immunocompromised</w:t>
      </w:r>
      <w:r w:rsidR="002D7E99">
        <w:rPr>
          <w:rFonts w:cs="Times New Roman"/>
          <w:color w:val="000000" w:themeColor="text1"/>
        </w:rPr>
        <w:t xml:space="preserve"> patients, however th</w:t>
      </w:r>
      <w:r w:rsidR="007022BF">
        <w:rPr>
          <w:rFonts w:cs="Times New Roman"/>
          <w:color w:val="000000" w:themeColor="text1"/>
        </w:rPr>
        <w:t>is</w:t>
      </w:r>
      <w:r w:rsidR="002D7E99">
        <w:rPr>
          <w:rFonts w:cs="Times New Roman"/>
          <w:color w:val="000000" w:themeColor="text1"/>
        </w:rPr>
        <w:t xml:space="preserve"> effect was </w:t>
      </w:r>
      <w:r w:rsidR="00E27843">
        <w:rPr>
          <w:rFonts w:cs="Times New Roman"/>
          <w:color w:val="000000" w:themeColor="text1"/>
        </w:rPr>
        <w:t>reduced</w:t>
      </w:r>
      <w:r w:rsidR="002D7E99">
        <w:rPr>
          <w:rFonts w:cs="Times New Roman"/>
          <w:color w:val="000000" w:themeColor="text1"/>
        </w:rPr>
        <w:t xml:space="preserve"> in immunocompromised patients</w:t>
      </w:r>
      <w:r w:rsidR="008F224D">
        <w:rPr>
          <w:rFonts w:cs="Times New Roman"/>
          <w:color w:val="000000" w:themeColor="text1"/>
        </w:rPr>
        <w:t xml:space="preserve">. This is consistent with </w:t>
      </w:r>
      <w:r w:rsidR="002548A0">
        <w:rPr>
          <w:color w:val="000000" w:themeColor="text1"/>
        </w:rPr>
        <w:t>previous study finding</w:t>
      </w:r>
      <w:r w:rsidR="00CA443F">
        <w:rPr>
          <w:color w:val="000000" w:themeColor="text1"/>
        </w:rPr>
        <w:t>s</w:t>
      </w:r>
      <w:r w:rsidR="002548A0">
        <w:rPr>
          <w:color w:val="000000" w:themeColor="text1"/>
        </w:rPr>
        <w:t xml:space="preserve"> that although </w:t>
      </w:r>
      <w:r w:rsidR="00B879CB">
        <w:rPr>
          <w:color w:val="000000" w:themeColor="text1"/>
        </w:rPr>
        <w:t>patients with weakened im</w:t>
      </w:r>
      <w:r w:rsidR="002548A0">
        <w:rPr>
          <w:color w:val="000000" w:themeColor="text1"/>
        </w:rPr>
        <w:t xml:space="preserve">mune systems mount a </w:t>
      </w:r>
      <w:r w:rsidR="00B879CB">
        <w:rPr>
          <w:color w:val="000000" w:themeColor="text1"/>
        </w:rPr>
        <w:t xml:space="preserve">response to </w:t>
      </w:r>
      <w:r w:rsidR="007406CD">
        <w:rPr>
          <w:color w:val="000000" w:themeColor="text1"/>
        </w:rPr>
        <w:lastRenderedPageBreak/>
        <w:t>COVID</w:t>
      </w:r>
      <w:r w:rsidR="002548A0">
        <w:rPr>
          <w:color w:val="000000" w:themeColor="text1"/>
        </w:rPr>
        <w:t xml:space="preserve">-19 </w:t>
      </w:r>
      <w:r w:rsidR="00B879CB">
        <w:rPr>
          <w:color w:val="000000" w:themeColor="text1"/>
        </w:rPr>
        <w:t>vaccines</w:t>
      </w:r>
      <w:r w:rsidR="002548A0">
        <w:rPr>
          <w:color w:val="000000" w:themeColor="text1"/>
        </w:rPr>
        <w:t>, the rates of seroconversion and antibody generation are lower</w:t>
      </w:r>
      <w:r w:rsidR="008F224D">
        <w:rPr>
          <w:color w:val="000000" w:themeColor="text1"/>
        </w:rPr>
        <w:t xml:space="preserve"> [2]</w:t>
      </w:r>
      <w:r>
        <w:rPr>
          <w:color w:val="000000" w:themeColor="text1"/>
        </w:rPr>
        <w:t>.</w:t>
      </w:r>
      <w:r w:rsidR="00F92A37">
        <w:rPr>
          <w:color w:val="000000" w:themeColor="text1"/>
          <w:vertAlign w:val="superscript"/>
        </w:rPr>
        <w:t>5</w:t>
      </w:r>
      <w:r w:rsidR="008D1D44">
        <w:rPr>
          <w:color w:val="000000" w:themeColor="text1"/>
          <w:vertAlign w:val="superscript"/>
        </w:rPr>
        <w:t>-</w:t>
      </w:r>
      <w:r w:rsidR="00F92A37">
        <w:rPr>
          <w:color w:val="000000" w:themeColor="text1"/>
          <w:vertAlign w:val="superscript"/>
        </w:rPr>
        <w:t>7</w:t>
      </w:r>
      <w:r>
        <w:rPr>
          <w:color w:val="000000" w:themeColor="text1"/>
        </w:rPr>
        <w:t xml:space="preserve"> </w:t>
      </w:r>
      <w:r w:rsidR="00E575A1">
        <w:rPr>
          <w:color w:val="000000" w:themeColor="text1"/>
        </w:rPr>
        <w:t xml:space="preserve">This vulnerable immunocompromised group </w:t>
      </w:r>
      <w:r w:rsidR="00C74256">
        <w:rPr>
          <w:color w:val="000000" w:themeColor="text1"/>
        </w:rPr>
        <w:t xml:space="preserve">should </w:t>
      </w:r>
      <w:r w:rsidR="00E575A1">
        <w:rPr>
          <w:color w:val="000000" w:themeColor="text1"/>
        </w:rPr>
        <w:t>be</w:t>
      </w:r>
      <w:r>
        <w:rPr>
          <w:color w:val="000000" w:themeColor="text1"/>
        </w:rPr>
        <w:t xml:space="preserve"> prioritised for third booster vaccine doses</w:t>
      </w:r>
      <w:r w:rsidR="007406CD">
        <w:rPr>
          <w:color w:val="000000" w:themeColor="text1"/>
        </w:rPr>
        <w:t xml:space="preserve"> </w:t>
      </w:r>
      <w:r w:rsidR="00C74256">
        <w:rPr>
          <w:color w:val="000000" w:themeColor="text1"/>
        </w:rPr>
        <w:t>and considered f</w:t>
      </w:r>
      <w:r w:rsidR="007406CD">
        <w:rPr>
          <w:color w:val="000000" w:themeColor="text1"/>
        </w:rPr>
        <w:t xml:space="preserve">or alternative strategies such as prophylactic or therapeutic </w:t>
      </w:r>
      <w:r w:rsidR="002D072F">
        <w:rPr>
          <w:color w:val="000000" w:themeColor="text1"/>
        </w:rPr>
        <w:t xml:space="preserve">administration of high potency </w:t>
      </w:r>
      <w:r w:rsidR="007406CD">
        <w:rPr>
          <w:color w:val="000000" w:themeColor="text1"/>
        </w:rPr>
        <w:t>monoclonal antibodies</w:t>
      </w:r>
      <w:r>
        <w:rPr>
          <w:color w:val="000000" w:themeColor="text1"/>
        </w:rPr>
        <w:t>.</w:t>
      </w:r>
    </w:p>
    <w:p w14:paraId="0D2822C6" w14:textId="77777777" w:rsidR="008F224D" w:rsidRDefault="008F224D" w:rsidP="007F4524">
      <w:pPr>
        <w:spacing w:line="360" w:lineRule="auto"/>
      </w:pPr>
    </w:p>
    <w:p w14:paraId="0420EA6B" w14:textId="2F61787A" w:rsidR="00A37C0D" w:rsidRPr="00332DC0" w:rsidRDefault="00A37C0D" w:rsidP="00332DC0">
      <w:pPr>
        <w:rPr>
          <w:rFonts w:cs="Times New Roman"/>
          <w:b/>
          <w:color w:val="000000" w:themeColor="text1"/>
          <w:sz w:val="22"/>
        </w:rPr>
      </w:pPr>
      <w:r w:rsidRPr="00332DC0">
        <w:rPr>
          <w:rFonts w:cs="Times New Roman"/>
          <w:b/>
          <w:color w:val="000000" w:themeColor="text1"/>
          <w:sz w:val="22"/>
        </w:rPr>
        <w:t>Supporting statements</w:t>
      </w:r>
    </w:p>
    <w:p w14:paraId="7DCDC9A8" w14:textId="5367B7B4" w:rsidR="00A37C0D" w:rsidRPr="00332DC0" w:rsidRDefault="007022BF" w:rsidP="00332DC0">
      <w:pPr>
        <w:rPr>
          <w:rFonts w:cs="Times New Roman"/>
          <w:color w:val="000000" w:themeColor="text1"/>
          <w:sz w:val="22"/>
        </w:rPr>
      </w:pPr>
      <w:r w:rsidRPr="00332DC0">
        <w:rPr>
          <w:rFonts w:cs="Times New Roman"/>
          <w:color w:val="000000" w:themeColor="text1"/>
          <w:sz w:val="22"/>
        </w:rPr>
        <w:t>We would like to acknowledge the data linkages undertaken by Natalie Tarbatt and Nathan Abbotts (NHS England).</w:t>
      </w:r>
    </w:p>
    <w:p w14:paraId="2687AA24" w14:textId="48095C41" w:rsidR="00F47C0C" w:rsidRPr="00332DC0" w:rsidRDefault="00A37C0D" w:rsidP="00332DC0">
      <w:pPr>
        <w:rPr>
          <w:sz w:val="22"/>
          <w:lang w:val="en-US"/>
        </w:rPr>
      </w:pPr>
      <w:r w:rsidRPr="00332DC0">
        <w:rPr>
          <w:rFonts w:cs="Times New Roman"/>
          <w:color w:val="000000" w:themeColor="text1"/>
          <w:sz w:val="22"/>
        </w:rPr>
        <w:t>This work is supported by grants from: the National Institute for Health Research (NIHR) [award CO-CIN-01], the Medical Research Council [grant MC_PC_19059] and by the NIHR Health Protection Research Unit (HPRU) in Emerging and Zoonotic Infections at University of Liverpool in partnership with Public Health England (PHE), [award 200907], NIHR HPRU in Respiratory Infections at Imperial College London with PHE [award 200927], NIHR Biomedical Research Centre at Imperial College London [IS-BRC-1215-20013], EU Platform foR European Preparedness Against (Re-) emerging Epidemics (PREPARE) [FP7 project 602525] and NIHR Clinical Research Network for providing infrastructure support for this research. The views expressed are those of the authors and not necessarily those of the DHSC, DID, NIHR, MRC, Wellcome or PHE.</w:t>
      </w:r>
    </w:p>
    <w:p w14:paraId="5DBC6F7B" w14:textId="77777777" w:rsidR="00DF0FC7" w:rsidRPr="003E7E5F" w:rsidRDefault="00DF0FC7" w:rsidP="00DF0FC7"/>
    <w:p w14:paraId="4D30B814" w14:textId="2762A877" w:rsidR="005B609C" w:rsidRPr="00332DC0" w:rsidRDefault="00A81264">
      <w:pPr>
        <w:rPr>
          <w:b/>
        </w:rPr>
      </w:pPr>
      <w:r w:rsidRPr="00332DC0">
        <w:rPr>
          <w:b/>
        </w:rPr>
        <w:t>References</w:t>
      </w:r>
    </w:p>
    <w:p w14:paraId="6F3E7235" w14:textId="0AB2DC7A" w:rsidR="00F92A37" w:rsidRDefault="00F92A37" w:rsidP="00F92A37">
      <w:pPr>
        <w:pStyle w:val="ListParagraph"/>
        <w:numPr>
          <w:ilvl w:val="0"/>
          <w:numId w:val="3"/>
        </w:numPr>
        <w:rPr>
          <w:rFonts w:eastAsia="Times New Roman" w:cs="Times New Roman"/>
          <w:lang w:eastAsia="en-GB"/>
        </w:rPr>
      </w:pPr>
      <w:r>
        <w:rPr>
          <w:rFonts w:eastAsia="Times New Roman" w:cs="Times New Roman"/>
          <w:lang w:eastAsia="en-GB"/>
        </w:rPr>
        <w:t>Pritcha</w:t>
      </w:r>
      <w:r w:rsidRPr="002E5FD9">
        <w:rPr>
          <w:rFonts w:eastAsia="Times New Roman" w:cs="Times New Roman"/>
          <w:lang w:eastAsia="en-GB"/>
        </w:rPr>
        <w:t>rd</w:t>
      </w:r>
      <w:r>
        <w:rPr>
          <w:rFonts w:eastAsia="Times New Roman" w:cs="Times New Roman"/>
          <w:lang w:eastAsia="en-GB"/>
        </w:rPr>
        <w:t xml:space="preserve"> E</w:t>
      </w:r>
      <w:r w:rsidR="001F1999">
        <w:rPr>
          <w:rFonts w:eastAsia="Times New Roman" w:cs="Times New Roman"/>
          <w:lang w:eastAsia="en-GB"/>
        </w:rPr>
        <w:t>,</w:t>
      </w:r>
      <w:r w:rsidRPr="002E5FD9">
        <w:rPr>
          <w:rFonts w:eastAsia="Times New Roman" w:cs="Times New Roman"/>
          <w:lang w:eastAsia="en-GB"/>
        </w:rPr>
        <w:t xml:space="preserve"> Matthews</w:t>
      </w:r>
      <w:r>
        <w:rPr>
          <w:rFonts w:eastAsia="Times New Roman" w:cs="Times New Roman"/>
          <w:lang w:eastAsia="en-GB"/>
        </w:rPr>
        <w:t xml:space="preserve"> PC</w:t>
      </w:r>
      <w:r w:rsidRPr="002E5FD9">
        <w:rPr>
          <w:rFonts w:eastAsia="Times New Roman" w:cs="Times New Roman"/>
          <w:lang w:eastAsia="en-GB"/>
        </w:rPr>
        <w:t>,  Stoesser</w:t>
      </w:r>
      <w:r>
        <w:rPr>
          <w:rFonts w:eastAsia="Times New Roman" w:cs="Times New Roman"/>
          <w:lang w:eastAsia="en-GB"/>
        </w:rPr>
        <w:t xml:space="preserve"> N</w:t>
      </w:r>
      <w:r w:rsidRPr="002E5FD9">
        <w:rPr>
          <w:rFonts w:eastAsia="Times New Roman" w:cs="Times New Roman"/>
          <w:lang w:eastAsia="en-GB"/>
        </w:rPr>
        <w:t xml:space="preserve">, </w:t>
      </w:r>
      <w:r>
        <w:rPr>
          <w:rFonts w:eastAsia="Times New Roman" w:cs="Times New Roman"/>
          <w:lang w:eastAsia="en-GB"/>
        </w:rPr>
        <w:t xml:space="preserve">et al. </w:t>
      </w:r>
      <w:r w:rsidRPr="002E5FD9">
        <w:rPr>
          <w:rFonts w:eastAsia="Times New Roman" w:cs="Times New Roman"/>
          <w:lang w:eastAsia="en-GB"/>
        </w:rPr>
        <w:t>Impact of vaccination on new SARS-CoV-2 infections in the UK</w:t>
      </w:r>
      <w:r>
        <w:rPr>
          <w:rFonts w:eastAsia="Times New Roman" w:cs="Times New Roman"/>
          <w:lang w:eastAsia="en-GB"/>
        </w:rPr>
        <w:t xml:space="preserve">. medRxiv 2021 June 09, </w:t>
      </w:r>
      <w:r w:rsidRPr="002E5FD9">
        <w:rPr>
          <w:rFonts w:eastAsia="Times New Roman" w:cs="Times New Roman"/>
          <w:lang w:eastAsia="en-GB"/>
        </w:rPr>
        <w:t xml:space="preserve">doi: </w:t>
      </w:r>
      <w:hyperlink r:id="rId8" w:history="1">
        <w:r w:rsidRPr="00BF0D04">
          <w:rPr>
            <w:rStyle w:val="Hyperlink"/>
            <w:rFonts w:eastAsia="Times New Roman" w:cs="Times New Roman"/>
            <w:lang w:eastAsia="en-GB"/>
          </w:rPr>
          <w:t>https://doi.org/10.1101/2021.04.22.21255913</w:t>
        </w:r>
      </w:hyperlink>
    </w:p>
    <w:p w14:paraId="24BB8519" w14:textId="77777777" w:rsidR="00F92A37" w:rsidRPr="008D1D44" w:rsidRDefault="00F92A37" w:rsidP="00F92A37">
      <w:pPr>
        <w:pStyle w:val="ListParagraph"/>
        <w:numPr>
          <w:ilvl w:val="0"/>
          <w:numId w:val="3"/>
        </w:numPr>
        <w:rPr>
          <w:rFonts w:eastAsia="Times New Roman" w:cs="Times New Roman"/>
          <w:lang w:eastAsia="en-GB"/>
        </w:rPr>
      </w:pPr>
      <w:r>
        <w:rPr>
          <w:rFonts w:eastAsia="Times New Roman" w:cs="Arial"/>
          <w:color w:val="222222"/>
          <w:shd w:val="clear" w:color="auto" w:fill="FFFFFF"/>
          <w:lang w:eastAsia="en-GB"/>
        </w:rPr>
        <w:t>Boyarsky BJ, Werbel WA, Avery RK et al. Immunogenicity of a Single Dose of SARS-CoV-2 Messenger RNA Vaccine in Solid Organ Transplant Recipients. JAMA 2021 May 04;325(17):1784-1786</w:t>
      </w:r>
    </w:p>
    <w:p w14:paraId="33FEBD51" w14:textId="2F32AD1F" w:rsidR="005B609C" w:rsidRPr="00F92A37" w:rsidRDefault="005B609C" w:rsidP="005B609C">
      <w:pPr>
        <w:pStyle w:val="ListParagraph"/>
        <w:numPr>
          <w:ilvl w:val="0"/>
          <w:numId w:val="3"/>
        </w:numPr>
        <w:rPr>
          <w:rFonts w:eastAsia="Times New Roman" w:cs="Times New Roman"/>
          <w:lang w:eastAsia="en-GB"/>
        </w:rPr>
      </w:pPr>
      <w:r w:rsidRPr="005B609C">
        <w:rPr>
          <w:rFonts w:eastAsia="Times New Roman" w:cs="Arial"/>
          <w:color w:val="222222"/>
          <w:shd w:val="clear" w:color="auto" w:fill="FFFFFF"/>
          <w:lang w:eastAsia="en-GB"/>
        </w:rPr>
        <w:t>Docherty,</w:t>
      </w:r>
      <w:r w:rsidR="00CA443F">
        <w:rPr>
          <w:rFonts w:eastAsia="Times New Roman" w:cs="Arial"/>
          <w:color w:val="222222"/>
          <w:shd w:val="clear" w:color="auto" w:fill="FFFFFF"/>
          <w:lang w:eastAsia="en-GB"/>
        </w:rPr>
        <w:t xml:space="preserve"> B</w:t>
      </w:r>
      <w:r w:rsidRPr="005B609C">
        <w:rPr>
          <w:rFonts w:eastAsia="Times New Roman" w:cs="Arial"/>
          <w:color w:val="222222"/>
          <w:shd w:val="clear" w:color="auto" w:fill="FFFFFF"/>
          <w:lang w:eastAsia="en-GB"/>
        </w:rPr>
        <w:t>B,</w:t>
      </w:r>
      <w:r w:rsidR="00CA443F">
        <w:rPr>
          <w:rFonts w:eastAsia="Times New Roman" w:cs="Arial"/>
          <w:color w:val="222222"/>
          <w:shd w:val="clear" w:color="auto" w:fill="FFFFFF"/>
          <w:lang w:eastAsia="en-GB"/>
        </w:rPr>
        <w:t xml:space="preserve"> Harrison EM, Green CA,</w:t>
      </w:r>
      <w:r w:rsidRPr="005B609C">
        <w:rPr>
          <w:rFonts w:eastAsia="Times New Roman" w:cs="Arial"/>
          <w:color w:val="222222"/>
          <w:shd w:val="clear" w:color="auto" w:fill="FFFFFF"/>
          <w:lang w:eastAsia="en-GB"/>
        </w:rPr>
        <w:t xml:space="preserve"> et al. "Features of 20 133 UK patients in hospital with covid-19 using the ISARIC WHO Clinical Characterisation Protocol: prospective observational cohort study." </w:t>
      </w:r>
      <w:r w:rsidRPr="005B609C">
        <w:rPr>
          <w:rFonts w:eastAsia="Times New Roman" w:cs="Arial"/>
          <w:i/>
          <w:iCs/>
          <w:color w:val="222222"/>
          <w:shd w:val="clear" w:color="auto" w:fill="FFFFFF"/>
          <w:lang w:eastAsia="en-GB"/>
        </w:rPr>
        <w:t>bmj</w:t>
      </w:r>
      <w:r w:rsidRPr="005B609C">
        <w:rPr>
          <w:rFonts w:eastAsia="Times New Roman" w:cs="Arial"/>
          <w:color w:val="222222"/>
          <w:shd w:val="clear" w:color="auto" w:fill="FFFFFF"/>
          <w:lang w:eastAsia="en-GB"/>
        </w:rPr>
        <w:t> 369 (2020).</w:t>
      </w:r>
    </w:p>
    <w:p w14:paraId="7179EE86" w14:textId="393BEE56" w:rsidR="00CA443F" w:rsidRPr="005B609C" w:rsidRDefault="00CA443F" w:rsidP="00CA443F">
      <w:pPr>
        <w:pStyle w:val="ListParagraph"/>
        <w:numPr>
          <w:ilvl w:val="0"/>
          <w:numId w:val="3"/>
        </w:numPr>
        <w:rPr>
          <w:rFonts w:eastAsia="Times New Roman" w:cs="Times New Roman"/>
          <w:lang w:eastAsia="en-GB"/>
        </w:rPr>
      </w:pPr>
      <w:r>
        <w:rPr>
          <w:rFonts w:eastAsia="Times New Roman" w:cs="Times New Roman"/>
          <w:lang w:eastAsia="en-GB"/>
        </w:rPr>
        <w:t xml:space="preserve">Hall VJ, Foulkes S, Saei A, et al. </w:t>
      </w:r>
      <w:r w:rsidRPr="00CA443F">
        <w:rPr>
          <w:rFonts w:eastAsia="Times New Roman" w:cs="Times New Roman"/>
          <w:lang w:eastAsia="en-GB"/>
        </w:rPr>
        <w:t>COVID-19 vaccine coverage in health-care workers in England and effectiveness of BNT162b2 mRNA vaccine against infection (SIREN): a prospective, multicentre, cohort study</w:t>
      </w:r>
      <w:r>
        <w:rPr>
          <w:rFonts w:eastAsia="Times New Roman" w:cs="Times New Roman"/>
          <w:lang w:eastAsia="en-GB"/>
        </w:rPr>
        <w:t>. Lancet 2021 May 08;</w:t>
      </w:r>
      <w:r w:rsidR="008D1D44">
        <w:rPr>
          <w:rFonts w:eastAsia="Times New Roman" w:cs="Times New Roman"/>
          <w:lang w:eastAsia="en-GB"/>
        </w:rPr>
        <w:t xml:space="preserve"> p</w:t>
      </w:r>
      <w:r>
        <w:rPr>
          <w:rFonts w:eastAsia="Times New Roman" w:cs="Times New Roman"/>
          <w:lang w:eastAsia="en-GB"/>
        </w:rPr>
        <w:t>1725-1735</w:t>
      </w:r>
    </w:p>
    <w:p w14:paraId="3AED3F1F" w14:textId="4B6FCA9B" w:rsidR="00ED57A0" w:rsidRDefault="00ED57A0" w:rsidP="00ED57A0">
      <w:pPr>
        <w:pStyle w:val="ListParagraph"/>
        <w:numPr>
          <w:ilvl w:val="0"/>
          <w:numId w:val="3"/>
        </w:numPr>
      </w:pPr>
      <w:r w:rsidRPr="00ED57A0">
        <w:rPr>
          <w:color w:val="000000" w:themeColor="text1"/>
          <w:shd w:val="clear" w:color="auto" w:fill="FFFFFF"/>
        </w:rPr>
        <w:t>Kearns P, Siebert S, Willicombe M, et al. Examining the immunological effects of covid-19 vaccination in patients with conditions potentially leading to diminished immune response capacity. </w:t>
      </w:r>
      <w:r w:rsidRPr="00ED57A0">
        <w:rPr>
          <w:rStyle w:val="Emphasis"/>
          <w:color w:val="000000" w:themeColor="text1"/>
          <w:bdr w:val="none" w:sz="0" w:space="0" w:color="auto" w:frame="1"/>
          <w:shd w:val="clear" w:color="auto" w:fill="FFFFFF"/>
        </w:rPr>
        <w:t>Preprints with the Lancet</w:t>
      </w:r>
      <w:r w:rsidRPr="00ED57A0">
        <w:rPr>
          <w:color w:val="000000" w:themeColor="text1"/>
          <w:shd w:val="clear" w:color="auto" w:fill="FFFFFF"/>
        </w:rPr>
        <w:t> 2021 [preprint].</w:t>
      </w:r>
      <w:r w:rsidRPr="00ED57A0">
        <w:rPr>
          <w:rFonts w:ascii="Helvetica Neue" w:hAnsi="Helvetica Neue"/>
          <w:color w:val="000000" w:themeColor="text1"/>
          <w:sz w:val="22"/>
          <w:szCs w:val="22"/>
          <w:shd w:val="clear" w:color="auto" w:fill="FFFFFF"/>
        </w:rPr>
        <w:t> </w:t>
      </w:r>
      <w:r w:rsidR="00F975FC">
        <w:t xml:space="preserve"> </w:t>
      </w:r>
    </w:p>
    <w:p w14:paraId="1ABC8570" w14:textId="4BC41279" w:rsidR="008D1D44" w:rsidRDefault="008D1D44" w:rsidP="00ED57A0">
      <w:pPr>
        <w:pStyle w:val="ListParagraph"/>
        <w:numPr>
          <w:ilvl w:val="0"/>
          <w:numId w:val="3"/>
        </w:numPr>
      </w:pPr>
      <w:r>
        <w:t>Carr EJ, Harvey R, Wall EC. Neutralising antibodies after COVID-19 vaccination in UK haemodialysis patients. Lancet 2021 August 12, p1038-1041</w:t>
      </w:r>
    </w:p>
    <w:p w14:paraId="3C05784F" w14:textId="6D9CC3B9" w:rsidR="008D1D44" w:rsidRDefault="008D1D44" w:rsidP="00ED57A0">
      <w:pPr>
        <w:pStyle w:val="ListParagraph"/>
        <w:numPr>
          <w:ilvl w:val="0"/>
          <w:numId w:val="3"/>
        </w:numPr>
      </w:pPr>
      <w:r>
        <w:t>Thakkar A, Gonzalex-Lugo JD, Goradia N, et al. Seroconversion rates following COVID-19 vaccination among patients with cancer. Cancer Cell 2021 Aug 09; p1081-1090</w:t>
      </w:r>
    </w:p>
    <w:p w14:paraId="19512835" w14:textId="64A84764" w:rsidR="00E575A1" w:rsidRDefault="00E575A1" w:rsidP="00A81264">
      <w:pPr>
        <w:rPr>
          <w:rFonts w:eastAsia="Times New Roman" w:cs="Arial"/>
          <w:color w:val="222222"/>
          <w:shd w:val="clear" w:color="auto" w:fill="FFFFFF"/>
          <w:lang w:eastAsia="en-GB"/>
        </w:rPr>
      </w:pPr>
    </w:p>
    <w:p w14:paraId="2043F40E" w14:textId="77777777" w:rsidR="00A37C0D" w:rsidRPr="00886997" w:rsidRDefault="00A37C0D" w:rsidP="00A37C0D">
      <w:pPr>
        <w:rPr>
          <w:b/>
          <w:bCs/>
          <w:sz w:val="20"/>
        </w:rPr>
      </w:pPr>
      <w:r w:rsidRPr="00886997">
        <w:rPr>
          <w:b/>
          <w:bCs/>
          <w:sz w:val="20"/>
        </w:rPr>
        <w:t>Declaration of interests</w:t>
      </w:r>
    </w:p>
    <w:p w14:paraId="2C817D8A" w14:textId="2620C0CB" w:rsidR="00A37C0D" w:rsidRPr="00886997" w:rsidRDefault="00886997" w:rsidP="00A37C0D">
      <w:pPr>
        <w:rPr>
          <w:sz w:val="20"/>
        </w:rPr>
      </w:pPr>
      <w:r w:rsidRPr="00886997">
        <w:rPr>
          <w:sz w:val="20"/>
        </w:rPr>
        <w:t>CE, MT, AL, GL, EMH</w:t>
      </w:r>
      <w:r w:rsidR="00A37C0D" w:rsidRPr="00886997">
        <w:rPr>
          <w:sz w:val="20"/>
        </w:rPr>
        <w:t>: nothing to disclose</w:t>
      </w:r>
      <w:r w:rsidRPr="00886997">
        <w:rPr>
          <w:sz w:val="20"/>
        </w:rPr>
        <w:t xml:space="preserve">. </w:t>
      </w:r>
      <w:r w:rsidR="00A37C0D" w:rsidRPr="00886997">
        <w:rPr>
          <w:sz w:val="20"/>
        </w:rPr>
        <w:t>L Turtle: reports grants from MRC, during the conduct of the study; grants from Wellcome Trust, grants from Innovate UK, grants from NIHR, grants from MRC, grants from EU Horizon 2020,  outside the submitted work.</w:t>
      </w:r>
      <w:r w:rsidRPr="00886997">
        <w:rPr>
          <w:sz w:val="20"/>
        </w:rPr>
        <w:t xml:space="preserve"> </w:t>
      </w:r>
      <w:r w:rsidR="00A37C0D" w:rsidRPr="00886997">
        <w:rPr>
          <w:sz w:val="20"/>
        </w:rPr>
        <w:t xml:space="preserve">MG Semple: reports grants from DHSC National Institute of Health Research UK, grants from Medical Research Council UK, grants from Health Protection Research Unit in Emerging &amp; Zoonotic Infections, University of Liverpool, during the conduct of the study; other from Integrum </w:t>
      </w:r>
      <w:r w:rsidR="00A37C0D" w:rsidRPr="00886997">
        <w:rPr>
          <w:sz w:val="20"/>
        </w:rPr>
        <w:lastRenderedPageBreak/>
        <w:t>Scientific LLC,  Greensboro, NC, USA, outside the submitted work.</w:t>
      </w:r>
      <w:r>
        <w:rPr>
          <w:sz w:val="20"/>
        </w:rPr>
        <w:t xml:space="preserve"> </w:t>
      </w:r>
      <w:r w:rsidRPr="00886997">
        <w:rPr>
          <w:sz w:val="20"/>
        </w:rPr>
        <w:t>AB Docherty: grant</w:t>
      </w:r>
      <w:r w:rsidR="00A37C0D" w:rsidRPr="00886997">
        <w:rPr>
          <w:sz w:val="20"/>
        </w:rPr>
        <w:t xml:space="preserve"> from Wellcome Trust, outside the submitted work.</w:t>
      </w:r>
    </w:p>
    <w:p w14:paraId="04FACF8D" w14:textId="77777777" w:rsidR="00886997" w:rsidRDefault="00886997" w:rsidP="00A37C0D"/>
    <w:p w14:paraId="43920AA9" w14:textId="62C223BA" w:rsidR="00886997" w:rsidRDefault="00DD6455" w:rsidP="00A37C0D">
      <w:r>
        <w:rPr>
          <w:noProof/>
          <w:lang w:val="en-GB" w:eastAsia="en-GB"/>
        </w:rPr>
        <w:drawing>
          <wp:inline distT="0" distB="0" distL="0" distR="0" wp14:anchorId="4D03E34C" wp14:editId="1F281C33">
            <wp:extent cx="5520430" cy="4166886"/>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7507" cy="4179776"/>
                    </a:xfrm>
                    <a:prstGeom prst="rect">
                      <a:avLst/>
                    </a:prstGeom>
                    <a:noFill/>
                  </pic:spPr>
                </pic:pic>
              </a:graphicData>
            </a:graphic>
          </wp:inline>
        </w:drawing>
      </w:r>
    </w:p>
    <w:p w14:paraId="26C7A511" w14:textId="77777777" w:rsidR="008B1F57" w:rsidRDefault="008B1F57" w:rsidP="00A81264">
      <w:pPr>
        <w:rPr>
          <w:rFonts w:eastAsia="Times New Roman" w:cs="Arial"/>
          <w:color w:val="222222"/>
          <w:shd w:val="clear" w:color="auto" w:fill="FFFFFF"/>
          <w:lang w:eastAsia="en-GB"/>
        </w:rPr>
      </w:pPr>
    </w:p>
    <w:p w14:paraId="596C3D3C" w14:textId="77777777" w:rsidR="00A05E97" w:rsidRDefault="00A05E97" w:rsidP="00A81264">
      <w:pPr>
        <w:rPr>
          <w:rFonts w:eastAsia="Times New Roman" w:cs="Arial"/>
          <w:color w:val="222222"/>
          <w:shd w:val="clear" w:color="auto" w:fill="FFFFFF"/>
          <w:lang w:eastAsia="en-GB"/>
        </w:rPr>
      </w:pPr>
    </w:p>
    <w:p w14:paraId="34C178D4" w14:textId="6AE57E4F" w:rsidR="00A05E97" w:rsidRPr="00886997" w:rsidRDefault="00E575A1" w:rsidP="00A81264">
      <w:pPr>
        <w:rPr>
          <w:rFonts w:eastAsia="Times New Roman" w:cs="Arial"/>
          <w:color w:val="222222"/>
          <w:sz w:val="20"/>
          <w:shd w:val="clear" w:color="auto" w:fill="FFFFFF"/>
          <w:lang w:eastAsia="en-GB"/>
        </w:rPr>
      </w:pPr>
      <w:r w:rsidRPr="00886997">
        <w:rPr>
          <w:rFonts w:eastAsia="Times New Roman" w:cs="Arial"/>
          <w:color w:val="222222"/>
          <w:sz w:val="20"/>
          <w:shd w:val="clear" w:color="auto" w:fill="FFFFFF"/>
          <w:lang w:eastAsia="en-GB"/>
        </w:rPr>
        <w:t>Figure 1: A</w:t>
      </w:r>
      <w:r w:rsidR="00A05E97" w:rsidRPr="00886997">
        <w:rPr>
          <w:rFonts w:eastAsia="Times New Roman" w:cs="Arial"/>
          <w:color w:val="222222"/>
          <w:sz w:val="20"/>
          <w:shd w:val="clear" w:color="auto" w:fill="FFFFFF"/>
          <w:lang w:eastAsia="en-GB"/>
        </w:rPr>
        <w:t xml:space="preserve">: time between first vaccination and onset of symptoms for patients admitted with symptomatic PCR+ve </w:t>
      </w:r>
      <w:r w:rsidR="00526505" w:rsidRPr="00886997">
        <w:rPr>
          <w:rFonts w:eastAsia="Times New Roman" w:cs="Arial"/>
          <w:color w:val="222222"/>
          <w:sz w:val="20"/>
          <w:shd w:val="clear" w:color="auto" w:fill="FFFFFF"/>
          <w:lang w:eastAsia="en-GB"/>
        </w:rPr>
        <w:t>COVID</w:t>
      </w:r>
      <w:r w:rsidR="00A05E97" w:rsidRPr="00886997">
        <w:rPr>
          <w:rFonts w:eastAsia="Times New Roman" w:cs="Arial"/>
          <w:color w:val="222222"/>
          <w:sz w:val="20"/>
          <w:shd w:val="clear" w:color="auto" w:fill="FFFFFF"/>
          <w:lang w:eastAsia="en-GB"/>
        </w:rPr>
        <w:t xml:space="preserve">-19. Vertical dotted line represents transition from no virus immunity to first dose failure. Red – Astrazeneca vaccine, Blue – Pfizer, Green – other, grey – missing. </w:t>
      </w:r>
    </w:p>
    <w:p w14:paraId="46EB2D76" w14:textId="012B96B0" w:rsidR="00A05E97" w:rsidRPr="00886997" w:rsidRDefault="00A05E97" w:rsidP="00A81264">
      <w:pPr>
        <w:rPr>
          <w:rFonts w:eastAsia="Times New Roman" w:cs="Arial"/>
          <w:color w:val="222222"/>
          <w:sz w:val="20"/>
          <w:shd w:val="clear" w:color="auto" w:fill="FFFFFF"/>
          <w:lang w:eastAsia="en-GB"/>
        </w:rPr>
      </w:pPr>
      <w:r w:rsidRPr="00886997">
        <w:rPr>
          <w:rFonts w:eastAsia="Times New Roman" w:cs="Arial"/>
          <w:color w:val="222222"/>
          <w:sz w:val="20"/>
          <w:shd w:val="clear" w:color="auto" w:fill="FFFFFF"/>
          <w:lang w:eastAsia="en-GB"/>
        </w:rPr>
        <w:t xml:space="preserve">B: time between second vaccine and onset of symptoms for patients admitted with symptomatic PCR+ve </w:t>
      </w:r>
      <w:r w:rsidR="00526505" w:rsidRPr="00886997">
        <w:rPr>
          <w:rFonts w:eastAsia="Times New Roman" w:cs="Arial"/>
          <w:color w:val="222222"/>
          <w:sz w:val="20"/>
          <w:shd w:val="clear" w:color="auto" w:fill="FFFFFF"/>
          <w:lang w:eastAsia="en-GB"/>
        </w:rPr>
        <w:t>COVID</w:t>
      </w:r>
      <w:r w:rsidRPr="00886997">
        <w:rPr>
          <w:rFonts w:eastAsia="Times New Roman" w:cs="Arial"/>
          <w:color w:val="222222"/>
          <w:sz w:val="20"/>
          <w:shd w:val="clear" w:color="auto" w:fill="FFFFFF"/>
          <w:lang w:eastAsia="en-GB"/>
        </w:rPr>
        <w:t>-19. Vertical dotted line represents transition from first dose failure to second dose failure.</w:t>
      </w:r>
    </w:p>
    <w:p w14:paraId="1894DD42" w14:textId="20EFCDF0" w:rsidR="00A05E97" w:rsidRPr="00886997" w:rsidRDefault="00A05E97" w:rsidP="00A81264">
      <w:pPr>
        <w:rPr>
          <w:rFonts w:eastAsia="Times New Roman" w:cs="Arial"/>
          <w:color w:val="222222"/>
          <w:sz w:val="20"/>
          <w:shd w:val="clear" w:color="auto" w:fill="FFFFFF"/>
          <w:lang w:eastAsia="en-GB"/>
        </w:rPr>
      </w:pPr>
      <w:r w:rsidRPr="00886997">
        <w:rPr>
          <w:rFonts w:eastAsia="Times New Roman" w:cs="Arial"/>
          <w:color w:val="222222"/>
          <w:sz w:val="20"/>
          <w:shd w:val="clear" w:color="auto" w:fill="FFFFFF"/>
          <w:lang w:eastAsia="en-GB"/>
        </w:rPr>
        <w:t>C: Logistic Regression Odds of 28 day mortality for immunocompetent vs immunocompromised patients, stratified by vaccine group – no virus immunity, first dose failure, second dose failure. Odds adjusted for age, sex, ethnicity, socioeconomic status and comorbidity. Full model in the online supplement.</w:t>
      </w:r>
    </w:p>
    <w:p w14:paraId="655FC172" w14:textId="77777777" w:rsidR="00A05E97" w:rsidRDefault="00A05E97" w:rsidP="00A81264">
      <w:pPr>
        <w:rPr>
          <w:rFonts w:eastAsia="Times New Roman" w:cs="Arial"/>
          <w:color w:val="222222"/>
          <w:shd w:val="clear" w:color="auto" w:fill="FFFFFF"/>
          <w:lang w:eastAsia="en-GB"/>
        </w:rPr>
      </w:pPr>
    </w:p>
    <w:p w14:paraId="3354BAA9" w14:textId="77777777" w:rsidR="00A05E97" w:rsidRDefault="00A05E97" w:rsidP="00A81264">
      <w:pPr>
        <w:rPr>
          <w:rFonts w:eastAsia="Times New Roman" w:cs="Arial"/>
          <w:color w:val="222222"/>
          <w:shd w:val="clear" w:color="auto" w:fill="FFFFFF"/>
          <w:lang w:eastAsia="en-GB"/>
        </w:rPr>
      </w:pPr>
    </w:p>
    <w:p w14:paraId="26F158F4" w14:textId="77777777" w:rsidR="008B1F57" w:rsidRDefault="008B1F57">
      <w:pPr>
        <w:rPr>
          <w:rFonts w:eastAsia="Times New Roman" w:cs="Arial"/>
          <w:color w:val="222222"/>
          <w:shd w:val="clear" w:color="auto" w:fill="FFFFFF"/>
          <w:lang w:eastAsia="en-GB"/>
        </w:rPr>
      </w:pPr>
      <w:r>
        <w:rPr>
          <w:rFonts w:eastAsia="Times New Roman" w:cs="Arial"/>
          <w:color w:val="222222"/>
          <w:shd w:val="clear" w:color="auto" w:fill="FFFFFF"/>
          <w:lang w:eastAsia="en-GB"/>
        </w:rPr>
        <w:br w:type="page"/>
      </w:r>
    </w:p>
    <w:p w14:paraId="2E7D7666" w14:textId="54143991" w:rsidR="00A05E97" w:rsidRPr="00332DC0" w:rsidRDefault="00A05E97" w:rsidP="00A81264">
      <w:pPr>
        <w:rPr>
          <w:rFonts w:eastAsia="Times New Roman" w:cs="Arial"/>
          <w:b/>
          <w:color w:val="222222"/>
          <w:shd w:val="clear" w:color="auto" w:fill="FFFFFF"/>
          <w:lang w:eastAsia="en-GB"/>
        </w:rPr>
      </w:pPr>
      <w:r w:rsidRPr="00332DC0">
        <w:rPr>
          <w:rFonts w:eastAsia="Times New Roman" w:cs="Arial"/>
          <w:b/>
          <w:color w:val="222222"/>
          <w:shd w:val="clear" w:color="auto" w:fill="FFFFFF"/>
          <w:lang w:eastAsia="en-GB"/>
        </w:rPr>
        <w:lastRenderedPageBreak/>
        <w:t>Online supplement</w:t>
      </w:r>
    </w:p>
    <w:p w14:paraId="48FF864C" w14:textId="290D30B3" w:rsidR="00A05E97" w:rsidRDefault="00A05E97" w:rsidP="00A81264">
      <w:pPr>
        <w:rPr>
          <w:rFonts w:eastAsia="Times New Roman" w:cs="Arial"/>
          <w:color w:val="222222"/>
          <w:shd w:val="clear" w:color="auto" w:fill="FFFFFF"/>
          <w:lang w:eastAsia="en-GB"/>
        </w:rPr>
      </w:pPr>
    </w:p>
    <w:p w14:paraId="7A12172B" w14:textId="108E971C" w:rsidR="00A05E97" w:rsidRDefault="00A05E97" w:rsidP="00A81264">
      <w:pPr>
        <w:rPr>
          <w:rFonts w:eastAsia="Times New Roman" w:cs="Arial"/>
          <w:color w:val="222222"/>
          <w:shd w:val="clear" w:color="auto" w:fill="FFFFFF"/>
          <w:lang w:eastAsia="en-GB"/>
        </w:rPr>
      </w:pPr>
      <w:r>
        <w:rPr>
          <w:rFonts w:eastAsia="Times New Roman" w:cs="Arial"/>
          <w:color w:val="222222"/>
          <w:shd w:val="clear" w:color="auto" w:fill="FFFFFF"/>
          <w:lang w:eastAsia="en-GB"/>
        </w:rPr>
        <w:t>Table E1</w:t>
      </w:r>
      <w:r w:rsidRPr="00A05E97">
        <w:rPr>
          <w:rFonts w:eastAsia="Times New Roman" w:cs="Arial"/>
          <w:color w:val="222222"/>
          <w:shd w:val="clear" w:color="auto" w:fill="FFFFFF"/>
          <w:lang w:eastAsia="en-GB"/>
        </w:rPr>
        <w:t>: patient demographics stratified by immunocompetency.</w:t>
      </w:r>
    </w:p>
    <w:tbl>
      <w:tblPr>
        <w:tblW w:w="0" w:type="auto"/>
        <w:shd w:val="clear" w:color="auto" w:fill="FFFFFF"/>
        <w:tblCellMar>
          <w:left w:w="0" w:type="dxa"/>
          <w:right w:w="0" w:type="dxa"/>
        </w:tblCellMar>
        <w:tblLook w:val="04A0" w:firstRow="1" w:lastRow="0" w:firstColumn="1" w:lastColumn="0" w:noHBand="0" w:noVBand="1"/>
      </w:tblPr>
      <w:tblGrid>
        <w:gridCol w:w="3406"/>
        <w:gridCol w:w="1792"/>
        <w:gridCol w:w="2032"/>
        <w:gridCol w:w="1121"/>
      </w:tblGrid>
      <w:tr w:rsidR="008A116B" w:rsidRPr="0092755B" w14:paraId="2E778E47" w14:textId="77777777" w:rsidTr="00426EE1">
        <w:trPr>
          <w:tblHeader/>
        </w:trPr>
        <w:tc>
          <w:tcPr>
            <w:tcW w:w="0" w:type="auto"/>
            <w:tcBorders>
              <w:top w:val="single" w:sz="18" w:space="0" w:color="000000"/>
              <w:left w:val="nil"/>
              <w:bottom w:val="single" w:sz="8" w:space="0" w:color="000000"/>
              <w:right w:val="nil"/>
            </w:tcBorders>
            <w:shd w:val="clear" w:color="auto" w:fill="FFFFFF"/>
            <w:tcMar>
              <w:top w:w="60" w:type="dxa"/>
              <w:left w:w="60" w:type="dxa"/>
              <w:bottom w:w="60" w:type="dxa"/>
              <w:right w:w="180" w:type="dxa"/>
            </w:tcMar>
            <w:vAlign w:val="center"/>
            <w:hideMark/>
          </w:tcPr>
          <w:p w14:paraId="72AEDF5F" w14:textId="77777777" w:rsidR="008A116B" w:rsidRPr="0092755B" w:rsidRDefault="008A116B" w:rsidP="00426EE1">
            <w:pPr>
              <w:rPr>
                <w:rFonts w:ascii="Times New Roman" w:eastAsia="Times New Roman" w:hAnsi="Times New Roman" w:cs="Times New Roman"/>
                <w:sz w:val="16"/>
                <w:szCs w:val="16"/>
                <w:lang w:eastAsia="en-GB"/>
              </w:rPr>
            </w:pPr>
          </w:p>
        </w:tc>
        <w:tc>
          <w:tcPr>
            <w:tcW w:w="0" w:type="auto"/>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39BC3A9F" w14:textId="77777777" w:rsidR="008A116B" w:rsidRPr="0092755B" w:rsidRDefault="008A116B" w:rsidP="00426EE1">
            <w:pPr>
              <w:jc w:val="center"/>
              <w:rPr>
                <w:rFonts w:ascii="Arial" w:eastAsia="Times New Roman" w:hAnsi="Arial" w:cs="Arial"/>
                <w:b/>
                <w:bCs/>
                <w:color w:val="000000"/>
                <w:sz w:val="16"/>
                <w:szCs w:val="16"/>
                <w:lang w:eastAsia="en-GB"/>
              </w:rPr>
            </w:pPr>
            <w:r w:rsidRPr="0092755B">
              <w:rPr>
                <w:rFonts w:ascii="Arial" w:eastAsia="Times New Roman" w:hAnsi="Arial" w:cs="Arial"/>
                <w:b/>
                <w:bCs/>
                <w:color w:val="000000"/>
                <w:sz w:val="16"/>
                <w:szCs w:val="16"/>
                <w:lang w:eastAsia="en-GB"/>
              </w:rPr>
              <w:t>Immunocompetent</w:t>
            </w:r>
            <w:r w:rsidRPr="0092755B">
              <w:rPr>
                <w:rFonts w:ascii="Arial" w:eastAsia="Times New Roman" w:hAnsi="Arial" w:cs="Arial"/>
                <w:b/>
                <w:bCs/>
                <w:color w:val="000000"/>
                <w:sz w:val="16"/>
                <w:szCs w:val="16"/>
                <w:lang w:eastAsia="en-GB"/>
              </w:rPr>
              <w:br/>
              <w:t>(N=35581)</w:t>
            </w:r>
          </w:p>
        </w:tc>
        <w:tc>
          <w:tcPr>
            <w:tcW w:w="0" w:type="auto"/>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0521AA06" w14:textId="77777777" w:rsidR="008A116B" w:rsidRPr="0092755B" w:rsidRDefault="008A116B" w:rsidP="00426EE1">
            <w:pPr>
              <w:jc w:val="center"/>
              <w:rPr>
                <w:rFonts w:ascii="Arial" w:eastAsia="Times New Roman" w:hAnsi="Arial" w:cs="Arial"/>
                <w:b/>
                <w:bCs/>
                <w:color w:val="000000"/>
                <w:sz w:val="16"/>
                <w:szCs w:val="16"/>
                <w:lang w:eastAsia="en-GB"/>
              </w:rPr>
            </w:pPr>
            <w:r w:rsidRPr="0092755B">
              <w:rPr>
                <w:rFonts w:ascii="Arial" w:eastAsia="Times New Roman" w:hAnsi="Arial" w:cs="Arial"/>
                <w:b/>
                <w:bCs/>
                <w:color w:val="000000"/>
                <w:sz w:val="16"/>
                <w:szCs w:val="16"/>
                <w:lang w:eastAsia="en-GB"/>
              </w:rPr>
              <w:t>Immunocompromised</w:t>
            </w:r>
            <w:r w:rsidRPr="0092755B">
              <w:rPr>
                <w:rFonts w:ascii="Arial" w:eastAsia="Times New Roman" w:hAnsi="Arial" w:cs="Arial"/>
                <w:b/>
                <w:bCs/>
                <w:color w:val="000000"/>
                <w:sz w:val="16"/>
                <w:szCs w:val="16"/>
                <w:lang w:eastAsia="en-GB"/>
              </w:rPr>
              <w:br/>
              <w:t>(N=5289)</w:t>
            </w:r>
          </w:p>
        </w:tc>
        <w:tc>
          <w:tcPr>
            <w:tcW w:w="0" w:type="auto"/>
            <w:tcBorders>
              <w:top w:val="single" w:sz="18" w:space="0" w:color="000000"/>
              <w:left w:val="nil"/>
              <w:bottom w:val="single" w:sz="8" w:space="0" w:color="000000"/>
              <w:right w:val="nil"/>
            </w:tcBorders>
            <w:shd w:val="clear" w:color="auto" w:fill="FFFFFF"/>
            <w:tcMar>
              <w:top w:w="60" w:type="dxa"/>
              <w:left w:w="180" w:type="dxa"/>
              <w:bottom w:w="60" w:type="dxa"/>
              <w:right w:w="180" w:type="dxa"/>
            </w:tcMar>
            <w:vAlign w:val="center"/>
            <w:hideMark/>
          </w:tcPr>
          <w:p w14:paraId="77846DDC" w14:textId="77777777" w:rsidR="008A116B" w:rsidRPr="0092755B" w:rsidRDefault="008A116B" w:rsidP="00426EE1">
            <w:pPr>
              <w:jc w:val="center"/>
              <w:rPr>
                <w:rFonts w:ascii="Arial" w:eastAsia="Times New Roman" w:hAnsi="Arial" w:cs="Arial"/>
                <w:b/>
                <w:bCs/>
                <w:color w:val="000000"/>
                <w:sz w:val="16"/>
                <w:szCs w:val="16"/>
                <w:lang w:eastAsia="en-GB"/>
              </w:rPr>
            </w:pPr>
            <w:r w:rsidRPr="0092755B">
              <w:rPr>
                <w:rFonts w:ascii="Arial" w:eastAsia="Times New Roman" w:hAnsi="Arial" w:cs="Arial"/>
                <w:b/>
                <w:bCs/>
                <w:color w:val="000000"/>
                <w:sz w:val="16"/>
                <w:szCs w:val="16"/>
                <w:lang w:eastAsia="en-GB"/>
              </w:rPr>
              <w:t>Overall</w:t>
            </w:r>
            <w:r w:rsidRPr="0092755B">
              <w:rPr>
                <w:rFonts w:ascii="Arial" w:eastAsia="Times New Roman" w:hAnsi="Arial" w:cs="Arial"/>
                <w:b/>
                <w:bCs/>
                <w:color w:val="000000"/>
                <w:sz w:val="16"/>
                <w:szCs w:val="16"/>
                <w:lang w:eastAsia="en-GB"/>
              </w:rPr>
              <w:br/>
              <w:t>(N=40870)</w:t>
            </w:r>
          </w:p>
        </w:tc>
      </w:tr>
      <w:tr w:rsidR="008A116B" w:rsidRPr="0092755B" w14:paraId="3BD3B88E" w14:textId="77777777" w:rsidTr="00426EE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3B9A0F49" w14:textId="77777777" w:rsidR="008A116B" w:rsidRPr="0092755B" w:rsidRDefault="008A116B" w:rsidP="00426EE1">
            <w:pP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S</w:t>
            </w:r>
            <w:r w:rsidRPr="0092755B">
              <w:rPr>
                <w:rFonts w:ascii="Arial" w:eastAsia="Times New Roman" w:hAnsi="Arial" w:cs="Arial"/>
                <w:b/>
                <w:bCs/>
                <w:color w:val="000000"/>
                <w:sz w:val="16"/>
                <w:szCs w:val="16"/>
                <w:lang w:eastAsia="en-GB"/>
              </w:rPr>
              <w:t>ex</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0494707" w14:textId="77777777" w:rsidR="008A116B" w:rsidRPr="0092755B" w:rsidRDefault="008A116B" w:rsidP="00426EE1">
            <w:pPr>
              <w:rPr>
                <w:rFonts w:ascii="Arial" w:eastAsia="Times New Roman" w:hAnsi="Arial" w:cs="Arial"/>
                <w:b/>
                <w:bCs/>
                <w:color w:val="000000"/>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369369" w14:textId="77777777" w:rsidR="008A116B" w:rsidRPr="0092755B" w:rsidRDefault="008A116B" w:rsidP="00426EE1">
            <w:pPr>
              <w:jc w:val="center"/>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6C20200" w14:textId="77777777" w:rsidR="008A116B" w:rsidRPr="0092755B" w:rsidRDefault="008A116B" w:rsidP="00426EE1">
            <w:pPr>
              <w:jc w:val="center"/>
              <w:rPr>
                <w:rFonts w:ascii="Times New Roman" w:eastAsia="Times New Roman" w:hAnsi="Times New Roman" w:cs="Times New Roman"/>
                <w:sz w:val="16"/>
                <w:szCs w:val="16"/>
                <w:lang w:eastAsia="en-GB"/>
              </w:rPr>
            </w:pPr>
          </w:p>
        </w:tc>
      </w:tr>
      <w:tr w:rsidR="008A116B" w:rsidRPr="0092755B" w14:paraId="47ABC734"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45BF168"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Female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490A1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15662 (</w:t>
            </w:r>
            <w:r>
              <w:rPr>
                <w:rFonts w:ascii="Arial" w:eastAsia="Times New Roman" w:hAnsi="Arial" w:cs="Arial"/>
                <w:color w:val="000000"/>
                <w:sz w:val="16"/>
                <w:szCs w:val="16"/>
                <w:lang w:eastAsia="en-GB"/>
              </w:rPr>
              <w:t>86.4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B159A29"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2456 (</w:t>
            </w:r>
            <w:r>
              <w:rPr>
                <w:rFonts w:ascii="Arial" w:eastAsia="Times New Roman" w:hAnsi="Arial" w:cs="Arial"/>
                <w:color w:val="000000"/>
                <w:sz w:val="16"/>
                <w:szCs w:val="16"/>
                <w:lang w:eastAsia="en-GB"/>
              </w:rPr>
              <w:t>13.6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6C7BD0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18118</w:t>
            </w:r>
          </w:p>
        </w:tc>
      </w:tr>
      <w:tr w:rsidR="008A116B" w:rsidRPr="0092755B" w14:paraId="3CB06008"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405F3ED"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Male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36BA35E"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19885 (</w:t>
            </w:r>
            <w:r>
              <w:rPr>
                <w:rFonts w:ascii="Arial" w:eastAsia="Times New Roman" w:hAnsi="Arial" w:cs="Arial"/>
                <w:color w:val="000000"/>
                <w:sz w:val="16"/>
                <w:szCs w:val="16"/>
                <w:lang w:eastAsia="en-GB"/>
              </w:rPr>
              <w:t>87.6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366FF9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2823 (</w:t>
            </w:r>
            <w:r>
              <w:rPr>
                <w:rFonts w:ascii="Arial" w:eastAsia="Times New Roman" w:hAnsi="Arial" w:cs="Arial"/>
                <w:color w:val="000000"/>
                <w:sz w:val="16"/>
                <w:szCs w:val="16"/>
                <w:lang w:eastAsia="en-GB"/>
              </w:rPr>
              <w:t>12.4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1678D9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22708</w:t>
            </w:r>
          </w:p>
        </w:tc>
      </w:tr>
      <w:tr w:rsidR="008A116B" w:rsidRPr="0092755B" w14:paraId="5FB9259B"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560DBE3"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Missing</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FE06A2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34 (</w:t>
            </w:r>
            <w:r>
              <w:rPr>
                <w:rFonts w:ascii="Arial" w:eastAsia="Times New Roman" w:hAnsi="Arial" w:cs="Arial"/>
                <w:color w:val="000000"/>
                <w:sz w:val="16"/>
                <w:szCs w:val="16"/>
                <w:lang w:eastAsia="en-GB"/>
              </w:rPr>
              <w:t>77.3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F55607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10 (</w:t>
            </w:r>
            <w:r>
              <w:rPr>
                <w:rFonts w:ascii="Arial" w:eastAsia="Times New Roman" w:hAnsi="Arial" w:cs="Arial"/>
                <w:color w:val="000000"/>
                <w:sz w:val="16"/>
                <w:szCs w:val="16"/>
                <w:lang w:eastAsia="en-GB"/>
              </w:rPr>
              <w:t>22.7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6195B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44</w:t>
            </w:r>
          </w:p>
        </w:tc>
      </w:tr>
      <w:tr w:rsidR="008A116B" w:rsidRPr="0092755B" w14:paraId="29499EF9" w14:textId="77777777" w:rsidTr="00426EE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5CE497E1" w14:textId="77777777" w:rsidR="008A116B" w:rsidRPr="0092755B" w:rsidRDefault="008A116B" w:rsidP="00426EE1">
            <w:pP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E</w:t>
            </w:r>
            <w:r w:rsidRPr="0092755B">
              <w:rPr>
                <w:rFonts w:ascii="Arial" w:eastAsia="Times New Roman" w:hAnsi="Arial" w:cs="Arial"/>
                <w:b/>
                <w:bCs/>
                <w:color w:val="000000"/>
                <w:sz w:val="16"/>
                <w:szCs w:val="16"/>
                <w:lang w:eastAsia="en-GB"/>
              </w:rPr>
              <w:t>thnicity</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8A37425" w14:textId="77777777" w:rsidR="008A116B" w:rsidRPr="0092755B" w:rsidRDefault="008A116B" w:rsidP="00426EE1">
            <w:pPr>
              <w:rPr>
                <w:rFonts w:ascii="Arial" w:eastAsia="Times New Roman" w:hAnsi="Arial" w:cs="Arial"/>
                <w:b/>
                <w:bCs/>
                <w:color w:val="000000"/>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1AB8E60" w14:textId="77777777" w:rsidR="008A116B" w:rsidRPr="0092755B" w:rsidRDefault="008A116B" w:rsidP="00426EE1">
            <w:pPr>
              <w:jc w:val="center"/>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D81D808" w14:textId="77777777" w:rsidR="008A116B" w:rsidRPr="0092755B" w:rsidRDefault="008A116B" w:rsidP="00426EE1">
            <w:pPr>
              <w:jc w:val="center"/>
              <w:rPr>
                <w:rFonts w:ascii="Times New Roman" w:eastAsia="Times New Roman" w:hAnsi="Times New Roman" w:cs="Times New Roman"/>
                <w:sz w:val="16"/>
                <w:szCs w:val="16"/>
                <w:lang w:eastAsia="en-GB"/>
              </w:rPr>
            </w:pPr>
          </w:p>
        </w:tc>
      </w:tr>
      <w:tr w:rsidR="008A116B" w:rsidRPr="0092755B" w14:paraId="4F2A6E74"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86477E0"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White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1576F7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24414 (</w:t>
            </w:r>
            <w:r>
              <w:rPr>
                <w:rFonts w:ascii="Arial" w:eastAsia="Times New Roman" w:hAnsi="Arial" w:cs="Arial"/>
                <w:color w:val="000000"/>
                <w:sz w:val="16"/>
                <w:szCs w:val="16"/>
                <w:lang w:eastAsia="en-GB"/>
              </w:rPr>
              <w:t>86.1</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25B1C3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3934 (</w:t>
            </w:r>
            <w:r>
              <w:rPr>
                <w:rFonts w:ascii="Arial" w:eastAsia="Times New Roman" w:hAnsi="Arial" w:cs="Arial"/>
                <w:color w:val="000000"/>
                <w:sz w:val="16"/>
                <w:szCs w:val="16"/>
                <w:lang w:eastAsia="en-GB"/>
              </w:rPr>
              <w:t>13.9</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C554AFB"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28348</w:t>
            </w:r>
          </w:p>
        </w:tc>
      </w:tr>
      <w:tr w:rsidR="008A116B" w:rsidRPr="0092755B" w14:paraId="2B49468B"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9DC27DE"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South Asian</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DF22D5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2220 (</w:t>
            </w:r>
            <w:r>
              <w:rPr>
                <w:rFonts w:ascii="Arial" w:eastAsia="Times New Roman" w:hAnsi="Arial" w:cs="Arial"/>
                <w:color w:val="000000"/>
                <w:sz w:val="16"/>
                <w:szCs w:val="16"/>
                <w:lang w:eastAsia="en-GB"/>
              </w:rPr>
              <w:t>88.6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EC142B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285 (</w:t>
            </w:r>
            <w:r>
              <w:rPr>
                <w:rFonts w:ascii="Arial" w:eastAsia="Times New Roman" w:hAnsi="Arial" w:cs="Arial"/>
                <w:color w:val="000000"/>
                <w:sz w:val="16"/>
                <w:szCs w:val="16"/>
                <w:lang w:eastAsia="en-GB"/>
              </w:rPr>
              <w:t>11.4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729024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2505</w:t>
            </w:r>
          </w:p>
        </w:tc>
      </w:tr>
      <w:tr w:rsidR="008A116B" w:rsidRPr="0092755B" w14:paraId="6E99705C"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52419CA"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Black</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4FE255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909 (</w:t>
            </w:r>
            <w:r>
              <w:rPr>
                <w:rFonts w:ascii="Arial" w:eastAsia="Times New Roman" w:hAnsi="Arial" w:cs="Arial"/>
                <w:color w:val="000000"/>
                <w:sz w:val="16"/>
                <w:szCs w:val="16"/>
                <w:lang w:eastAsia="en-GB"/>
              </w:rPr>
              <w:t>88.9</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EA3A1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114 (</w:t>
            </w:r>
            <w:r>
              <w:rPr>
                <w:rFonts w:ascii="Arial" w:eastAsia="Times New Roman" w:hAnsi="Arial" w:cs="Arial"/>
                <w:color w:val="000000"/>
                <w:sz w:val="16"/>
                <w:szCs w:val="16"/>
                <w:lang w:eastAsia="en-GB"/>
              </w:rPr>
              <w:t>11.1</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C4526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1023</w:t>
            </w:r>
          </w:p>
        </w:tc>
      </w:tr>
      <w:tr w:rsidR="008A116B" w:rsidRPr="0092755B" w14:paraId="6C941280"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F7875CE"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East Asian</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B4C276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181 (</w:t>
            </w:r>
            <w:r>
              <w:rPr>
                <w:rFonts w:ascii="Arial" w:eastAsia="Times New Roman" w:hAnsi="Arial" w:cs="Arial"/>
                <w:color w:val="000000"/>
                <w:sz w:val="16"/>
                <w:szCs w:val="16"/>
                <w:lang w:eastAsia="en-GB"/>
              </w:rPr>
              <w:t>91.9</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3901313"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16 (</w:t>
            </w:r>
            <w:r>
              <w:rPr>
                <w:rFonts w:ascii="Arial" w:eastAsia="Times New Roman" w:hAnsi="Arial" w:cs="Arial"/>
                <w:color w:val="000000"/>
                <w:sz w:val="16"/>
                <w:szCs w:val="16"/>
                <w:lang w:eastAsia="en-GB"/>
              </w:rPr>
              <w:t>8.1</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938A16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197</w:t>
            </w:r>
          </w:p>
        </w:tc>
      </w:tr>
      <w:tr w:rsidR="008A116B" w:rsidRPr="0092755B" w14:paraId="348B4BC2"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796B9E8"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Other</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C66A11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2380 (</w:t>
            </w:r>
            <w:r>
              <w:rPr>
                <w:rFonts w:ascii="Arial" w:eastAsia="Times New Roman" w:hAnsi="Arial" w:cs="Arial"/>
                <w:color w:val="000000"/>
                <w:sz w:val="16"/>
                <w:szCs w:val="16"/>
                <w:lang w:eastAsia="en-GB"/>
              </w:rPr>
              <w:t>88</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83DF453"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324 (</w:t>
            </w:r>
            <w:r>
              <w:rPr>
                <w:rFonts w:ascii="Arial" w:eastAsia="Times New Roman" w:hAnsi="Arial" w:cs="Arial"/>
                <w:color w:val="000000"/>
                <w:sz w:val="16"/>
                <w:szCs w:val="16"/>
                <w:lang w:eastAsia="en-GB"/>
              </w:rPr>
              <w:t>12</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BD2E441"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2704</w:t>
            </w:r>
          </w:p>
        </w:tc>
      </w:tr>
      <w:tr w:rsidR="008A116B" w:rsidRPr="0092755B" w14:paraId="413711F9"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EE62984"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Missing</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ED3973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5477 (</w:t>
            </w:r>
            <w:r>
              <w:rPr>
                <w:rFonts w:ascii="Arial" w:eastAsia="Times New Roman" w:hAnsi="Arial" w:cs="Arial"/>
                <w:color w:val="000000"/>
                <w:sz w:val="16"/>
                <w:szCs w:val="16"/>
                <w:lang w:eastAsia="en-GB"/>
              </w:rPr>
              <w:t>89.9</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65C6F1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616 (</w:t>
            </w:r>
            <w:r>
              <w:rPr>
                <w:rFonts w:ascii="Arial" w:eastAsia="Times New Roman" w:hAnsi="Arial" w:cs="Arial"/>
                <w:color w:val="000000"/>
                <w:sz w:val="16"/>
                <w:szCs w:val="16"/>
                <w:lang w:eastAsia="en-GB"/>
              </w:rPr>
              <w:t>10.1</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31ED751"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6093</w:t>
            </w:r>
          </w:p>
        </w:tc>
      </w:tr>
      <w:tr w:rsidR="008A116B" w:rsidRPr="0092755B" w14:paraId="2222B195" w14:textId="77777777" w:rsidTr="00426EE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78B9453C" w14:textId="77777777" w:rsidR="008A116B" w:rsidRPr="0092755B" w:rsidRDefault="008A116B" w:rsidP="00426EE1">
            <w:pP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Vaccination </w:t>
            </w:r>
            <w:r w:rsidRPr="0092755B">
              <w:rPr>
                <w:rFonts w:ascii="Arial" w:eastAsia="Times New Roman" w:hAnsi="Arial" w:cs="Arial"/>
                <w:b/>
                <w:bCs/>
                <w:color w:val="000000"/>
                <w:sz w:val="16"/>
                <w:szCs w:val="16"/>
                <w:lang w:eastAsia="en-GB"/>
              </w:rPr>
              <w:t>tier</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6A20F72" w14:textId="77777777" w:rsidR="008A116B" w:rsidRPr="0092755B" w:rsidRDefault="008A116B" w:rsidP="00426EE1">
            <w:pPr>
              <w:rPr>
                <w:rFonts w:ascii="Arial" w:eastAsia="Times New Roman" w:hAnsi="Arial" w:cs="Arial"/>
                <w:b/>
                <w:bCs/>
                <w:color w:val="000000"/>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3783F9" w14:textId="77777777" w:rsidR="008A116B" w:rsidRPr="0092755B" w:rsidRDefault="008A116B" w:rsidP="00426EE1">
            <w:pPr>
              <w:jc w:val="center"/>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6CEAF29" w14:textId="77777777" w:rsidR="008A116B" w:rsidRPr="0092755B" w:rsidRDefault="008A116B" w:rsidP="00426EE1">
            <w:pPr>
              <w:jc w:val="center"/>
              <w:rPr>
                <w:rFonts w:ascii="Times New Roman" w:eastAsia="Times New Roman" w:hAnsi="Times New Roman" w:cs="Times New Roman"/>
                <w:sz w:val="16"/>
                <w:szCs w:val="16"/>
                <w:lang w:eastAsia="en-GB"/>
              </w:rPr>
            </w:pPr>
          </w:p>
        </w:tc>
      </w:tr>
      <w:tr w:rsidR="008A116B" w:rsidRPr="0092755B" w14:paraId="55F0034A"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8035402"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2BA910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9274 (</w:t>
            </w:r>
            <w:r>
              <w:rPr>
                <w:rFonts w:ascii="Arial" w:eastAsia="Times New Roman" w:hAnsi="Arial" w:cs="Arial"/>
                <w:color w:val="000000"/>
                <w:sz w:val="16"/>
                <w:szCs w:val="16"/>
                <w:lang w:eastAsia="en-GB"/>
              </w:rPr>
              <w:t>88.5</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A5A1A7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1209 (</w:t>
            </w:r>
            <w:r>
              <w:rPr>
                <w:rFonts w:ascii="Arial" w:eastAsia="Times New Roman" w:hAnsi="Arial" w:cs="Arial"/>
                <w:color w:val="000000"/>
                <w:sz w:val="16"/>
                <w:szCs w:val="16"/>
                <w:lang w:eastAsia="en-GB"/>
              </w:rPr>
              <w:t>11.5</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DB5790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10483</w:t>
            </w:r>
          </w:p>
        </w:tc>
      </w:tr>
      <w:tr w:rsidR="008A116B" w:rsidRPr="0092755B" w14:paraId="1B4BB273"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3BB053F"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8C53A2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3454 (</w:t>
            </w:r>
            <w:r>
              <w:rPr>
                <w:rFonts w:ascii="Arial" w:eastAsia="Times New Roman" w:hAnsi="Arial" w:cs="Arial"/>
                <w:color w:val="000000"/>
                <w:sz w:val="16"/>
                <w:szCs w:val="16"/>
                <w:lang w:eastAsia="en-GB"/>
              </w:rPr>
              <w:t>82.7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1548BCF"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725 (</w:t>
            </w:r>
            <w:r>
              <w:rPr>
                <w:rFonts w:ascii="Arial" w:eastAsia="Times New Roman" w:hAnsi="Arial" w:cs="Arial"/>
                <w:color w:val="000000"/>
                <w:sz w:val="16"/>
                <w:szCs w:val="16"/>
                <w:lang w:eastAsia="en-GB"/>
              </w:rPr>
              <w:t>17.3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384736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4179</w:t>
            </w:r>
          </w:p>
        </w:tc>
      </w:tr>
      <w:tr w:rsidR="008A116B" w:rsidRPr="0092755B" w14:paraId="3974433E"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209A791"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76E2B96"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3655 (</w:t>
            </w:r>
            <w:r>
              <w:rPr>
                <w:rFonts w:ascii="Arial" w:eastAsia="Times New Roman" w:hAnsi="Arial" w:cs="Arial"/>
                <w:color w:val="000000"/>
                <w:sz w:val="16"/>
                <w:szCs w:val="16"/>
                <w:lang w:eastAsia="en-GB"/>
              </w:rPr>
              <w:t>66.4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88ADF0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1848 (</w:t>
            </w:r>
            <w:r>
              <w:rPr>
                <w:rFonts w:ascii="Arial" w:eastAsia="Times New Roman" w:hAnsi="Arial" w:cs="Arial"/>
                <w:color w:val="000000"/>
                <w:sz w:val="16"/>
                <w:szCs w:val="16"/>
                <w:lang w:eastAsia="en-GB"/>
              </w:rPr>
              <w:t>33.6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29AD89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5503</w:t>
            </w:r>
          </w:p>
        </w:tc>
      </w:tr>
      <w:tr w:rsidR="008A116B" w:rsidRPr="0092755B" w14:paraId="6D96FEF4"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C447D76"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A8DECD6"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2850 (</w:t>
            </w:r>
            <w:r>
              <w:rPr>
                <w:rFonts w:ascii="Arial" w:eastAsia="Times New Roman" w:hAnsi="Arial" w:cs="Arial"/>
                <w:color w:val="000000"/>
                <w:sz w:val="16"/>
                <w:szCs w:val="16"/>
                <w:lang w:eastAsia="en-GB"/>
              </w:rPr>
              <w:t>90.7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1C3A6D6"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291 (</w:t>
            </w:r>
            <w:r>
              <w:rPr>
                <w:rFonts w:ascii="Arial" w:eastAsia="Times New Roman" w:hAnsi="Arial" w:cs="Arial"/>
                <w:color w:val="000000"/>
                <w:sz w:val="16"/>
                <w:szCs w:val="16"/>
                <w:lang w:eastAsia="en-GB"/>
              </w:rPr>
              <w:t>9.3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9E4121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3141</w:t>
            </w:r>
          </w:p>
        </w:tc>
      </w:tr>
      <w:tr w:rsidR="008A116B" w:rsidRPr="0092755B" w14:paraId="3F2FC6CE"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4BFC77B"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6</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C54A8C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6241 (</w:t>
            </w:r>
            <w:r>
              <w:rPr>
                <w:rFonts w:ascii="Arial" w:eastAsia="Times New Roman" w:hAnsi="Arial" w:cs="Arial"/>
                <w:color w:val="000000"/>
                <w:sz w:val="16"/>
                <w:szCs w:val="16"/>
                <w:lang w:eastAsia="en-GB"/>
              </w:rPr>
              <w:t>83.7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DCA8A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1216 (</w:t>
            </w:r>
            <w:r>
              <w:rPr>
                <w:rFonts w:ascii="Arial" w:eastAsia="Times New Roman" w:hAnsi="Arial" w:cs="Arial"/>
                <w:color w:val="000000"/>
                <w:sz w:val="16"/>
                <w:szCs w:val="16"/>
                <w:lang w:eastAsia="en-GB"/>
              </w:rPr>
              <w:t>16.3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A3DC80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7457</w:t>
            </w:r>
          </w:p>
        </w:tc>
      </w:tr>
      <w:tr w:rsidR="008A116B" w:rsidRPr="0092755B" w14:paraId="66598A47"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6EA95E5"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7</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085297E"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1632 (</w:t>
            </w:r>
            <w:r>
              <w:rPr>
                <w:rFonts w:ascii="Arial" w:eastAsia="Times New Roman" w:hAnsi="Arial" w:cs="Arial"/>
                <w:color w:val="000000"/>
                <w:sz w:val="16"/>
                <w:szCs w:val="16"/>
                <w:lang w:eastAsia="en-GB"/>
              </w:rPr>
              <w:t>100</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F957C3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0 (0%)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4CA779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1632</w:t>
            </w:r>
          </w:p>
        </w:tc>
      </w:tr>
      <w:tr w:rsidR="008A116B" w:rsidRPr="0092755B" w14:paraId="518484A8"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41AC420"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8</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E2BC8A"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1850 (</w:t>
            </w:r>
            <w:r>
              <w:rPr>
                <w:rFonts w:ascii="Arial" w:eastAsia="Times New Roman" w:hAnsi="Arial" w:cs="Arial"/>
                <w:color w:val="000000"/>
                <w:sz w:val="16"/>
                <w:szCs w:val="16"/>
                <w:lang w:eastAsia="en-GB"/>
              </w:rPr>
              <w:t>100</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267EDD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0 (0%)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81B7C8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1850</w:t>
            </w:r>
          </w:p>
        </w:tc>
      </w:tr>
      <w:tr w:rsidR="008A116B" w:rsidRPr="0092755B" w14:paraId="39C300E9"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3E1FD91"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9</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FC98A06"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1711 (</w:t>
            </w:r>
            <w:r>
              <w:rPr>
                <w:rFonts w:ascii="Arial" w:eastAsia="Times New Roman" w:hAnsi="Arial" w:cs="Arial"/>
                <w:color w:val="000000"/>
                <w:sz w:val="16"/>
                <w:szCs w:val="16"/>
                <w:lang w:eastAsia="en-GB"/>
              </w:rPr>
              <w:t>100</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1C10D0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0 (0%)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61DA156"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1711</w:t>
            </w:r>
          </w:p>
        </w:tc>
      </w:tr>
      <w:tr w:rsidR="008A116B" w:rsidRPr="0092755B" w14:paraId="3C3CBCD6"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906CBFB"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Tier 10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4CC0DC9"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4914 (</w:t>
            </w:r>
            <w:r>
              <w:rPr>
                <w:rFonts w:ascii="Arial" w:eastAsia="Times New Roman" w:hAnsi="Arial" w:cs="Arial"/>
                <w:color w:val="000000"/>
                <w:sz w:val="16"/>
                <w:szCs w:val="16"/>
                <w:lang w:eastAsia="en-GB"/>
              </w:rPr>
              <w:t>100</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339BB4E"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0 (0%)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D3464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4914</w:t>
            </w:r>
          </w:p>
        </w:tc>
      </w:tr>
      <w:tr w:rsidR="008A116B" w:rsidRPr="0092755B" w14:paraId="7BE14727" w14:textId="77777777" w:rsidTr="00426EE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01252574" w14:textId="77777777" w:rsidR="008A116B" w:rsidRPr="0092755B" w:rsidRDefault="008A116B" w:rsidP="00426EE1">
            <w:pP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IMD </w:t>
            </w:r>
            <w:r w:rsidRPr="0092755B">
              <w:rPr>
                <w:rFonts w:ascii="Arial" w:eastAsia="Times New Roman" w:hAnsi="Arial" w:cs="Arial"/>
                <w:b/>
                <w:bCs/>
                <w:color w:val="000000"/>
                <w:sz w:val="16"/>
                <w:szCs w:val="16"/>
                <w:lang w:eastAsia="en-GB"/>
              </w:rPr>
              <w:t>quintile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91A801A" w14:textId="77777777" w:rsidR="008A116B" w:rsidRPr="0092755B" w:rsidRDefault="008A116B" w:rsidP="00426EE1">
            <w:pPr>
              <w:rPr>
                <w:rFonts w:ascii="Arial" w:eastAsia="Times New Roman" w:hAnsi="Arial" w:cs="Arial"/>
                <w:b/>
                <w:bCs/>
                <w:color w:val="000000"/>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B11852" w14:textId="77777777" w:rsidR="008A116B" w:rsidRPr="0092755B" w:rsidRDefault="008A116B" w:rsidP="00426EE1">
            <w:pPr>
              <w:jc w:val="center"/>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CFEF3F2" w14:textId="77777777" w:rsidR="008A116B" w:rsidRPr="0092755B" w:rsidRDefault="008A116B" w:rsidP="00426EE1">
            <w:pPr>
              <w:jc w:val="center"/>
              <w:rPr>
                <w:rFonts w:ascii="Times New Roman" w:eastAsia="Times New Roman" w:hAnsi="Times New Roman" w:cs="Times New Roman"/>
                <w:sz w:val="16"/>
                <w:szCs w:val="16"/>
                <w:lang w:eastAsia="en-GB"/>
              </w:rPr>
            </w:pPr>
          </w:p>
        </w:tc>
      </w:tr>
      <w:tr w:rsidR="008A116B" w:rsidRPr="0092755B" w14:paraId="5CB50BD6"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C73A4DF"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B88C2A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9438 (</w:t>
            </w:r>
            <w:r>
              <w:rPr>
                <w:rFonts w:ascii="Arial" w:eastAsia="Times New Roman" w:hAnsi="Arial" w:cs="Arial"/>
                <w:color w:val="000000"/>
                <w:sz w:val="16"/>
                <w:szCs w:val="16"/>
                <w:lang w:eastAsia="en-GB"/>
              </w:rPr>
              <w:t>88.5</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8A11B2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1231 (</w:t>
            </w:r>
            <w:r>
              <w:rPr>
                <w:rFonts w:ascii="Arial" w:eastAsia="Times New Roman" w:hAnsi="Arial" w:cs="Arial"/>
                <w:color w:val="000000"/>
                <w:sz w:val="16"/>
                <w:szCs w:val="16"/>
                <w:lang w:eastAsia="en-GB"/>
              </w:rPr>
              <w:t>11.5</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79B526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10669</w:t>
            </w:r>
          </w:p>
        </w:tc>
      </w:tr>
      <w:tr w:rsidR="008A116B" w:rsidRPr="0092755B" w14:paraId="0473615F"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8940974"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23B728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7353 (</w:t>
            </w:r>
            <w:r>
              <w:rPr>
                <w:rFonts w:ascii="Arial" w:eastAsia="Times New Roman" w:hAnsi="Arial" w:cs="Arial"/>
                <w:color w:val="000000"/>
                <w:sz w:val="16"/>
                <w:szCs w:val="16"/>
                <w:lang w:eastAsia="en-GB"/>
              </w:rPr>
              <w:t>86.9</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DA527D1"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1110 (</w:t>
            </w:r>
            <w:r>
              <w:rPr>
                <w:rFonts w:ascii="Arial" w:eastAsia="Times New Roman" w:hAnsi="Arial" w:cs="Arial"/>
                <w:color w:val="000000"/>
                <w:sz w:val="16"/>
                <w:szCs w:val="16"/>
                <w:lang w:eastAsia="en-GB"/>
              </w:rPr>
              <w:t>13.1</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3F54C0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8463</w:t>
            </w:r>
          </w:p>
        </w:tc>
      </w:tr>
      <w:tr w:rsidR="008A116B" w:rsidRPr="0092755B" w14:paraId="3884824D"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96B3A66"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1AC407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6528 (</w:t>
            </w:r>
            <w:r>
              <w:rPr>
                <w:rFonts w:ascii="Arial" w:eastAsia="Times New Roman" w:hAnsi="Arial" w:cs="Arial"/>
                <w:color w:val="000000"/>
                <w:sz w:val="16"/>
                <w:szCs w:val="16"/>
                <w:lang w:eastAsia="en-GB"/>
              </w:rPr>
              <w:t>87.2</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830B2F2"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958 (</w:t>
            </w:r>
            <w:r>
              <w:rPr>
                <w:rFonts w:ascii="Arial" w:eastAsia="Times New Roman" w:hAnsi="Arial" w:cs="Arial"/>
                <w:color w:val="000000"/>
                <w:sz w:val="16"/>
                <w:szCs w:val="16"/>
                <w:lang w:eastAsia="en-GB"/>
              </w:rPr>
              <w:t>12.8</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F4DD8D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7486</w:t>
            </w:r>
          </w:p>
        </w:tc>
      </w:tr>
      <w:tr w:rsidR="008A116B" w:rsidRPr="0092755B" w14:paraId="611AB996"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4E87A7C7"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53C5509"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6008 (</w:t>
            </w:r>
            <w:r>
              <w:rPr>
                <w:rFonts w:ascii="Arial" w:eastAsia="Times New Roman" w:hAnsi="Arial" w:cs="Arial"/>
                <w:color w:val="000000"/>
                <w:sz w:val="16"/>
                <w:szCs w:val="16"/>
                <w:lang w:eastAsia="en-GB"/>
              </w:rPr>
              <w:t>86.3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9708A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953 (</w:t>
            </w:r>
            <w:r>
              <w:rPr>
                <w:rFonts w:ascii="Arial" w:eastAsia="Times New Roman" w:hAnsi="Arial" w:cs="Arial"/>
                <w:color w:val="000000"/>
                <w:sz w:val="16"/>
                <w:szCs w:val="16"/>
                <w:lang w:eastAsia="en-GB"/>
              </w:rPr>
              <w:t>13.7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B337BA1"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6961</w:t>
            </w:r>
          </w:p>
        </w:tc>
      </w:tr>
      <w:tr w:rsidR="008A116B" w:rsidRPr="0092755B" w14:paraId="212B1E78"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94E911F"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622461A"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5472 (</w:t>
            </w:r>
            <w:r>
              <w:rPr>
                <w:rFonts w:ascii="Arial" w:eastAsia="Times New Roman" w:hAnsi="Arial" w:cs="Arial"/>
                <w:color w:val="000000"/>
                <w:sz w:val="16"/>
                <w:szCs w:val="16"/>
                <w:lang w:eastAsia="en-GB"/>
              </w:rPr>
              <w:t>85.6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BE8263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920 (</w:t>
            </w:r>
            <w:r>
              <w:rPr>
                <w:rFonts w:ascii="Arial" w:eastAsia="Times New Roman" w:hAnsi="Arial" w:cs="Arial"/>
                <w:color w:val="000000"/>
                <w:sz w:val="16"/>
                <w:szCs w:val="16"/>
                <w:lang w:eastAsia="en-GB"/>
              </w:rPr>
              <w:t>14.4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40FE75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6392</w:t>
            </w:r>
          </w:p>
        </w:tc>
      </w:tr>
      <w:tr w:rsidR="008A116B" w:rsidRPr="0092755B" w14:paraId="5654C3FE"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E3CB30B"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Missing</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9AD717B"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782 (</w:t>
            </w:r>
            <w:r>
              <w:rPr>
                <w:rFonts w:ascii="Arial" w:eastAsia="Times New Roman" w:hAnsi="Arial" w:cs="Arial"/>
                <w:color w:val="000000"/>
                <w:sz w:val="16"/>
                <w:szCs w:val="16"/>
                <w:lang w:eastAsia="en-GB"/>
              </w:rPr>
              <w:t>87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DE75646"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117 (</w:t>
            </w:r>
            <w:r>
              <w:rPr>
                <w:rFonts w:ascii="Arial" w:eastAsia="Times New Roman" w:hAnsi="Arial" w:cs="Arial"/>
                <w:color w:val="000000"/>
                <w:sz w:val="16"/>
                <w:szCs w:val="16"/>
                <w:lang w:eastAsia="en-GB"/>
              </w:rPr>
              <w:t>13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EE5860F"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899</w:t>
            </w:r>
          </w:p>
        </w:tc>
      </w:tr>
      <w:tr w:rsidR="008A116B" w:rsidRPr="0092755B" w14:paraId="58EB4CA1" w14:textId="77777777" w:rsidTr="00426EE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0CEFB940" w14:textId="77777777" w:rsidR="008A116B" w:rsidRPr="0092755B" w:rsidRDefault="008A116B" w:rsidP="00426EE1">
            <w:pP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Comorbidities</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A274C9" w14:textId="77777777" w:rsidR="008A116B" w:rsidRPr="0092755B" w:rsidRDefault="008A116B" w:rsidP="00426EE1">
            <w:pPr>
              <w:rPr>
                <w:rFonts w:ascii="Arial" w:eastAsia="Times New Roman" w:hAnsi="Arial" w:cs="Arial"/>
                <w:b/>
                <w:bCs/>
                <w:color w:val="000000"/>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A67271F" w14:textId="77777777" w:rsidR="008A116B" w:rsidRPr="0092755B" w:rsidRDefault="008A116B" w:rsidP="00426EE1">
            <w:pPr>
              <w:jc w:val="center"/>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254C3E1" w14:textId="77777777" w:rsidR="008A116B" w:rsidRPr="0092755B" w:rsidRDefault="008A116B" w:rsidP="00426EE1">
            <w:pPr>
              <w:jc w:val="center"/>
              <w:rPr>
                <w:rFonts w:ascii="Times New Roman" w:eastAsia="Times New Roman" w:hAnsi="Times New Roman" w:cs="Times New Roman"/>
                <w:sz w:val="16"/>
                <w:szCs w:val="16"/>
                <w:lang w:eastAsia="en-GB"/>
              </w:rPr>
            </w:pPr>
          </w:p>
        </w:tc>
      </w:tr>
      <w:tr w:rsidR="008A116B" w:rsidRPr="0092755B" w14:paraId="3BB0F9EB"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5E797AD"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Fever</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0B2A3D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18325 (</w:t>
            </w:r>
            <w:r>
              <w:rPr>
                <w:rFonts w:ascii="Arial" w:eastAsia="Times New Roman" w:hAnsi="Arial" w:cs="Arial"/>
                <w:color w:val="000000"/>
                <w:sz w:val="16"/>
                <w:szCs w:val="16"/>
                <w:lang w:eastAsia="en-GB"/>
              </w:rPr>
              <w:t>86.4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0450AD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2885 (</w:t>
            </w:r>
            <w:r>
              <w:rPr>
                <w:rFonts w:ascii="Arial" w:eastAsia="Times New Roman" w:hAnsi="Arial" w:cs="Arial"/>
                <w:color w:val="000000"/>
                <w:sz w:val="16"/>
                <w:szCs w:val="16"/>
                <w:lang w:eastAsia="en-GB"/>
              </w:rPr>
              <w:t>13.6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3BE6EE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21210</w:t>
            </w:r>
          </w:p>
        </w:tc>
      </w:tr>
      <w:tr w:rsidR="008A116B" w:rsidRPr="0092755B" w14:paraId="0F84FC41"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F708517"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Cough</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AAE793A"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20465 (</w:t>
            </w:r>
            <w:r>
              <w:rPr>
                <w:rFonts w:ascii="Arial" w:eastAsia="Times New Roman" w:hAnsi="Arial" w:cs="Arial"/>
                <w:color w:val="000000"/>
                <w:sz w:val="16"/>
                <w:szCs w:val="16"/>
                <w:lang w:eastAsia="en-GB"/>
              </w:rPr>
              <w:t>86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26D96EA"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3329 (</w:t>
            </w:r>
            <w:r>
              <w:rPr>
                <w:rFonts w:ascii="Arial" w:eastAsia="Times New Roman" w:hAnsi="Arial" w:cs="Arial"/>
                <w:color w:val="000000"/>
                <w:sz w:val="16"/>
                <w:szCs w:val="16"/>
                <w:lang w:eastAsia="en-GB"/>
              </w:rPr>
              <w:t>14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143579E"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23794</w:t>
            </w:r>
          </w:p>
        </w:tc>
      </w:tr>
      <w:tr w:rsidR="008A116B" w:rsidRPr="0092755B" w14:paraId="52163DFB"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7BCDF166"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Shortness of breath</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6B2CCB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23562 (</w:t>
            </w:r>
            <w:r>
              <w:rPr>
                <w:rFonts w:ascii="Arial" w:eastAsia="Times New Roman" w:hAnsi="Arial" w:cs="Arial"/>
                <w:color w:val="000000"/>
                <w:sz w:val="16"/>
                <w:szCs w:val="16"/>
                <w:lang w:eastAsia="en-GB"/>
              </w:rPr>
              <w:t>85.7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463F42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3933 (</w:t>
            </w:r>
            <w:r>
              <w:rPr>
                <w:rFonts w:ascii="Arial" w:eastAsia="Times New Roman" w:hAnsi="Arial" w:cs="Arial"/>
                <w:color w:val="000000"/>
                <w:sz w:val="16"/>
                <w:szCs w:val="16"/>
                <w:lang w:eastAsia="en-GB"/>
              </w:rPr>
              <w:t>14.3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99B3391"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27495</w:t>
            </w:r>
          </w:p>
        </w:tc>
      </w:tr>
      <w:tr w:rsidR="008A116B" w:rsidRPr="0092755B" w14:paraId="6E216E89"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A54AD36"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Chronic kidney disease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D85C11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4176 (</w:t>
            </w:r>
            <w:r>
              <w:rPr>
                <w:rFonts w:ascii="Arial" w:eastAsia="Times New Roman" w:hAnsi="Arial" w:cs="Arial"/>
                <w:color w:val="000000"/>
                <w:sz w:val="16"/>
                <w:szCs w:val="16"/>
                <w:lang w:eastAsia="en-GB"/>
              </w:rPr>
              <w:t>81.7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F4D6C5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937 (</w:t>
            </w:r>
            <w:r>
              <w:rPr>
                <w:rFonts w:ascii="Arial" w:eastAsia="Times New Roman" w:hAnsi="Arial" w:cs="Arial"/>
                <w:color w:val="000000"/>
                <w:sz w:val="16"/>
                <w:szCs w:val="16"/>
                <w:lang w:eastAsia="en-GB"/>
              </w:rPr>
              <w:t>18.3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8422F6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5113</w:t>
            </w:r>
          </w:p>
        </w:tc>
      </w:tr>
      <w:tr w:rsidR="008A116B" w:rsidRPr="0092755B" w14:paraId="50EB3BAF"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39A8219"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Solid organ transplant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97DA42B"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0 (0%)</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40FCA1B"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324 (</w:t>
            </w:r>
            <w:r>
              <w:rPr>
                <w:rFonts w:ascii="Arial" w:eastAsia="Times New Roman" w:hAnsi="Arial" w:cs="Arial"/>
                <w:color w:val="000000"/>
                <w:sz w:val="16"/>
                <w:szCs w:val="16"/>
                <w:lang w:eastAsia="en-GB"/>
              </w:rPr>
              <w:t>100</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CC94865"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324</w:t>
            </w:r>
          </w:p>
        </w:tc>
      </w:tr>
      <w:tr w:rsidR="008A116B" w:rsidRPr="0092755B" w14:paraId="124F1CA8"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B5D7F1D"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Chronic cardiac disease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CE273DE"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7905 (</w:t>
            </w:r>
            <w:r>
              <w:rPr>
                <w:rFonts w:ascii="Arial" w:eastAsia="Times New Roman" w:hAnsi="Arial" w:cs="Arial"/>
                <w:color w:val="000000"/>
                <w:sz w:val="16"/>
                <w:szCs w:val="16"/>
                <w:lang w:eastAsia="en-GB"/>
              </w:rPr>
              <w:t>84.1</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684011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1491 (</w:t>
            </w:r>
            <w:r>
              <w:rPr>
                <w:rFonts w:ascii="Arial" w:eastAsia="Times New Roman" w:hAnsi="Arial" w:cs="Arial"/>
                <w:color w:val="000000"/>
                <w:sz w:val="16"/>
                <w:szCs w:val="16"/>
                <w:lang w:eastAsia="en-GB"/>
              </w:rPr>
              <w:t>15.9</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298E9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9396</w:t>
            </w:r>
          </w:p>
        </w:tc>
      </w:tr>
      <w:tr w:rsidR="008A116B" w:rsidRPr="0092755B" w14:paraId="0DBC0FFB"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00B138E"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Chronic pulmonary disease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3F9DCBE"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4187 (</w:t>
            </w:r>
            <w:r>
              <w:rPr>
                <w:rFonts w:ascii="Arial" w:eastAsia="Times New Roman" w:hAnsi="Arial" w:cs="Arial"/>
                <w:color w:val="000000"/>
                <w:sz w:val="16"/>
                <w:szCs w:val="16"/>
                <w:lang w:eastAsia="en-GB"/>
              </w:rPr>
              <w:t>75.3</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3963AAB"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1374 (</w:t>
            </w:r>
            <w:r>
              <w:rPr>
                <w:rFonts w:ascii="Arial" w:eastAsia="Times New Roman" w:hAnsi="Arial" w:cs="Arial"/>
                <w:color w:val="000000"/>
                <w:sz w:val="16"/>
                <w:szCs w:val="16"/>
                <w:lang w:eastAsia="en-GB"/>
              </w:rPr>
              <w:t>24.7</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5558AD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5561</w:t>
            </w:r>
          </w:p>
        </w:tc>
      </w:tr>
      <w:tr w:rsidR="008A116B" w:rsidRPr="0092755B" w14:paraId="4EEEC940"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02BDDAAB"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Diabetes</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87A745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4692 (</w:t>
            </w:r>
            <w:r>
              <w:rPr>
                <w:rFonts w:ascii="Arial" w:eastAsia="Times New Roman" w:hAnsi="Arial" w:cs="Arial"/>
                <w:color w:val="000000"/>
                <w:sz w:val="16"/>
                <w:szCs w:val="16"/>
                <w:lang w:eastAsia="en-GB"/>
              </w:rPr>
              <w:t>85.6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CCEEE01"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789 (</w:t>
            </w:r>
            <w:r>
              <w:rPr>
                <w:rFonts w:ascii="Arial" w:eastAsia="Times New Roman" w:hAnsi="Arial" w:cs="Arial"/>
                <w:color w:val="000000"/>
                <w:sz w:val="16"/>
                <w:szCs w:val="16"/>
                <w:lang w:eastAsia="en-GB"/>
              </w:rPr>
              <w:t>14.4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98D5B2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5481</w:t>
            </w:r>
          </w:p>
        </w:tc>
      </w:tr>
      <w:tr w:rsidR="008A116B" w:rsidRPr="0092755B" w14:paraId="136EE72E"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39AB6D2C"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Obesity</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088116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5101 (</w:t>
            </w:r>
            <w:r>
              <w:rPr>
                <w:rFonts w:ascii="Arial" w:eastAsia="Times New Roman" w:hAnsi="Arial" w:cs="Arial"/>
                <w:color w:val="000000"/>
                <w:sz w:val="16"/>
                <w:szCs w:val="16"/>
                <w:lang w:eastAsia="en-GB"/>
              </w:rPr>
              <w:t>86.2</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F1106F1"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820 (</w:t>
            </w:r>
            <w:r>
              <w:rPr>
                <w:rFonts w:ascii="Arial" w:eastAsia="Times New Roman" w:hAnsi="Arial" w:cs="Arial"/>
                <w:color w:val="000000"/>
                <w:sz w:val="16"/>
                <w:szCs w:val="16"/>
                <w:lang w:eastAsia="en-GB"/>
              </w:rPr>
              <w:t>13.8</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B4439E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5921</w:t>
            </w:r>
          </w:p>
        </w:tc>
      </w:tr>
      <w:tr w:rsidR="008A116B" w:rsidRPr="0092755B" w14:paraId="12F01BD5"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0A79E63"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Chronic neurological disorder</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9740B2A"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3106 (</w:t>
            </w:r>
            <w:r>
              <w:rPr>
                <w:rFonts w:ascii="Arial" w:eastAsia="Times New Roman" w:hAnsi="Arial" w:cs="Arial"/>
                <w:color w:val="000000"/>
                <w:sz w:val="16"/>
                <w:szCs w:val="16"/>
                <w:lang w:eastAsia="en-GB"/>
              </w:rPr>
              <w:t>87.2</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3DD23DF"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457 (</w:t>
            </w:r>
            <w:r>
              <w:rPr>
                <w:rFonts w:ascii="Arial" w:eastAsia="Times New Roman" w:hAnsi="Arial" w:cs="Arial"/>
                <w:color w:val="000000"/>
                <w:sz w:val="16"/>
                <w:szCs w:val="16"/>
                <w:lang w:eastAsia="en-GB"/>
              </w:rPr>
              <w:t>12.8</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5B6052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3563</w:t>
            </w:r>
          </w:p>
        </w:tc>
      </w:tr>
      <w:tr w:rsidR="008A116B" w:rsidRPr="0092755B" w14:paraId="2588D3D7"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2068877B" w14:textId="77777777" w:rsidR="008A116B" w:rsidRPr="0092755B" w:rsidRDefault="008A116B" w:rsidP="00426EE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Dementia</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5225000"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2922 (</w:t>
            </w:r>
            <w:r>
              <w:rPr>
                <w:rFonts w:ascii="Arial" w:eastAsia="Times New Roman" w:hAnsi="Arial" w:cs="Arial"/>
                <w:color w:val="000000"/>
                <w:sz w:val="16"/>
                <w:szCs w:val="16"/>
                <w:lang w:eastAsia="en-GB"/>
              </w:rPr>
              <w:t>89.8</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063F36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331 (</w:t>
            </w:r>
            <w:r>
              <w:rPr>
                <w:rFonts w:ascii="Arial" w:eastAsia="Times New Roman" w:hAnsi="Arial" w:cs="Arial"/>
                <w:color w:val="000000"/>
                <w:sz w:val="16"/>
                <w:szCs w:val="16"/>
                <w:lang w:eastAsia="en-GB"/>
              </w:rPr>
              <w:t>10.2</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57E9E39"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3253</w:t>
            </w:r>
          </w:p>
        </w:tc>
      </w:tr>
      <w:tr w:rsidR="008A116B" w:rsidRPr="0092755B" w14:paraId="5A6EB103" w14:textId="77777777" w:rsidTr="00426EE1">
        <w:tc>
          <w:tcPr>
            <w:tcW w:w="0" w:type="auto"/>
            <w:tcBorders>
              <w:top w:val="nil"/>
              <w:left w:val="nil"/>
              <w:bottom w:val="nil"/>
              <w:right w:val="nil"/>
            </w:tcBorders>
            <w:shd w:val="clear" w:color="auto" w:fill="FFFFFF"/>
            <w:noWrap/>
            <w:tcMar>
              <w:top w:w="60" w:type="dxa"/>
              <w:left w:w="60" w:type="dxa"/>
              <w:bottom w:w="60" w:type="dxa"/>
              <w:right w:w="180" w:type="dxa"/>
            </w:tcMar>
            <w:vAlign w:val="center"/>
            <w:hideMark/>
          </w:tcPr>
          <w:p w14:paraId="0D339E80" w14:textId="77777777" w:rsidR="008A116B" w:rsidRPr="0092755B" w:rsidRDefault="008A116B" w:rsidP="00426EE1">
            <w:pP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Vaccine </w:t>
            </w:r>
            <w:r w:rsidRPr="0092755B">
              <w:rPr>
                <w:rFonts w:ascii="Arial" w:eastAsia="Times New Roman" w:hAnsi="Arial" w:cs="Arial"/>
                <w:b/>
                <w:bCs/>
                <w:color w:val="000000"/>
                <w:sz w:val="16"/>
                <w:szCs w:val="16"/>
                <w:lang w:eastAsia="en-GB"/>
              </w:rPr>
              <w:t>failure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0543B3E" w14:textId="77777777" w:rsidR="008A116B" w:rsidRPr="0092755B" w:rsidRDefault="008A116B" w:rsidP="00426EE1">
            <w:pPr>
              <w:rPr>
                <w:rFonts w:ascii="Arial" w:eastAsia="Times New Roman" w:hAnsi="Arial" w:cs="Arial"/>
                <w:b/>
                <w:bCs/>
                <w:color w:val="000000"/>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0A71697B" w14:textId="77777777" w:rsidR="008A116B" w:rsidRPr="0092755B" w:rsidRDefault="008A116B" w:rsidP="00426EE1">
            <w:pPr>
              <w:jc w:val="center"/>
              <w:rPr>
                <w:rFonts w:ascii="Times New Roman" w:eastAsia="Times New Roman" w:hAnsi="Times New Roman" w:cs="Times New Roman"/>
                <w:sz w:val="16"/>
                <w:szCs w:val="16"/>
                <w:lang w:eastAsia="en-GB"/>
              </w:rPr>
            </w:pP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BE850C0" w14:textId="77777777" w:rsidR="008A116B" w:rsidRPr="0092755B" w:rsidRDefault="008A116B" w:rsidP="00426EE1">
            <w:pPr>
              <w:jc w:val="center"/>
              <w:rPr>
                <w:rFonts w:ascii="Times New Roman" w:eastAsia="Times New Roman" w:hAnsi="Times New Roman" w:cs="Times New Roman"/>
                <w:sz w:val="16"/>
                <w:szCs w:val="16"/>
                <w:lang w:eastAsia="en-GB"/>
              </w:rPr>
            </w:pPr>
          </w:p>
        </w:tc>
      </w:tr>
      <w:tr w:rsidR="008A116B" w:rsidRPr="0092755B" w14:paraId="6E005F04"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6389A311"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lastRenderedPageBreak/>
              <w:t>No information on date of symptom onset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3241C15B"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75 (</w:t>
            </w:r>
            <w:r>
              <w:rPr>
                <w:rFonts w:ascii="Arial" w:eastAsia="Times New Roman" w:hAnsi="Arial" w:cs="Arial"/>
                <w:color w:val="000000"/>
                <w:sz w:val="16"/>
                <w:szCs w:val="16"/>
                <w:lang w:eastAsia="en-GB"/>
              </w:rPr>
              <w:t>92.6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FA39567"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6 (</w:t>
            </w:r>
            <w:r>
              <w:rPr>
                <w:rFonts w:ascii="Arial" w:eastAsia="Times New Roman" w:hAnsi="Arial" w:cs="Arial"/>
                <w:color w:val="000000"/>
                <w:sz w:val="16"/>
                <w:szCs w:val="16"/>
                <w:lang w:eastAsia="en-GB"/>
              </w:rPr>
              <w:t>7.4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1A765F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81</w:t>
            </w:r>
          </w:p>
        </w:tc>
      </w:tr>
      <w:tr w:rsidR="008A116B" w:rsidRPr="0092755B" w14:paraId="2032FFA1"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1F4A20EE"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No virus immunity</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79DE035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32740 (</w:t>
            </w:r>
            <w:r>
              <w:rPr>
                <w:rFonts w:ascii="Arial" w:eastAsia="Times New Roman" w:hAnsi="Arial" w:cs="Arial"/>
                <w:color w:val="000000"/>
                <w:sz w:val="16"/>
                <w:szCs w:val="16"/>
                <w:lang w:eastAsia="en-GB"/>
              </w:rPr>
              <w:t>87.6</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5532A88C"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4641 (</w:t>
            </w:r>
            <w:r>
              <w:rPr>
                <w:rFonts w:ascii="Arial" w:eastAsia="Times New Roman" w:hAnsi="Arial" w:cs="Arial"/>
                <w:color w:val="000000"/>
                <w:sz w:val="16"/>
                <w:szCs w:val="16"/>
                <w:lang w:eastAsia="en-GB"/>
              </w:rPr>
              <w:t>12.4</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1378E698"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37381</w:t>
            </w:r>
          </w:p>
        </w:tc>
      </w:tr>
      <w:tr w:rsidR="008A116B" w:rsidRPr="0092755B" w14:paraId="09A41A1E" w14:textId="77777777" w:rsidTr="00426EE1">
        <w:tc>
          <w:tcPr>
            <w:tcW w:w="0" w:type="auto"/>
            <w:tcBorders>
              <w:top w:val="nil"/>
              <w:left w:val="nil"/>
              <w:bottom w:val="nil"/>
              <w:right w:val="nil"/>
            </w:tcBorders>
            <w:shd w:val="clear" w:color="auto" w:fill="FFFFFF"/>
            <w:noWrap/>
            <w:tcMar>
              <w:top w:w="60" w:type="dxa"/>
              <w:left w:w="300" w:type="dxa"/>
              <w:bottom w:w="60" w:type="dxa"/>
              <w:right w:w="180" w:type="dxa"/>
            </w:tcMar>
            <w:vAlign w:val="center"/>
            <w:hideMark/>
          </w:tcPr>
          <w:p w14:paraId="5F8595FC"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First dose failure</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22D7BDDD"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1601 (</w:t>
            </w:r>
            <w:r>
              <w:rPr>
                <w:rFonts w:ascii="Arial" w:eastAsia="Times New Roman" w:hAnsi="Arial" w:cs="Arial"/>
                <w:color w:val="000000"/>
                <w:sz w:val="16"/>
                <w:szCs w:val="16"/>
                <w:lang w:eastAsia="en-GB"/>
              </w:rPr>
              <w:t>82.5</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499B8E8B"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340 (</w:t>
            </w:r>
            <w:r>
              <w:rPr>
                <w:rFonts w:ascii="Arial" w:eastAsia="Times New Roman" w:hAnsi="Arial" w:cs="Arial"/>
                <w:color w:val="000000"/>
                <w:sz w:val="16"/>
                <w:szCs w:val="16"/>
                <w:lang w:eastAsia="en-GB"/>
              </w:rPr>
              <w:t>17.5</w:t>
            </w:r>
            <w:r w:rsidRPr="0092755B">
              <w:rPr>
                <w:rFonts w:ascii="Arial" w:eastAsia="Times New Roman" w:hAnsi="Arial" w:cs="Arial"/>
                <w:color w:val="000000"/>
                <w:sz w:val="16"/>
                <w:szCs w:val="16"/>
                <w:lang w:eastAsia="en-GB"/>
              </w:rPr>
              <w:t>%)</w:t>
            </w:r>
          </w:p>
        </w:tc>
        <w:tc>
          <w:tcPr>
            <w:tcW w:w="0" w:type="auto"/>
            <w:tcBorders>
              <w:top w:val="nil"/>
              <w:left w:val="nil"/>
              <w:bottom w:val="nil"/>
              <w:right w:val="nil"/>
            </w:tcBorders>
            <w:shd w:val="clear" w:color="auto" w:fill="FFFFFF"/>
            <w:noWrap/>
            <w:tcMar>
              <w:top w:w="60" w:type="dxa"/>
              <w:left w:w="180" w:type="dxa"/>
              <w:bottom w:w="60" w:type="dxa"/>
              <w:right w:w="180" w:type="dxa"/>
            </w:tcMar>
            <w:vAlign w:val="center"/>
            <w:hideMark/>
          </w:tcPr>
          <w:p w14:paraId="6FB83A5E"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1941</w:t>
            </w:r>
          </w:p>
        </w:tc>
      </w:tr>
      <w:tr w:rsidR="008A116B" w:rsidRPr="0092755B" w14:paraId="69DE9778" w14:textId="77777777" w:rsidTr="00426EE1">
        <w:tc>
          <w:tcPr>
            <w:tcW w:w="0" w:type="auto"/>
            <w:tcBorders>
              <w:top w:val="nil"/>
              <w:left w:val="nil"/>
              <w:bottom w:val="single" w:sz="18" w:space="0" w:color="000000"/>
              <w:right w:val="nil"/>
            </w:tcBorders>
            <w:shd w:val="clear" w:color="auto" w:fill="FFFFFF"/>
            <w:noWrap/>
            <w:tcMar>
              <w:top w:w="60" w:type="dxa"/>
              <w:left w:w="300" w:type="dxa"/>
              <w:bottom w:w="60" w:type="dxa"/>
              <w:right w:w="180" w:type="dxa"/>
            </w:tcMar>
            <w:vAlign w:val="center"/>
            <w:hideMark/>
          </w:tcPr>
          <w:p w14:paraId="778AAF03" w14:textId="77777777" w:rsidR="008A116B" w:rsidRPr="0092755B" w:rsidRDefault="008A116B" w:rsidP="00426EE1">
            <w:pP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Second dose failure</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1E68F62F"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1165 (</w:t>
            </w:r>
            <w:r>
              <w:rPr>
                <w:rFonts w:ascii="Arial" w:eastAsia="Times New Roman" w:hAnsi="Arial" w:cs="Arial"/>
                <w:color w:val="000000"/>
                <w:sz w:val="16"/>
                <w:szCs w:val="16"/>
                <w:lang w:eastAsia="en-GB"/>
              </w:rPr>
              <w:t>79.4</w:t>
            </w:r>
            <w:r w:rsidRPr="0092755B">
              <w:rPr>
                <w:rFonts w:ascii="Arial" w:eastAsia="Times New Roman" w:hAnsi="Arial" w:cs="Arial"/>
                <w:color w:val="000000"/>
                <w:sz w:val="16"/>
                <w:szCs w:val="16"/>
                <w:lang w:eastAsia="en-GB"/>
              </w:rPr>
              <w:t>%)</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3BB938B9"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302 (</w:t>
            </w:r>
            <w:r>
              <w:rPr>
                <w:rFonts w:ascii="Arial" w:eastAsia="Times New Roman" w:hAnsi="Arial" w:cs="Arial"/>
                <w:color w:val="000000"/>
                <w:sz w:val="16"/>
                <w:szCs w:val="16"/>
                <w:lang w:eastAsia="en-GB"/>
              </w:rPr>
              <w:t>20.6</w:t>
            </w:r>
            <w:r w:rsidRPr="0092755B">
              <w:rPr>
                <w:rFonts w:ascii="Arial" w:eastAsia="Times New Roman" w:hAnsi="Arial" w:cs="Arial"/>
                <w:color w:val="000000"/>
                <w:sz w:val="16"/>
                <w:szCs w:val="16"/>
                <w:lang w:eastAsia="en-GB"/>
              </w:rPr>
              <w:t>%)</w:t>
            </w:r>
          </w:p>
        </w:tc>
        <w:tc>
          <w:tcPr>
            <w:tcW w:w="0" w:type="auto"/>
            <w:tcBorders>
              <w:top w:val="nil"/>
              <w:left w:val="nil"/>
              <w:bottom w:val="single" w:sz="18" w:space="0" w:color="000000"/>
              <w:right w:val="nil"/>
            </w:tcBorders>
            <w:shd w:val="clear" w:color="auto" w:fill="FFFFFF"/>
            <w:noWrap/>
            <w:tcMar>
              <w:top w:w="60" w:type="dxa"/>
              <w:left w:w="180" w:type="dxa"/>
              <w:bottom w:w="60" w:type="dxa"/>
              <w:right w:w="180" w:type="dxa"/>
            </w:tcMar>
            <w:vAlign w:val="center"/>
            <w:hideMark/>
          </w:tcPr>
          <w:p w14:paraId="4BC1EE44" w14:textId="77777777" w:rsidR="008A116B" w:rsidRPr="0092755B" w:rsidRDefault="008A116B" w:rsidP="00426EE1">
            <w:pPr>
              <w:jc w:val="center"/>
              <w:rPr>
                <w:rFonts w:ascii="Arial" w:eastAsia="Times New Roman" w:hAnsi="Arial" w:cs="Arial"/>
                <w:color w:val="000000"/>
                <w:sz w:val="16"/>
                <w:szCs w:val="16"/>
                <w:lang w:eastAsia="en-GB"/>
              </w:rPr>
            </w:pPr>
            <w:r w:rsidRPr="0092755B">
              <w:rPr>
                <w:rFonts w:ascii="Arial" w:eastAsia="Times New Roman" w:hAnsi="Arial" w:cs="Arial"/>
                <w:color w:val="000000"/>
                <w:sz w:val="16"/>
                <w:szCs w:val="16"/>
                <w:lang w:eastAsia="en-GB"/>
              </w:rPr>
              <w:t>1467</w:t>
            </w:r>
          </w:p>
        </w:tc>
      </w:tr>
    </w:tbl>
    <w:p w14:paraId="4947C1B2" w14:textId="121411AF" w:rsidR="008A116B" w:rsidRDefault="008A116B" w:rsidP="00A81264">
      <w:pPr>
        <w:rPr>
          <w:rFonts w:eastAsia="Times New Roman" w:cs="Arial"/>
          <w:color w:val="222222"/>
          <w:shd w:val="clear" w:color="auto" w:fill="FFFFFF"/>
          <w:lang w:eastAsia="en-GB"/>
        </w:rPr>
      </w:pPr>
    </w:p>
    <w:p w14:paraId="26F72764" w14:textId="77777777" w:rsidR="008A116B" w:rsidRDefault="008A116B" w:rsidP="00A81264">
      <w:pPr>
        <w:rPr>
          <w:rFonts w:eastAsia="Times New Roman" w:cs="Arial"/>
          <w:color w:val="222222"/>
          <w:shd w:val="clear" w:color="auto" w:fill="FFFFFF"/>
          <w:lang w:eastAsia="en-GB"/>
        </w:rPr>
      </w:pPr>
    </w:p>
    <w:p w14:paraId="53A47F7F" w14:textId="23D64CFD" w:rsidR="00A05E97" w:rsidRDefault="008A116B" w:rsidP="00A81264">
      <w:pPr>
        <w:rPr>
          <w:rFonts w:eastAsia="Times New Roman" w:cs="Arial"/>
          <w:color w:val="222222"/>
          <w:shd w:val="clear" w:color="auto" w:fill="FFFFFF"/>
          <w:lang w:eastAsia="en-GB"/>
        </w:rPr>
      </w:pPr>
      <w:r w:rsidRPr="008A116B">
        <w:rPr>
          <w:rFonts w:eastAsia="Times New Roman" w:cs="Arial"/>
          <w:noProof/>
          <w:color w:val="222222"/>
          <w:shd w:val="clear" w:color="auto" w:fill="FFFFFF"/>
          <w:lang w:val="en-GB" w:eastAsia="en-GB"/>
        </w:rPr>
        <w:drawing>
          <wp:inline distT="0" distB="0" distL="0" distR="0" wp14:anchorId="7A75030E" wp14:editId="4FC79A50">
            <wp:extent cx="5727700" cy="3436620"/>
            <wp:effectExtent l="0" t="0" r="6350" b="0"/>
            <wp:docPr id="4" name="Picture 4" descr="C:\Users\adochert\Downloads\figure_failure_s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chert\Downloads\figure_failure_se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436620"/>
                    </a:xfrm>
                    <a:prstGeom prst="rect">
                      <a:avLst/>
                    </a:prstGeom>
                    <a:noFill/>
                    <a:ln>
                      <a:noFill/>
                    </a:ln>
                  </pic:spPr>
                </pic:pic>
              </a:graphicData>
            </a:graphic>
          </wp:inline>
        </w:drawing>
      </w:r>
    </w:p>
    <w:p w14:paraId="200B2770" w14:textId="3777CE26" w:rsidR="00A05E97" w:rsidRDefault="00A05E97" w:rsidP="00A81264">
      <w:pPr>
        <w:rPr>
          <w:rFonts w:eastAsia="Times New Roman" w:cs="Arial"/>
          <w:color w:val="222222"/>
          <w:shd w:val="clear" w:color="auto" w:fill="FFFFFF"/>
          <w:lang w:eastAsia="en-GB"/>
        </w:rPr>
      </w:pPr>
    </w:p>
    <w:p w14:paraId="29AE1F18" w14:textId="3D89C34E" w:rsidR="00A05E97" w:rsidRPr="00A05E97" w:rsidRDefault="00A05E97" w:rsidP="00A05E97">
      <w:pPr>
        <w:rPr>
          <w:rFonts w:eastAsia="Times New Roman" w:cs="Arial"/>
          <w:color w:val="222222"/>
          <w:shd w:val="clear" w:color="auto" w:fill="FFFFFF"/>
          <w:lang w:eastAsia="en-GB"/>
        </w:rPr>
      </w:pPr>
      <w:r>
        <w:rPr>
          <w:rFonts w:eastAsia="Times New Roman" w:cs="Arial"/>
          <w:color w:val="222222"/>
          <w:shd w:val="clear" w:color="auto" w:fill="FFFFFF"/>
          <w:lang w:eastAsia="en-GB"/>
        </w:rPr>
        <w:t>Figure E1</w:t>
      </w:r>
      <w:r w:rsidRPr="00A05E97">
        <w:rPr>
          <w:rFonts w:eastAsia="Times New Roman" w:cs="Arial"/>
          <w:color w:val="222222"/>
          <w:shd w:val="clear" w:color="auto" w:fill="FFFFFF"/>
          <w:lang w:eastAsia="en-GB"/>
        </w:rPr>
        <w:t xml:space="preserve">: </w:t>
      </w:r>
    </w:p>
    <w:p w14:paraId="17EBA7EC" w14:textId="77777777" w:rsidR="00A05E97" w:rsidRPr="00A05E97" w:rsidRDefault="00A05E97" w:rsidP="00A05E97">
      <w:pPr>
        <w:rPr>
          <w:rFonts w:eastAsia="Times New Roman" w:cs="Arial"/>
          <w:color w:val="222222"/>
          <w:shd w:val="clear" w:color="auto" w:fill="FFFFFF"/>
          <w:lang w:eastAsia="en-GB"/>
        </w:rPr>
      </w:pPr>
      <w:r w:rsidRPr="00A05E97">
        <w:rPr>
          <w:rFonts w:eastAsia="Times New Roman" w:cs="Arial"/>
          <w:color w:val="222222"/>
          <w:shd w:val="clear" w:color="auto" w:fill="FFFFFF"/>
          <w:lang w:eastAsia="en-GB"/>
        </w:rPr>
        <w:t xml:space="preserve">A: Time from first vaccination to symptom onset. Green: -7-20 days, “no virus immunity. Blue: 21 days after first dose/ &lt;14 days after second dose, “first dose failure”. </w:t>
      </w:r>
    </w:p>
    <w:p w14:paraId="042199AF" w14:textId="4695D829" w:rsidR="00A05E97" w:rsidRDefault="00A05E97" w:rsidP="00A05E97">
      <w:pPr>
        <w:rPr>
          <w:rFonts w:eastAsia="Times New Roman" w:cs="Arial"/>
          <w:color w:val="222222"/>
          <w:shd w:val="clear" w:color="auto" w:fill="FFFFFF"/>
          <w:lang w:eastAsia="en-GB"/>
        </w:rPr>
      </w:pPr>
      <w:r w:rsidRPr="00A05E97">
        <w:rPr>
          <w:rFonts w:eastAsia="Times New Roman" w:cs="Arial"/>
          <w:color w:val="222222"/>
          <w:shd w:val="clear" w:color="auto" w:fill="FFFFFF"/>
          <w:lang w:eastAsia="en-GB"/>
        </w:rPr>
        <w:t>B: Time from second vaccination to symptom onset. Blue: 21 days after first dose/ &lt;14 days after second dose, “first dose failure”. Purple: &gt;=14 days after second dose, “second dose failure”. Note that the y axis scale is different between A and B. All patients included have at least 60 days follow up</w:t>
      </w:r>
    </w:p>
    <w:p w14:paraId="265E8C52" w14:textId="77777777" w:rsidR="00A05E97" w:rsidRDefault="00A05E97" w:rsidP="00A81264">
      <w:pPr>
        <w:rPr>
          <w:rFonts w:eastAsia="Times New Roman" w:cs="Arial"/>
          <w:color w:val="222222"/>
          <w:shd w:val="clear" w:color="auto" w:fill="FFFFFF"/>
          <w:lang w:eastAsia="en-GB"/>
        </w:rPr>
      </w:pPr>
      <w:bookmarkStart w:id="1" w:name="_GoBack"/>
      <w:r>
        <w:rPr>
          <w:rFonts w:eastAsia="Times New Roman" w:cs="Arial"/>
          <w:noProof/>
          <w:color w:val="222222"/>
          <w:shd w:val="clear" w:color="auto" w:fill="FFFFFF"/>
          <w:lang w:val="en-GB" w:eastAsia="en-GB"/>
        </w:rPr>
        <w:lastRenderedPageBreak/>
        <w:drawing>
          <wp:inline distT="0" distB="0" distL="0" distR="0" wp14:anchorId="7EF55083" wp14:editId="51E04D8D">
            <wp:extent cx="5851003" cy="5855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4477" cy="5868975"/>
                    </a:xfrm>
                    <a:prstGeom prst="rect">
                      <a:avLst/>
                    </a:prstGeom>
                    <a:noFill/>
                  </pic:spPr>
                </pic:pic>
              </a:graphicData>
            </a:graphic>
          </wp:inline>
        </w:drawing>
      </w:r>
      <w:bookmarkEnd w:id="1"/>
    </w:p>
    <w:p w14:paraId="7EF6382B" w14:textId="224081B1" w:rsidR="00A81264" w:rsidRDefault="00A05E97" w:rsidP="00A81264">
      <w:r>
        <w:rPr>
          <w:rFonts w:eastAsia="Times New Roman" w:cs="Arial"/>
          <w:color w:val="222222"/>
          <w:shd w:val="clear" w:color="auto" w:fill="FFFFFF"/>
          <w:lang w:eastAsia="en-GB"/>
        </w:rPr>
        <w:t xml:space="preserve">Figure </w:t>
      </w:r>
      <w:r w:rsidR="00A97C22">
        <w:rPr>
          <w:rFonts w:eastAsia="Times New Roman" w:cs="Arial"/>
          <w:color w:val="222222"/>
          <w:shd w:val="clear" w:color="auto" w:fill="FFFFFF"/>
          <w:lang w:eastAsia="en-GB"/>
        </w:rPr>
        <w:t>E2</w:t>
      </w:r>
      <w:r>
        <w:rPr>
          <w:rFonts w:eastAsia="Times New Roman" w:cs="Arial"/>
          <w:color w:val="222222"/>
          <w:shd w:val="clear" w:color="auto" w:fill="FFFFFF"/>
          <w:lang w:eastAsia="en-GB"/>
        </w:rPr>
        <w:t>: full model for 28 day in-hospital mortality</w:t>
      </w:r>
    </w:p>
    <w:sectPr w:rsidR="00A81264" w:rsidSect="00C036AA">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533E" w16cex:dateUtc="2021-09-17T16:47:00Z"/>
  <w16cex:commentExtensible w16cex:durableId="24EF53CD" w16cex:dateUtc="2021-09-17T16:50:00Z"/>
  <w16cex:commentExtensible w16cex:durableId="24EF58B9" w16cex:dateUtc="2021-09-17T17:11:00Z"/>
  <w16cex:commentExtensible w16cex:durableId="24F3411E" w16cex:dateUtc="2021-09-20T16:19:00Z"/>
  <w16cex:commentExtensible w16cex:durableId="24F1B161" w16cex:dateUtc="2021-09-19T11:53:00Z"/>
  <w16cex:commentExtensible w16cex:durableId="24F3420E" w16cex:dateUtc="2021-09-20T16:23:00Z"/>
  <w16cex:commentExtensible w16cex:durableId="24F37850" w16cex:dateUtc="2021-09-20T20:14:00Z"/>
  <w16cex:commentExtensible w16cex:durableId="24F37997" w16cex:dateUtc="2021-09-20T20:20:00Z"/>
  <w16cex:commentExtensible w16cex:durableId="24F37FF6" w16cex:dateUtc="2021-09-20T20:47:00Z"/>
  <w16cex:commentExtensible w16cex:durableId="24F34318" w16cex:dateUtc="2021-09-20T16:27:00Z"/>
  <w16cex:commentExtensible w16cex:durableId="24F343C3" w16cex:dateUtc="2021-09-20T16:30:00Z"/>
  <w16cex:commentExtensible w16cex:durableId="24F343B6" w16cex:dateUtc="2021-09-20T16:30:00Z"/>
  <w16cex:commentExtensible w16cex:durableId="24F37FCD" w16cex:dateUtc="2021-09-20T20:46:00Z"/>
  <w16cex:commentExtensible w16cex:durableId="24F344C4" w16cex:dateUtc="2021-09-20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EC04C" w16cid:durableId="24EF52A7"/>
  <w16cid:commentId w16cid:paraId="089F84F9" w16cid:durableId="24EF533E"/>
  <w16cid:commentId w16cid:paraId="18409640" w16cid:durableId="24EF52A8"/>
  <w16cid:commentId w16cid:paraId="7417CBE3" w16cid:durableId="24EF53CD"/>
  <w16cid:commentId w16cid:paraId="35F6A9FE" w16cid:durableId="24EF52A9"/>
  <w16cid:commentId w16cid:paraId="6F127D97" w16cid:durableId="24EF58B9"/>
  <w16cid:commentId w16cid:paraId="685A7ED4" w16cid:durableId="24EF52AA"/>
  <w16cid:commentId w16cid:paraId="3C786373" w16cid:durableId="24F3411E"/>
  <w16cid:commentId w16cid:paraId="0795FFD7" w16cid:durableId="24F1B161"/>
  <w16cid:commentId w16cid:paraId="386A950B" w16cid:durableId="24F3420E"/>
  <w16cid:commentId w16cid:paraId="6C8C8B6C" w16cid:durableId="24F37850"/>
  <w16cid:commentId w16cid:paraId="138F8BD5" w16cid:durableId="24EF52AC"/>
  <w16cid:commentId w16cid:paraId="0A2D9F5F" w16cid:durableId="24F37997"/>
  <w16cid:commentId w16cid:paraId="53BC6BCB" w16cid:durableId="24F37FF6"/>
  <w16cid:commentId w16cid:paraId="4BC3C83E" w16cid:durableId="24F34318"/>
  <w16cid:commentId w16cid:paraId="3AF0894F" w16cid:durableId="24EF52AD"/>
  <w16cid:commentId w16cid:paraId="46B66977" w16cid:durableId="24EF52AE"/>
  <w16cid:commentId w16cid:paraId="6C22247F" w16cid:durableId="24EF52AF"/>
  <w16cid:commentId w16cid:paraId="361F0B4E" w16cid:durableId="24F343C3"/>
  <w16cid:commentId w16cid:paraId="768AA1ED" w16cid:durableId="24F343B6"/>
  <w16cid:commentId w16cid:paraId="2A5A8E0A" w16cid:durableId="24F37FCD"/>
  <w16cid:commentId w16cid:paraId="0DBCE213" w16cid:durableId="24F344C4"/>
  <w16cid:commentId w16cid:paraId="7CB9168F" w16cid:durableId="24EF52B1"/>
  <w16cid:commentId w16cid:paraId="6B2A3AB9" w16cid:durableId="24EF5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A1052" w14:textId="77777777" w:rsidR="001D3656" w:rsidRDefault="001D3656" w:rsidP="008960DE">
      <w:r>
        <w:separator/>
      </w:r>
    </w:p>
  </w:endnote>
  <w:endnote w:type="continuationSeparator" w:id="0">
    <w:p w14:paraId="0A15CC4E" w14:textId="77777777" w:rsidR="001D3656" w:rsidRDefault="001D3656" w:rsidP="0089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D1BCD" w14:textId="77777777" w:rsidR="001D3656" w:rsidRDefault="001D3656" w:rsidP="008960DE">
      <w:r>
        <w:separator/>
      </w:r>
    </w:p>
  </w:footnote>
  <w:footnote w:type="continuationSeparator" w:id="0">
    <w:p w14:paraId="5D55171D" w14:textId="77777777" w:rsidR="001D3656" w:rsidRDefault="001D3656" w:rsidP="0089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200E"/>
    <w:multiLevelType w:val="hybridMultilevel"/>
    <w:tmpl w:val="BF465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C7EBB"/>
    <w:multiLevelType w:val="hybridMultilevel"/>
    <w:tmpl w:val="529E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E07E90"/>
    <w:multiLevelType w:val="multilevel"/>
    <w:tmpl w:val="659E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834D9"/>
    <w:multiLevelType w:val="hybridMultilevel"/>
    <w:tmpl w:val="33B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C7"/>
    <w:rsid w:val="000406A2"/>
    <w:rsid w:val="000B07B8"/>
    <w:rsid w:val="000B16B7"/>
    <w:rsid w:val="000E1939"/>
    <w:rsid w:val="000F350A"/>
    <w:rsid w:val="00153F56"/>
    <w:rsid w:val="00165CF0"/>
    <w:rsid w:val="001B5C55"/>
    <w:rsid w:val="001D3656"/>
    <w:rsid w:val="001F1999"/>
    <w:rsid w:val="002548A0"/>
    <w:rsid w:val="0026380E"/>
    <w:rsid w:val="002914EA"/>
    <w:rsid w:val="002D072F"/>
    <w:rsid w:val="002D7E99"/>
    <w:rsid w:val="002E5FD9"/>
    <w:rsid w:val="002E680B"/>
    <w:rsid w:val="002F2EC4"/>
    <w:rsid w:val="00332DC0"/>
    <w:rsid w:val="00381F46"/>
    <w:rsid w:val="003F6C19"/>
    <w:rsid w:val="00463F92"/>
    <w:rsid w:val="00487447"/>
    <w:rsid w:val="004C08BA"/>
    <w:rsid w:val="004D06F5"/>
    <w:rsid w:val="004F1E8B"/>
    <w:rsid w:val="00526505"/>
    <w:rsid w:val="00554D57"/>
    <w:rsid w:val="00590427"/>
    <w:rsid w:val="005B609C"/>
    <w:rsid w:val="005F4C3B"/>
    <w:rsid w:val="006052C4"/>
    <w:rsid w:val="00664C45"/>
    <w:rsid w:val="006C752E"/>
    <w:rsid w:val="006E0D94"/>
    <w:rsid w:val="006E12E5"/>
    <w:rsid w:val="007022BF"/>
    <w:rsid w:val="007406CD"/>
    <w:rsid w:val="007758CA"/>
    <w:rsid w:val="007A47A5"/>
    <w:rsid w:val="007F4524"/>
    <w:rsid w:val="008317CE"/>
    <w:rsid w:val="008612A5"/>
    <w:rsid w:val="00886997"/>
    <w:rsid w:val="008960DE"/>
    <w:rsid w:val="008A116B"/>
    <w:rsid w:val="008B1F57"/>
    <w:rsid w:val="008D1D44"/>
    <w:rsid w:val="008D1DEA"/>
    <w:rsid w:val="008D6737"/>
    <w:rsid w:val="008F224D"/>
    <w:rsid w:val="00912732"/>
    <w:rsid w:val="00992075"/>
    <w:rsid w:val="009C1A6B"/>
    <w:rsid w:val="00A0201B"/>
    <w:rsid w:val="00A05E97"/>
    <w:rsid w:val="00A12F1C"/>
    <w:rsid w:val="00A37C0D"/>
    <w:rsid w:val="00A81264"/>
    <w:rsid w:val="00A97C22"/>
    <w:rsid w:val="00AA0406"/>
    <w:rsid w:val="00AA1D4F"/>
    <w:rsid w:val="00AA4C89"/>
    <w:rsid w:val="00AF1F10"/>
    <w:rsid w:val="00AF622B"/>
    <w:rsid w:val="00B879CB"/>
    <w:rsid w:val="00BF198B"/>
    <w:rsid w:val="00C036AA"/>
    <w:rsid w:val="00C74256"/>
    <w:rsid w:val="00CA443F"/>
    <w:rsid w:val="00CD1D30"/>
    <w:rsid w:val="00D10F1E"/>
    <w:rsid w:val="00D850E0"/>
    <w:rsid w:val="00DC17A5"/>
    <w:rsid w:val="00DD6455"/>
    <w:rsid w:val="00DF0FC7"/>
    <w:rsid w:val="00DF1AE7"/>
    <w:rsid w:val="00E24552"/>
    <w:rsid w:val="00E27843"/>
    <w:rsid w:val="00E32208"/>
    <w:rsid w:val="00E575A1"/>
    <w:rsid w:val="00ED4C19"/>
    <w:rsid w:val="00ED57A0"/>
    <w:rsid w:val="00F32D41"/>
    <w:rsid w:val="00F47C0C"/>
    <w:rsid w:val="00F81A40"/>
    <w:rsid w:val="00F92A37"/>
    <w:rsid w:val="00F975FC"/>
    <w:rsid w:val="00FE50C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2DFB"/>
  <w15:chartTrackingRefBased/>
  <w15:docId w15:val="{97F3B1CB-5A1C-374F-95E2-B8552CE6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C7"/>
    <w:pPr>
      <w:ind w:left="720"/>
      <w:contextualSpacing/>
    </w:pPr>
  </w:style>
  <w:style w:type="character" w:styleId="Hyperlink">
    <w:name w:val="Hyperlink"/>
    <w:basedOn w:val="DefaultParagraphFont"/>
    <w:uiPriority w:val="99"/>
    <w:unhideWhenUsed/>
    <w:rsid w:val="00ED57A0"/>
    <w:rPr>
      <w:color w:val="0563C1" w:themeColor="hyperlink"/>
      <w:u w:val="single"/>
    </w:rPr>
  </w:style>
  <w:style w:type="character" w:customStyle="1" w:styleId="UnresolvedMention1">
    <w:name w:val="Unresolved Mention1"/>
    <w:basedOn w:val="DefaultParagraphFont"/>
    <w:uiPriority w:val="99"/>
    <w:semiHidden/>
    <w:unhideWhenUsed/>
    <w:rsid w:val="00ED57A0"/>
    <w:rPr>
      <w:color w:val="605E5C"/>
      <w:shd w:val="clear" w:color="auto" w:fill="E1DFDD"/>
    </w:rPr>
  </w:style>
  <w:style w:type="character" w:styleId="Emphasis">
    <w:name w:val="Emphasis"/>
    <w:basedOn w:val="DefaultParagraphFont"/>
    <w:uiPriority w:val="20"/>
    <w:qFormat/>
    <w:rsid w:val="00ED57A0"/>
    <w:rPr>
      <w:i/>
      <w:iCs/>
    </w:rPr>
  </w:style>
  <w:style w:type="character" w:styleId="FollowedHyperlink">
    <w:name w:val="FollowedHyperlink"/>
    <w:basedOn w:val="DefaultParagraphFont"/>
    <w:uiPriority w:val="99"/>
    <w:semiHidden/>
    <w:unhideWhenUsed/>
    <w:rsid w:val="00ED57A0"/>
    <w:rPr>
      <w:color w:val="954F72" w:themeColor="followedHyperlink"/>
      <w:u w:val="single"/>
    </w:rPr>
  </w:style>
  <w:style w:type="paragraph" w:styleId="BalloonText">
    <w:name w:val="Balloon Text"/>
    <w:basedOn w:val="Normal"/>
    <w:link w:val="BalloonTextChar"/>
    <w:uiPriority w:val="99"/>
    <w:semiHidden/>
    <w:unhideWhenUsed/>
    <w:rsid w:val="006C7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2E"/>
    <w:rPr>
      <w:rFonts w:ascii="Segoe UI" w:hAnsi="Segoe UI" w:cs="Segoe UI"/>
      <w:sz w:val="18"/>
      <w:szCs w:val="18"/>
    </w:rPr>
  </w:style>
  <w:style w:type="character" w:styleId="CommentReference">
    <w:name w:val="annotation reference"/>
    <w:basedOn w:val="DefaultParagraphFont"/>
    <w:uiPriority w:val="99"/>
    <w:semiHidden/>
    <w:unhideWhenUsed/>
    <w:rsid w:val="00A97C22"/>
    <w:rPr>
      <w:sz w:val="16"/>
      <w:szCs w:val="16"/>
    </w:rPr>
  </w:style>
  <w:style w:type="paragraph" w:styleId="CommentText">
    <w:name w:val="annotation text"/>
    <w:basedOn w:val="Normal"/>
    <w:link w:val="CommentTextChar"/>
    <w:uiPriority w:val="99"/>
    <w:semiHidden/>
    <w:unhideWhenUsed/>
    <w:rsid w:val="00A97C22"/>
    <w:rPr>
      <w:sz w:val="20"/>
      <w:szCs w:val="20"/>
    </w:rPr>
  </w:style>
  <w:style w:type="character" w:customStyle="1" w:styleId="CommentTextChar">
    <w:name w:val="Comment Text Char"/>
    <w:basedOn w:val="DefaultParagraphFont"/>
    <w:link w:val="CommentText"/>
    <w:uiPriority w:val="99"/>
    <w:semiHidden/>
    <w:rsid w:val="00A97C22"/>
    <w:rPr>
      <w:sz w:val="20"/>
      <w:szCs w:val="20"/>
    </w:rPr>
  </w:style>
  <w:style w:type="paragraph" w:styleId="CommentSubject">
    <w:name w:val="annotation subject"/>
    <w:basedOn w:val="CommentText"/>
    <w:next w:val="CommentText"/>
    <w:link w:val="CommentSubjectChar"/>
    <w:uiPriority w:val="99"/>
    <w:semiHidden/>
    <w:unhideWhenUsed/>
    <w:rsid w:val="00A97C22"/>
    <w:rPr>
      <w:b/>
      <w:bCs/>
    </w:rPr>
  </w:style>
  <w:style w:type="character" w:customStyle="1" w:styleId="CommentSubjectChar">
    <w:name w:val="Comment Subject Char"/>
    <w:basedOn w:val="CommentTextChar"/>
    <w:link w:val="CommentSubject"/>
    <w:uiPriority w:val="99"/>
    <w:semiHidden/>
    <w:rsid w:val="00A97C22"/>
    <w:rPr>
      <w:b/>
      <w:bCs/>
      <w:sz w:val="20"/>
      <w:szCs w:val="20"/>
    </w:rPr>
  </w:style>
  <w:style w:type="paragraph" w:styleId="Header">
    <w:name w:val="header"/>
    <w:basedOn w:val="Normal"/>
    <w:link w:val="HeaderChar"/>
    <w:uiPriority w:val="99"/>
    <w:unhideWhenUsed/>
    <w:rsid w:val="008960DE"/>
    <w:pPr>
      <w:tabs>
        <w:tab w:val="center" w:pos="4513"/>
        <w:tab w:val="right" w:pos="9026"/>
      </w:tabs>
    </w:pPr>
  </w:style>
  <w:style w:type="character" w:customStyle="1" w:styleId="HeaderChar">
    <w:name w:val="Header Char"/>
    <w:basedOn w:val="DefaultParagraphFont"/>
    <w:link w:val="Header"/>
    <w:uiPriority w:val="99"/>
    <w:rsid w:val="008960DE"/>
  </w:style>
  <w:style w:type="paragraph" w:styleId="Footer">
    <w:name w:val="footer"/>
    <w:basedOn w:val="Normal"/>
    <w:link w:val="FooterChar"/>
    <w:uiPriority w:val="99"/>
    <w:unhideWhenUsed/>
    <w:rsid w:val="008960DE"/>
    <w:pPr>
      <w:tabs>
        <w:tab w:val="center" w:pos="4513"/>
        <w:tab w:val="right" w:pos="9026"/>
      </w:tabs>
    </w:pPr>
  </w:style>
  <w:style w:type="character" w:customStyle="1" w:styleId="FooterChar">
    <w:name w:val="Footer Char"/>
    <w:basedOn w:val="DefaultParagraphFont"/>
    <w:link w:val="Footer"/>
    <w:uiPriority w:val="99"/>
    <w:rsid w:val="008960DE"/>
  </w:style>
  <w:style w:type="paragraph" w:styleId="Revision">
    <w:name w:val="Revision"/>
    <w:hidden/>
    <w:uiPriority w:val="99"/>
    <w:semiHidden/>
    <w:rsid w:val="00DF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669">
      <w:bodyDiv w:val="1"/>
      <w:marLeft w:val="0"/>
      <w:marRight w:val="0"/>
      <w:marTop w:val="0"/>
      <w:marBottom w:val="0"/>
      <w:divBdr>
        <w:top w:val="none" w:sz="0" w:space="0" w:color="auto"/>
        <w:left w:val="none" w:sz="0" w:space="0" w:color="auto"/>
        <w:bottom w:val="none" w:sz="0" w:space="0" w:color="auto"/>
        <w:right w:val="none" w:sz="0" w:space="0" w:color="auto"/>
      </w:divBdr>
    </w:div>
    <w:div w:id="555825508">
      <w:bodyDiv w:val="1"/>
      <w:marLeft w:val="0"/>
      <w:marRight w:val="0"/>
      <w:marTop w:val="0"/>
      <w:marBottom w:val="0"/>
      <w:divBdr>
        <w:top w:val="none" w:sz="0" w:space="0" w:color="auto"/>
        <w:left w:val="none" w:sz="0" w:space="0" w:color="auto"/>
        <w:bottom w:val="none" w:sz="0" w:space="0" w:color="auto"/>
        <w:right w:val="none" w:sz="0" w:space="0" w:color="auto"/>
      </w:divBdr>
    </w:div>
    <w:div w:id="735780823">
      <w:bodyDiv w:val="1"/>
      <w:marLeft w:val="0"/>
      <w:marRight w:val="0"/>
      <w:marTop w:val="0"/>
      <w:marBottom w:val="0"/>
      <w:divBdr>
        <w:top w:val="none" w:sz="0" w:space="0" w:color="auto"/>
        <w:left w:val="none" w:sz="0" w:space="0" w:color="auto"/>
        <w:bottom w:val="none" w:sz="0" w:space="0" w:color="auto"/>
        <w:right w:val="none" w:sz="0" w:space="0" w:color="auto"/>
      </w:divBdr>
    </w:div>
    <w:div w:id="963465306">
      <w:bodyDiv w:val="1"/>
      <w:marLeft w:val="0"/>
      <w:marRight w:val="0"/>
      <w:marTop w:val="0"/>
      <w:marBottom w:val="0"/>
      <w:divBdr>
        <w:top w:val="none" w:sz="0" w:space="0" w:color="auto"/>
        <w:left w:val="none" w:sz="0" w:space="0" w:color="auto"/>
        <w:bottom w:val="none" w:sz="0" w:space="0" w:color="auto"/>
        <w:right w:val="none" w:sz="0" w:space="0" w:color="auto"/>
      </w:divBdr>
    </w:div>
    <w:div w:id="1031417122">
      <w:bodyDiv w:val="1"/>
      <w:marLeft w:val="0"/>
      <w:marRight w:val="0"/>
      <w:marTop w:val="0"/>
      <w:marBottom w:val="0"/>
      <w:divBdr>
        <w:top w:val="none" w:sz="0" w:space="0" w:color="auto"/>
        <w:left w:val="none" w:sz="0" w:space="0" w:color="auto"/>
        <w:bottom w:val="none" w:sz="0" w:space="0" w:color="auto"/>
        <w:right w:val="none" w:sz="0" w:space="0" w:color="auto"/>
      </w:divBdr>
    </w:div>
    <w:div w:id="1132794363">
      <w:bodyDiv w:val="1"/>
      <w:marLeft w:val="0"/>
      <w:marRight w:val="0"/>
      <w:marTop w:val="0"/>
      <w:marBottom w:val="0"/>
      <w:divBdr>
        <w:top w:val="none" w:sz="0" w:space="0" w:color="auto"/>
        <w:left w:val="none" w:sz="0" w:space="0" w:color="auto"/>
        <w:bottom w:val="none" w:sz="0" w:space="0" w:color="auto"/>
        <w:right w:val="none" w:sz="0" w:space="0" w:color="auto"/>
      </w:divBdr>
    </w:div>
    <w:div w:id="1194342841">
      <w:bodyDiv w:val="1"/>
      <w:marLeft w:val="0"/>
      <w:marRight w:val="0"/>
      <w:marTop w:val="0"/>
      <w:marBottom w:val="0"/>
      <w:divBdr>
        <w:top w:val="none" w:sz="0" w:space="0" w:color="auto"/>
        <w:left w:val="none" w:sz="0" w:space="0" w:color="auto"/>
        <w:bottom w:val="none" w:sz="0" w:space="0" w:color="auto"/>
        <w:right w:val="none" w:sz="0" w:space="0" w:color="auto"/>
      </w:divBdr>
    </w:div>
    <w:div w:id="1274820656">
      <w:bodyDiv w:val="1"/>
      <w:marLeft w:val="0"/>
      <w:marRight w:val="0"/>
      <w:marTop w:val="0"/>
      <w:marBottom w:val="0"/>
      <w:divBdr>
        <w:top w:val="none" w:sz="0" w:space="0" w:color="auto"/>
        <w:left w:val="none" w:sz="0" w:space="0" w:color="auto"/>
        <w:bottom w:val="none" w:sz="0" w:space="0" w:color="auto"/>
        <w:right w:val="none" w:sz="0" w:space="0" w:color="auto"/>
      </w:divBdr>
    </w:div>
    <w:div w:id="1541943128">
      <w:bodyDiv w:val="1"/>
      <w:marLeft w:val="0"/>
      <w:marRight w:val="0"/>
      <w:marTop w:val="0"/>
      <w:marBottom w:val="0"/>
      <w:divBdr>
        <w:top w:val="none" w:sz="0" w:space="0" w:color="auto"/>
        <w:left w:val="none" w:sz="0" w:space="0" w:color="auto"/>
        <w:bottom w:val="none" w:sz="0" w:space="0" w:color="auto"/>
        <w:right w:val="none" w:sz="0" w:space="0" w:color="auto"/>
      </w:divBdr>
    </w:div>
    <w:div w:id="1586574180">
      <w:bodyDiv w:val="1"/>
      <w:marLeft w:val="0"/>
      <w:marRight w:val="0"/>
      <w:marTop w:val="0"/>
      <w:marBottom w:val="0"/>
      <w:divBdr>
        <w:top w:val="none" w:sz="0" w:space="0" w:color="auto"/>
        <w:left w:val="none" w:sz="0" w:space="0" w:color="auto"/>
        <w:bottom w:val="none" w:sz="0" w:space="0" w:color="auto"/>
        <w:right w:val="none" w:sz="0" w:space="0" w:color="auto"/>
      </w:divBdr>
    </w:div>
    <w:div w:id="1652294414">
      <w:bodyDiv w:val="1"/>
      <w:marLeft w:val="0"/>
      <w:marRight w:val="0"/>
      <w:marTop w:val="0"/>
      <w:marBottom w:val="0"/>
      <w:divBdr>
        <w:top w:val="none" w:sz="0" w:space="0" w:color="auto"/>
        <w:left w:val="none" w:sz="0" w:space="0" w:color="auto"/>
        <w:bottom w:val="none" w:sz="0" w:space="0" w:color="auto"/>
        <w:right w:val="none" w:sz="0" w:space="0" w:color="auto"/>
      </w:divBdr>
    </w:div>
    <w:div w:id="1791246159">
      <w:bodyDiv w:val="1"/>
      <w:marLeft w:val="0"/>
      <w:marRight w:val="0"/>
      <w:marTop w:val="0"/>
      <w:marBottom w:val="0"/>
      <w:divBdr>
        <w:top w:val="none" w:sz="0" w:space="0" w:color="auto"/>
        <w:left w:val="none" w:sz="0" w:space="0" w:color="auto"/>
        <w:bottom w:val="none" w:sz="0" w:space="0" w:color="auto"/>
        <w:right w:val="none" w:sz="0" w:space="0" w:color="auto"/>
      </w:divBdr>
    </w:div>
    <w:div w:id="1880051031">
      <w:bodyDiv w:val="1"/>
      <w:marLeft w:val="0"/>
      <w:marRight w:val="0"/>
      <w:marTop w:val="0"/>
      <w:marBottom w:val="0"/>
      <w:divBdr>
        <w:top w:val="none" w:sz="0" w:space="0" w:color="auto"/>
        <w:left w:val="none" w:sz="0" w:space="0" w:color="auto"/>
        <w:bottom w:val="none" w:sz="0" w:space="0" w:color="auto"/>
        <w:right w:val="none" w:sz="0" w:space="0" w:color="auto"/>
      </w:divBdr>
    </w:div>
    <w:div w:id="1923371844">
      <w:bodyDiv w:val="1"/>
      <w:marLeft w:val="0"/>
      <w:marRight w:val="0"/>
      <w:marTop w:val="0"/>
      <w:marBottom w:val="0"/>
      <w:divBdr>
        <w:top w:val="none" w:sz="0" w:space="0" w:color="auto"/>
        <w:left w:val="none" w:sz="0" w:space="0" w:color="auto"/>
        <w:bottom w:val="none" w:sz="0" w:space="0" w:color="auto"/>
        <w:right w:val="none" w:sz="0" w:space="0" w:color="auto"/>
      </w:divBdr>
      <w:divsChild>
        <w:div w:id="1203902809">
          <w:marLeft w:val="0"/>
          <w:marRight w:val="0"/>
          <w:marTop w:val="0"/>
          <w:marBottom w:val="0"/>
          <w:divBdr>
            <w:top w:val="none" w:sz="0" w:space="0" w:color="auto"/>
            <w:left w:val="none" w:sz="0" w:space="0" w:color="auto"/>
            <w:bottom w:val="none" w:sz="0" w:space="0" w:color="auto"/>
            <w:right w:val="none" w:sz="0" w:space="0" w:color="auto"/>
          </w:divBdr>
        </w:div>
      </w:divsChild>
    </w:div>
    <w:div w:id="2037657563">
      <w:bodyDiv w:val="1"/>
      <w:marLeft w:val="0"/>
      <w:marRight w:val="0"/>
      <w:marTop w:val="0"/>
      <w:marBottom w:val="0"/>
      <w:divBdr>
        <w:top w:val="none" w:sz="0" w:space="0" w:color="auto"/>
        <w:left w:val="none" w:sz="0" w:space="0" w:color="auto"/>
        <w:bottom w:val="none" w:sz="0" w:space="0" w:color="auto"/>
        <w:right w:val="none" w:sz="0" w:space="0" w:color="auto"/>
      </w:divBdr>
    </w:div>
    <w:div w:id="20787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1.04.22.21255913"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A8E5-52E7-4AB2-84E7-DF18F268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Conor</dc:creator>
  <cp:keywords/>
  <dc:description/>
  <cp:lastModifiedBy>DOCHERTY Annemarie</cp:lastModifiedBy>
  <cp:revision>10</cp:revision>
  <dcterms:created xsi:type="dcterms:W3CDTF">2021-09-21T08:19:00Z</dcterms:created>
  <dcterms:modified xsi:type="dcterms:W3CDTF">2021-09-23T16:28:00Z</dcterms:modified>
</cp:coreProperties>
</file>