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14C14" w14:textId="77777777" w:rsidR="00746786" w:rsidRPr="004E7E5A" w:rsidRDefault="00746786" w:rsidP="00746786">
      <w:pPr>
        <w:pStyle w:val="a3"/>
        <w:spacing w:line="480" w:lineRule="auto"/>
        <w:jc w:val="center"/>
        <w:rPr>
          <w:color w:val="000000" w:themeColor="text1"/>
          <w:sz w:val="28"/>
          <w:szCs w:val="28"/>
        </w:rPr>
      </w:pPr>
      <w:r w:rsidRPr="004E7E5A">
        <w:rPr>
          <w:color w:val="000000" w:themeColor="text1"/>
          <w:sz w:val="28"/>
          <w:szCs w:val="28"/>
        </w:rPr>
        <w:t>Impact of Directors’ Network on Corporate Social Responsibility Disclosure: Evidence from China</w:t>
      </w:r>
    </w:p>
    <w:p w14:paraId="324070AF" w14:textId="7A614D63" w:rsidR="00746786" w:rsidRPr="004E7E5A" w:rsidRDefault="00746786" w:rsidP="00746786">
      <w:pPr>
        <w:pStyle w:val="a7"/>
        <w:spacing w:line="480" w:lineRule="auto"/>
        <w:ind w:firstLineChars="0" w:firstLine="0"/>
        <w:rPr>
          <w:rFonts w:cs="Times New Roman"/>
        </w:rPr>
      </w:pPr>
      <w:r w:rsidRPr="004E7E5A">
        <w:rPr>
          <w:rFonts w:cs="Times New Roman"/>
          <w:b/>
          <w:bCs/>
        </w:rPr>
        <w:t>Abstract:</w:t>
      </w:r>
      <w:r w:rsidRPr="004E7E5A">
        <w:rPr>
          <w:rFonts w:cs="Times New Roman"/>
        </w:rPr>
        <w:t xml:space="preserve"> Using listed firms in China over the period 2010-2018, we investigate the association between directors’ network and quality of corporate social responsibility (CSR) disclosure from the lens of resource-based view.</w:t>
      </w:r>
      <w:r w:rsidRPr="004E7E5A">
        <w:rPr>
          <w:rFonts w:cs="Times New Roman"/>
          <w:b/>
          <w:sz w:val="28"/>
          <w:szCs w:val="28"/>
        </w:rPr>
        <w:t xml:space="preserve"> </w:t>
      </w:r>
      <w:r w:rsidRPr="004E7E5A">
        <w:rPr>
          <w:rFonts w:cs="Times New Roman"/>
        </w:rPr>
        <w:t xml:space="preserve">We find a significantly positive effect of directors’ network centrality on the CSR disclosure quality, and the effect is more pronounced </w:t>
      </w:r>
      <w:r w:rsidRPr="004E7E5A">
        <w:rPr>
          <w:rFonts w:eastAsia="MS Mincho" w:cs="Times New Roman"/>
        </w:rPr>
        <w:t>when the firm 1) invests less in advertising; 2) is followed by less analysts; 3)</w:t>
      </w:r>
      <w:r w:rsidRPr="004E7E5A">
        <w:rPr>
          <w:rFonts w:cs="Times New Roman"/>
        </w:rPr>
        <w:t xml:space="preserve"> is less financially constrained and 4) has no assurance of sustainability report</w:t>
      </w:r>
      <w:r w:rsidRPr="004E7E5A">
        <w:rPr>
          <w:rFonts w:eastAsia="MS Mincho" w:cs="Times New Roman"/>
        </w:rPr>
        <w:t>. Furthermore, we document that independent directors’ network centrality is positively associated with CSR disclosure quality</w:t>
      </w:r>
      <w:r w:rsidRPr="004E7E5A">
        <w:rPr>
          <w:rFonts w:cs="Times New Roman"/>
        </w:rPr>
        <w:t>. Our findings have important implication for practitioners, policy</w:t>
      </w:r>
      <w:r w:rsidR="00E607F4">
        <w:rPr>
          <w:rFonts w:cs="Times New Roman"/>
        </w:rPr>
        <w:t xml:space="preserve"> </w:t>
      </w:r>
      <w:r w:rsidRPr="004E7E5A">
        <w:rPr>
          <w:rFonts w:cs="Times New Roman"/>
        </w:rPr>
        <w:t>makers and regulators.</w:t>
      </w:r>
    </w:p>
    <w:p w14:paraId="41B6C428" w14:textId="77777777" w:rsidR="001A1175" w:rsidRPr="004E7E5A" w:rsidRDefault="001A1175" w:rsidP="00746786">
      <w:pPr>
        <w:pStyle w:val="a7"/>
        <w:spacing w:line="480" w:lineRule="auto"/>
        <w:ind w:firstLineChars="0" w:firstLine="0"/>
        <w:rPr>
          <w:rFonts w:cs="Times New Roman"/>
          <w:b/>
          <w:bCs/>
        </w:rPr>
      </w:pPr>
    </w:p>
    <w:p w14:paraId="5CD00686" w14:textId="70ECA65A" w:rsidR="00746786" w:rsidRPr="004E7E5A" w:rsidRDefault="00746786" w:rsidP="00746786">
      <w:pPr>
        <w:pStyle w:val="a7"/>
        <w:spacing w:line="480" w:lineRule="auto"/>
        <w:ind w:firstLineChars="0" w:firstLine="0"/>
        <w:rPr>
          <w:rFonts w:cs="Times New Roman"/>
        </w:rPr>
      </w:pPr>
      <w:r w:rsidRPr="004E7E5A">
        <w:rPr>
          <w:rFonts w:cs="Times New Roman"/>
          <w:b/>
          <w:bCs/>
        </w:rPr>
        <w:t>Keywords:</w:t>
      </w:r>
      <w:r w:rsidRPr="004E7E5A">
        <w:rPr>
          <w:rFonts w:cs="Times New Roman"/>
          <w:b/>
          <w:i/>
          <w:iCs/>
          <w:sz w:val="28"/>
          <w:szCs w:val="28"/>
        </w:rPr>
        <w:t xml:space="preserve"> </w:t>
      </w:r>
      <w:r w:rsidRPr="004E7E5A">
        <w:rPr>
          <w:rFonts w:cs="Times New Roman"/>
        </w:rPr>
        <w:t>Directors’ network, CSR disclosure quality, corporate governance</w:t>
      </w:r>
    </w:p>
    <w:p w14:paraId="33972151" w14:textId="77777777" w:rsidR="00746786" w:rsidRPr="004E7E5A" w:rsidRDefault="00746786" w:rsidP="00746786">
      <w:pPr>
        <w:pStyle w:val="a7"/>
        <w:spacing w:line="480" w:lineRule="auto"/>
        <w:ind w:firstLineChars="0" w:firstLine="0"/>
        <w:rPr>
          <w:rFonts w:cs="Times New Roman"/>
        </w:rPr>
        <w:sectPr w:rsidR="00746786" w:rsidRPr="004E7E5A" w:rsidSect="00A2262B">
          <w:headerReference w:type="even" r:id="rId8"/>
          <w:headerReference w:type="default" r:id="rId9"/>
          <w:footerReference w:type="even" r:id="rId10"/>
          <w:footerReference w:type="default" r:id="rId11"/>
          <w:pgSz w:w="11906" w:h="16838"/>
          <w:pgMar w:top="1701" w:right="1418" w:bottom="1361" w:left="1418" w:header="1134" w:footer="1134" w:gutter="0"/>
          <w:pgNumType w:fmt="upperRoman" w:start="1"/>
          <w:cols w:space="425"/>
          <w:docGrid w:type="lines" w:linePitch="312"/>
        </w:sectPr>
      </w:pPr>
    </w:p>
    <w:p w14:paraId="47E5E3B6" w14:textId="77777777" w:rsidR="00746786" w:rsidRPr="004E7E5A" w:rsidRDefault="00746786" w:rsidP="00746786">
      <w:pPr>
        <w:pStyle w:val="a3"/>
        <w:spacing w:line="480" w:lineRule="auto"/>
        <w:jc w:val="center"/>
        <w:rPr>
          <w:color w:val="000000" w:themeColor="text1"/>
          <w:sz w:val="28"/>
          <w:szCs w:val="28"/>
        </w:rPr>
      </w:pPr>
      <w:r w:rsidRPr="004E7E5A">
        <w:rPr>
          <w:color w:val="000000" w:themeColor="text1"/>
          <w:sz w:val="28"/>
          <w:szCs w:val="28"/>
        </w:rPr>
        <w:lastRenderedPageBreak/>
        <w:t>Impact of Directors’ Network on Corporate Social Responsibility Disclosure: Evidence from China</w:t>
      </w:r>
    </w:p>
    <w:p w14:paraId="595D9B4D" w14:textId="77777777" w:rsidR="00746786" w:rsidRPr="004E7E5A" w:rsidRDefault="00746786" w:rsidP="00746786">
      <w:pPr>
        <w:pStyle w:val="a5"/>
        <w:rPr>
          <w:rFonts w:ascii="Times New Roman" w:hAnsi="Times New Roman" w:cs="Times New Roman"/>
          <w:color w:val="000000" w:themeColor="text1"/>
          <w:szCs w:val="28"/>
        </w:rPr>
      </w:pPr>
      <w:r w:rsidRPr="004E7E5A">
        <w:rPr>
          <w:rFonts w:ascii="Times New Roman" w:hAnsi="Times New Roman" w:cs="Times New Roman"/>
          <w:color w:val="000000" w:themeColor="text1"/>
          <w:szCs w:val="28"/>
        </w:rPr>
        <w:t>Introduction</w:t>
      </w:r>
    </w:p>
    <w:p w14:paraId="771BBF2C" w14:textId="669835FB" w:rsidR="00746786" w:rsidRPr="004E7E5A" w:rsidRDefault="005A3304" w:rsidP="00746786">
      <w:pPr>
        <w:pStyle w:val="a7"/>
        <w:spacing w:line="480" w:lineRule="auto"/>
        <w:ind w:firstLine="480"/>
        <w:rPr>
          <w:rFonts w:cs="Times New Roman"/>
        </w:rPr>
      </w:pPr>
      <w:r w:rsidRPr="004E7E5A">
        <w:rPr>
          <w:rFonts w:eastAsia="MS Mincho" w:cs="Times New Roman" w:hint="eastAsia"/>
          <w:szCs w:val="24"/>
        </w:rPr>
        <w:t>A</w:t>
      </w:r>
      <w:r w:rsidRPr="004E7E5A">
        <w:rPr>
          <w:rFonts w:eastAsia="MS Mincho" w:cs="Times New Roman"/>
          <w:szCs w:val="24"/>
        </w:rPr>
        <w:t xml:space="preserve"> burgeoning literature documents that social networks influence economic agents’ behavior </w:t>
      </w:r>
      <w:r w:rsidR="004922F5" w:rsidRPr="004E7E5A">
        <w:rPr>
          <w:rFonts w:eastAsia="MS Mincho" w:cs="Times New Roman"/>
          <w:szCs w:val="24"/>
        </w:rPr>
        <w:fldChar w:fldCharType="begin"/>
      </w:r>
      <w:r w:rsidR="00317C6A" w:rsidRPr="004E7E5A">
        <w:rPr>
          <w:rFonts w:eastAsia="MS Mincho" w:cs="Times New Roman"/>
          <w:szCs w:val="24"/>
        </w:rPr>
        <w:instrText xml:space="preserve"> ADDIN EN.CITE &lt;EndNote&gt;&lt;Cite&gt;&lt;Author&gt;Xianjie&lt;/Author&gt;&lt;Year&gt;2017&lt;/Year&gt;&lt;RecNum&gt;2192&lt;/RecNum&gt;&lt;DisplayText&gt;(Xianjie et al. 2017)&lt;/DisplayText&gt;&lt;record&gt;&lt;rec-number&gt;2192&lt;/rec-number&gt;&lt;foreign-keys&gt;&lt;key app="EN" db-id="trr00pfsbzzex0ezwf6v5swd9fpfpwfa90xp" timestamp="1634806442" guid="7b63b5da-a723-4f2d-8645-67f36839e437"&gt;2192&lt;/key&gt;&lt;/foreign-keys&gt;&lt;ref-type name="Journal Article"&gt;17&lt;/ref-type&gt;&lt;contributors&gt;&lt;authors&gt;&lt;author&gt;Xianjie, He&lt;/author&gt;&lt;author&gt;Pittman, Jeffrey A.&lt;/author&gt;&lt;author&gt;Rui, Oliver M.&lt;/author&gt;&lt;author&gt;Donghui, Wu&lt;/author&gt;&lt;/authors&gt;&lt;/contributors&gt;&lt;titles&gt;&lt;title&gt;Do social ties between external auditors and audit committee members affect audit quality?&lt;/title&gt;&lt;secondary-title&gt;The Accounting Review&lt;/secondary-title&gt;&lt;/titles&gt;&lt;periodical&gt;&lt;full-title&gt;The Accounting Review&lt;/full-title&gt;&lt;/periodical&gt;&lt;pages&gt;61-87&lt;/pages&gt;&lt;volume&gt;92&lt;/volume&gt;&lt;number&gt;5&lt;/number&gt;&lt;keywords&gt;&lt;keyword&gt;Auditor-client relationships&lt;/keyword&gt;&lt;keyword&gt;Audit committees&lt;/keyword&gt;&lt;keyword&gt;Social networks&lt;/keyword&gt;&lt;keyword&gt;Corrupt practices in accounting&lt;/keyword&gt;&lt;keyword&gt;Corporate governance&lt;/keyword&gt;&lt;keyword&gt;Auditor independence&lt;/keyword&gt;&lt;keyword&gt;Professional ethics&lt;/keyword&gt;&lt;keyword&gt;audit committee&lt;/keyword&gt;&lt;keyword&gt;external auditors&lt;/keyword&gt;&lt;keyword&gt;social ties&lt;/keyword&gt;&lt;/keywords&gt;&lt;dates&gt;&lt;year&gt;2017&lt;/year&gt;&lt;/dates&gt;&lt;publisher&gt;American Accounting Association&lt;/publisher&gt;&lt;isbn&gt;00014826&lt;/isbn&gt;&lt;accession-num&gt;125259424&lt;/accession-num&gt;&lt;urls&gt;&lt;related-urls&gt;&lt;url&gt;https://search.ebscohost.com/login.aspx?direct=true&amp;amp;db=bsu&amp;amp;AN=125259424&amp;amp;lang=zh-cn&amp;amp;site=ehost-live&lt;/url&gt;&lt;/related-urls&gt;&lt;/urls&gt;&lt;electronic-resource-num&gt;10.2308/accr-51696&lt;/electronic-resource-num&gt;&lt;remote-database-name&gt;Business Source Ultimate&lt;/remote-database-name&gt;&lt;remote-database-provider&gt;EBSCOhost&lt;/remote-database-provider&gt;&lt;/record&gt;&lt;/Cite&gt;&lt;/EndNote&gt;</w:instrText>
      </w:r>
      <w:r w:rsidR="004922F5" w:rsidRPr="004E7E5A">
        <w:rPr>
          <w:rFonts w:eastAsia="MS Mincho" w:cs="Times New Roman"/>
          <w:szCs w:val="24"/>
        </w:rPr>
        <w:fldChar w:fldCharType="separate"/>
      </w:r>
      <w:r w:rsidR="004922F5" w:rsidRPr="004E7E5A">
        <w:rPr>
          <w:rFonts w:eastAsia="MS Mincho" w:cs="Times New Roman"/>
          <w:noProof/>
          <w:szCs w:val="24"/>
        </w:rPr>
        <w:t>(Xianjie et al. 2017)</w:t>
      </w:r>
      <w:r w:rsidR="004922F5" w:rsidRPr="004E7E5A">
        <w:rPr>
          <w:rFonts w:eastAsia="MS Mincho" w:cs="Times New Roman"/>
          <w:szCs w:val="24"/>
        </w:rPr>
        <w:fldChar w:fldCharType="end"/>
      </w:r>
      <w:r w:rsidRPr="004E7E5A">
        <w:rPr>
          <w:rFonts w:eastAsia="MS Mincho" w:cs="Times New Roman"/>
          <w:szCs w:val="24"/>
        </w:rPr>
        <w:t xml:space="preserve">. </w:t>
      </w:r>
      <w:r w:rsidR="00746786" w:rsidRPr="004E7E5A">
        <w:rPr>
          <w:rFonts w:eastAsia="MS Mincho" w:cs="Times New Roman"/>
          <w:szCs w:val="24"/>
        </w:rPr>
        <w:t xml:space="preserve">In this paper we investigate the association between directors’ network and the quality of </w:t>
      </w:r>
      <w:r w:rsidR="00746786" w:rsidRPr="004E7E5A">
        <w:rPr>
          <w:rFonts w:cs="Times New Roman"/>
        </w:rPr>
        <w:t>corporate social responsibility</w:t>
      </w:r>
      <w:r w:rsidR="00746786" w:rsidRPr="004E7E5A">
        <w:rPr>
          <w:rFonts w:eastAsia="MS Mincho" w:cs="Times New Roman"/>
          <w:szCs w:val="24"/>
        </w:rPr>
        <w:t xml:space="preserve"> (CSR) disclosure.</w:t>
      </w:r>
      <w:r w:rsidR="00746786" w:rsidRPr="004E7E5A">
        <w:rPr>
          <w:rFonts w:cs="Times New Roman"/>
        </w:rPr>
        <w:t xml:space="preserve"> Directors’ network, which is defined as a set of relationships among directors established by simultaneously serving on at least one board </w:t>
      </w:r>
      <w:r w:rsidR="00746786" w:rsidRPr="004E7E5A">
        <w:rPr>
          <w:rFonts w:cs="Times New Roman"/>
        </w:rPr>
        <w:fldChar w:fldCharType="begin"/>
      </w:r>
      <w:r w:rsidR="00746786" w:rsidRPr="004E7E5A">
        <w:rPr>
          <w:rFonts w:cs="Times New Roman"/>
        </w:rPr>
        <w:instrText xml:space="preserve"> ADDIN EN.CITE &lt;EndNote&gt;&lt;Cite&gt;&lt;Author&gt;Wasserman&lt;/Author&gt;&lt;Year&gt;1994&lt;/Year&gt;&lt;RecNum&gt;1713&lt;/RecNum&gt;&lt;DisplayText&gt;(Wasserman and Faust 1994)&lt;/DisplayText&gt;&lt;record&gt;&lt;rec-number&gt;1713&lt;/rec-number&gt;&lt;foreign-keys&gt;&lt;key app="EN" db-id="trr00pfsbzzex0ezwf6v5swd9fpfpwfa90xp" timestamp="1582639035" guid="34a5e921-b5bb-4910-abed-7042d909b303"&gt;1713&lt;/key&gt;&lt;/foreign-keys&gt;&lt;ref-type name="Journal Article"&gt;17&lt;/ref-type&gt;&lt;contributors&gt;&lt;authors&gt;&lt;author&gt;Wasserman, Stanley&lt;/author&gt;&lt;author&gt;Faust, Katherine &lt;/author&gt;&lt;/authors&gt;&lt;/contributors&gt;&lt;titles&gt;&lt;title&gt;Social network analysis: Methods and applications&lt;/title&gt;&lt;secondary-title&gt;Cambridge: Cambridge university press&lt;/secondary-title&gt;&lt;/titles&gt;&lt;periodical&gt;&lt;full-title&gt;Cambridge: Cambridge University Press&lt;/full-title&gt;&lt;/periodical&gt;&lt;dates&gt;&lt;year&gt;1994&lt;/year&gt;&lt;/dates&gt;&lt;urls&gt;&lt;/urls&gt;&lt;/record&gt;&lt;/Cite&gt;&lt;/EndNote&gt;</w:instrText>
      </w:r>
      <w:r w:rsidR="00746786" w:rsidRPr="004E7E5A">
        <w:rPr>
          <w:rFonts w:cs="Times New Roman"/>
        </w:rPr>
        <w:fldChar w:fldCharType="separate"/>
      </w:r>
      <w:r w:rsidR="00746786" w:rsidRPr="004E7E5A">
        <w:rPr>
          <w:rFonts w:cs="Times New Roman"/>
          <w:noProof/>
        </w:rPr>
        <w:t>(Wasserman and Faust 1994)</w:t>
      </w:r>
      <w:r w:rsidR="00746786" w:rsidRPr="004E7E5A">
        <w:rPr>
          <w:rFonts w:cs="Times New Roman"/>
        </w:rPr>
        <w:fldChar w:fldCharType="end"/>
      </w:r>
      <w:r w:rsidR="00746786" w:rsidRPr="004E7E5A">
        <w:rPr>
          <w:rFonts w:cs="Times New Roman"/>
        </w:rPr>
        <w:t xml:space="preserve">, provides an important conduit for resource exchange and information sharing. Prior literature suggests that resources transfer across directors’ network, allowing firms with well-connected directors to experience larger abnormal returns </w:t>
      </w:r>
      <w:r w:rsidR="00746786" w:rsidRPr="004E7E5A">
        <w:rPr>
          <w:rFonts w:cs="Times New Roman"/>
        </w:rPr>
        <w:fldChar w:fldCharType="begin">
          <w:fldData xml:space="preserve">PEVuZE5vdGU+PENpdGU+PEF1dGhvcj5IaWxsbWFuPC9BdXRob3I+PFllYXI+MjAwMzwvWWVhcj48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=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PEVuZE5vdGU+PENpdGU+PEF1dGhvcj5IaWxsbWFuPC9BdXRob3I+PFllYXI+MjAwMzwvWWVhcj48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=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00746786" w:rsidRPr="004E7E5A">
        <w:rPr>
          <w:rFonts w:cs="Times New Roman"/>
        </w:rPr>
      </w:r>
      <w:r w:rsidR="00746786" w:rsidRPr="004E7E5A">
        <w:rPr>
          <w:rFonts w:cs="Times New Roman"/>
        </w:rPr>
        <w:fldChar w:fldCharType="separate"/>
      </w:r>
      <w:r w:rsidR="00746786" w:rsidRPr="004E7E5A">
        <w:rPr>
          <w:rFonts w:cs="Times New Roman"/>
          <w:noProof/>
        </w:rPr>
        <w:t>(Hillman and Dalziel 2003; Macaulay et al. 2017; Omer et al. 2019)</w:t>
      </w:r>
      <w:r w:rsidR="00746786" w:rsidRPr="004E7E5A">
        <w:rPr>
          <w:rFonts w:cs="Times New Roman"/>
        </w:rPr>
        <w:fldChar w:fldCharType="end"/>
      </w:r>
      <w:r w:rsidR="00746786" w:rsidRPr="004E7E5A">
        <w:rPr>
          <w:rFonts w:cs="Times New Roman"/>
        </w:rPr>
        <w:t xml:space="preserve">. </w:t>
      </w:r>
      <w:proofErr w:type="spellStart"/>
      <w:r w:rsidR="00746786" w:rsidRPr="004E7E5A">
        <w:rPr>
          <w:rFonts w:cs="Times New Roman"/>
        </w:rPr>
        <w:t>Larcker</w:t>
      </w:r>
      <w:proofErr w:type="spellEnd"/>
      <w:r w:rsidR="00746786" w:rsidRPr="004E7E5A">
        <w:rPr>
          <w:rFonts w:cs="Times New Roman"/>
        </w:rPr>
        <w:t xml:space="preserve"> et al. (2013) conceptualize the network of </w:t>
      </w:r>
      <w:r w:rsidR="00746786" w:rsidRPr="004E7E5A">
        <w:rPr>
          <w:rFonts w:cs="Times New Roman"/>
          <w:szCs w:val="24"/>
        </w:rPr>
        <w:t>board of directors</w:t>
      </w:r>
      <w:r w:rsidR="00746786" w:rsidRPr="004E7E5A">
        <w:rPr>
          <w:rFonts w:cs="Times New Roman"/>
        </w:rPr>
        <w:t xml:space="preserve"> with shared directorates between two boards, and argue that directors’ network represents a channel of communication or resource exchange between firms, facilitating collusive competitive behavior and yielding economic benefits for a set of closely linked firms. </w:t>
      </w:r>
    </w:p>
    <w:p w14:paraId="7E81F1E4" w14:textId="46239C3E" w:rsidR="00746786" w:rsidRPr="004E7E5A" w:rsidRDefault="00746786" w:rsidP="00746786">
      <w:pPr>
        <w:pStyle w:val="a7"/>
        <w:spacing w:line="480" w:lineRule="auto"/>
        <w:ind w:firstLine="480"/>
        <w:rPr>
          <w:rFonts w:cs="Times New Roman"/>
        </w:rPr>
      </w:pPr>
      <w:r w:rsidRPr="004E7E5A">
        <w:t xml:space="preserve">Previous literature has devoted much attention to investigating the determinants of firms’ CSR disclosure quality, and the resource-based view is considered as a useful theoretical perspective to justify firms’ CSR disclosure quality </w:t>
      </w:r>
      <w:r w:rsidRPr="004E7E5A">
        <w:fldChar w:fldCharType="begin"/>
      </w:r>
      <w:r w:rsidR="001A1175" w:rsidRPr="004E7E5A">
        <w:instrText xml:space="preserve"> ADDIN EN.CITE &lt;EndNote&gt;&lt;Cite&gt;&lt;Author&gt;Maurer&lt;/Author&gt;&lt;Year&gt;2011&lt;/Year&gt;&lt;RecNum&gt;2283&lt;/RecNum&gt;&lt;DisplayText&gt;(Maurer et al. 2011; Katmon et al. 2017)&lt;/DisplayText&gt;&lt;record&gt;&lt;rec-number&gt;2283&lt;/rec-number&gt;&lt;foreign-keys&gt;&lt;key app="EN" db-id="trr00pfsbzzex0ezwf6v5swd9fpfpwfa90xp" timestamp="1638674367" guid="600cb55a-f958-4a89-b3b6-6f822b3a6265"&gt;2283&lt;/key&gt;&lt;/foreign-keys&gt;&lt;ref-type name="Journal Article"&gt;17&lt;/ref-type&gt;&lt;contributors&gt;&lt;authors&gt;&lt;author&gt;Maurer, Cara C&lt;/author&gt;&lt;author&gt;Bansal, Pratima&lt;/author&gt;&lt;author&gt;Crossan, Mary M&lt;/author&gt;&lt;/authors&gt;&lt;/contributors&gt;&lt;titles&gt;&lt;title&gt;Creating economic value through social values: Introducing a culturally informed resource-based view&lt;/title&gt;&lt;secondary-title&gt;Organization Science&lt;/secondary-title&gt;&lt;/titles&gt;&lt;periodical&gt;&lt;full-title&gt;Organization Science&lt;/full-title&gt;&lt;/periodical&gt;&lt;pages&gt;432-448&lt;/pages&gt;&lt;volume&gt;22&lt;/volume&gt;&lt;number&gt;2&lt;/number&gt;&lt;dates&gt;&lt;year&gt;2011&lt;/year&gt;&lt;/dates&gt;&lt;isbn&gt;1047-7039&lt;/isbn&gt;&lt;urls&gt;&lt;/urls&gt;&lt;/record&gt;&lt;/Cite&gt;&lt;Cite&gt;&lt;Author&gt;Katmon&lt;/Author&gt;&lt;Year&gt;2017&lt;/Year&gt;&lt;RecNum&gt;114&lt;/RecNum&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fldChar w:fldCharType="separate"/>
      </w:r>
      <w:r w:rsidRPr="004E7E5A">
        <w:rPr>
          <w:noProof/>
        </w:rPr>
        <w:t>(Maurer et al. 2011; Katmon et al. 2017)</w:t>
      </w:r>
      <w:r w:rsidRPr="004E7E5A">
        <w:fldChar w:fldCharType="end"/>
      </w:r>
      <w:r w:rsidRPr="004E7E5A">
        <w:t xml:space="preserve">. According to the resource-based view, firms design their strategies by organizing their internal resources as a response to the external opportunities, while counter-balancing the external threat and internal weaknesses to achieve competitive advantage utilizing valuable resources and </w:t>
      </w:r>
      <w:r w:rsidRPr="004E7E5A">
        <w:lastRenderedPageBreak/>
        <w:t xml:space="preserve">capabilities that are not easily substitutable </w:t>
      </w:r>
      <w:r w:rsidRPr="004E7E5A">
        <w:fldChar w:fldCharType="begin"/>
      </w:r>
      <w:r w:rsidR="006F6C86" w:rsidRPr="004E7E5A">
        <w:instrText xml:space="preserve"> ADDIN EN.CITE &lt;EndNote&gt;&lt;Cite&gt;&lt;Author&gt;Barney&lt;/Author&gt;&lt;Year&gt;1991&lt;/Year&gt;&lt;RecNum&gt;2268&lt;/RecNum&gt;&lt;DisplayText&gt;(Barney 1991)&lt;/DisplayText&gt;&lt;record&gt;&lt;rec-number&gt;2268&lt;/rec-number&gt;&lt;foreign-keys&gt;&lt;key app="EN" db-id="trr00pfsbzzex0ezwf6v5swd9fpfpwfa90xp" timestamp="1638622497" guid="c8519075-204a-43c4-8be7-ac9c33953f72"&gt;2268&lt;/key&gt;&lt;/foreign-keys&gt;&lt;ref-type name="Journal Article"&gt;17&lt;/ref-type&gt;&lt;contributors&gt;&lt;authors&gt;&lt;author&gt;Barney, Jay&lt;/author&gt;&lt;/authors&gt;&lt;/contributors&gt;&lt;titles&gt;&lt;title&gt;Firm resources and sustained competitive advantage&lt;/title&gt;&lt;secondary-title&gt;Journal of management&lt;/secondary-title&gt;&lt;/titles&gt;&lt;periodical&gt;&lt;full-title&gt;Journal of Management&lt;/full-title&gt;&lt;/periodical&gt;&lt;pages&gt;99-120&lt;/pages&gt;&lt;volume&gt;17&lt;/volume&gt;&lt;number&gt;1&lt;/number&gt;&lt;dates&gt;&lt;year&gt;1991&lt;/year&gt;&lt;/dates&gt;&lt;isbn&gt;0149-2063&lt;/isbn&gt;&lt;urls&gt;&lt;/urls&gt;&lt;/record&gt;&lt;/Cite&gt;&lt;/EndNote&gt;</w:instrText>
      </w:r>
      <w:r w:rsidRPr="004E7E5A">
        <w:fldChar w:fldCharType="separate"/>
      </w:r>
      <w:r w:rsidRPr="004E7E5A">
        <w:rPr>
          <w:noProof/>
        </w:rPr>
        <w:t>(Barney 1991)</w:t>
      </w:r>
      <w:r w:rsidRPr="004E7E5A">
        <w:fldChar w:fldCharType="end"/>
      </w:r>
      <w:r w:rsidRPr="004E7E5A">
        <w:t xml:space="preserve">. </w:t>
      </w:r>
      <w:r w:rsidRPr="004E7E5A">
        <w:rPr>
          <w:rFonts w:cs="Times New Roman"/>
        </w:rPr>
        <w:t xml:space="preserve">Following this logic, directors with </w:t>
      </w:r>
      <w:r w:rsidRPr="004E7E5A">
        <w:t>better</w:t>
      </w:r>
      <w:r w:rsidRPr="004E7E5A">
        <w:rPr>
          <w:rFonts w:cs="Times New Roman"/>
        </w:rPr>
        <w:t xml:space="preserve"> network </w:t>
      </w:r>
      <w:r w:rsidRPr="004E7E5A">
        <w:t>position</w:t>
      </w:r>
      <w:r w:rsidRPr="004E7E5A">
        <w:rPr>
          <w:rFonts w:cs="Times New Roman"/>
        </w:rPr>
        <w:t xml:space="preserve"> may have access to </w:t>
      </w:r>
      <w:r w:rsidRPr="004E7E5A">
        <w:t xml:space="preserve">more </w:t>
      </w:r>
      <w:r w:rsidRPr="004E7E5A">
        <w:rPr>
          <w:rFonts w:cs="Times New Roman"/>
        </w:rPr>
        <w:t xml:space="preserve">resources </w:t>
      </w:r>
      <w:r w:rsidRPr="004E7E5A">
        <w:rPr>
          <w:rFonts w:cs="Times New Roman"/>
        </w:rPr>
        <w:fldChar w:fldCharType="begin">
          <w:fldData xml:space="preserve">PEVuZE5vdGU+PENpdGU+PEF1dGhvcj5MYXZpZTwvQXV0aG9yPjxZZWFyPjIwMDY8L1llYXI+PFJl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PEVuZE5vdGU+PENpdGU+PEF1dGhvcj5MYXZpZTwvQXV0aG9yPjxZZWFyPjIwMDY8L1llYXI+PFJl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006F6C86" w:rsidRPr="004E7E5A">
        <w:rPr>
          <w:rFonts w:cs="Times New Roman"/>
          <w:noProof/>
        </w:rPr>
        <w:t>(Lavie 2006; Shaukat et al. 2015; Katmon et al. 2017; Macaulay et al. 2017)</w:t>
      </w:r>
      <w:r w:rsidRPr="004E7E5A">
        <w:rPr>
          <w:rFonts w:cs="Times New Roman"/>
        </w:rPr>
        <w:fldChar w:fldCharType="end"/>
      </w:r>
      <w:r w:rsidRPr="004E7E5A">
        <w:rPr>
          <w:rFonts w:cs="Times New Roman"/>
        </w:rPr>
        <w:t xml:space="preserve">. </w:t>
      </w:r>
      <w:r w:rsidRPr="004E7E5A">
        <w:t>Firms with such directors might use the resources to enhance CSR disclosure quality, which enables them to promote their corporate image and achieve sustainable competitive advantage. Consequently</w:t>
      </w:r>
      <w:r w:rsidRPr="004E7E5A">
        <w:rPr>
          <w:rFonts w:cs="Times New Roman"/>
        </w:rPr>
        <w:t xml:space="preserve">, we </w:t>
      </w:r>
      <w:r w:rsidRPr="004E7E5A">
        <w:t>predict</w:t>
      </w:r>
      <w:r w:rsidRPr="004E7E5A">
        <w:rPr>
          <w:rFonts w:cs="Times New Roman"/>
        </w:rPr>
        <w:t xml:space="preserve"> </w:t>
      </w:r>
      <w:r w:rsidRPr="004E7E5A">
        <w:t>a positive association between</w:t>
      </w:r>
      <w:r w:rsidRPr="004E7E5A">
        <w:rPr>
          <w:rFonts w:cs="Times New Roman"/>
        </w:rPr>
        <w:t xml:space="preserve"> highly networked directors </w:t>
      </w:r>
      <w:r w:rsidRPr="004E7E5A">
        <w:t>and</w:t>
      </w:r>
      <w:r w:rsidRPr="004E7E5A">
        <w:rPr>
          <w:rFonts w:cs="Times New Roman"/>
        </w:rPr>
        <w:t xml:space="preserve"> firms’ CSR disclosure quality.</w:t>
      </w:r>
    </w:p>
    <w:p w14:paraId="5A29C238" w14:textId="533BDDA6" w:rsidR="00746786" w:rsidRPr="004E7E5A" w:rsidRDefault="00746786" w:rsidP="004D3D4F">
      <w:pPr>
        <w:spacing w:line="480" w:lineRule="auto"/>
        <w:ind w:firstLineChars="200" w:firstLine="480"/>
        <w:rPr>
          <w:rFonts w:ascii="Times New Roman" w:hAnsi="Times New Roman"/>
          <w:color w:val="000000" w:themeColor="text1"/>
          <w:sz w:val="24"/>
          <w:szCs w:val="24"/>
        </w:rPr>
      </w:pPr>
      <w:r w:rsidRPr="004E7E5A">
        <w:rPr>
          <w:rFonts w:ascii="Times New Roman" w:hAnsi="Times New Roman"/>
          <w:color w:val="000000" w:themeColor="text1"/>
          <w:sz w:val="24"/>
          <w:szCs w:val="24"/>
        </w:rPr>
        <w:t>Several features make the Chin</w:t>
      </w:r>
      <w:r w:rsidR="008D6293" w:rsidRPr="004E7E5A">
        <w:rPr>
          <w:rFonts w:ascii="Times New Roman" w:hAnsi="Times New Roman" w:hint="eastAsia"/>
          <w:color w:val="000000" w:themeColor="text1"/>
          <w:sz w:val="24"/>
          <w:szCs w:val="24"/>
        </w:rPr>
        <w:t>e</w:t>
      </w:r>
      <w:r w:rsidRPr="004E7E5A">
        <w:rPr>
          <w:rFonts w:ascii="Times New Roman" w:hAnsi="Times New Roman"/>
          <w:color w:val="000000" w:themeColor="text1"/>
          <w:sz w:val="24"/>
          <w:szCs w:val="24"/>
        </w:rPr>
        <w:t>se setting especially suitable for exploring our research question.</w:t>
      </w:r>
      <w:r w:rsidR="00EE6F30" w:rsidRPr="004E7E5A">
        <w:rPr>
          <w:rFonts w:ascii="Times New Roman" w:hAnsi="Times New Roman"/>
          <w:color w:val="000000" w:themeColor="text1"/>
          <w:sz w:val="24"/>
          <w:szCs w:val="24"/>
        </w:rPr>
        <w:t xml:space="preserve"> </w:t>
      </w:r>
      <w:r w:rsidRPr="004E7E5A">
        <w:rPr>
          <w:rFonts w:ascii="Times New Roman" w:hAnsi="Times New Roman"/>
          <w:color w:val="000000" w:themeColor="text1"/>
          <w:sz w:val="24"/>
          <w:szCs w:val="24"/>
        </w:rPr>
        <w:t xml:space="preserve">First, there is substantial variation across Chinese firms in terms of the quality of CSR disclosure </w:t>
      </w:r>
      <w:r w:rsidRPr="004E7E5A">
        <w:rPr>
          <w:rFonts w:ascii="Times New Roman" w:hAnsi="Times New Roman"/>
          <w:color w:val="000000" w:themeColor="text1"/>
          <w:sz w:val="24"/>
          <w:szCs w:val="24"/>
        </w:rPr>
        <w:fldChar w:fldCharType="begin"/>
      </w:r>
      <w:r w:rsidR="001A1175" w:rsidRPr="004E7E5A">
        <w:rPr>
          <w:rFonts w:ascii="Times New Roman" w:hAnsi="Times New Roman"/>
          <w:color w:val="000000" w:themeColor="text1"/>
          <w:sz w:val="24"/>
          <w:szCs w:val="24"/>
        </w:rPr>
        <w:instrText xml:space="preserve"> ADDIN EN.CITE &lt;EndNote&gt;&lt;Cite&gt;&lt;Author&gt;Marquis&lt;/Author&gt;&lt;Year&gt;2014&lt;/Year&gt;&lt;RecNum&gt;1620&lt;/RecNum&gt;&lt;DisplayText&gt;(Marquis and Qian 2014)&lt;/DisplayText&gt;&lt;record&gt;&lt;rec-number&gt;1620&lt;/rec-number&gt;&lt;foreign-keys&gt;&lt;key app="EN" db-id="trr00pfsbzzex0ezwf6v5swd9fpfpwfa90xp" timestamp="1581337202" guid="e5f6383e-c2f8-4b88-af50-cfc44695e8a1"&gt;1620&lt;/key&gt;&lt;/foreign-keys&gt;&lt;ref-type name="Journal Article"&gt;17&lt;/ref-type&gt;&lt;contributors&gt;&lt;authors&gt;&lt;author&gt;Marquis, Christopher&lt;/author&gt;&lt;author&gt;Qian, Cuili&lt;/author&gt;&lt;/authors&gt;&lt;/contributors&gt;&lt;titles&gt;&lt;title&gt;Corporate social responsibility reporting in China: Symbol or substance?&lt;/title&gt;&lt;secondary-title&gt;Organization Science&lt;/secondary-title&gt;&lt;/titles&gt;&lt;periodical&gt;&lt;full-title&gt;Organization Science&lt;/full-title&gt;&lt;/periodical&gt;&lt;pages&gt;127-148&lt;/pages&gt;&lt;volume&gt;25&lt;/volume&gt;&lt;number&gt;1&lt;/number&gt;&lt;section&gt;127&lt;/section&gt;&lt;dates&gt;&lt;year&gt;2014&lt;/year&gt;&lt;/dates&gt;&lt;isbn&gt;1047-7039&amp;#xD;1526-5455&lt;/isbn&gt;&lt;urls&gt;&lt;/urls&gt;&lt;electronic-resource-num&gt;10.1287/orsc.2013.0837&lt;/electronic-resource-num&gt;&lt;/record&gt;&lt;/Cite&gt;&lt;/EndNote&gt;</w:instrText>
      </w:r>
      <w:r w:rsidRPr="004E7E5A">
        <w:rPr>
          <w:rFonts w:ascii="Times New Roman" w:hAnsi="Times New Roman"/>
          <w:color w:val="000000" w:themeColor="text1"/>
          <w:sz w:val="24"/>
          <w:szCs w:val="24"/>
        </w:rPr>
        <w:fldChar w:fldCharType="separate"/>
      </w:r>
      <w:r w:rsidRPr="004E7E5A">
        <w:rPr>
          <w:rFonts w:ascii="Times New Roman" w:hAnsi="Times New Roman"/>
          <w:noProof/>
          <w:color w:val="000000" w:themeColor="text1"/>
          <w:sz w:val="24"/>
          <w:szCs w:val="24"/>
        </w:rPr>
        <w:t>(Marquis and Qian 2014)</w:t>
      </w:r>
      <w:r w:rsidRPr="004E7E5A">
        <w:rPr>
          <w:rFonts w:ascii="Times New Roman" w:hAnsi="Times New Roman"/>
          <w:color w:val="000000" w:themeColor="text1"/>
          <w:sz w:val="24"/>
          <w:szCs w:val="24"/>
        </w:rPr>
        <w:fldChar w:fldCharType="end"/>
      </w:r>
      <w:r w:rsidRPr="004E7E5A">
        <w:rPr>
          <w:rFonts w:ascii="Times New Roman" w:hAnsi="Times New Roman"/>
          <w:color w:val="000000" w:themeColor="text1"/>
          <w:sz w:val="24"/>
          <w:szCs w:val="24"/>
        </w:rPr>
        <w:t>. Second, due to the weak institutional environment in China, the value of directors’ network may be greater than that in developed countries, and the influence of board’s discretion and deliberation may be especially important in determining CSR disclosure quality. Third, data availability allows us to explore the influence of directors’ network on CSR disclosure quality. By the end of 2020, there are more than 4000 A-share listed firms in China, which provide sufficient observations for the director network analysis. Multiple data sources that provide accounting, governance and CSR data on Chinese listed firms also enable us to properly examine the relation between directors’ network and CSR disclosure quality.</w:t>
      </w:r>
    </w:p>
    <w:p w14:paraId="0F0CCB11" w14:textId="7D509DBE" w:rsidR="00746786" w:rsidRPr="004E7E5A" w:rsidRDefault="00746786" w:rsidP="004D3D4F">
      <w:pPr>
        <w:spacing w:line="480" w:lineRule="auto"/>
        <w:ind w:firstLineChars="200" w:firstLine="480"/>
        <w:rPr>
          <w:color w:val="000000" w:themeColor="text1"/>
        </w:rPr>
      </w:pPr>
      <w:r w:rsidRPr="004E7E5A">
        <w:rPr>
          <w:rFonts w:ascii="Times New Roman" w:hAnsi="Times New Roman"/>
          <w:color w:val="000000" w:themeColor="text1"/>
          <w:sz w:val="24"/>
          <w:szCs w:val="24"/>
        </w:rPr>
        <w:t xml:space="preserve">We collect data on CSR disclosure quality from Rankins CSR Ratings and other financial data from Chinese Stock Market Trading Database (CSMAR). We obtain a sample of 3986 observations for 833 listed firms in China over the period 2010-2018. Consistent with </w:t>
      </w:r>
      <w:proofErr w:type="spellStart"/>
      <w:r w:rsidRPr="004E7E5A">
        <w:rPr>
          <w:rFonts w:ascii="Times New Roman" w:hAnsi="Times New Roman"/>
          <w:color w:val="000000" w:themeColor="text1"/>
          <w:sz w:val="24"/>
          <w:szCs w:val="24"/>
        </w:rPr>
        <w:t>Larcker</w:t>
      </w:r>
      <w:proofErr w:type="spellEnd"/>
      <w:r w:rsidRPr="004E7E5A">
        <w:rPr>
          <w:rFonts w:ascii="Times New Roman" w:hAnsi="Times New Roman"/>
          <w:color w:val="000000" w:themeColor="text1"/>
          <w:sz w:val="24"/>
          <w:szCs w:val="24"/>
        </w:rPr>
        <w:t xml:space="preserve"> et al. (2013), we compute degree, betweenness and closeness centrality to reflect the multi-dimensional network of directors, and test the association between directors’ network and CSR </w:t>
      </w:r>
      <w:r w:rsidRPr="004E7E5A">
        <w:rPr>
          <w:rFonts w:ascii="Times New Roman" w:hAnsi="Times New Roman"/>
          <w:color w:val="000000" w:themeColor="text1"/>
          <w:sz w:val="24"/>
          <w:szCs w:val="24"/>
        </w:rPr>
        <w:lastRenderedPageBreak/>
        <w:t>disclosure quality.</w:t>
      </w:r>
      <w:r w:rsidRPr="004E7E5A">
        <w:rPr>
          <w:rStyle w:val="af4"/>
          <w:rFonts w:ascii="Times New Roman" w:hAnsi="Times New Roman"/>
          <w:color w:val="000000" w:themeColor="text1"/>
          <w:sz w:val="24"/>
          <w:szCs w:val="24"/>
        </w:rPr>
        <w:footnoteReference w:id="1"/>
      </w:r>
      <w:r w:rsidRPr="004E7E5A">
        <w:rPr>
          <w:rFonts w:ascii="Times New Roman" w:hAnsi="Times New Roman"/>
          <w:color w:val="000000" w:themeColor="text1"/>
          <w:sz w:val="24"/>
          <w:szCs w:val="24"/>
        </w:rPr>
        <w:t xml:space="preserve"> We apply both </w:t>
      </w:r>
      <w:r w:rsidRPr="004E7E5A">
        <w:rPr>
          <w:rFonts w:ascii="Times New Roman" w:hAnsi="Times New Roman"/>
          <w:color w:val="000000" w:themeColor="text1"/>
          <w:sz w:val="24"/>
          <w:szCs w:val="24"/>
          <w:lang w:bidi="ar"/>
        </w:rPr>
        <w:t>two-stage least squares</w:t>
      </w:r>
      <w:r w:rsidRPr="004E7E5A">
        <w:rPr>
          <w:rFonts w:ascii="Times New Roman" w:hAnsi="Times New Roman"/>
          <w:color w:val="000000" w:themeColor="text1"/>
          <w:sz w:val="24"/>
          <w:szCs w:val="24"/>
        </w:rPr>
        <w:t xml:space="preserve"> (2SLS) and </w:t>
      </w:r>
      <w:r w:rsidR="006445BD" w:rsidRPr="004E7E5A">
        <w:rPr>
          <w:rFonts w:ascii="Times New Roman" w:hAnsi="Times New Roman" w:hint="eastAsia"/>
          <w:color w:val="000000" w:themeColor="text1"/>
          <w:sz w:val="24"/>
          <w:szCs w:val="24"/>
        </w:rPr>
        <w:t>g</w:t>
      </w:r>
      <w:r w:rsidR="00520D31" w:rsidRPr="004E7E5A">
        <w:rPr>
          <w:rFonts w:ascii="Times New Roman" w:hAnsi="Times New Roman"/>
          <w:color w:val="000000" w:themeColor="text1"/>
          <w:sz w:val="24"/>
          <w:szCs w:val="24"/>
        </w:rPr>
        <w:t xml:space="preserve">eneralized </w:t>
      </w:r>
      <w:r w:rsidR="006445BD" w:rsidRPr="004E7E5A">
        <w:rPr>
          <w:rFonts w:ascii="Times New Roman" w:hAnsi="Times New Roman"/>
          <w:color w:val="000000" w:themeColor="text1"/>
          <w:sz w:val="24"/>
          <w:szCs w:val="24"/>
        </w:rPr>
        <w:t>m</w:t>
      </w:r>
      <w:r w:rsidR="00520D31" w:rsidRPr="004E7E5A">
        <w:rPr>
          <w:rFonts w:ascii="Times New Roman" w:hAnsi="Times New Roman"/>
          <w:color w:val="000000" w:themeColor="text1"/>
          <w:sz w:val="24"/>
          <w:szCs w:val="24"/>
        </w:rPr>
        <w:t xml:space="preserve">ethod of </w:t>
      </w:r>
      <w:r w:rsidR="006445BD" w:rsidRPr="004E7E5A">
        <w:rPr>
          <w:rFonts w:ascii="Times New Roman" w:hAnsi="Times New Roman"/>
          <w:color w:val="000000" w:themeColor="text1"/>
          <w:sz w:val="24"/>
          <w:szCs w:val="24"/>
        </w:rPr>
        <w:t>m</w:t>
      </w:r>
      <w:r w:rsidR="00520D31" w:rsidRPr="004E7E5A">
        <w:rPr>
          <w:rFonts w:ascii="Times New Roman" w:hAnsi="Times New Roman"/>
          <w:color w:val="000000" w:themeColor="text1"/>
          <w:sz w:val="24"/>
          <w:szCs w:val="24"/>
        </w:rPr>
        <w:t>oments</w:t>
      </w:r>
      <w:r w:rsidRPr="004E7E5A">
        <w:rPr>
          <w:rFonts w:ascii="Times New Roman" w:hAnsi="Times New Roman"/>
          <w:color w:val="000000" w:themeColor="text1"/>
          <w:sz w:val="24"/>
          <w:szCs w:val="24"/>
        </w:rPr>
        <w:t xml:space="preserve"> (GMM) approaches to </w:t>
      </w:r>
      <w:proofErr w:type="spellStart"/>
      <w:r w:rsidRPr="004E7E5A">
        <w:rPr>
          <w:rFonts w:ascii="Times New Roman" w:hAnsi="Times New Roman"/>
          <w:color w:val="000000" w:themeColor="text1"/>
          <w:sz w:val="24"/>
          <w:szCs w:val="24"/>
        </w:rPr>
        <w:t>allevite</w:t>
      </w:r>
      <w:proofErr w:type="spellEnd"/>
      <w:r w:rsidRPr="004E7E5A">
        <w:rPr>
          <w:rFonts w:ascii="Times New Roman" w:hAnsi="Times New Roman"/>
          <w:color w:val="000000" w:themeColor="text1"/>
          <w:sz w:val="24"/>
          <w:szCs w:val="24"/>
        </w:rPr>
        <w:t xml:space="preserve"> the endogeneity concern.</w:t>
      </w:r>
    </w:p>
    <w:p w14:paraId="78D71427" w14:textId="7CA1643D" w:rsidR="00746786" w:rsidRPr="004E7E5A" w:rsidRDefault="00746786" w:rsidP="00746786">
      <w:pPr>
        <w:pStyle w:val="a7"/>
        <w:spacing w:line="480" w:lineRule="auto"/>
        <w:ind w:firstLine="480"/>
        <w:rPr>
          <w:rFonts w:cs="Times New Roman"/>
        </w:rPr>
      </w:pPr>
      <w:r w:rsidRPr="004E7E5A">
        <w:rPr>
          <w:rFonts w:cs="Times New Roman"/>
        </w:rPr>
        <w:t xml:space="preserve">Our study makes three contributions to the literature. First, this paper enriches the research on the determinants of CSR disclosure quality. Prior studies </w:t>
      </w:r>
      <w:proofErr w:type="spellStart"/>
      <w:r w:rsidRPr="004E7E5A">
        <w:rPr>
          <w:rFonts w:cs="Times New Roman"/>
        </w:rPr>
        <w:t>analyse</w:t>
      </w:r>
      <w:proofErr w:type="spellEnd"/>
      <w:r w:rsidRPr="004E7E5A">
        <w:rPr>
          <w:rFonts w:cs="Times New Roman"/>
        </w:rPr>
        <w:t xml:space="preserve"> the influence of board gender </w:t>
      </w:r>
      <w:r w:rsidRPr="004E7E5A">
        <w:rPr>
          <w:rFonts w:cs="Times New Roman"/>
        </w:rPr>
        <w:fldChar w:fldCharType="begin"/>
      </w:r>
      <w:r w:rsidR="001A1175" w:rsidRPr="004E7E5A">
        <w:rPr>
          <w:rFonts w:cs="Times New Roman"/>
        </w:rPr>
        <w:instrText xml:space="preserve"> ADDIN EN.CITE &lt;EndNote&gt;&lt;Cite&gt;&lt;Author&gt;Bear&lt;/Author&gt;&lt;Year&gt;2010&lt;/Year&gt;&lt;RecNum&gt;319&lt;/RecNum&gt;&lt;DisplayText&gt;(Bear et al. 2010)&lt;/DisplayText&gt;&lt;record&gt;&lt;rec-number&gt;319&lt;/rec-number&gt;&lt;foreign-keys&gt;&lt;key app="EN" db-id="trr00pfsbzzex0ezwf6v5swd9fpfpwfa90xp" timestamp="1581079819" guid="3418b945-e48f-44f9-b113-2bdb8bbc8b33"&gt;319&lt;/key&gt;&lt;/foreign-keys&gt;&lt;ref-type name="Journal Article"&gt;17&lt;/ref-type&gt;&lt;contributors&gt;&lt;authors&gt;&lt;author&gt;Bear, Stephen&lt;/author&gt;&lt;author&gt;Rahman, Noushi&lt;/author&gt;&lt;author&gt;Post, Corinne&lt;/author&gt;&lt;/authors&gt;&lt;/contributors&gt;&lt;titles&gt;&lt;title&gt;The impact of board diversity and gender composition on corporate social responsibility and firm reputation&lt;/title&gt;&lt;secondary-title&gt;Journal of Business Ethics&lt;/secondary-title&gt;&lt;/titles&gt;&lt;periodical&gt;&lt;full-title&gt;Journal of Business Ethics&lt;/full-title&gt;&lt;/periodical&gt;&lt;pages&gt;207-221&lt;/pages&gt;&lt;volume&gt;97&lt;/volume&gt;&lt;number&gt;2&lt;/number&gt;&lt;section&gt;207&lt;/section&gt;&lt;dates&gt;&lt;year&gt;2010&lt;/year&gt;&lt;/dates&gt;&lt;isbn&gt;0167-4544&amp;#xD;1573-0697&lt;/isbn&gt;&lt;urls&gt;&lt;/urls&gt;&lt;electronic-resource-num&gt;10.1007/s10551-010-0505-2&lt;/electronic-resource-num&gt;&lt;/record&gt;&lt;/Cite&gt;&lt;/EndNote&gt;</w:instrText>
      </w:r>
      <w:r w:rsidRPr="004E7E5A">
        <w:rPr>
          <w:rFonts w:cs="Times New Roman"/>
        </w:rPr>
        <w:fldChar w:fldCharType="separate"/>
      </w:r>
      <w:r w:rsidRPr="004E7E5A">
        <w:rPr>
          <w:rFonts w:cs="Times New Roman"/>
          <w:noProof/>
        </w:rPr>
        <w:t>(Bear et al. 2010)</w:t>
      </w:r>
      <w:r w:rsidRPr="004E7E5A">
        <w:rPr>
          <w:rFonts w:cs="Times New Roman"/>
        </w:rPr>
        <w:fldChar w:fldCharType="end"/>
      </w:r>
      <w:r w:rsidRPr="004E7E5A">
        <w:rPr>
          <w:rFonts w:cs="Times New Roman"/>
        </w:rPr>
        <w:t xml:space="preserve">, diversity </w:t>
      </w:r>
      <w:r w:rsidRPr="004E7E5A">
        <w:rPr>
          <w:rFonts w:cs="Times New Roman"/>
        </w:rPr>
        <w:fldChar w:fldCharType="begin"/>
      </w:r>
      <w:r w:rsidR="001A1175" w:rsidRPr="004E7E5A">
        <w:rPr>
          <w:rFonts w:cs="Times New Roman"/>
        </w:rPr>
        <w:instrText xml:space="preserve"> ADDIN EN.CITE &lt;EndNote&gt;&lt;Cite&gt;&lt;Author&gt;Harjoto&lt;/Author&gt;&lt;Year&gt;2014&lt;/Year&gt;&lt;RecNum&gt;322&lt;/RecNum&gt;&lt;DisplayText&gt;(Harjoto et al. 2014)&lt;/DisplayText&gt;&lt;record&gt;&lt;rec-number&gt;322&lt;/rec-number&gt;&lt;foreign-keys&gt;&lt;key app="EN" db-id="trr00pfsbzzex0ezwf6v5swd9fpfpwfa90xp" timestamp="1581079823" guid="9044b7b2-c56c-418c-b281-495bc4fc754c"&gt;322&lt;/key&gt;&lt;/foreign-keys&gt;&lt;ref-type name="Journal Article"&gt;17&lt;/ref-type&gt;&lt;contributors&gt;&lt;authors&gt;&lt;author&gt;Harjoto, Maretno&lt;/author&gt;&lt;author&gt;Laksmana, Indrarini&lt;/author&gt;&lt;author&gt;Lee, Robert&lt;/author&gt;&lt;/authors&gt;&lt;/contributors&gt;&lt;titles&gt;&lt;title&gt;Board diversity and corporate social responsibility&lt;/title&gt;&lt;secondary-title&gt;Journal of Business Ethics&lt;/secondary-title&gt;&lt;/titles&gt;&lt;periodical&gt;&lt;full-title&gt;Journal of Business Ethics&lt;/full-title&gt;&lt;/periodical&gt;&lt;pages&gt;641-660&lt;/pages&gt;&lt;volume&gt;132&lt;/volume&gt;&lt;number&gt;4&lt;/number&gt;&lt;section&gt;641&lt;/section&gt;&lt;dates&gt;&lt;year&gt;2014&lt;/year&gt;&lt;/dates&gt;&lt;isbn&gt;0167-4544&amp;#xD;1573-0697&lt;/isbn&gt;&lt;urls&gt;&lt;/urls&gt;&lt;electronic-resource-num&gt;10.1007/s10551-014-2343-0&lt;/electronic-resource-num&gt;&lt;/record&gt;&lt;/Cite&gt;&lt;/EndNote&gt;</w:instrText>
      </w:r>
      <w:r w:rsidRPr="004E7E5A">
        <w:rPr>
          <w:rFonts w:cs="Times New Roman"/>
        </w:rPr>
        <w:fldChar w:fldCharType="separate"/>
      </w:r>
      <w:r w:rsidRPr="004E7E5A">
        <w:rPr>
          <w:rFonts w:cs="Times New Roman"/>
          <w:noProof/>
        </w:rPr>
        <w:t>(Harjoto et al. 2014)</w:t>
      </w:r>
      <w:r w:rsidRPr="004E7E5A">
        <w:rPr>
          <w:rFonts w:cs="Times New Roman"/>
        </w:rPr>
        <w:fldChar w:fldCharType="end"/>
      </w:r>
      <w:r w:rsidRPr="004E7E5A">
        <w:rPr>
          <w:rFonts w:cs="Times New Roman"/>
        </w:rPr>
        <w:t xml:space="preserve"> and expertise </w:t>
      </w:r>
      <w:r w:rsidRPr="004E7E5A">
        <w:rPr>
          <w:rFonts w:cs="Times New Roman"/>
        </w:rPr>
        <w:fldChar w:fldCharType="begin"/>
      </w:r>
      <w:r w:rsidR="001A1175" w:rsidRPr="004E7E5A">
        <w:rPr>
          <w:rFonts w:cs="Times New Roman"/>
        </w:rPr>
        <w:instrText xml:space="preserve"> ADDIN EN.CITE &lt;EndNote&gt;&lt;Cite&gt;&lt;Author&gt;Homroy&lt;/Author&gt;&lt;Year&gt;2017&lt;/Year&gt;&lt;RecNum&gt;1739&lt;/RecNum&gt;&lt;DisplayText&gt;(Homroy and Slechten 2017)&lt;/DisplayText&gt;&lt;record&gt;&lt;rec-number&gt;1739&lt;/rec-number&gt;&lt;foreign-keys&gt;&lt;key app="EN" db-id="trr00pfsbzzex0ezwf6v5swd9fpfpwfa90xp" timestamp="1587541509" guid="66d31698-0ec3-47d9-92f6-47205987b8da"&gt;1739&lt;/key&gt;&lt;/foreign-keys&gt;&lt;ref-type name="Journal Article"&gt;17&lt;/ref-type&gt;&lt;contributors&gt;&lt;authors&gt;&lt;author&gt;Homroy, Swarnodeep&lt;/author&gt;&lt;author&gt;Slechten, Aurelie&lt;/author&gt;&lt;/authors&gt;&lt;/contributors&gt;&lt;titles&gt;&lt;title&gt;Do board expertise and networked boards affect environmental performance?&lt;/title&gt;&lt;secondary-title&gt;Journal of Business Ethics&lt;/secondary-title&gt;&lt;/titles&gt;&lt;periodical&gt;&lt;full-title&gt;Journal of Business Ethics&lt;/full-title&gt;&lt;/periodical&gt;&lt;pages&gt;269-292&lt;/pages&gt;&lt;volume&gt;158&lt;/volume&gt;&lt;number&gt;1&lt;/number&gt;&lt;section&gt;269&lt;/section&gt;&lt;dates&gt;&lt;year&gt;2017&lt;/year&gt;&lt;/dates&gt;&lt;isbn&gt;0167-4544&amp;#xD;1573-0697&lt;/isbn&gt;&lt;urls&gt;&lt;/urls&gt;&lt;electronic-resource-num&gt;10.1007/s10551-017-3769-y&lt;/electronic-resource-num&gt;&lt;/record&gt;&lt;/Cite&gt;&lt;/EndNote&gt;</w:instrText>
      </w:r>
      <w:r w:rsidRPr="004E7E5A">
        <w:rPr>
          <w:rFonts w:cs="Times New Roman"/>
        </w:rPr>
        <w:fldChar w:fldCharType="separate"/>
      </w:r>
      <w:r w:rsidRPr="004E7E5A">
        <w:rPr>
          <w:rFonts w:cs="Times New Roman"/>
          <w:noProof/>
        </w:rPr>
        <w:t>(Homroy and Slechten 2017)</w:t>
      </w:r>
      <w:r w:rsidRPr="004E7E5A">
        <w:rPr>
          <w:rFonts w:cs="Times New Roman"/>
        </w:rPr>
        <w:fldChar w:fldCharType="end"/>
      </w:r>
      <w:r w:rsidRPr="004E7E5A">
        <w:rPr>
          <w:rFonts w:cs="Times New Roman"/>
        </w:rPr>
        <w:t xml:space="preserve"> on CSR. However, to the best of our knowledge, extant research on </w:t>
      </w:r>
      <w:proofErr w:type="spellStart"/>
      <w:r w:rsidRPr="004E7E5A">
        <w:rPr>
          <w:rFonts w:cs="Times New Roman"/>
        </w:rPr>
        <w:t>determintnats</w:t>
      </w:r>
      <w:proofErr w:type="spellEnd"/>
      <w:r w:rsidRPr="004E7E5A">
        <w:rPr>
          <w:rFonts w:cs="Times New Roman"/>
        </w:rPr>
        <w:t xml:space="preserve"> of CSR disclosure quality hasn’t explored directors’ network. We provide fresh evidence that directors’ network has a strong impact on CSR disclosure quality. </w:t>
      </w:r>
    </w:p>
    <w:p w14:paraId="6E2D1939" w14:textId="6C063741" w:rsidR="00746786" w:rsidRPr="004E7E5A" w:rsidRDefault="00746786" w:rsidP="00746786">
      <w:pPr>
        <w:pStyle w:val="a7"/>
        <w:spacing w:line="480" w:lineRule="auto"/>
        <w:ind w:firstLine="480"/>
        <w:rPr>
          <w:rFonts w:cs="Times New Roman"/>
        </w:rPr>
      </w:pPr>
      <w:r w:rsidRPr="004E7E5A">
        <w:rPr>
          <w:rFonts w:cs="Times New Roman"/>
        </w:rPr>
        <w:t xml:space="preserve">Second, this study adds to the stream of research examining the consequences of directors’ network. Prior literature studies the impact of directors’ network on environmental performance </w:t>
      </w:r>
      <w:r w:rsidRPr="004E7E5A">
        <w:rPr>
          <w:rFonts w:cs="Times New Roman"/>
        </w:rPr>
        <w:fldChar w:fldCharType="begin"/>
      </w:r>
      <w:r w:rsidR="001A1175" w:rsidRPr="004E7E5A">
        <w:rPr>
          <w:rFonts w:cs="Times New Roman"/>
        </w:rPr>
        <w:instrText xml:space="preserve"> ADDIN EN.CITE &lt;EndNote&gt;&lt;Cite&gt;&lt;Author&gt;Homroy&lt;/Author&gt;&lt;Year&gt;2017&lt;/Year&gt;&lt;RecNum&gt;1739&lt;/RecNum&gt;&lt;DisplayText&gt;(Homroy and Slechten 2017)&lt;/DisplayText&gt;&lt;record&gt;&lt;rec-number&gt;1739&lt;/rec-number&gt;&lt;foreign-keys&gt;&lt;key app="EN" db-id="trr00pfsbzzex0ezwf6v5swd9fpfpwfa90xp" timestamp="1587541509" guid="66d31698-0ec3-47d9-92f6-47205987b8da"&gt;1739&lt;/key&gt;&lt;/foreign-keys&gt;&lt;ref-type name="Journal Article"&gt;17&lt;/ref-type&gt;&lt;contributors&gt;&lt;authors&gt;&lt;author&gt;Homroy, Swarnodeep&lt;/author&gt;&lt;author&gt;Slechten, Aurelie&lt;/author&gt;&lt;/authors&gt;&lt;/contributors&gt;&lt;titles&gt;&lt;title&gt;Do board expertise and networked boards affect environmental performance?&lt;/title&gt;&lt;secondary-title&gt;Journal of Business Ethics&lt;/secondary-title&gt;&lt;/titles&gt;&lt;periodical&gt;&lt;full-title&gt;Journal of Business Ethics&lt;/full-title&gt;&lt;/periodical&gt;&lt;pages&gt;269-292&lt;/pages&gt;&lt;volume&gt;158&lt;/volume&gt;&lt;number&gt;1&lt;/number&gt;&lt;section&gt;269&lt;/section&gt;&lt;dates&gt;&lt;year&gt;2017&lt;/year&gt;&lt;/dates&gt;&lt;isbn&gt;0167-4544&amp;#xD;1573-0697&lt;/isbn&gt;&lt;urls&gt;&lt;/urls&gt;&lt;electronic-resource-num&gt;10.1007/s10551-017-3769-y&lt;/electronic-resource-num&gt;&lt;/record&gt;&lt;/Cite&gt;&lt;/EndNote&gt;</w:instrText>
      </w:r>
      <w:r w:rsidRPr="004E7E5A">
        <w:rPr>
          <w:rFonts w:cs="Times New Roman"/>
        </w:rPr>
        <w:fldChar w:fldCharType="separate"/>
      </w:r>
      <w:r w:rsidRPr="004E7E5A">
        <w:rPr>
          <w:rFonts w:cs="Times New Roman"/>
          <w:noProof/>
        </w:rPr>
        <w:t>(Homroy and Slechten 2017)</w:t>
      </w:r>
      <w:r w:rsidRPr="004E7E5A">
        <w:rPr>
          <w:rFonts w:cs="Times New Roman"/>
        </w:rPr>
        <w:fldChar w:fldCharType="end"/>
      </w:r>
      <w:r w:rsidRPr="004E7E5A">
        <w:rPr>
          <w:rFonts w:cs="Times New Roman"/>
        </w:rPr>
        <w:t xml:space="preserve">, market return </w:t>
      </w:r>
      <w:r w:rsidRPr="004E7E5A">
        <w:rPr>
          <w:rFonts w:cs="Times New Roman"/>
        </w:rPr>
        <w:fldChar w:fldCharType="begin"/>
      </w:r>
      <w:r w:rsidRPr="004E7E5A">
        <w:rPr>
          <w:rFonts w:cs="Times New Roman"/>
        </w:rPr>
        <w:instrText xml:space="preserve"> ADDIN EN.CITE &lt;EndNote&gt;&lt;Cite&gt;&lt;Author&gt;Akbas&lt;/Author&gt;&lt;Year&gt;2016&lt;/Year&gt;&lt;RecNum&gt;771&lt;/RecNum&gt;&lt;DisplayText&gt;(Akbas et al. 2016)&lt;/DisplayText&gt;&lt;record&gt;&lt;rec-number&gt;771&lt;/rec-number&gt;&lt;foreign-keys&gt;&lt;key app="EN" db-id="trr00pfsbzzex0ezwf6v5swd9fpfpwfa90xp" timestamp="1581080329" guid="1c4c9b41-b2e6-410f-b695-94c50061f679"&gt;771&lt;/key&gt;&lt;/foreign-keys&gt;&lt;ref-type name="Journal Article"&gt;17&lt;/ref-type&gt;&lt;contributors&gt;&lt;authors&gt;&lt;author&gt;Akbas, Ferhat&lt;/author&gt;&lt;author&gt;Meschke, Felix&lt;/author&gt;&lt;author&gt;Wintoki, M. Babajide&lt;/author&gt;&lt;/authors&gt;&lt;/contributors&gt;&lt;titles&gt;&lt;title&gt;Director networks and informed traders&lt;/title&gt;&lt;secondary-title&gt;Journal of Accounting and Economics&lt;/secondary-title&gt;&lt;/titles&gt;&lt;periodical&gt;&lt;full-title&gt;Journal of Accounting and Economics&lt;/full-title&gt;&lt;/periodical&gt;&lt;pages&gt;1-23&lt;/pages&gt;&lt;volume&gt;62&lt;/volume&gt;&lt;number&gt;1&lt;/number&gt;&lt;section&gt;1&lt;/section&gt;&lt;dates&gt;&lt;year&gt;2016&lt;/year&gt;&lt;/dates&gt;&lt;isbn&gt;01654101&lt;/isbn&gt;&lt;urls&gt;&lt;/urls&gt;&lt;electronic-resource-num&gt;10.1016/j.jacceco.2016.03.003&lt;/electronic-resource-num&gt;&lt;/record&gt;&lt;/Cite&gt;&lt;/EndNote&gt;</w:instrText>
      </w:r>
      <w:r w:rsidRPr="004E7E5A">
        <w:rPr>
          <w:rFonts w:cs="Times New Roman"/>
        </w:rPr>
        <w:fldChar w:fldCharType="separate"/>
      </w:r>
      <w:r w:rsidRPr="004E7E5A">
        <w:rPr>
          <w:rFonts w:cs="Times New Roman"/>
          <w:noProof/>
        </w:rPr>
        <w:t>(Akbas et al. 2016)</w:t>
      </w:r>
      <w:r w:rsidRPr="004E7E5A">
        <w:rPr>
          <w:rFonts w:cs="Times New Roman"/>
        </w:rPr>
        <w:fldChar w:fldCharType="end"/>
      </w:r>
      <w:r w:rsidRPr="004E7E5A">
        <w:rPr>
          <w:rFonts w:cs="Times New Roman"/>
        </w:rPr>
        <w:t xml:space="preserve"> and cost of debt</w:t>
      </w:r>
      <w:r w:rsidR="000B1108" w:rsidRPr="004E7E5A">
        <w:rPr>
          <w:rFonts w:cs="Times New Roman"/>
        </w:rPr>
        <w:t xml:space="preserve"> </w:t>
      </w:r>
      <w:r w:rsidR="001A1175" w:rsidRPr="004E7E5A">
        <w:rPr>
          <w:rFonts w:cs="Times New Roman"/>
        </w:rPr>
        <w:fldChar w:fldCharType="begin"/>
      </w:r>
      <w:r w:rsidR="001A1175" w:rsidRPr="004E7E5A">
        <w:rPr>
          <w:rFonts w:cs="Times New Roman"/>
        </w:rPr>
        <w:instrText xml:space="preserve"> ADDIN EN.CITE &lt;EndNote&gt;&lt;Cite&gt;&lt;Author&gt;Chakravarty&lt;/Author&gt;&lt;Year&gt;2017&lt;/Year&gt;&lt;RecNum&gt;1982&lt;/RecNum&gt;&lt;DisplayText&gt;(Chakravarty and Rutherford 2017)&lt;/DisplayText&gt;&lt;record&gt;&lt;rec-number&gt;1982&lt;/rec-number&gt;&lt;foreign-keys&gt;&lt;key app="EN" db-id="trr00pfsbzzex0ezwf6v5swd9fpfpwfa90xp" timestamp="1625885139" guid="c98443ac-f67f-497b-8700-77d6ac091f6a"&gt;1982&lt;/key&gt;&lt;/foreign-keys&gt;&lt;ref-type name="Journal Article"&gt;17&lt;/ref-type&gt;&lt;contributors&gt;&lt;authors&gt;&lt;author&gt;Chakravarty, S.&lt;/author&gt;&lt;author&gt;Rutherford, L. G.&lt;/author&gt;&lt;/authors&gt;&lt;/contributors&gt;&lt;titles&gt;&lt;title&gt;Do busy directors influence the cost of debt? An examination through the lens of takeover vulnerability&lt;/title&gt;&lt;secondary-title&gt;Journal of Corporate Finance&lt;/secondary-title&gt;&lt;/titles&gt;&lt;periodical&gt;&lt;full-title&gt;Journal of Corporate Finance&lt;/full-title&gt;&lt;/periodical&gt;&lt;pages&gt;429-443&lt;/pages&gt;&lt;volume&gt;43&lt;/volume&gt;&lt;dates&gt;&lt;year&gt;2017&lt;/year&gt;&lt;/dates&gt;&lt;urls&gt;&lt;/urls&gt;&lt;electronic-resource-num&gt;doi:10.1016/j.jcorpfin.2017.02.001.&lt;/electronic-resource-num&gt;&lt;/record&gt;&lt;/Cite&gt;&lt;/EndNote&gt;</w:instrText>
      </w:r>
      <w:r w:rsidR="001A1175" w:rsidRPr="004E7E5A">
        <w:rPr>
          <w:rFonts w:cs="Times New Roman"/>
        </w:rPr>
        <w:fldChar w:fldCharType="separate"/>
      </w:r>
      <w:r w:rsidR="001A1175" w:rsidRPr="004E7E5A">
        <w:rPr>
          <w:rFonts w:cs="Times New Roman"/>
          <w:noProof/>
        </w:rPr>
        <w:t>(Chakravarty and Rutherford 2017)</w:t>
      </w:r>
      <w:r w:rsidR="001A1175" w:rsidRPr="004E7E5A">
        <w:rPr>
          <w:rFonts w:cs="Times New Roman"/>
        </w:rPr>
        <w:fldChar w:fldCharType="end"/>
      </w:r>
      <w:r w:rsidR="000B1108" w:rsidRPr="004E7E5A">
        <w:rPr>
          <w:rFonts w:cs="Times New Roman"/>
        </w:rPr>
        <w:t>.</w:t>
      </w:r>
      <w:r w:rsidRPr="004E7E5A">
        <w:rPr>
          <w:rFonts w:cs="Times New Roman"/>
        </w:rPr>
        <w:t xml:space="preserve"> Extant research, however, does not shed light on the impact of directors’ network on non-</w:t>
      </w:r>
      <w:proofErr w:type="spellStart"/>
      <w:r w:rsidRPr="004E7E5A">
        <w:rPr>
          <w:rFonts w:cs="Times New Roman"/>
        </w:rPr>
        <w:t>finnacial</w:t>
      </w:r>
      <w:proofErr w:type="spellEnd"/>
      <w:r w:rsidRPr="004E7E5A">
        <w:rPr>
          <w:rFonts w:cs="Times New Roman"/>
        </w:rPr>
        <w:t xml:space="preserve"> disclosure. Our study explores the influence of directors’ network on CSR disclosure quality from the lens of resource-based view.</w:t>
      </w:r>
    </w:p>
    <w:p w14:paraId="532D7FB0" w14:textId="6FB009B0" w:rsidR="00746786" w:rsidRPr="004E7E5A" w:rsidRDefault="00746786" w:rsidP="00746786">
      <w:pPr>
        <w:pStyle w:val="a7"/>
        <w:spacing w:line="480" w:lineRule="auto"/>
        <w:ind w:firstLine="480"/>
        <w:rPr>
          <w:rFonts w:cs="Times New Roman"/>
        </w:rPr>
      </w:pPr>
      <w:r w:rsidRPr="004E7E5A">
        <w:rPr>
          <w:rFonts w:cs="Times New Roman"/>
        </w:rPr>
        <w:t xml:space="preserve">Third, previous studies are mainly concentrated on CSR disclosure in developed countries </w:t>
      </w:r>
      <w:r w:rsidRPr="004E7E5A">
        <w:rPr>
          <w:rFonts w:cs="Times New Roman"/>
        </w:rPr>
        <w:fldChar w:fldCharType="begin">
          <w:fldData xml:space="preserve">PEVuZE5vdGU+PENpdGU+PEF1dGhvcj5CZWFyPC9BdXRob3I+PFllYXI+MjAxMDwvWWVhcj48UmVj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PEVuZE5vdGU+PENpdGU+PEF1dGhvcj5CZWFyPC9BdXRob3I+PFllYXI+MjAxMDwvWWVhcj48UmVj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006F6C86" w:rsidRPr="004E7E5A">
        <w:rPr>
          <w:rFonts w:cs="Times New Roman"/>
          <w:noProof/>
        </w:rPr>
        <w:t>(Bear et al. 2010; Harjoto et al. 2014; Shaukat et al. 2015; Macaulay et al. 2017; Bocquet et al. 2019; Beji et al. 2020)</w:t>
      </w:r>
      <w:r w:rsidRPr="004E7E5A">
        <w:rPr>
          <w:rFonts w:cs="Times New Roman"/>
        </w:rPr>
        <w:fldChar w:fldCharType="end"/>
      </w:r>
      <w:r w:rsidRPr="004E7E5A">
        <w:rPr>
          <w:rFonts w:cs="Times New Roman"/>
        </w:rPr>
        <w:t xml:space="preserve">. Only a few studies focus on emerging economies </w:t>
      </w:r>
      <w:r w:rsidRPr="004E7E5A">
        <w:rPr>
          <w:rFonts w:cs="Times New Roman"/>
        </w:rPr>
        <w:fldChar w:fldCharType="begin">
          <w:fldData xml:space="preserve">PEVuZE5vdGU+PENpdGU+PEF1dGhvcj5MaWFvPC9BdXRob3I+PFllYXI+MjAxNjwvWWVhcj48UmVj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PEVuZE5vdGU+PENpdGU+PEF1dGhvcj5MaWFvPC9BdXRob3I+PFllYXI+MjAxNjwvWWVhcj48UmVj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(Liao et al. 2016; Katmon et al. 2017)</w:t>
      </w:r>
      <w:r w:rsidRPr="004E7E5A">
        <w:rPr>
          <w:rFonts w:cs="Times New Roman"/>
        </w:rPr>
        <w:fldChar w:fldCharType="end"/>
      </w:r>
      <w:r w:rsidRPr="004E7E5A">
        <w:rPr>
          <w:rFonts w:cs="Times New Roman"/>
        </w:rPr>
        <w:t xml:space="preserve">. Thus, an examination of the impact of directors’ network on CSR disclosure quality in China contributes to an enhanced understanding of the relevant link in </w:t>
      </w:r>
      <w:r w:rsidRPr="004E7E5A">
        <w:rPr>
          <w:rFonts w:cs="Times New Roman"/>
        </w:rPr>
        <w:lastRenderedPageBreak/>
        <w:t>emerging economies.</w:t>
      </w:r>
    </w:p>
    <w:p w14:paraId="13887701" w14:textId="79C877F0" w:rsidR="00746786" w:rsidRPr="004E7E5A" w:rsidRDefault="00746786" w:rsidP="00746786">
      <w:pPr>
        <w:pStyle w:val="a7"/>
        <w:spacing w:line="480" w:lineRule="auto"/>
        <w:ind w:firstLine="480"/>
        <w:rPr>
          <w:rFonts w:cs="Times New Roman"/>
        </w:rPr>
      </w:pPr>
      <w:r w:rsidRPr="004E7E5A">
        <w:rPr>
          <w:rFonts w:cs="Times New Roman"/>
        </w:rPr>
        <w:t xml:space="preserve">The remainder of this paper is structured as follows: Section 2 presents the background information. Section 3 reviews the related literature and develops our hypotheses. Section 4 describes sample, variable definition and empirical models. Section 5 presents descriptive statistics, empirical results, further analyses and robustness tests. </w:t>
      </w:r>
      <w:r w:rsidR="007C261E" w:rsidRPr="004E7E5A">
        <w:rPr>
          <w:rFonts w:cs="Times New Roman"/>
        </w:rPr>
        <w:t xml:space="preserve">Section 6 discusses main findings. </w:t>
      </w:r>
      <w:r w:rsidRPr="004E7E5A">
        <w:rPr>
          <w:rFonts w:cs="Times New Roman"/>
        </w:rPr>
        <w:t xml:space="preserve">Section </w:t>
      </w:r>
      <w:r w:rsidR="007C261E" w:rsidRPr="004E7E5A">
        <w:rPr>
          <w:rFonts w:cs="Times New Roman"/>
        </w:rPr>
        <w:t>7</w:t>
      </w:r>
      <w:r w:rsidRPr="004E7E5A">
        <w:rPr>
          <w:rFonts w:cs="Times New Roman"/>
        </w:rPr>
        <w:t xml:space="preserve"> concludes.</w:t>
      </w:r>
    </w:p>
    <w:p w14:paraId="754A22B3" w14:textId="77777777" w:rsidR="00746786" w:rsidRPr="004E7E5A" w:rsidRDefault="00746786" w:rsidP="00746786">
      <w:pPr>
        <w:pStyle w:val="a5"/>
        <w:rPr>
          <w:rFonts w:ascii="Times New Roman" w:hAnsi="Times New Roman" w:cs="Times New Roman"/>
          <w:color w:val="000000" w:themeColor="text1"/>
          <w:szCs w:val="28"/>
        </w:rPr>
      </w:pPr>
      <w:r w:rsidRPr="004E7E5A">
        <w:rPr>
          <w:rFonts w:ascii="Times New Roman" w:hAnsi="Times New Roman" w:cs="Times New Roman"/>
          <w:color w:val="000000" w:themeColor="text1"/>
          <w:szCs w:val="28"/>
        </w:rPr>
        <w:t>Background Information</w:t>
      </w:r>
    </w:p>
    <w:p w14:paraId="112FF857" w14:textId="77777777" w:rsidR="00746786" w:rsidRPr="004E7E5A" w:rsidRDefault="00746786" w:rsidP="00746786">
      <w:pPr>
        <w:pStyle w:val="4"/>
        <w:spacing w:before="0" w:after="0" w:line="480" w:lineRule="auto"/>
        <w:rPr>
          <w:color w:val="000000" w:themeColor="text1"/>
        </w:rPr>
      </w:pPr>
      <w:r w:rsidRPr="004E7E5A">
        <w:rPr>
          <w:color w:val="000000" w:themeColor="text1"/>
        </w:rPr>
        <w:t>Regulations about Boards of Directors in China</w:t>
      </w:r>
    </w:p>
    <w:p w14:paraId="7856E44A" w14:textId="3A1AC186" w:rsidR="00746786" w:rsidRPr="004E7E5A" w:rsidRDefault="00746786" w:rsidP="00746786">
      <w:pPr>
        <w:pStyle w:val="a7"/>
        <w:spacing w:line="480" w:lineRule="auto"/>
        <w:ind w:firstLine="480"/>
        <w:rPr>
          <w:rFonts w:cs="Times New Roman"/>
        </w:rPr>
      </w:pPr>
      <w:r w:rsidRPr="004E7E5A">
        <w:rPr>
          <w:rFonts w:cs="Times New Roman"/>
        </w:rPr>
        <w:t xml:space="preserve">Similar to the US Securities and Exchange Commission (SEC), the China Securities Regulatory Commission (CSRC) is the national regulatory body that oversees the securities and futures industry. </w:t>
      </w:r>
      <w:r w:rsidRPr="004E7E5A">
        <w:rPr>
          <w:rFonts w:cs="Times New Roman"/>
          <w:szCs w:val="28"/>
        </w:rPr>
        <w:t>The two Chinese stock exchanges (Shanghai and Shenzhen) were founded in the early 1990s,</w:t>
      </w:r>
      <w:r w:rsidRPr="004E7E5A">
        <w:rPr>
          <w:rFonts w:cs="Times New Roman"/>
        </w:rPr>
        <w:t xml:space="preserve"> </w:t>
      </w:r>
      <w:r w:rsidRPr="004E7E5A">
        <w:rPr>
          <w:rFonts w:cs="Times New Roman"/>
          <w:szCs w:val="28"/>
        </w:rPr>
        <w:t>and</w:t>
      </w:r>
      <w:r w:rsidRPr="004E7E5A">
        <w:rPr>
          <w:rFonts w:cs="Times New Roman"/>
        </w:rPr>
        <w:t xml:space="preserve"> there have been more than 4000</w:t>
      </w:r>
      <w:r w:rsidRPr="004E7E5A">
        <w:rPr>
          <w:rFonts w:cs="Times New Roman"/>
          <w:szCs w:val="28"/>
        </w:rPr>
        <w:t xml:space="preserve"> listed firms</w:t>
      </w:r>
      <w:r w:rsidRPr="004E7E5A">
        <w:rPr>
          <w:rFonts w:cs="Times New Roman"/>
        </w:rPr>
        <w:t xml:space="preserve"> by 2020</w:t>
      </w:r>
      <w:r w:rsidRPr="004E7E5A">
        <w:rPr>
          <w:rFonts w:cs="Times New Roman"/>
          <w:szCs w:val="28"/>
        </w:rPr>
        <w:t xml:space="preserve">, including state-owned-enterprises </w:t>
      </w:r>
      <w:r w:rsidR="00C85962">
        <w:rPr>
          <w:rFonts w:cs="Times New Roman"/>
          <w:szCs w:val="28"/>
        </w:rPr>
        <w:t>(</w:t>
      </w:r>
      <w:r w:rsidR="00C85962" w:rsidRPr="004E7E5A">
        <w:rPr>
          <w:rFonts w:cs="Times New Roman"/>
          <w:szCs w:val="24"/>
        </w:rPr>
        <w:t>S</w:t>
      </w:r>
      <w:r w:rsidR="00C85962">
        <w:rPr>
          <w:rFonts w:cs="Times New Roman"/>
          <w:szCs w:val="24"/>
        </w:rPr>
        <w:t>OEs</w:t>
      </w:r>
      <w:r w:rsidR="00C85962">
        <w:rPr>
          <w:rFonts w:cs="Times New Roman"/>
          <w:szCs w:val="28"/>
        </w:rPr>
        <w:t xml:space="preserve">) </w:t>
      </w:r>
      <w:r w:rsidRPr="004E7E5A">
        <w:rPr>
          <w:rFonts w:cs="Times New Roman"/>
          <w:szCs w:val="28"/>
        </w:rPr>
        <w:t>and privately controlled firms.</w:t>
      </w:r>
      <w:r w:rsidRPr="004E7E5A">
        <w:rPr>
          <w:rStyle w:val="af4"/>
          <w:rFonts w:cs="Times New Roman"/>
          <w:szCs w:val="28"/>
        </w:rPr>
        <w:footnoteReference w:id="2"/>
      </w:r>
      <w:r w:rsidRPr="004E7E5A">
        <w:rPr>
          <w:rFonts w:cs="Times New Roman"/>
        </w:rPr>
        <w:t xml:space="preserve"> </w:t>
      </w:r>
      <w:r w:rsidR="00C85962" w:rsidRPr="004E7E5A">
        <w:rPr>
          <w:rFonts w:cs="Times New Roman"/>
          <w:szCs w:val="24"/>
        </w:rPr>
        <w:t>S</w:t>
      </w:r>
      <w:r w:rsidR="00C85962">
        <w:rPr>
          <w:rFonts w:cs="Times New Roman"/>
          <w:szCs w:val="24"/>
        </w:rPr>
        <w:t>OEs</w:t>
      </w:r>
      <w:r w:rsidRPr="004E7E5A">
        <w:rPr>
          <w:rFonts w:cs="Times New Roman"/>
          <w:szCs w:val="28"/>
        </w:rPr>
        <w:t xml:space="preserve"> in China sell shares to outside investors, but the government still maintains considerable ownership and control of these firms.</w:t>
      </w:r>
      <w:r w:rsidRPr="004E7E5A">
        <w:rPr>
          <w:rFonts w:cs="Times New Roman"/>
        </w:rPr>
        <w:t xml:space="preserve"> CSRC published some regulations on corporate governance and issued the new Guidelines for Governance of Listed Firms on September 30, 2018. In October 2018, the new version of the Company Law in China also provided a series of rules for directors. </w:t>
      </w:r>
    </w:p>
    <w:p w14:paraId="3880DE0C" w14:textId="0B3FF98D" w:rsidR="00746786" w:rsidRPr="004E7E5A" w:rsidRDefault="00746786" w:rsidP="00746786">
      <w:pPr>
        <w:pStyle w:val="a7"/>
        <w:spacing w:line="480" w:lineRule="auto"/>
        <w:ind w:firstLine="480"/>
        <w:rPr>
          <w:rFonts w:cs="Times New Roman"/>
        </w:rPr>
      </w:pPr>
      <w:r w:rsidRPr="004E7E5A">
        <w:rPr>
          <w:rFonts w:cs="Times New Roman"/>
        </w:rPr>
        <w:t>Prior research provide</w:t>
      </w:r>
      <w:r w:rsidR="00176D49" w:rsidRPr="004E7E5A">
        <w:rPr>
          <w:rFonts w:cs="Times New Roman"/>
        </w:rPr>
        <w:t>s</w:t>
      </w:r>
      <w:r w:rsidRPr="004E7E5A">
        <w:rPr>
          <w:rFonts w:cs="Times New Roman"/>
        </w:rPr>
        <w:t xml:space="preserve"> evidence that directors have reputation </w:t>
      </w:r>
      <w:r w:rsidRPr="004E7E5A">
        <w:rPr>
          <w:rFonts w:cs="Times New Roman"/>
        </w:rPr>
        <w:fldChar w:fldCharType="begin"/>
      </w:r>
      <w:r w:rsidR="00317C6A" w:rsidRPr="004E7E5A">
        <w:rPr>
          <w:rFonts w:cs="Times New Roman"/>
        </w:rPr>
        <w:instrText xml:space="preserve"> ADDIN EN.CITE &lt;EndNote&gt;&lt;Cite&gt;&lt;Author&gt;Fama&lt;/Author&gt;&lt;Year&gt;1983&lt;/Year&gt;&lt;RecNum&gt;1695&lt;/RecNum&gt;&lt;DisplayText&gt;(Fama 1983; Srinivasan 2005)&lt;/DisplayText&gt;&lt;record&gt;&lt;rec-number&gt;1695&lt;/rec-number&gt;&lt;foreign-keys&gt;&lt;key app="EN" db-id="trr00pfsbzzex0ezwf6v5swd9fpfpwfa90xp" timestamp="1582024502" guid="c5760cc6-f927-40f9-9610-c7138b7ee420"&gt;1695&lt;/key&gt;&lt;/foreign-keys&gt;&lt;ref-type name="Journal Article"&gt;17&lt;/ref-type&gt;&lt;contributors&gt;&lt;authors&gt;&lt;author&gt;Fama, Eugene F., and Michael C. Jensen.&lt;/author&gt;&lt;/authors&gt;&lt;/contributors&gt;&lt;titles&gt;&lt;title&gt;Separation of ownership and control&lt;/title&gt;&lt;secondary-title&gt;The journal of law and Economics&lt;/secondary-title&gt;&lt;/titles&gt;&lt;periodical&gt;&lt;full-title&gt;The journal of law and Economics&lt;/full-title&gt;&lt;/periodical&gt;&lt;pages&gt;301-325&lt;/pages&gt;&lt;volume&gt;26&lt;/volume&gt;&lt;number&gt;2&lt;/number&gt;&lt;dates&gt;&lt;year&gt;1983&lt;/year&gt;&lt;/dates&gt;&lt;urls&gt;&lt;/urls&gt;&lt;/record&gt;&lt;/Cite&gt;&lt;Cite&gt;&lt;Author&gt;Srinivasan&lt;/Author&gt;&lt;Year&gt;2005&lt;/Year&gt;&lt;RecNum&gt;1999&lt;/RecNum&gt;&lt;record&gt;&lt;rec-number&gt;1999&lt;/rec-number&gt;&lt;foreign-keys&gt;&lt;key app="EN" db-id="trr00pfsbzzex0ezwf6v5swd9fpfpwfa90xp" timestamp="1626658709" guid="c0fbd280-ba8e-4c77-bb9e-0b8d34da014b"&gt;1999&lt;/key&gt;&lt;/foreign-keys&gt;&lt;ref-type name="Journal Article"&gt;17&lt;/ref-type&gt;&lt;contributors&gt;&lt;authors&gt;&lt;author&gt;Srinivasan, S.&lt;/author&gt;&lt;/authors&gt;&lt;/contributors&gt;&lt;titles&gt;&lt;title&gt;Consequences of financial reporting failure for outside directors: Evidence from accounting restatements and audit committee members&lt;/title&gt;&lt;secondary-title&gt;Journal of Accounting Research&lt;/secondary-title&gt;&lt;/titles&gt;&lt;periodical&gt;&lt;full-title&gt;Journal of Accounting Research&lt;/full-title&gt;&lt;/periodical&gt;&lt;pages&gt;291-334&lt;/pages&gt;&lt;volume&gt;43&lt;/volume&gt;&lt;number&gt;2&lt;/number&gt;&lt;dates&gt;&lt;year&gt;2005&lt;/year&gt;&lt;/dates&gt;&lt;urls&gt;&lt;/urls&gt;&lt;electronic-resource-num&gt;DOI: 10.1111/j.1475-679x.2005.00172.x&lt;/electronic-resource-num&gt;&lt;/record&gt;&lt;/Cite&gt;&lt;/EndNote&gt;</w:instrText>
      </w:r>
      <w:r w:rsidRPr="004E7E5A">
        <w:rPr>
          <w:rFonts w:cs="Times New Roman"/>
        </w:rPr>
        <w:fldChar w:fldCharType="separate"/>
      </w:r>
      <w:r w:rsidRPr="004E7E5A">
        <w:rPr>
          <w:rFonts w:cs="Times New Roman"/>
          <w:noProof/>
        </w:rPr>
        <w:t>(Fama 1983; Srinivasan 2005)</w:t>
      </w:r>
      <w:r w:rsidRPr="004E7E5A">
        <w:rPr>
          <w:rFonts w:cs="Times New Roman"/>
        </w:rPr>
        <w:fldChar w:fldCharType="end"/>
      </w:r>
      <w:r w:rsidRPr="004E7E5A">
        <w:rPr>
          <w:rFonts w:cs="Times New Roman"/>
        </w:rPr>
        <w:t xml:space="preserve"> and legal incentives </w:t>
      </w:r>
      <w:r w:rsidRPr="004E7E5A">
        <w:rPr>
          <w:rFonts w:cs="Times New Roman"/>
        </w:rPr>
        <w:fldChar w:fldCharType="begin"/>
      </w:r>
      <w:r w:rsidR="006F6C86" w:rsidRPr="004E7E5A">
        <w:rPr>
          <w:rFonts w:cs="Times New Roman"/>
        </w:rPr>
        <w:instrText xml:space="preserve"> ADDIN EN.CITE &lt;EndNote&gt;&lt;Cite&gt;&lt;Author&gt;Brochet&lt;/Author&gt;&lt;Year&gt;2014&lt;/Year&gt;&lt;RecNum&gt;2097&lt;/RecNum&gt;&lt;DisplayText&gt;(Brochet and Srinivasan 2014)&lt;/DisplayText&gt;&lt;record&gt;&lt;rec-number&gt;2097&lt;/rec-number&gt;&lt;foreign-keys&gt;&lt;key app="EN" db-id="trr00pfsbzzex0ezwf6v5swd9fpfpwfa90xp" timestamp="1629895368" guid="1cf7ffe7-36e0-4168-bdba-ce67d04a10cf"&gt;2097&lt;/key&gt;&lt;/foreign-keys&gt;&lt;ref-type name="Journal Article"&gt;17&lt;/ref-type&gt;&lt;contributors&gt;&lt;authors&gt;&lt;author&gt;Brochet, F.&lt;/author&gt;&lt;author&gt;Srinivasan, S.&lt;/author&gt;&lt;/authors&gt;&lt;/contributors&gt;&lt;titles&gt;&lt;title&gt;Accountability of independent directors: Evidence from firms subject to securities litigation&lt;/title&gt;&lt;secondary-title&gt;Journal of Financial Economics&lt;/secondary-title&gt;&lt;/titles&gt;&lt;periodical&gt;&lt;full-title&gt;Journal of Financial Economics&lt;/full-title&gt;&lt;/periodical&gt;&lt;pages&gt;430-449&lt;/pages&gt;&lt;volume&gt;111&lt;/volume&gt;&lt;number&gt;2&lt;/number&gt;&lt;dates&gt;&lt;year&gt;2014&lt;/year&gt;&lt;/dates&gt;&lt;urls&gt;&lt;/urls&gt;&lt;/record&gt;&lt;/Cite&gt;&lt;/EndNote&gt;</w:instrText>
      </w:r>
      <w:r w:rsidRPr="004E7E5A">
        <w:rPr>
          <w:rFonts w:cs="Times New Roman"/>
        </w:rPr>
        <w:fldChar w:fldCharType="separate"/>
      </w:r>
      <w:r w:rsidRPr="004E7E5A">
        <w:rPr>
          <w:rFonts w:cs="Times New Roman"/>
          <w:noProof/>
        </w:rPr>
        <w:t>(Brochet and Srinivasan 2014)</w:t>
      </w:r>
      <w:r w:rsidRPr="004E7E5A">
        <w:rPr>
          <w:rFonts w:cs="Times New Roman"/>
        </w:rPr>
        <w:fldChar w:fldCharType="end"/>
      </w:r>
      <w:r w:rsidRPr="004E7E5A">
        <w:rPr>
          <w:rFonts w:cs="Times New Roman"/>
        </w:rPr>
        <w:t xml:space="preserve"> to monitor managers’ behavior </w:t>
      </w:r>
      <w:r w:rsidRPr="004E7E5A">
        <w:rPr>
          <w:rFonts w:cs="Times New Roman"/>
        </w:rPr>
        <w:fldChar w:fldCharType="begin"/>
      </w:r>
      <w:r w:rsidR="00317C6A" w:rsidRPr="004E7E5A">
        <w:rPr>
          <w:rFonts w:cs="Times New Roman"/>
        </w:rPr>
        <w:instrText xml:space="preserve"> ADDIN EN.CITE &lt;EndNote&gt;&lt;Cite&gt;&lt;Author&gt;Mizruchi&lt;/Author&gt;&lt;Year&gt;1996&lt;/Year&gt;&lt;RecNum&gt;1701&lt;/RecNum&gt;&lt;DisplayText&gt;(Mizruchi 1996; Omer et al. 2019)&lt;/DisplayText&gt;&lt;record&gt;&lt;rec-number&gt;1701&lt;/rec-number&gt;&lt;foreign-keys&gt;&lt;key app="EN" db-id="trr00pfsbzzex0ezwf6v5swd9fpfpwfa90xp" timestamp="1582107891" guid="9637e3df-0fd7-4b75-ab31-503e5fb8e35c"&gt;1701&lt;/key&gt;&lt;/foreign-keys&gt;&lt;ref-type name="Journal Article"&gt;17&lt;/ref-type&gt;&lt;contributors&gt;&lt;authors&gt;&lt;author&gt;Mizruchi, Mark S&lt;/author&gt;&lt;/authors&gt;&lt;/contributors&gt;&lt;titles&gt;&lt;title&gt;What do interlocks do? An analysis, critique, and assessment of research on interlocking directorates&lt;/title&gt;&lt;secondary-title&gt;Annual review of sociology&lt;/secondary-title&gt;&lt;/titles&gt;&lt;periodical&gt;&lt;full-title&gt;Annual review of sociology&lt;/full-title&gt;&lt;/periodical&gt;&lt;pages&gt;271-298&lt;/pages&gt;&lt;volume&gt;22&lt;/volume&gt;&lt;number&gt;1&lt;/number&gt;&lt;dates&gt;&lt;year&gt;1996&lt;/year&gt;&lt;/dates&gt;&lt;urls&gt;&lt;/urls&gt;&lt;/record&gt;&lt;/Cite&gt;&lt;Cite&gt;&lt;Author&gt;Omer&lt;/Author&gt;&lt;Year&gt;2019&lt;/Year&gt;&lt;RecNum&gt;1863&lt;/RecNum&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cs="Times New Roman"/>
        </w:rPr>
        <w:fldChar w:fldCharType="separate"/>
      </w:r>
      <w:r w:rsidRPr="004E7E5A">
        <w:rPr>
          <w:rFonts w:cs="Times New Roman"/>
          <w:noProof/>
        </w:rPr>
        <w:t>(Mizruchi 1996; Omer et al. 2019)</w:t>
      </w:r>
      <w:r w:rsidRPr="004E7E5A">
        <w:rPr>
          <w:rFonts w:cs="Times New Roman"/>
        </w:rPr>
        <w:fldChar w:fldCharType="end"/>
      </w:r>
      <w:r w:rsidRPr="004E7E5A">
        <w:rPr>
          <w:rFonts w:cs="Times New Roman"/>
        </w:rPr>
        <w:t xml:space="preserve">. We highlight some of the regulations about board of directors as follows: 1) Directors shall perform their duties diligently, and ensure that they have </w:t>
      </w:r>
      <w:r w:rsidRPr="004E7E5A">
        <w:rPr>
          <w:rFonts w:cs="Times New Roman"/>
        </w:rPr>
        <w:lastRenderedPageBreak/>
        <w:t xml:space="preserve">enough time to perform their duties. Directors who violate laws and regulations shall be liable for compensation. 2) Directors serve for a term of 3 years and the term is renewable. 3) Listed firms are required to have a minimum of 5 directors and a maximum of 19 directors. 4) The chairman and vice-chairman shall be elected by more than half of all the directors of the board of directors, and members of the board of directors may also serve as the company manager. 5) The responsibilities of directors include: convene meetings, implement shareholder resolutions, make major operational and investment decisions, make major financial decisions, and evaluate the firm’s top managers </w:t>
      </w:r>
      <w:r w:rsidRPr="004E7E5A">
        <w:rPr>
          <w:rFonts w:cs="Times New Roman"/>
        </w:rPr>
        <w:fldChar w:fldCharType="begin"/>
      </w:r>
      <w:r w:rsidR="001A1175" w:rsidRPr="004E7E5A">
        <w:rPr>
          <w:rFonts w:cs="Times New Roman"/>
        </w:rPr>
        <w:instrText xml:space="preserve"> ADDIN EN.CITE &lt;EndNote&gt;&lt;Cite&gt;&lt;Author&gt;Marquis&lt;/Author&gt;&lt;Year&gt;2014&lt;/Year&gt;&lt;RecNum&gt;1620&lt;/RecNum&gt;&lt;DisplayText&gt;(Marquis and Qian 2014)&lt;/DisplayText&gt;&lt;record&gt;&lt;rec-number&gt;1620&lt;/rec-number&gt;&lt;foreign-keys&gt;&lt;key app="EN" db-id="trr00pfsbzzex0ezwf6v5swd9fpfpwfa90xp" timestamp="1581337202" guid="e5f6383e-c2f8-4b88-af50-cfc44695e8a1"&gt;1620&lt;/key&gt;&lt;/foreign-keys&gt;&lt;ref-type name="Journal Article"&gt;17&lt;/ref-type&gt;&lt;contributors&gt;&lt;authors&gt;&lt;author&gt;Marquis, Christopher&lt;/author&gt;&lt;author&gt;Qian, Cuili&lt;/author&gt;&lt;/authors&gt;&lt;/contributors&gt;&lt;titles&gt;&lt;title&gt;Corporate social responsibility reporting in China: Symbol or substance?&lt;/title&gt;&lt;secondary-title&gt;Organization Science&lt;/secondary-title&gt;&lt;/titles&gt;&lt;periodical&gt;&lt;full-title&gt;Organization Science&lt;/full-title&gt;&lt;/periodical&gt;&lt;pages&gt;127-148&lt;/pages&gt;&lt;volume&gt;25&lt;/volume&gt;&lt;number&gt;1&lt;/number&gt;&lt;section&gt;127&lt;/section&gt;&lt;dates&gt;&lt;year&gt;2014&lt;/year&gt;&lt;/dates&gt;&lt;isbn&gt;1047-7039&amp;#xD;1526-5455&lt;/isbn&gt;&lt;urls&gt;&lt;/urls&gt;&lt;electronic-resource-num&gt;10.1287/orsc.2013.0837&lt;/electronic-resource-num&gt;&lt;/record&gt;&lt;/Cite&gt;&lt;/EndNote&gt;</w:instrText>
      </w:r>
      <w:r w:rsidRPr="004E7E5A">
        <w:rPr>
          <w:rFonts w:cs="Times New Roman"/>
        </w:rPr>
        <w:fldChar w:fldCharType="separate"/>
      </w:r>
      <w:r w:rsidRPr="004E7E5A">
        <w:rPr>
          <w:rFonts w:cs="Times New Roman"/>
          <w:noProof/>
        </w:rPr>
        <w:t>(Marquis and Qian 2014)</w:t>
      </w:r>
      <w:r w:rsidRPr="004E7E5A">
        <w:rPr>
          <w:rFonts w:cs="Times New Roman"/>
        </w:rPr>
        <w:fldChar w:fldCharType="end"/>
      </w:r>
      <w:r w:rsidRPr="004E7E5A">
        <w:rPr>
          <w:rFonts w:cs="Times New Roman"/>
        </w:rPr>
        <w:t>. Since June 30, 2003, the company must have at least one-third of the seats on the board of directors held by independent directors. Independent directors of the company shall not be associated with the company, be one of the top ten shareholders or hold more than 1% of the shares of the company.</w:t>
      </w:r>
    </w:p>
    <w:p w14:paraId="26166FAC" w14:textId="77777777" w:rsidR="00D83C35" w:rsidRPr="004E7E5A" w:rsidRDefault="00D83C35" w:rsidP="00D83C35">
      <w:pPr>
        <w:pStyle w:val="4"/>
        <w:spacing w:before="0" w:after="0" w:line="480" w:lineRule="auto"/>
        <w:rPr>
          <w:color w:val="000000" w:themeColor="text1"/>
        </w:rPr>
      </w:pPr>
      <w:r w:rsidRPr="004E7E5A">
        <w:rPr>
          <w:color w:val="000000" w:themeColor="text1"/>
        </w:rPr>
        <w:t>CSR Reporting in China</w:t>
      </w:r>
    </w:p>
    <w:p w14:paraId="45C6E430" w14:textId="71D027DF" w:rsidR="00D83C35" w:rsidRPr="004E7E5A" w:rsidRDefault="00D83C35" w:rsidP="00D83C35">
      <w:pPr>
        <w:pStyle w:val="a7"/>
        <w:spacing w:line="480" w:lineRule="auto"/>
        <w:ind w:firstLine="480"/>
        <w:rPr>
          <w:rFonts w:cs="Times New Roman"/>
          <w:szCs w:val="28"/>
        </w:rPr>
      </w:pPr>
      <w:r w:rsidRPr="004E7E5A">
        <w:rPr>
          <w:rFonts w:cs="Times New Roman"/>
        </w:rPr>
        <w:t>Defined as “</w:t>
      </w:r>
      <w:r w:rsidRPr="004E7E5A">
        <w:rPr>
          <w:rFonts w:cs="Times New Roman"/>
          <w:szCs w:val="24"/>
        </w:rPr>
        <w:t>a commitment to improve societal wellbeing through discretionary business practices and contributions of corporate resources</w:t>
      </w:r>
      <w:r w:rsidRPr="004E7E5A">
        <w:rPr>
          <w:rFonts w:cs="Times New Roman"/>
        </w:rPr>
        <w:t xml:space="preserve">”, </w:t>
      </w:r>
      <w:r w:rsidRPr="004E7E5A">
        <w:rPr>
          <w:rFonts w:cs="Times New Roman"/>
          <w:szCs w:val="24"/>
        </w:rPr>
        <w:t xml:space="preserve">CSR has gained growing attention around the world </w:t>
      </w:r>
      <w:r w:rsidRPr="004E7E5A">
        <w:rPr>
          <w:rFonts w:cs="Times New Roman"/>
          <w:szCs w:val="24"/>
        </w:rPr>
        <w:fldChar w:fldCharType="begin"/>
      </w:r>
      <w:r w:rsidR="00317C6A" w:rsidRPr="004E7E5A">
        <w:rPr>
          <w:rFonts w:cs="Times New Roman"/>
          <w:szCs w:val="24"/>
        </w:rPr>
        <w:instrText xml:space="preserve"> ADDIN EN.CITE &lt;EndNote&gt;&lt;Cite&gt;&lt;Author&gt;Du&lt;/Author&gt;&lt;Year&gt;2010&lt;/Year&gt;&lt;RecNum&gt;1997&lt;/RecNum&gt;&lt;DisplayText&gt;(Du et al. 2010; Rao and Tilt 2015)&lt;/DisplayText&gt;&lt;record&gt;&lt;rec-number&gt;1997&lt;/rec-number&gt;&lt;foreign-keys&gt;&lt;key app="EN" db-id="trr00pfsbzzex0ezwf6v5swd9fpfpwfa90xp" timestamp="1626397524" guid="d53142fa-d8c1-4b86-b282-f4366a440721"&gt;1997&lt;/key&gt;&lt;/foreign-keys&gt;&lt;ref-type name="Journal Article"&gt;17&lt;/ref-type&gt;&lt;contributors&gt;&lt;authors&gt;&lt;author&gt;Du, S.&lt;/author&gt;&lt;author&gt;Bhattacharya, C. B.&lt;/author&gt;&lt;author&gt;Sen, S.&lt;/author&gt;&lt;/authors&gt;&lt;/contributors&gt;&lt;titles&gt;&lt;title&gt;Maximizing business returns to corporate social responsibility  (CSR): The role of CSR communication&lt;/title&gt;&lt;secondary-title&gt;International Journal of Management Reviews&lt;/secondary-title&gt;&lt;/titles&gt;&lt;periodical&gt;&lt;full-title&gt;International journal of management reviews&lt;/full-title&gt;&lt;/periodical&gt;&lt;pages&gt;8-19&lt;/pages&gt;&lt;volume&gt;12&lt;/volume&gt;&lt;number&gt;1&lt;/number&gt;&lt;dates&gt;&lt;year&gt;2010&lt;/year&gt;&lt;/dates&gt;&lt;urls&gt;&lt;/urls&gt;&lt;/record&gt;&lt;/Cite&gt;&lt;Cite&gt;&lt;Author&gt;Rao&lt;/Author&gt;&lt;Year&gt;2015&lt;/Year&gt;&lt;RecNum&gt;124&lt;/RecNum&gt;&lt;record&gt;&lt;rec-number&gt;124&lt;/rec-number&gt;&lt;foreign-keys&gt;&lt;key app="EN" db-id="trr00pfsbzzex0ezwf6v5swd9fpfpwfa90xp" timestamp="1580912168" guid="e2fcf112-0c4f-4012-86c0-6da5f63ee0ab"&gt;124&lt;/key&gt;&lt;/foreign-keys&gt;&lt;ref-type name="Journal Article"&gt;17&lt;/ref-type&gt;&lt;contributors&gt;&lt;authors&gt;&lt;author&gt;Rao, Kathyayini&lt;/author&gt;&lt;author&gt;Tilt, Carol&lt;/author&gt;&lt;/authors&gt;&lt;/contributors&gt;&lt;titles&gt;&lt;title&gt;Board composition and corporate social responsibility: The role of diversity, gender, strategy and decision making&lt;/title&gt;&lt;secondary-title&gt;Journal of Business Ethics&lt;/secondary-title&gt;&lt;/titles&gt;&lt;periodical&gt;&lt;full-title&gt;Journal of Business Ethics&lt;/full-title&gt;&lt;/periodical&gt;&lt;pages&gt;327-347&lt;/pages&gt;&lt;volume&gt;138&lt;/volume&gt;&lt;number&gt;2&lt;/number&gt;&lt;section&gt;327&lt;/section&gt;&lt;dates&gt;&lt;year&gt;2015&lt;/year&gt;&lt;/dates&gt;&lt;isbn&gt;0167-4544&amp;#xD;1573-0697&lt;/isbn&gt;&lt;urls&gt;&lt;/urls&gt;&lt;electronic-resource-num&gt;10.1007/s10551-015-2613-5&lt;/electronic-resource-num&gt;&lt;/record&gt;&lt;/Cite&gt;&lt;/EndNote&gt;</w:instrText>
      </w:r>
      <w:r w:rsidRPr="004E7E5A">
        <w:rPr>
          <w:rFonts w:cs="Times New Roman"/>
          <w:szCs w:val="24"/>
        </w:rPr>
        <w:fldChar w:fldCharType="separate"/>
      </w:r>
      <w:r w:rsidRPr="004E7E5A">
        <w:rPr>
          <w:rFonts w:cs="Times New Roman"/>
          <w:noProof/>
          <w:szCs w:val="24"/>
        </w:rPr>
        <w:t>(Du et al. 2010; Rao and Tilt 2015)</w:t>
      </w:r>
      <w:r w:rsidRPr="004E7E5A">
        <w:rPr>
          <w:rFonts w:cs="Times New Roman"/>
          <w:szCs w:val="24"/>
        </w:rPr>
        <w:fldChar w:fldCharType="end"/>
      </w:r>
      <w:r w:rsidRPr="004E7E5A">
        <w:rPr>
          <w:rFonts w:cs="Times New Roman"/>
          <w:szCs w:val="24"/>
        </w:rPr>
        <w:t>.</w:t>
      </w:r>
      <w:r w:rsidRPr="004E7E5A">
        <w:rPr>
          <w:rFonts w:cs="Times New Roman"/>
        </w:rPr>
        <w:t xml:space="preserve"> </w:t>
      </w:r>
      <w:r w:rsidRPr="004E7E5A">
        <w:rPr>
          <w:rFonts w:cs="Times New Roman"/>
          <w:szCs w:val="28"/>
        </w:rPr>
        <w:t xml:space="preserve">Global firms have introduced CSR reports since the 1990s, and more than 80% of the largest firms worldwide issued CSR reports by 2005 </w:t>
      </w:r>
      <w:r w:rsidRPr="004E7E5A">
        <w:rPr>
          <w:rFonts w:cs="Times New Roman"/>
          <w:szCs w:val="28"/>
        </w:rPr>
        <w:fldChar w:fldCharType="begin"/>
      </w:r>
      <w:r w:rsidR="001A1175" w:rsidRPr="004E7E5A">
        <w:rPr>
          <w:rFonts w:cs="Times New Roman"/>
          <w:szCs w:val="28"/>
        </w:rPr>
        <w:instrText xml:space="preserve"> ADDIN EN.CITE &lt;EndNote&gt;&lt;Cite&gt;&lt;Author&gt;Marquis&lt;/Author&gt;&lt;Year&gt;2014&lt;/Year&gt;&lt;RecNum&gt;1620&lt;/RecNum&gt;&lt;DisplayText&gt;(Marquis and Qian 2014)&lt;/DisplayText&gt;&lt;record&gt;&lt;rec-number&gt;1620&lt;/rec-number&gt;&lt;foreign-keys&gt;&lt;key app="EN" db-id="trr00pfsbzzex0ezwf6v5swd9fpfpwfa90xp" timestamp="1581337202" guid="e5f6383e-c2f8-4b88-af50-cfc44695e8a1"&gt;1620&lt;/key&gt;&lt;/foreign-keys&gt;&lt;ref-type name="Journal Article"&gt;17&lt;/ref-type&gt;&lt;contributors&gt;&lt;authors&gt;&lt;author&gt;Marquis, Christopher&lt;/author&gt;&lt;author&gt;Qian, Cuili&lt;/author&gt;&lt;/authors&gt;&lt;/contributors&gt;&lt;titles&gt;&lt;title&gt;Corporate social responsibility reporting in China: Symbol or substance?&lt;/title&gt;&lt;secondary-title&gt;Organization Science&lt;/secondary-title&gt;&lt;/titles&gt;&lt;periodical&gt;&lt;full-title&gt;Organization Science&lt;/full-title&gt;&lt;/periodical&gt;&lt;pages&gt;127-148&lt;/pages&gt;&lt;volume&gt;25&lt;/volume&gt;&lt;number&gt;1&lt;/number&gt;&lt;section&gt;127&lt;/section&gt;&lt;dates&gt;&lt;year&gt;2014&lt;/year&gt;&lt;/dates&gt;&lt;isbn&gt;1047-7039&amp;#xD;1526-5455&lt;/isbn&gt;&lt;urls&gt;&lt;/urls&gt;&lt;electronic-resource-num&gt;10.1287/orsc.2013.0837&lt;/electronic-resource-num&gt;&lt;/record&gt;&lt;/Cite&gt;&lt;/EndNote&gt;</w:instrText>
      </w:r>
      <w:r w:rsidRPr="004E7E5A">
        <w:rPr>
          <w:rFonts w:cs="Times New Roman"/>
          <w:szCs w:val="28"/>
        </w:rPr>
        <w:fldChar w:fldCharType="separate"/>
      </w:r>
      <w:r w:rsidRPr="004E7E5A">
        <w:rPr>
          <w:rFonts w:cs="Times New Roman"/>
          <w:noProof/>
          <w:szCs w:val="28"/>
        </w:rPr>
        <w:t>(Marquis and Qian 2014)</w:t>
      </w:r>
      <w:r w:rsidRPr="004E7E5A">
        <w:rPr>
          <w:rFonts w:cs="Times New Roman"/>
          <w:szCs w:val="28"/>
        </w:rPr>
        <w:fldChar w:fldCharType="end"/>
      </w:r>
      <w:r w:rsidRPr="004E7E5A">
        <w:rPr>
          <w:rFonts w:cs="Times New Roman"/>
          <w:szCs w:val="28"/>
        </w:rPr>
        <w:t xml:space="preserve">. Compared to the large firms in the developed countries, Chinese firms’ CSR reporting activities started relatively late. </w:t>
      </w:r>
      <w:r w:rsidRPr="004E7E5A">
        <w:rPr>
          <w:rFonts w:cs="Times New Roman" w:hint="eastAsia"/>
          <w:szCs w:val="28"/>
        </w:rPr>
        <w:t>T</w:t>
      </w:r>
      <w:r w:rsidRPr="004E7E5A">
        <w:rPr>
          <w:rFonts w:cs="Times New Roman"/>
          <w:szCs w:val="28"/>
        </w:rPr>
        <w:t>he most significant regulatory change that affected mandatory disclosure requirements was the Code of Corporate Governance for Listed Companies in China, which was issued by the CSRC and the State Economic and Trade Commission on 7th January 2002.</w:t>
      </w:r>
      <w:r w:rsidRPr="004E7E5A">
        <w:rPr>
          <w:rStyle w:val="af4"/>
          <w:rFonts w:cs="Times New Roman"/>
          <w:szCs w:val="28"/>
        </w:rPr>
        <w:footnoteReference w:id="3"/>
      </w:r>
      <w:r w:rsidRPr="004E7E5A">
        <w:rPr>
          <w:rFonts w:cs="Times New Roman"/>
          <w:szCs w:val="28"/>
        </w:rPr>
        <w:t xml:space="preserve"> It requires that audit committees be responsible for the </w:t>
      </w:r>
      <w:r w:rsidRPr="004E7E5A">
        <w:rPr>
          <w:rFonts w:cs="Times New Roman"/>
          <w:szCs w:val="28"/>
        </w:rPr>
        <w:lastRenderedPageBreak/>
        <w:t xml:space="preserve">company’s financial disclosure. It also highlights the requirement for </w:t>
      </w:r>
      <w:r w:rsidR="00FC57C3" w:rsidRPr="004E7E5A">
        <w:rPr>
          <w:rFonts w:cs="Times New Roman"/>
        </w:rPr>
        <w:t>“</w:t>
      </w:r>
      <w:r w:rsidRPr="004E7E5A">
        <w:rPr>
          <w:rFonts w:cs="Times New Roman"/>
          <w:szCs w:val="28"/>
        </w:rPr>
        <w:t>ongoing information disclosure</w:t>
      </w:r>
      <w:r w:rsidR="00FC57C3" w:rsidRPr="004E7E5A">
        <w:rPr>
          <w:rFonts w:cs="Times New Roman"/>
        </w:rPr>
        <w:t>”</w:t>
      </w:r>
      <w:r w:rsidRPr="004E7E5A">
        <w:rPr>
          <w:rFonts w:cs="Times New Roman"/>
          <w:szCs w:val="28"/>
        </w:rPr>
        <w:t xml:space="preserve"> and stresses the disclosure of information concerning corporate governance and controlling shareholders’ interests. In 2018, the CSRC issued the revised version </w:t>
      </w:r>
      <w:r w:rsidRPr="004E7E5A">
        <w:rPr>
          <w:rFonts w:cs="Times New Roman" w:hint="eastAsia"/>
          <w:szCs w:val="28"/>
        </w:rPr>
        <w:t>of</w:t>
      </w:r>
      <w:r w:rsidRPr="004E7E5A">
        <w:rPr>
          <w:rFonts w:cs="Times New Roman"/>
          <w:szCs w:val="28"/>
        </w:rPr>
        <w:t xml:space="preserve"> the Code of Corporate Governance for Listed Companies, stating that listed companies should actively perform their social responsibilities. According to Article 95 of Chapter 9 (Information Disclosure and Transparency), listed companies shall disclose environmental information and perform social responsibilities related to poverty alleviation in accordance with laws and relevant regulation</w:t>
      </w:r>
      <w:r w:rsidR="00B41262" w:rsidRPr="004E7E5A">
        <w:rPr>
          <w:rFonts w:cs="Times New Roman"/>
          <w:szCs w:val="28"/>
        </w:rPr>
        <w:t>.</w:t>
      </w:r>
    </w:p>
    <w:p w14:paraId="7A2CE2F2" w14:textId="7E1A48D8" w:rsidR="00D83C35" w:rsidRPr="004E7E5A" w:rsidRDefault="00C3661A" w:rsidP="00D83C35">
      <w:pPr>
        <w:pStyle w:val="a7"/>
        <w:spacing w:line="480" w:lineRule="auto"/>
        <w:ind w:firstLine="480"/>
        <w:rPr>
          <w:rFonts w:cs="Times New Roman"/>
          <w:szCs w:val="28"/>
        </w:rPr>
      </w:pPr>
      <w:r w:rsidRPr="004E7E5A">
        <w:rPr>
          <w:rFonts w:cs="Times New Roman" w:hint="eastAsia"/>
          <w:szCs w:val="28"/>
        </w:rPr>
        <w:t>S</w:t>
      </w:r>
      <w:r w:rsidRPr="004E7E5A">
        <w:rPr>
          <w:rFonts w:cs="Times New Roman"/>
          <w:szCs w:val="28"/>
        </w:rPr>
        <w:t>tand-alone CSR/sustainability reporting is encouraged in China.</w:t>
      </w:r>
      <w:r w:rsidRPr="004E7E5A">
        <w:rPr>
          <w:rFonts w:cs="Times New Roman" w:hint="eastAsia"/>
          <w:szCs w:val="28"/>
        </w:rPr>
        <w:t xml:space="preserve"> </w:t>
      </w:r>
      <w:r w:rsidR="00D83C35" w:rsidRPr="004E7E5A">
        <w:rPr>
          <w:rFonts w:cs="Times New Roman"/>
          <w:szCs w:val="28"/>
        </w:rPr>
        <w:t xml:space="preserve">The Shenzhen Stock Exchange Social Responsibility Instructions to Listed Firms Guidelines were launched in September 2006, which was the earliest regulation to encourage the issuance of voluntary CSR reports by Shenzhen listed </w:t>
      </w:r>
      <w:r w:rsidR="00D83C35" w:rsidRPr="004E7E5A">
        <w:rPr>
          <w:rFonts w:cs="Times New Roman" w:hint="eastAsia"/>
          <w:szCs w:val="28"/>
        </w:rPr>
        <w:t>firm</w:t>
      </w:r>
      <w:r w:rsidR="00D83C35" w:rsidRPr="004E7E5A">
        <w:rPr>
          <w:rFonts w:cs="Times New Roman"/>
          <w:szCs w:val="28"/>
        </w:rPr>
        <w:t>s. These guidelines encourage listed firms to publish CSR report</w:t>
      </w:r>
      <w:r w:rsidR="00D83C35" w:rsidRPr="004E7E5A">
        <w:rPr>
          <w:rFonts w:cs="Times New Roman" w:hint="eastAsia"/>
          <w:szCs w:val="28"/>
        </w:rPr>
        <w:t>s</w:t>
      </w:r>
      <w:r w:rsidR="00D83C35" w:rsidRPr="004E7E5A">
        <w:rPr>
          <w:rFonts w:cs="Times New Roman"/>
          <w:szCs w:val="28"/>
        </w:rPr>
        <w:t xml:space="preserve"> along with their annual reports. In responses to the government initiative, some large </w:t>
      </w:r>
      <w:r w:rsidR="00515C40" w:rsidRPr="004E7E5A">
        <w:rPr>
          <w:rFonts w:cs="Times New Roman"/>
          <w:szCs w:val="24"/>
        </w:rPr>
        <w:t>S</w:t>
      </w:r>
      <w:r w:rsidR="00515C40">
        <w:rPr>
          <w:rFonts w:cs="Times New Roman"/>
          <w:szCs w:val="24"/>
        </w:rPr>
        <w:t>OEs</w:t>
      </w:r>
      <w:r w:rsidR="00D83C35" w:rsidRPr="004E7E5A">
        <w:rPr>
          <w:rFonts w:cs="Times New Roman"/>
          <w:szCs w:val="28"/>
        </w:rPr>
        <w:t xml:space="preserve">, such as China Ocean Shipping Company, China Mobile and </w:t>
      </w:r>
      <w:proofErr w:type="spellStart"/>
      <w:r w:rsidR="00D83C35" w:rsidRPr="004E7E5A">
        <w:rPr>
          <w:rFonts w:cs="Times New Roman"/>
          <w:szCs w:val="28"/>
        </w:rPr>
        <w:t>Baosteel</w:t>
      </w:r>
      <w:proofErr w:type="spellEnd"/>
      <w:r w:rsidR="00D83C35" w:rsidRPr="004E7E5A">
        <w:rPr>
          <w:rFonts w:cs="Times New Roman"/>
          <w:szCs w:val="28"/>
        </w:rPr>
        <w:t xml:space="preserve"> Group, issued annual sustainable development reports or CSR reports since 2006.</w:t>
      </w:r>
    </w:p>
    <w:p w14:paraId="270B5221" w14:textId="59BEF674" w:rsidR="00D83C35" w:rsidRPr="004E7E5A" w:rsidRDefault="00D83C35" w:rsidP="00D83C35">
      <w:pPr>
        <w:pStyle w:val="a7"/>
        <w:spacing w:line="480" w:lineRule="auto"/>
        <w:ind w:firstLine="480"/>
        <w:rPr>
          <w:rFonts w:cs="Times New Roman"/>
          <w:szCs w:val="24"/>
        </w:rPr>
      </w:pPr>
      <w:r w:rsidRPr="004E7E5A">
        <w:rPr>
          <w:rFonts w:cs="Times New Roman" w:hint="eastAsia"/>
          <w:szCs w:val="28"/>
        </w:rPr>
        <w:t>I</w:t>
      </w:r>
      <w:r w:rsidRPr="004E7E5A">
        <w:rPr>
          <w:rFonts w:cs="Times New Roman"/>
          <w:szCs w:val="24"/>
        </w:rPr>
        <w:t xml:space="preserve">n January 2008, the Guideline for CSR of </w:t>
      </w:r>
      <w:r w:rsidR="00515C40" w:rsidRPr="004E7E5A">
        <w:rPr>
          <w:rFonts w:cs="Times New Roman"/>
          <w:szCs w:val="24"/>
        </w:rPr>
        <w:t>S</w:t>
      </w:r>
      <w:r w:rsidR="00515C40">
        <w:rPr>
          <w:rFonts w:cs="Times New Roman"/>
          <w:szCs w:val="24"/>
        </w:rPr>
        <w:t>OEs</w:t>
      </w:r>
      <w:r w:rsidR="00C85962">
        <w:rPr>
          <w:rFonts w:cs="Times New Roman"/>
          <w:szCs w:val="24"/>
        </w:rPr>
        <w:t xml:space="preserve"> </w:t>
      </w:r>
      <w:r w:rsidRPr="004E7E5A">
        <w:rPr>
          <w:rFonts w:cs="Times New Roman" w:hint="eastAsia"/>
          <w:szCs w:val="24"/>
        </w:rPr>
        <w:t>C</w:t>
      </w:r>
      <w:r w:rsidRPr="004E7E5A">
        <w:rPr>
          <w:rFonts w:cs="Times New Roman"/>
          <w:szCs w:val="24"/>
        </w:rPr>
        <w:t xml:space="preserve">ontrolled by the </w:t>
      </w:r>
      <w:r w:rsidRPr="004E7E5A">
        <w:rPr>
          <w:rFonts w:cs="Times New Roman" w:hint="eastAsia"/>
          <w:szCs w:val="24"/>
        </w:rPr>
        <w:t>C</w:t>
      </w:r>
      <w:r w:rsidRPr="004E7E5A">
        <w:rPr>
          <w:rFonts w:cs="Times New Roman"/>
          <w:szCs w:val="24"/>
        </w:rPr>
        <w:t xml:space="preserve">entral </w:t>
      </w:r>
      <w:r w:rsidRPr="004E7E5A">
        <w:rPr>
          <w:rFonts w:cs="Times New Roman" w:hint="eastAsia"/>
          <w:szCs w:val="24"/>
        </w:rPr>
        <w:t>G</w:t>
      </w:r>
      <w:r w:rsidRPr="004E7E5A">
        <w:rPr>
          <w:rFonts w:cs="Times New Roman"/>
          <w:szCs w:val="24"/>
        </w:rPr>
        <w:t xml:space="preserve">overnment was </w:t>
      </w:r>
      <w:r w:rsidRPr="004E7E5A">
        <w:rPr>
          <w:rFonts w:cs="Times New Roman" w:hint="eastAsia"/>
          <w:szCs w:val="24"/>
        </w:rPr>
        <w:t>issued</w:t>
      </w:r>
      <w:r w:rsidRPr="004E7E5A">
        <w:rPr>
          <w:rFonts w:cs="Times New Roman"/>
          <w:szCs w:val="24"/>
        </w:rPr>
        <w:t xml:space="preserve"> </w:t>
      </w:r>
      <w:r w:rsidRPr="004E7E5A">
        <w:rPr>
          <w:rFonts w:cs="Times New Roman" w:hint="eastAsia"/>
          <w:szCs w:val="24"/>
        </w:rPr>
        <w:t>by</w:t>
      </w:r>
      <w:r w:rsidRPr="004E7E5A">
        <w:rPr>
          <w:rFonts w:cs="Times New Roman"/>
          <w:szCs w:val="24"/>
        </w:rPr>
        <w:t xml:space="preserve"> </w:t>
      </w:r>
      <w:r w:rsidRPr="004E7E5A">
        <w:rPr>
          <w:rFonts w:cs="Times New Roman" w:hint="eastAsia"/>
          <w:szCs w:val="24"/>
        </w:rPr>
        <w:t>t</w:t>
      </w:r>
      <w:r w:rsidRPr="004E7E5A">
        <w:rPr>
          <w:rFonts w:cs="Times New Roman"/>
          <w:szCs w:val="24"/>
        </w:rPr>
        <w:t xml:space="preserve">he State Council </w:t>
      </w:r>
      <w:r w:rsidRPr="004E7E5A">
        <w:rPr>
          <w:rFonts w:cs="Times New Roman" w:hint="eastAsia"/>
          <w:szCs w:val="24"/>
        </w:rPr>
        <w:t>encourages</w:t>
      </w:r>
      <w:r w:rsidRPr="004E7E5A">
        <w:rPr>
          <w:rFonts w:cs="Times New Roman"/>
          <w:szCs w:val="24"/>
        </w:rPr>
        <w:t xml:space="preserve"> SOEs to establish and improve </w:t>
      </w:r>
      <w:r w:rsidRPr="004E7E5A">
        <w:rPr>
          <w:rFonts w:cs="Times New Roman" w:hint="eastAsia"/>
          <w:szCs w:val="24"/>
        </w:rPr>
        <w:t>the</w:t>
      </w:r>
      <w:r w:rsidRPr="004E7E5A">
        <w:rPr>
          <w:rFonts w:cs="Times New Roman"/>
          <w:szCs w:val="24"/>
        </w:rPr>
        <w:t xml:space="preserve"> system and mechanisms for CSR practices. SOEs controlled b</w:t>
      </w:r>
      <w:r w:rsidRPr="004E7E5A">
        <w:rPr>
          <w:rFonts w:cs="Times New Roman" w:hint="eastAsia"/>
          <w:szCs w:val="24"/>
        </w:rPr>
        <w:t>y</w:t>
      </w:r>
      <w:r w:rsidRPr="004E7E5A">
        <w:rPr>
          <w:rFonts w:cs="Times New Roman"/>
          <w:szCs w:val="24"/>
        </w:rPr>
        <w:t xml:space="preserve"> the central government are </w:t>
      </w:r>
      <w:r w:rsidRPr="004E7E5A">
        <w:rPr>
          <w:rFonts w:cs="Times New Roman" w:hint="eastAsia"/>
          <w:szCs w:val="24"/>
        </w:rPr>
        <w:t>encourage</w:t>
      </w:r>
      <w:r w:rsidRPr="004E7E5A">
        <w:rPr>
          <w:rFonts w:cs="Times New Roman"/>
          <w:szCs w:val="24"/>
        </w:rPr>
        <w:t>d to publish CSR reports or sustainability reports to disclose the current status, plans and measures of CSR.</w:t>
      </w:r>
      <w:r w:rsidRPr="004E7E5A">
        <w:rPr>
          <w:rFonts w:cs="Times New Roman" w:hint="eastAsia"/>
          <w:szCs w:val="24"/>
        </w:rPr>
        <w:t xml:space="preserve"> </w:t>
      </w:r>
      <w:r w:rsidRPr="004E7E5A">
        <w:rPr>
          <w:rFonts w:cs="Times New Roman"/>
          <w:szCs w:val="28"/>
        </w:rPr>
        <w:t xml:space="preserve">In December 2008, the Shanghai and Shenzhen Stock Exchanges, in their annual report </w:t>
      </w:r>
      <w:r w:rsidRPr="004E7E5A">
        <w:rPr>
          <w:rFonts w:cs="Times New Roman"/>
          <w:szCs w:val="28"/>
        </w:rPr>
        <w:lastRenderedPageBreak/>
        <w:t>notice for listed companies, began to require listed companies in major sectors to publish CSR reports before April 2009. The relevant disclosure sectors include: Shenzhen Stock Exchange 100 index sector, Shanghai stock market corporate governance sector, overseas cross-listing sector and financial industry. At the same time, the notice encouraged other listed firms to make voluntary disclosures. The notice also expanded the scope of specific disclosures. For example, the Shenzhen Stock Exchange required that the CSR report include the protection of the rights and interests of shareholders and creditors, the protection of the rights and interests of employees, the protection of the rights and interests of suppliers, customers and consumers, public relations, and social welfare.</w:t>
      </w:r>
    </w:p>
    <w:p w14:paraId="785A8B56" w14:textId="5366BD4C" w:rsidR="00D83C35" w:rsidRPr="004E7E5A" w:rsidRDefault="00D83C35" w:rsidP="00D83C35">
      <w:pPr>
        <w:pStyle w:val="a7"/>
        <w:spacing w:line="480" w:lineRule="auto"/>
        <w:ind w:firstLine="480"/>
        <w:rPr>
          <w:rFonts w:cs="Times New Roman"/>
          <w:szCs w:val="28"/>
        </w:rPr>
      </w:pPr>
      <w:r w:rsidRPr="004E7E5A">
        <w:rPr>
          <w:rFonts w:cs="Times New Roman"/>
          <w:szCs w:val="28"/>
        </w:rPr>
        <w:t>Apart from the stand-alone CSR/sustainability reports, annual report disclosure regulatory initiatives also encourage CSR reporting practices in annual reports in China. The CSRC’s revised Guidelines for the Standards for the Content and Form of Information Disclosure by Companies Publicly Offering Securities No. 2</w:t>
      </w:r>
      <w:r w:rsidR="000304E8" w:rsidRPr="004E7E5A">
        <w:rPr>
          <w:rFonts w:cs="Times New Roman"/>
          <w:szCs w:val="28"/>
        </w:rPr>
        <w:t>-</w:t>
      </w:r>
      <w:r w:rsidRPr="004E7E5A">
        <w:rPr>
          <w:rFonts w:cs="Times New Roman"/>
          <w:szCs w:val="28"/>
        </w:rPr>
        <w:t xml:space="preserve"> Content and Form of Annual Reports in December 2005 clearly</w:t>
      </w:r>
      <w:r w:rsidRPr="004E7E5A">
        <w:t xml:space="preserve"> </w:t>
      </w:r>
      <w:r w:rsidRPr="004E7E5A">
        <w:rPr>
          <w:rFonts w:cs="Times New Roman"/>
          <w:szCs w:val="28"/>
        </w:rPr>
        <w:t>required that listed companies disclose the content of “corporate governance” in their annual reports, requiring that companies refer to the regulatory documents on listed companies issued by the CSRC to explain corporate governance issues. If there is any difference between the practices and the requirements of this document, it should be clearly explained. Since 2001, listed companies have added the content of “corporate governance” in their annual reports, and a considerable number of companies have also disclosed information about the company</w:t>
      </w:r>
      <w:r w:rsidRPr="004E7E5A">
        <w:rPr>
          <w:rFonts w:eastAsia="MS Mincho" w:cs="Times New Roman"/>
          <w:szCs w:val="24"/>
        </w:rPr>
        <w:t>’</w:t>
      </w:r>
      <w:r w:rsidRPr="004E7E5A">
        <w:rPr>
          <w:rFonts w:cs="Times New Roman"/>
          <w:szCs w:val="28"/>
        </w:rPr>
        <w:t>s practices of social responsibilities in their annual reports.</w:t>
      </w:r>
      <w:r w:rsidRPr="004E7E5A">
        <w:rPr>
          <w:rFonts w:cs="Times New Roman" w:hint="eastAsia"/>
          <w:szCs w:val="28"/>
        </w:rPr>
        <w:t xml:space="preserve"> </w:t>
      </w:r>
      <w:r w:rsidRPr="004E7E5A">
        <w:rPr>
          <w:rFonts w:cs="Times New Roman"/>
          <w:szCs w:val="28"/>
        </w:rPr>
        <w:t xml:space="preserve">The revised version in 2016 (article 42), encouraged companies to take the initiative to disclose CSR practices. If the company has disclosed a stand-alone CSR/sustainability report, a query index </w:t>
      </w:r>
      <w:r w:rsidRPr="004E7E5A">
        <w:rPr>
          <w:rFonts w:cs="Times New Roman"/>
          <w:szCs w:val="28"/>
        </w:rPr>
        <w:lastRenderedPageBreak/>
        <w:t>is needed in the annual report.</w:t>
      </w:r>
      <w:r w:rsidRPr="004E7E5A">
        <w:rPr>
          <w:rStyle w:val="af4"/>
          <w:rFonts w:cs="Times New Roman"/>
          <w:szCs w:val="28"/>
        </w:rPr>
        <w:footnoteReference w:id="4"/>
      </w:r>
      <w:r w:rsidRPr="004E7E5A">
        <w:rPr>
          <w:rFonts w:cs="Times New Roman"/>
          <w:szCs w:val="28"/>
        </w:rPr>
        <w:t xml:space="preserve"> The revised version was issued in 2021, introducing a new chapter on environmental and social responsibility.</w:t>
      </w:r>
      <w:r w:rsidRPr="004E7E5A">
        <w:t xml:space="preserve"> </w:t>
      </w:r>
      <w:r w:rsidRPr="004E7E5A">
        <w:rPr>
          <w:rFonts w:cs="Times New Roman"/>
          <w:szCs w:val="28"/>
        </w:rPr>
        <w:t>Article 42 Encouraged listed companies to actively disclose their CSR practices, including but not limited to: the company’s purpose and philosophy in performing CSR, the protection of the rights and interests of shareholders and creditors, the protection of the rights and interests of employees, the protection of the rights and interests of suppliers, customers and consumers, environment protection and sustainable development, public relations, and social welfare. In addition, a company should disclose administrative penalties due to environmental issues during the reporting period in annual reports. Companies are encouraged to voluntarily disclose the measures and effects they have taken during the reporting period to reduce their carbon emissions, as well as the achievements in poverty alleviation and rural vitalization.</w:t>
      </w:r>
    </w:p>
    <w:p w14:paraId="44A049CB" w14:textId="63F7F284" w:rsidR="00D83C35" w:rsidRPr="004E7E5A" w:rsidRDefault="00D83C35" w:rsidP="00D83C35">
      <w:pPr>
        <w:pStyle w:val="a7"/>
        <w:spacing w:line="480" w:lineRule="auto"/>
        <w:ind w:firstLine="480"/>
        <w:rPr>
          <w:rFonts w:cs="Times New Roman"/>
        </w:rPr>
      </w:pPr>
      <w:r w:rsidRPr="004E7E5A">
        <w:rPr>
          <w:rFonts w:cs="Times New Roman"/>
          <w:szCs w:val="28"/>
        </w:rPr>
        <w:t xml:space="preserve">However, </w:t>
      </w:r>
      <w:r w:rsidRPr="004E7E5A">
        <w:rPr>
          <w:rFonts w:cs="Times New Roman"/>
          <w:szCs w:val="24"/>
        </w:rPr>
        <w:t xml:space="preserve">CSR regulations in China are loosely implemented and the quality of these reports varies significantly (Liao et al., 2016), and the assurance rate of CSR/sustainability reports in China is lower than that of some developed countries </w:t>
      </w:r>
      <w:r w:rsidRPr="004E7E5A">
        <w:rPr>
          <w:rFonts w:cs="Times New Roman"/>
          <w:szCs w:val="24"/>
        </w:rPr>
        <w:fldChar w:fldCharType="begin"/>
      </w:r>
      <w:r w:rsidR="001A1175" w:rsidRPr="004E7E5A">
        <w:rPr>
          <w:rFonts w:cs="Times New Roman"/>
          <w:szCs w:val="24"/>
        </w:rPr>
        <w:instrText xml:space="preserve"> ADDIN EN.CITE &lt;EndNote&gt;&lt;Cite&gt;&lt;Author&gt;Liao&lt;/Author&gt;&lt;Year&gt;2016&lt;/Year&gt;&lt;RecNum&gt;318&lt;/RecNum&gt;&lt;DisplayText&gt;(Liao et al. 2016)&lt;/DisplayText&gt;&lt;record&gt;&lt;rec-number&gt;318&lt;/rec-number&gt;&lt;foreign-keys&gt;&lt;key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szCs w:val="24"/>
        </w:rPr>
        <w:fldChar w:fldCharType="separate"/>
      </w:r>
      <w:r w:rsidRPr="004E7E5A">
        <w:rPr>
          <w:rFonts w:cs="Times New Roman"/>
          <w:noProof/>
          <w:szCs w:val="24"/>
        </w:rPr>
        <w:t>(Liao et al. 2016)</w:t>
      </w:r>
      <w:r w:rsidRPr="004E7E5A">
        <w:rPr>
          <w:rFonts w:cs="Times New Roman"/>
          <w:szCs w:val="24"/>
        </w:rPr>
        <w:fldChar w:fldCharType="end"/>
      </w:r>
      <w:r w:rsidRPr="004E7E5A">
        <w:rPr>
          <w:rFonts w:cs="Times New Roman"/>
          <w:szCs w:val="24"/>
        </w:rPr>
        <w:t xml:space="preserve">. </w:t>
      </w:r>
      <w:r w:rsidRPr="004E7E5A">
        <w:rPr>
          <w:rFonts w:cs="Times New Roman"/>
        </w:rPr>
        <w:t xml:space="preserve">Therefore, the credibility of CSR reporting in emerging markets is often viewed as low </w:t>
      </w:r>
      <w:r w:rsidRPr="004E7E5A">
        <w:rPr>
          <w:rFonts w:cs="Times New Roman"/>
        </w:rPr>
        <w:fldChar w:fldCharType="begin"/>
      </w:r>
      <w:r w:rsidR="001A1175" w:rsidRPr="004E7E5A">
        <w:rPr>
          <w:rFonts w:cs="Times New Roman"/>
        </w:rPr>
        <w:instrText xml:space="preserve"> ADDIN EN.CITE &lt;EndNote&gt;&lt;Cite&gt;&lt;Author&gt;Katmon&lt;/Author&gt;&lt;Year&gt;2017&lt;/Year&gt;&lt;RecNum&gt;114&lt;/RecNum&gt;&lt;DisplayText&gt;(Katmon et al. 2017)&lt;/DisplayText&gt;&lt;record&gt;&lt;rec-number&gt;114&lt;/rec-number&gt;&lt;foreign-keys&gt;&lt;key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(Katmon et al. 2017)</w:t>
      </w:r>
      <w:r w:rsidRPr="004E7E5A">
        <w:rPr>
          <w:rFonts w:cs="Times New Roman"/>
        </w:rPr>
        <w:fldChar w:fldCharType="end"/>
      </w:r>
      <w:r w:rsidRPr="004E7E5A">
        <w:rPr>
          <w:rFonts w:cs="Times New Roman"/>
        </w:rPr>
        <w:t xml:space="preserve">, and the adoption of CSR disclosure in emerging markets is considered as less effective </w:t>
      </w:r>
      <w:r w:rsidRPr="004E7E5A">
        <w:rPr>
          <w:rFonts w:cs="Times New Roman"/>
        </w:rPr>
        <w:fldChar w:fldCharType="begin"/>
      </w:r>
      <w:r w:rsidR="001A1175" w:rsidRPr="004E7E5A">
        <w:rPr>
          <w:rFonts w:cs="Times New Roman"/>
        </w:rPr>
        <w:instrText xml:space="preserve"> ADDIN EN.CITE &lt;EndNote&gt;&lt;Cite&gt;&lt;Author&gt;Chapple&lt;/Author&gt;&lt;Year&gt;2005&lt;/Year&gt;&lt;RecNum&gt;2011&lt;/RecNum&gt;&lt;DisplayText&gt;(Chapple and Moon 2005; Katmon et al. 2017)&lt;/DisplayText&gt;&lt;record&gt;&lt;rec-number&gt;2011&lt;/rec-number&gt;&lt;foreign-keys&gt;&lt;key app="EN" db-id="trr00pfsbzzex0ezwf6v5swd9fpfpwfa90xp" timestamp="1626853109" guid="eb41dd29-2bc1-4771-9293-0f1035806098"&gt;2011&lt;/key&gt;&lt;/foreign-keys&gt;&lt;ref-type name="Journal Article"&gt;17&lt;/ref-type&gt;&lt;contributors&gt;&lt;authors&gt;&lt;author&gt;Chapple, W.&lt;/author&gt;&lt;author&gt;Moon, J.&lt;/author&gt;&lt;/authors&gt;&lt;/contributors&gt;&lt;titles&gt;&lt;title&gt;Corporate social responsibility (CSR) in Asia: A seven-country study of CSR web site reporting&lt;/title&gt;&lt;secondary-title&gt;Business &amp;amp; Society&lt;/secondary-title&gt;&lt;/titles&gt;&lt;periodical&gt;&lt;full-title&gt;Business &amp;amp; Society&lt;/full-title&gt;&lt;/periodical&gt;&lt;pages&gt;415-441&lt;/pages&gt;&lt;volume&gt;44&lt;/volume&gt;&lt;number&gt;4&lt;/number&gt;&lt;dates&gt;&lt;year&gt;2005&lt;/year&gt;&lt;/dates&gt;&lt;urls&gt;&lt;/urls&gt;&lt;/record&gt;&lt;/Cite&gt;&lt;Cite&gt;&lt;Author&gt;Katmon&lt;/Author&gt;&lt;Year&gt;2017&lt;/Year&gt;&lt;RecNum&gt;114&lt;/RecNum&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(Chapple and Moon 2005; Katmon et al. 2017)</w:t>
      </w:r>
      <w:r w:rsidRPr="004E7E5A">
        <w:rPr>
          <w:rFonts w:cs="Times New Roman"/>
        </w:rPr>
        <w:fldChar w:fldCharType="end"/>
      </w:r>
      <w:r w:rsidRPr="004E7E5A">
        <w:rPr>
          <w:rFonts w:cs="Times New Roman"/>
        </w:rPr>
        <w:t xml:space="preserve">. </w:t>
      </w:r>
    </w:p>
    <w:p w14:paraId="402D460B" w14:textId="77777777" w:rsidR="00746786" w:rsidRPr="004E7E5A" w:rsidRDefault="00746786" w:rsidP="00746786">
      <w:pPr>
        <w:pStyle w:val="a5"/>
        <w:rPr>
          <w:rFonts w:ascii="Times New Roman" w:hAnsi="Times New Roman" w:cs="Times New Roman"/>
          <w:color w:val="000000" w:themeColor="text1"/>
          <w:szCs w:val="28"/>
        </w:rPr>
      </w:pPr>
      <w:r w:rsidRPr="004E7E5A">
        <w:rPr>
          <w:rFonts w:ascii="Times New Roman" w:hAnsi="Times New Roman" w:cs="Times New Roman"/>
          <w:color w:val="000000" w:themeColor="text1"/>
          <w:szCs w:val="28"/>
        </w:rPr>
        <w:lastRenderedPageBreak/>
        <w:t>Literature and Hypotheses Development</w:t>
      </w:r>
    </w:p>
    <w:p w14:paraId="23E4E9A4" w14:textId="77777777" w:rsidR="00746786" w:rsidRPr="004E7E5A" w:rsidRDefault="00746786" w:rsidP="00746786">
      <w:pPr>
        <w:pStyle w:val="4"/>
        <w:spacing w:before="0" w:after="0" w:line="480" w:lineRule="auto"/>
        <w:rPr>
          <w:color w:val="000000" w:themeColor="text1"/>
        </w:rPr>
      </w:pPr>
      <w:r w:rsidRPr="004E7E5A">
        <w:rPr>
          <w:color w:val="000000" w:themeColor="text1"/>
        </w:rPr>
        <w:t>Literature Review</w:t>
      </w:r>
    </w:p>
    <w:p w14:paraId="1FE403A9" w14:textId="77777777" w:rsidR="00746786" w:rsidRPr="004E7E5A" w:rsidRDefault="00746786" w:rsidP="00746786">
      <w:pPr>
        <w:pStyle w:val="4"/>
        <w:spacing w:before="0" w:after="0" w:line="480" w:lineRule="auto"/>
        <w:rPr>
          <w:color w:val="000000" w:themeColor="text1"/>
        </w:rPr>
      </w:pPr>
      <w:r w:rsidRPr="004E7E5A">
        <w:rPr>
          <w:i/>
          <w:iCs/>
          <w:color w:val="000000" w:themeColor="text1"/>
        </w:rPr>
        <w:t>Literature on CSR disclosure quality</w:t>
      </w:r>
    </w:p>
    <w:p w14:paraId="096D1E06" w14:textId="74EB0EA1" w:rsidR="00746786" w:rsidRPr="008378AE" w:rsidRDefault="00746786" w:rsidP="00B9756B">
      <w:pPr>
        <w:autoSpaceDE w:val="0"/>
        <w:autoSpaceDN w:val="0"/>
        <w:adjustRightInd w:val="0"/>
        <w:spacing w:line="480" w:lineRule="auto"/>
        <w:ind w:firstLineChars="200" w:firstLine="480"/>
        <w:rPr>
          <w:rFonts w:ascii="Times New Roman" w:hAnsi="Times New Roman"/>
          <w:iCs/>
          <w:color w:val="C00000"/>
          <w:sz w:val="24"/>
          <w:szCs w:val="24"/>
        </w:rPr>
      </w:pPr>
      <w:r w:rsidRPr="004E7E5A">
        <w:rPr>
          <w:rFonts w:ascii="Times New Roman" w:hAnsi="Times New Roman"/>
          <w:iCs/>
          <w:color w:val="000000" w:themeColor="text1"/>
          <w:sz w:val="24"/>
          <w:szCs w:val="24"/>
        </w:rPr>
        <w:t xml:space="preserve">Previous literature has paid much attention to investigating the determinants of CSR disclosure quality. </w:t>
      </w:r>
      <w:r w:rsidR="00BD369E" w:rsidRPr="004E7E5A">
        <w:rPr>
          <w:rFonts w:ascii="Times New Roman" w:hAnsi="Times New Roman"/>
          <w:iCs/>
          <w:color w:val="000000" w:themeColor="text1"/>
          <w:sz w:val="24"/>
          <w:szCs w:val="24"/>
        </w:rPr>
        <w:t xml:space="preserve">For example, </w:t>
      </w:r>
      <w:r w:rsidR="00BD369E" w:rsidRPr="004E7E5A">
        <w:rPr>
          <w:rFonts w:ascii="Times New Roman" w:hAnsi="Times New Roman"/>
          <w:iCs/>
          <w:color w:val="000000" w:themeColor="text1"/>
          <w:sz w:val="24"/>
          <w:szCs w:val="24"/>
        </w:rPr>
        <w:fldChar w:fldCharType="begin"/>
      </w:r>
      <w:r w:rsidR="006F6C86" w:rsidRPr="004E7E5A">
        <w:rPr>
          <w:rFonts w:ascii="Times New Roman" w:hAnsi="Times New Roman"/>
          <w:iCs/>
          <w:color w:val="000000" w:themeColor="text1"/>
          <w:sz w:val="24"/>
          <w:szCs w:val="24"/>
        </w:rPr>
        <w:instrText xml:space="preserve"> ADDIN EN.CITE &lt;EndNote&gt;&lt;Cite AuthorYear="1"&gt;&lt;Author&gt;Rupley&lt;/Author&gt;&lt;Year&gt;2012&lt;/Year&gt;&lt;RecNum&gt;2269&lt;/RecNum&gt;&lt;DisplayText&gt;Rupley et al. (2012)&lt;/DisplayText&gt;&lt;record&gt;&lt;rec-number&gt;2269&lt;/rec-number&gt;&lt;foreign-keys&gt;&lt;key app="EN" db-id="trr00pfsbzzex0ezwf6v5swd9fpfpwfa90xp" timestamp="1638623369" guid="1955d188-e879-41e3-a93d-17b99e4d2261"&gt;2269&lt;/key&gt;&lt;/foreign-keys&gt;&lt;ref-type name="Journal Article"&gt;17&lt;/ref-type&gt;&lt;contributors&gt;&lt;authors&gt;&lt;author&gt;Rupley, Kathleen Hertz&lt;/author&gt;&lt;author&gt;Brown, Darrell&lt;/author&gt;&lt;author&gt;Marshall, R. Scott&lt;/author&gt;&lt;/authors&gt;&lt;/contributors&gt;&lt;titles&gt;&lt;title&gt;Governance, media and the quality of environmental disclosure&lt;/title&gt;&lt;secondary-title&gt;Journal of Accounting and Public Policy&lt;/secondary-title&gt;&lt;/titles&gt;&lt;periodical&gt;&lt;full-title&gt;Journal of Accounting and Public Policy&lt;/full-title&gt;&lt;/periodical&gt;&lt;pages&gt;610-640&lt;/pages&gt;&lt;volume&gt;31&lt;/volume&gt;&lt;number&gt;6&lt;/number&gt;&lt;dates&gt;&lt;year&gt;2012&lt;/year&gt;&lt;pub-dates&gt;&lt;date&gt;2012/11/01/&lt;/date&gt;&lt;/pub-dates&gt;&lt;/dates&gt;&lt;isbn&gt;0278-4254&lt;/isbn&gt;&lt;urls&gt;&lt;related-urls&gt;&lt;url&gt;https://www.sciencedirect.com/science/article/pii/S0278425412000683&lt;/url&gt;&lt;/related-urls&gt;&lt;/urls&gt;&lt;electronic-resource-num&gt;https://doi.org/10.1016/j.jaccpubpol.2012.09.002&lt;/electronic-resource-num&gt;&lt;/record&gt;&lt;/Cite&gt;&lt;/EndNote&gt;</w:instrText>
      </w:r>
      <w:r w:rsidR="00BD369E" w:rsidRPr="004E7E5A">
        <w:rPr>
          <w:rFonts w:ascii="Times New Roman" w:hAnsi="Times New Roman"/>
          <w:iCs/>
          <w:color w:val="000000" w:themeColor="text1"/>
          <w:sz w:val="24"/>
          <w:szCs w:val="24"/>
        </w:rPr>
        <w:fldChar w:fldCharType="separate"/>
      </w:r>
      <w:r w:rsidR="004922F5" w:rsidRPr="004E7E5A">
        <w:rPr>
          <w:rFonts w:ascii="Times New Roman" w:hAnsi="Times New Roman"/>
          <w:iCs/>
          <w:noProof/>
          <w:color w:val="000000" w:themeColor="text1"/>
          <w:sz w:val="24"/>
          <w:szCs w:val="24"/>
        </w:rPr>
        <w:t>Rupley et al. (2012)</w:t>
      </w:r>
      <w:r w:rsidR="00BD369E" w:rsidRPr="004E7E5A">
        <w:rPr>
          <w:rFonts w:ascii="Times New Roman" w:hAnsi="Times New Roman"/>
          <w:iCs/>
          <w:color w:val="000000" w:themeColor="text1"/>
          <w:sz w:val="24"/>
          <w:szCs w:val="24"/>
        </w:rPr>
        <w:fldChar w:fldCharType="end"/>
      </w:r>
      <w:r w:rsidR="00BD369E" w:rsidRPr="004E7E5A">
        <w:rPr>
          <w:rFonts w:ascii="Times New Roman" w:hAnsi="Times New Roman"/>
          <w:iCs/>
          <w:color w:val="000000" w:themeColor="text1"/>
          <w:sz w:val="24"/>
          <w:szCs w:val="24"/>
        </w:rPr>
        <w:t xml:space="preserve"> report that CSR disclosure quality is positively associated with media coverage. Liao et al. (2015) find a significant and positive association between gender diversity in the board and the propensity to disclose CSR information and the quality of CSR disclosure. </w:t>
      </w:r>
      <w:r w:rsidR="00BD369E" w:rsidRPr="004E7E5A">
        <w:rPr>
          <w:rFonts w:ascii="Times New Roman" w:hAnsi="Times New Roman"/>
          <w:iCs/>
          <w:color w:val="000000" w:themeColor="text1"/>
          <w:sz w:val="24"/>
          <w:szCs w:val="24"/>
        </w:rPr>
        <w:fldChar w:fldCharType="begin"/>
      </w:r>
      <w:r w:rsidR="001A1175" w:rsidRPr="004E7E5A">
        <w:rPr>
          <w:rFonts w:ascii="Times New Roman" w:hAnsi="Times New Roman"/>
          <w:iCs/>
          <w:color w:val="000000" w:themeColor="text1"/>
          <w:sz w:val="24"/>
          <w:szCs w:val="24"/>
        </w:rPr>
        <w:instrText xml:space="preserve"> ADDIN EN.CITE &lt;EndNote&gt;&lt;Cite AuthorYear="1"&gt;&lt;Author&gt;Jizi&lt;/Author&gt;&lt;Year&gt;2014&lt;/Year&gt;&lt;RecNum&gt;2107&lt;/RecNum&gt;&lt;DisplayText&gt;Jizi et al. (2014)&lt;/DisplayText&gt;&lt;record&gt;&lt;rec-number&gt;2107&lt;/rec-number&gt;&lt;foreign-keys&gt;&lt;key app="EN" db-id="trr00pfsbzzex0ezwf6v5swd9fpfpwfa90xp" timestamp="1630371137" guid="f9304a0d-b9e2-4ce0-98ec-036f94bca981"&gt;2107&lt;/key&gt;&lt;/foreign-keys&gt;&lt;ref-type name="Journal Article"&gt;17&lt;/ref-type&gt;&lt;contributors&gt;&lt;authors&gt;&lt;author&gt;Jizi, M. I.&lt;/author&gt;&lt;author&gt;Salama, A.&lt;/author&gt;&lt;author&gt;Dixon, R.&lt;/author&gt;&lt;author&gt;Stratling, R.&lt;/author&gt;&lt;/authors&gt;&lt;/contributors&gt;&lt;titles&gt;&lt;title&gt;Corporate governance and corporate social responsibility disclosure: Evidence from the US banking sector&lt;/title&gt;&lt;secondary-title&gt;Journal of Business Ethics&lt;/secondary-title&gt;&lt;/titles&gt;&lt;periodical&gt;&lt;full-title&gt;Journal of Business Ethics&lt;/full-title&gt;&lt;/periodical&gt;&lt;pages&gt;601-615&lt;/pages&gt;&lt;volume&gt;125&lt;/volume&gt;&lt;number&gt;4&lt;/number&gt;&lt;dates&gt;&lt;year&gt;2014&lt;/year&gt;&lt;/dates&gt;&lt;urls&gt;&lt;/urls&gt;&lt;/record&gt;&lt;/Cite&gt;&lt;/EndNote&gt;</w:instrText>
      </w:r>
      <w:r w:rsidR="00BD369E" w:rsidRPr="004E7E5A">
        <w:rPr>
          <w:rFonts w:ascii="Times New Roman" w:hAnsi="Times New Roman"/>
          <w:iCs/>
          <w:color w:val="000000" w:themeColor="text1"/>
          <w:sz w:val="24"/>
          <w:szCs w:val="24"/>
        </w:rPr>
        <w:fldChar w:fldCharType="separate"/>
      </w:r>
      <w:r w:rsidR="00A01B4F" w:rsidRPr="004E7E5A">
        <w:rPr>
          <w:rFonts w:ascii="Times New Roman" w:hAnsi="Times New Roman"/>
          <w:iCs/>
          <w:noProof/>
          <w:color w:val="000000" w:themeColor="text1"/>
          <w:sz w:val="24"/>
          <w:szCs w:val="24"/>
        </w:rPr>
        <w:t>Jizi et al. (2014)</w:t>
      </w:r>
      <w:r w:rsidR="00BD369E" w:rsidRPr="004E7E5A">
        <w:rPr>
          <w:rFonts w:ascii="Times New Roman" w:hAnsi="Times New Roman"/>
          <w:iCs/>
          <w:color w:val="000000" w:themeColor="text1"/>
          <w:sz w:val="24"/>
          <w:szCs w:val="24"/>
        </w:rPr>
        <w:fldChar w:fldCharType="end"/>
      </w:r>
      <w:r w:rsidR="00BD369E" w:rsidRPr="004E7E5A">
        <w:rPr>
          <w:rFonts w:ascii="Times New Roman" w:hAnsi="Times New Roman"/>
          <w:iCs/>
          <w:color w:val="000000" w:themeColor="text1"/>
          <w:sz w:val="24"/>
          <w:szCs w:val="24"/>
        </w:rPr>
        <w:t xml:space="preserve"> show that two important board attributes, namely board independence and board size, are positively related to CSR disclosure quality. </w:t>
      </w:r>
      <w:r w:rsidR="00BD369E" w:rsidRPr="004E7E5A">
        <w:rPr>
          <w:rFonts w:ascii="Times New Roman" w:hAnsi="Times New Roman"/>
          <w:iCs/>
          <w:color w:val="000000" w:themeColor="text1"/>
          <w:sz w:val="24"/>
          <w:szCs w:val="24"/>
        </w:rPr>
        <w:fldChar w:fldCharType="begin"/>
      </w:r>
      <w:r w:rsidR="006F6C86" w:rsidRPr="004E7E5A">
        <w:rPr>
          <w:rFonts w:ascii="Times New Roman" w:hAnsi="Times New Roman"/>
          <w:iCs/>
          <w:color w:val="000000" w:themeColor="text1"/>
          <w:sz w:val="24"/>
          <w:szCs w:val="24"/>
        </w:rPr>
        <w:instrText xml:space="preserve"> ADDIN EN.CITE &lt;EndNote&gt;&lt;Cite AuthorYear="1"&gt;&lt;Author&gt;Martínez-Ferrero&lt;/Author&gt;&lt;Year&gt;2015&lt;/Year&gt;&lt;RecNum&gt;2257&lt;/RecNum&gt;&lt;DisplayText&gt;Martínez-Ferrero et al. (2015)&lt;/DisplayText&gt;&lt;record&gt;&lt;rec-number&gt;2257&lt;/rec-number&gt;&lt;foreign-keys&gt;&lt;key app="EN" db-id="trr00pfsbzzex0ezwf6v5swd9fpfpwfa90xp" timestamp="1638518324" guid="a2e5e00e-0c9e-4838-823e-eac5ff828d16"&gt;2257&lt;/key&gt;&lt;/foreign-keys&gt;&lt;ref-type name="Journal Article"&gt;17&lt;/ref-type&gt;&lt;contributors&gt;&lt;authors&gt;&lt;author&gt;Martínez-Ferrero, Jennifer&lt;/author&gt;&lt;author&gt;Garcia-Sanchez, Isabel M&lt;/author&gt;&lt;author&gt;Cuadrado-Ballesteros, Beatriz&lt;/author&gt;&lt;/authors&gt;&lt;/contributors&gt;&lt;titles&gt;&lt;title&gt;Effect of financial reporting quality on sustainability information disclosure&lt;/title&gt;&lt;secondary-title&gt;Corporate social responsibility and environmental management&lt;/secondary-title&gt;&lt;/titles&gt;&lt;periodical&gt;&lt;full-title&gt;Corporate Social Responsibility and Environmental Management&lt;/full-title&gt;&lt;/periodical&gt;&lt;pages&gt;45-64&lt;/pages&gt;&lt;volume&gt;22&lt;/volume&gt;&lt;number&gt;1&lt;/number&gt;&lt;dates&gt;&lt;year&gt;2015&lt;/year&gt;&lt;/dates&gt;&lt;isbn&gt;1535-3958&lt;/isbn&gt;&lt;urls&gt;&lt;/urls&gt;&lt;/record&gt;&lt;/Cite&gt;&lt;/EndNote&gt;</w:instrText>
      </w:r>
      <w:r w:rsidR="00BD369E" w:rsidRPr="004E7E5A">
        <w:rPr>
          <w:rFonts w:ascii="Times New Roman" w:hAnsi="Times New Roman"/>
          <w:iCs/>
          <w:color w:val="000000" w:themeColor="text1"/>
          <w:sz w:val="24"/>
          <w:szCs w:val="24"/>
        </w:rPr>
        <w:fldChar w:fldCharType="separate"/>
      </w:r>
      <w:r w:rsidR="00A01B4F" w:rsidRPr="004E7E5A">
        <w:rPr>
          <w:rFonts w:ascii="Times New Roman" w:hAnsi="Times New Roman"/>
          <w:iCs/>
          <w:noProof/>
          <w:color w:val="000000" w:themeColor="text1"/>
          <w:sz w:val="24"/>
          <w:szCs w:val="24"/>
        </w:rPr>
        <w:t>Martínez-Ferrero et al. (2015)</w:t>
      </w:r>
      <w:r w:rsidR="00BD369E" w:rsidRPr="004E7E5A">
        <w:rPr>
          <w:rFonts w:ascii="Times New Roman" w:hAnsi="Times New Roman"/>
          <w:iCs/>
          <w:color w:val="000000" w:themeColor="text1"/>
          <w:sz w:val="24"/>
          <w:szCs w:val="24"/>
        </w:rPr>
        <w:fldChar w:fldCharType="end"/>
      </w:r>
      <w:r w:rsidR="00BD369E" w:rsidRPr="004E7E5A">
        <w:rPr>
          <w:rFonts w:ascii="Times New Roman" w:hAnsi="Times New Roman"/>
          <w:iCs/>
          <w:color w:val="000000" w:themeColor="text1"/>
          <w:sz w:val="24"/>
          <w:szCs w:val="24"/>
        </w:rPr>
        <w:t xml:space="preserve"> document</w:t>
      </w:r>
      <w:r w:rsidRPr="004E7E5A">
        <w:rPr>
          <w:rFonts w:ascii="Times New Roman" w:hAnsi="Times New Roman"/>
          <w:iCs/>
          <w:color w:val="000000" w:themeColor="text1"/>
          <w:sz w:val="24"/>
          <w:szCs w:val="24"/>
        </w:rPr>
        <w:t xml:space="preserve"> that firms with high financial reporting quality also provide high quality CS</w:t>
      </w:r>
      <w:r w:rsidRPr="006950CA">
        <w:rPr>
          <w:rFonts w:ascii="Times New Roman" w:hAnsi="Times New Roman"/>
          <w:iCs/>
          <w:color w:val="000000" w:themeColor="text1"/>
          <w:sz w:val="24"/>
          <w:szCs w:val="24"/>
        </w:rPr>
        <w:t xml:space="preserve">R information. </w:t>
      </w:r>
      <w:r w:rsidR="00E12D2F" w:rsidRPr="006950CA">
        <w:rPr>
          <w:rFonts w:ascii="Times New Roman" w:hAnsi="Times New Roman"/>
          <w:iCs/>
          <w:color w:val="000000" w:themeColor="text1"/>
          <w:sz w:val="24"/>
          <w:szCs w:val="24"/>
        </w:rPr>
        <w:fldChar w:fldCharType="begin"/>
      </w:r>
      <w:r w:rsidR="00E607F4" w:rsidRPr="006950CA">
        <w:rPr>
          <w:rFonts w:ascii="Times New Roman" w:hAnsi="Times New Roman"/>
          <w:iCs/>
          <w:color w:val="000000" w:themeColor="text1"/>
          <w:sz w:val="24"/>
          <w:szCs w:val="24"/>
        </w:rPr>
        <w:instrText xml:space="preserve"> ADDIN EN.CITE &lt;EndNote&gt;&lt;Cite&gt;&lt;Author&gt;Hąbek&lt;/Author&gt;&lt;Year&gt;2016&lt;/Year&gt;&lt;RecNum&gt;2418&lt;/RecNum&gt;&lt;DisplayText&gt;(Hąbek and Wolniak 2016)&lt;/DisplayText&gt;&lt;record&gt;&lt;rec-number&gt;2418&lt;/rec-number&gt;&lt;foreign-keys&gt;&lt;key app="EN" db-id="trr00pfsbzzex0ezwf6v5swd9fpfpwfa90xp" timestamp="1645509367" guid="327649d4-2238-4575-97c1-d61b215dc704"&gt;2418&lt;/key&gt;&lt;/foreign-keys&gt;&lt;ref-type name="Journal Article"&gt;17&lt;/ref-type&gt;&lt;contributors&gt;&lt;authors&gt;&lt;author&gt;Hąbek, Patrycja&lt;/author&gt;&lt;author&gt;Wolniak, Radosław&lt;/author&gt;&lt;/authors&gt;&lt;/contributors&gt;&lt;titles&gt;&lt;title&gt;Assessing the quality of corporate social responsibility reports: the case of reporting practices in selected European Union member states&lt;/title&gt;&lt;secondary-title&gt;Quality &amp;amp; quantity&lt;/secondary-title&gt;&lt;/titles&gt;&lt;periodical&gt;&lt;full-title&gt;Quality &amp;amp; quantity&lt;/full-title&gt;&lt;/periodical&gt;&lt;pages&gt;399-420&lt;/pages&gt;&lt;volume&gt;50&lt;/volume&gt;&lt;number&gt;1&lt;/number&gt;&lt;dates&gt;&lt;year&gt;2016&lt;/year&gt;&lt;/dates&gt;&lt;isbn&gt;1573-7845&lt;/isbn&gt;&lt;urls&gt;&lt;/urls&gt;&lt;/record&gt;&lt;/Cite&gt;&lt;/EndNote&gt;</w:instrText>
      </w:r>
      <w:r w:rsidR="00E12D2F" w:rsidRPr="006950CA">
        <w:rPr>
          <w:rFonts w:ascii="Times New Roman" w:hAnsi="Times New Roman"/>
          <w:iCs/>
          <w:color w:val="000000" w:themeColor="text1"/>
          <w:sz w:val="24"/>
          <w:szCs w:val="24"/>
        </w:rPr>
        <w:fldChar w:fldCharType="separate"/>
      </w:r>
      <w:r w:rsidR="00E607F4" w:rsidRPr="006950CA">
        <w:rPr>
          <w:rFonts w:ascii="Times New Roman" w:hAnsi="Times New Roman"/>
          <w:iCs/>
          <w:noProof/>
          <w:color w:val="000000" w:themeColor="text1"/>
          <w:sz w:val="24"/>
          <w:szCs w:val="24"/>
        </w:rPr>
        <w:t xml:space="preserve">Hąbek and Wolniak </w:t>
      </w:r>
      <w:r w:rsidR="000E04C1" w:rsidRPr="006950CA">
        <w:rPr>
          <w:rFonts w:ascii="Times New Roman" w:hAnsi="Times New Roman"/>
          <w:iCs/>
          <w:noProof/>
          <w:color w:val="000000" w:themeColor="text1"/>
          <w:sz w:val="24"/>
          <w:szCs w:val="24"/>
        </w:rPr>
        <w:t>(</w:t>
      </w:r>
      <w:r w:rsidR="00E607F4" w:rsidRPr="006950CA">
        <w:rPr>
          <w:rFonts w:ascii="Times New Roman" w:hAnsi="Times New Roman"/>
          <w:iCs/>
          <w:noProof/>
          <w:color w:val="000000" w:themeColor="text1"/>
          <w:sz w:val="24"/>
          <w:szCs w:val="24"/>
        </w:rPr>
        <w:t>2016)</w:t>
      </w:r>
      <w:r w:rsidR="00E12D2F" w:rsidRPr="006950CA">
        <w:rPr>
          <w:rFonts w:ascii="Times New Roman" w:hAnsi="Times New Roman"/>
          <w:iCs/>
          <w:color w:val="000000" w:themeColor="text1"/>
          <w:sz w:val="24"/>
          <w:szCs w:val="24"/>
        </w:rPr>
        <w:fldChar w:fldCharType="end"/>
      </w:r>
      <w:r w:rsidR="008378AE" w:rsidRPr="006950CA">
        <w:rPr>
          <w:rFonts w:ascii="Times New Roman" w:hAnsi="Times New Roman"/>
          <w:iCs/>
          <w:color w:val="000000" w:themeColor="text1"/>
          <w:sz w:val="24"/>
          <w:szCs w:val="24"/>
        </w:rPr>
        <w:t xml:space="preserve"> document that the legal obligation of CSR data disclosure has a positive effect on the quality of CSR reports. </w:t>
      </w:r>
      <w:r w:rsidR="00E12D2F" w:rsidRPr="006950CA">
        <w:rPr>
          <w:rFonts w:ascii="Times New Roman" w:hAnsi="Times New Roman"/>
          <w:iCs/>
          <w:color w:val="000000" w:themeColor="text1"/>
          <w:sz w:val="24"/>
          <w:szCs w:val="24"/>
        </w:rPr>
        <w:fldChar w:fldCharType="begin"/>
      </w:r>
      <w:r w:rsidR="00E607F4" w:rsidRPr="006950CA">
        <w:rPr>
          <w:rFonts w:ascii="Times New Roman" w:hAnsi="Times New Roman"/>
          <w:iCs/>
          <w:color w:val="000000" w:themeColor="text1"/>
          <w:sz w:val="24"/>
          <w:szCs w:val="24"/>
        </w:rPr>
        <w:instrText xml:space="preserve"> ADDIN EN.CITE &lt;EndNote&gt;&lt;Cite&gt;&lt;Author&gt;Sethi&lt;/Author&gt;&lt;Year&gt;2017&lt;/Year&gt;&lt;RecNum&gt;2420&lt;/RecNum&gt;&lt;DisplayText&gt;(Sethi et al. 2017)&lt;/DisplayText&gt;&lt;record&gt;&lt;rec-number&gt;2420&lt;/rec-number&gt;&lt;foreign-keys&gt;&lt;key app="EN" db-id="trr00pfsbzzex0ezwf6v5swd9fpfpwfa90xp" timestamp="1645509627" guid="9122e921-00df-4a9d-acd5-a38d191ff5eb"&gt;2420&lt;/key&gt;&lt;/foreign-keys&gt;&lt;ref-type name="Journal Article"&gt;17&lt;/ref-type&gt;&lt;contributors&gt;&lt;authors&gt;&lt;author&gt;Sethi, S Prakash&lt;/author&gt;&lt;author&gt;Martell, Terrence F&lt;/author&gt;&lt;author&gt;Demir, Mert&lt;/author&gt;&lt;/authors&gt;&lt;/contributors&gt;&lt;titles&gt;&lt;title&gt;An evaluation of the quality of corporate social responsibility reports by some of the world’s largest financial institutions&lt;/title&gt;&lt;secondary-title&gt;Journal of business ethics&lt;/secondary-title&gt;&lt;/titles&gt;&lt;periodical&gt;&lt;full-title&gt;Journal of Business Ethics&lt;/full-title&gt;&lt;/periodical&gt;&lt;pages&gt;787-805&lt;/pages&gt;&lt;volume&gt;140&lt;/volume&gt;&lt;number&gt;4&lt;/number&gt;&lt;dates&gt;&lt;year&gt;2017&lt;/year&gt;&lt;/dates&gt;&lt;isbn&gt;1573-0697&lt;/isbn&gt;&lt;urls&gt;&lt;/urls&gt;&lt;/record&gt;&lt;/Cite&gt;&lt;/EndNote&gt;</w:instrText>
      </w:r>
      <w:r w:rsidR="00E12D2F" w:rsidRPr="006950CA">
        <w:rPr>
          <w:rFonts w:ascii="Times New Roman" w:hAnsi="Times New Roman"/>
          <w:iCs/>
          <w:color w:val="000000" w:themeColor="text1"/>
          <w:sz w:val="24"/>
          <w:szCs w:val="24"/>
        </w:rPr>
        <w:fldChar w:fldCharType="separate"/>
      </w:r>
      <w:r w:rsidR="00E607F4" w:rsidRPr="006950CA">
        <w:rPr>
          <w:rFonts w:ascii="Times New Roman" w:hAnsi="Times New Roman"/>
          <w:iCs/>
          <w:noProof/>
          <w:color w:val="000000" w:themeColor="text1"/>
          <w:sz w:val="24"/>
          <w:szCs w:val="24"/>
        </w:rPr>
        <w:t xml:space="preserve">Sethi et al. </w:t>
      </w:r>
      <w:r w:rsidR="000E04C1" w:rsidRPr="006950CA">
        <w:rPr>
          <w:rFonts w:ascii="Times New Roman" w:hAnsi="Times New Roman"/>
          <w:iCs/>
          <w:noProof/>
          <w:color w:val="000000" w:themeColor="text1"/>
          <w:sz w:val="24"/>
          <w:szCs w:val="24"/>
        </w:rPr>
        <w:t>(</w:t>
      </w:r>
      <w:r w:rsidR="00E607F4" w:rsidRPr="006950CA">
        <w:rPr>
          <w:rFonts w:ascii="Times New Roman" w:hAnsi="Times New Roman"/>
          <w:iCs/>
          <w:noProof/>
          <w:color w:val="000000" w:themeColor="text1"/>
          <w:sz w:val="24"/>
          <w:szCs w:val="24"/>
        </w:rPr>
        <w:t>2017)</w:t>
      </w:r>
      <w:r w:rsidR="00E12D2F" w:rsidRPr="006950CA">
        <w:rPr>
          <w:rFonts w:ascii="Times New Roman" w:hAnsi="Times New Roman"/>
          <w:iCs/>
          <w:color w:val="000000" w:themeColor="text1"/>
          <w:sz w:val="24"/>
          <w:szCs w:val="24"/>
        </w:rPr>
        <w:fldChar w:fldCharType="end"/>
      </w:r>
      <w:r w:rsidR="008378AE" w:rsidRPr="006950CA">
        <w:rPr>
          <w:rFonts w:ascii="Times New Roman" w:hAnsi="Times New Roman"/>
          <w:iCs/>
          <w:color w:val="000000" w:themeColor="text1"/>
          <w:sz w:val="24"/>
          <w:szCs w:val="24"/>
        </w:rPr>
        <w:t xml:space="preserve"> show that legal factors and CSR environment in a firm’s country of headquarters play an important role in firms’ CSR reporting quality.</w:t>
      </w:r>
      <w:r w:rsidR="008378AE" w:rsidRPr="006950CA">
        <w:rPr>
          <w:rFonts w:ascii="Times New Roman" w:hAnsi="Times New Roman" w:hint="eastAsia"/>
          <w:iCs/>
          <w:color w:val="000000" w:themeColor="text1"/>
          <w:sz w:val="24"/>
          <w:szCs w:val="24"/>
        </w:rPr>
        <w:t xml:space="preserve"> </w:t>
      </w:r>
      <w:r w:rsidR="00E12D2F" w:rsidRPr="006950CA">
        <w:rPr>
          <w:rFonts w:ascii="Times New Roman" w:hAnsi="Times New Roman"/>
          <w:iCs/>
          <w:color w:val="000000" w:themeColor="text1"/>
          <w:sz w:val="24"/>
          <w:szCs w:val="24"/>
        </w:rPr>
        <w:fldChar w:fldCharType="begin"/>
      </w:r>
      <w:r w:rsidR="00E607F4" w:rsidRPr="006950CA">
        <w:rPr>
          <w:rFonts w:ascii="Times New Roman" w:hAnsi="Times New Roman"/>
          <w:iCs/>
          <w:color w:val="000000" w:themeColor="text1"/>
          <w:sz w:val="24"/>
          <w:szCs w:val="24"/>
        </w:rPr>
        <w:instrText xml:space="preserve"> ADDIN EN.CITE &lt;EndNote&gt;&lt;Cite&gt;&lt;Author&gt;Jian&lt;/Author&gt;&lt;Year&gt;2017&lt;/Year&gt;&lt;RecNum&gt;2419&lt;/RecNum&gt;&lt;DisplayText&gt;(Jian et al. 2017)&lt;/DisplayText&gt;&lt;record&gt;&lt;rec-number&gt;2419&lt;/rec-number&gt;&lt;foreign-keys&gt;&lt;key app="EN" db-id="trr00pfsbzzex0ezwf6v5swd9fpfpwfa90xp" timestamp="1645509523" guid="14062aec-0917-43d6-ae8b-c7a194c604a4"&gt;2419&lt;/key&gt;&lt;/foreign-keys&gt;&lt;ref-type name="Journal Article"&gt;17&lt;/ref-type&gt;&lt;contributors&gt;&lt;authors&gt;&lt;author&gt;Jian, Wang Zi&lt;/author&gt;&lt;author&gt;Jaaffar, Amar Hisham&lt;/author&gt;&lt;author&gt;Ooi, Say Keat&lt;/author&gt;&lt;author&gt;Amran, Azlan&lt;/author&gt;&lt;/authors&gt;&lt;/contributors&gt;&lt;titles&gt;&lt;title&gt;The effects of national culture, corporate governance and CSR governance on CSR disclosure quality&lt;/title&gt;&lt;secondary-title&gt;Global Business and Management Research&lt;/secondary-title&gt;&lt;/titles&gt;&lt;periodical&gt;&lt;full-title&gt;Global Business and Management Research&lt;/full-title&gt;&lt;/periodical&gt;&lt;pages&gt;298-314&lt;/pages&gt;&lt;volume&gt;9&lt;/volume&gt;&lt;number&gt;4s&lt;/number&gt;&lt;dates&gt;&lt;year&gt;2017&lt;/year&gt;&lt;/dates&gt;&lt;isbn&gt;1947-5667&lt;/isbn&gt;&lt;urls&gt;&lt;/urls&gt;&lt;/record&gt;&lt;/Cite&gt;&lt;/EndNote&gt;</w:instrText>
      </w:r>
      <w:r w:rsidR="00E12D2F" w:rsidRPr="006950CA">
        <w:rPr>
          <w:rFonts w:ascii="Times New Roman" w:hAnsi="Times New Roman"/>
          <w:iCs/>
          <w:color w:val="000000" w:themeColor="text1"/>
          <w:sz w:val="24"/>
          <w:szCs w:val="24"/>
        </w:rPr>
        <w:fldChar w:fldCharType="separate"/>
      </w:r>
      <w:r w:rsidR="00E607F4" w:rsidRPr="006950CA">
        <w:rPr>
          <w:rFonts w:ascii="Times New Roman" w:hAnsi="Times New Roman"/>
          <w:iCs/>
          <w:noProof/>
          <w:color w:val="000000" w:themeColor="text1"/>
          <w:sz w:val="24"/>
          <w:szCs w:val="24"/>
        </w:rPr>
        <w:t xml:space="preserve">Jian et al. </w:t>
      </w:r>
      <w:r w:rsidR="000E04C1" w:rsidRPr="006950CA">
        <w:rPr>
          <w:rFonts w:ascii="Times New Roman" w:hAnsi="Times New Roman"/>
          <w:iCs/>
          <w:noProof/>
          <w:color w:val="000000" w:themeColor="text1"/>
          <w:sz w:val="24"/>
          <w:szCs w:val="24"/>
        </w:rPr>
        <w:t>(</w:t>
      </w:r>
      <w:r w:rsidR="00E607F4" w:rsidRPr="006950CA">
        <w:rPr>
          <w:rFonts w:ascii="Times New Roman" w:hAnsi="Times New Roman"/>
          <w:iCs/>
          <w:noProof/>
          <w:color w:val="000000" w:themeColor="text1"/>
          <w:sz w:val="24"/>
          <w:szCs w:val="24"/>
        </w:rPr>
        <w:t>2017)</w:t>
      </w:r>
      <w:r w:rsidR="00E12D2F" w:rsidRPr="006950CA">
        <w:rPr>
          <w:rFonts w:ascii="Times New Roman" w:hAnsi="Times New Roman"/>
          <w:iCs/>
          <w:color w:val="000000" w:themeColor="text1"/>
          <w:sz w:val="24"/>
          <w:szCs w:val="24"/>
        </w:rPr>
        <w:fldChar w:fldCharType="end"/>
      </w:r>
      <w:r w:rsidR="008378AE" w:rsidRPr="006950CA">
        <w:rPr>
          <w:rFonts w:ascii="Times New Roman" w:hAnsi="Times New Roman"/>
          <w:iCs/>
          <w:color w:val="000000" w:themeColor="text1"/>
          <w:sz w:val="24"/>
          <w:szCs w:val="24"/>
        </w:rPr>
        <w:t xml:space="preserve"> investigate the effects of national culture, corporate governance and CSR governance on CSR disclosure quality based on stakeholder, legitimacy and agency theories in the Asia-Pacific context. </w:t>
      </w:r>
      <w:r w:rsidR="00E12D2F" w:rsidRPr="006950CA">
        <w:rPr>
          <w:rFonts w:ascii="Times New Roman" w:hAnsi="Times New Roman"/>
          <w:iCs/>
          <w:color w:val="000000" w:themeColor="text1"/>
          <w:sz w:val="24"/>
          <w:szCs w:val="24"/>
        </w:rPr>
        <w:fldChar w:fldCharType="begin"/>
      </w:r>
      <w:r w:rsidR="00E607F4" w:rsidRPr="006950CA">
        <w:rPr>
          <w:rFonts w:ascii="Times New Roman" w:hAnsi="Times New Roman"/>
          <w:iCs/>
          <w:color w:val="000000" w:themeColor="text1"/>
          <w:sz w:val="24"/>
          <w:szCs w:val="24"/>
        </w:rPr>
        <w:instrText xml:space="preserve"> ADDIN EN.CITE &lt;EndNote&gt;&lt;Cite&gt;&lt;Author&gt;Chiu&lt;/Author&gt;&lt;Year&gt;2015&lt;/Year&gt;&lt;RecNum&gt;2417&lt;/RecNum&gt;&lt;DisplayText&gt;(Chiu and Wang 2015)&lt;/DisplayText&gt;&lt;record&gt;&lt;rec-number&gt;2417&lt;/rec-number&gt;&lt;foreign-keys&gt;&lt;key app="EN" db-id="trr00pfsbzzex0ezwf6v5swd9fpfpwfa90xp" timestamp="1645509253" guid="b5e04e15-07c7-4445-b8bd-fc97121cb790"&gt;2417&lt;/key&gt;&lt;/foreign-keys&gt;&lt;ref-type name="Journal Article"&gt;17&lt;/ref-type&gt;&lt;contributors&gt;&lt;authors&gt;&lt;author&gt;Chiu, Tzu-Kuan&lt;/author&gt;&lt;author&gt;Wang, Yi-Hsin&lt;/author&gt;&lt;/authors&gt;&lt;/contributors&gt;&lt;titles&gt;&lt;title&gt;Determinants of social disclosure quality in Taiwan: An application of stakeholder theory&lt;/title&gt;&lt;secondary-title&gt;Journal of business ethics&lt;/secondary-title&gt;&lt;/titles&gt;&lt;periodical&gt;&lt;full-title&gt;Journal of Business Ethics&lt;/full-title&gt;&lt;/periodical&gt;&lt;pages&gt;379-398&lt;/pages&gt;&lt;volume&gt;129&lt;/volume&gt;&lt;number&gt;2&lt;/number&gt;&lt;dates&gt;&lt;year&gt;2015&lt;/year&gt;&lt;/dates&gt;&lt;isbn&gt;1573-0697&lt;/isbn&gt;&lt;urls&gt;&lt;/urls&gt;&lt;/record&gt;&lt;/Cite&gt;&lt;/EndNote&gt;</w:instrText>
      </w:r>
      <w:r w:rsidR="00E12D2F" w:rsidRPr="006950CA">
        <w:rPr>
          <w:rFonts w:ascii="Times New Roman" w:hAnsi="Times New Roman"/>
          <w:iCs/>
          <w:color w:val="000000" w:themeColor="text1"/>
          <w:sz w:val="24"/>
          <w:szCs w:val="24"/>
        </w:rPr>
        <w:fldChar w:fldCharType="separate"/>
      </w:r>
      <w:r w:rsidR="00E607F4" w:rsidRPr="006950CA">
        <w:rPr>
          <w:rFonts w:ascii="Times New Roman" w:hAnsi="Times New Roman"/>
          <w:iCs/>
          <w:noProof/>
          <w:color w:val="000000" w:themeColor="text1"/>
          <w:sz w:val="24"/>
          <w:szCs w:val="24"/>
        </w:rPr>
        <w:t xml:space="preserve">Chiu and Wang </w:t>
      </w:r>
      <w:r w:rsidR="000E04C1" w:rsidRPr="006950CA">
        <w:rPr>
          <w:rFonts w:ascii="Times New Roman" w:hAnsi="Times New Roman"/>
          <w:iCs/>
          <w:noProof/>
          <w:color w:val="000000" w:themeColor="text1"/>
          <w:sz w:val="24"/>
          <w:szCs w:val="24"/>
        </w:rPr>
        <w:t>(</w:t>
      </w:r>
      <w:r w:rsidR="00E607F4" w:rsidRPr="006950CA">
        <w:rPr>
          <w:rFonts w:ascii="Times New Roman" w:hAnsi="Times New Roman"/>
          <w:iCs/>
          <w:noProof/>
          <w:color w:val="000000" w:themeColor="text1"/>
          <w:sz w:val="24"/>
          <w:szCs w:val="24"/>
        </w:rPr>
        <w:t>2015)</w:t>
      </w:r>
      <w:r w:rsidR="00E12D2F" w:rsidRPr="006950CA">
        <w:rPr>
          <w:rFonts w:ascii="Times New Roman" w:hAnsi="Times New Roman"/>
          <w:iCs/>
          <w:color w:val="000000" w:themeColor="text1"/>
          <w:sz w:val="24"/>
          <w:szCs w:val="24"/>
        </w:rPr>
        <w:fldChar w:fldCharType="end"/>
      </w:r>
      <w:r w:rsidR="008378AE" w:rsidRPr="006950CA">
        <w:rPr>
          <w:rFonts w:ascii="Times New Roman" w:hAnsi="Times New Roman"/>
          <w:iCs/>
          <w:color w:val="000000" w:themeColor="text1"/>
          <w:sz w:val="24"/>
          <w:szCs w:val="24"/>
        </w:rPr>
        <w:t xml:space="preserve"> support the application and demonstrate that measures of stakeholder power, strategic posture, economic resources, firm size, and media visibility are related to social disclosure quality.</w:t>
      </w:r>
      <w:r w:rsidR="008378AE" w:rsidRPr="006950CA">
        <w:rPr>
          <w:rFonts w:ascii="Times New Roman" w:hAnsi="Times New Roman" w:hint="eastAsia"/>
          <w:iCs/>
          <w:color w:val="000000" w:themeColor="text1"/>
          <w:sz w:val="24"/>
          <w:szCs w:val="24"/>
        </w:rPr>
        <w:t xml:space="preserve"> </w:t>
      </w:r>
      <w:r w:rsidRPr="006950CA">
        <w:rPr>
          <w:rFonts w:ascii="Times New Roman" w:hAnsi="Times New Roman"/>
          <w:iCs/>
          <w:color w:val="000000" w:themeColor="text1"/>
          <w:sz w:val="24"/>
          <w:szCs w:val="24"/>
        </w:rPr>
        <w:t>Finally, large firms and firm</w:t>
      </w:r>
      <w:r w:rsidRPr="004E7E5A">
        <w:rPr>
          <w:rFonts w:ascii="Times New Roman" w:hAnsi="Times New Roman"/>
          <w:iCs/>
          <w:color w:val="000000" w:themeColor="text1"/>
          <w:sz w:val="24"/>
          <w:szCs w:val="24"/>
        </w:rPr>
        <w:t>s operating in the environmentally sensitive industries tend to disclose CSR information with high quality (</w:t>
      </w:r>
      <w:proofErr w:type="spellStart"/>
      <w:r w:rsidRPr="004E7E5A">
        <w:rPr>
          <w:rFonts w:ascii="Times New Roman" w:hAnsi="Times New Roman"/>
          <w:iCs/>
          <w:color w:val="000000" w:themeColor="text1"/>
          <w:sz w:val="24"/>
          <w:szCs w:val="24"/>
        </w:rPr>
        <w:t>Gamerschlag</w:t>
      </w:r>
      <w:proofErr w:type="spellEnd"/>
      <w:r w:rsidRPr="004E7E5A">
        <w:rPr>
          <w:rFonts w:ascii="Times New Roman" w:hAnsi="Times New Roman"/>
          <w:iCs/>
          <w:color w:val="000000" w:themeColor="text1"/>
          <w:sz w:val="24"/>
          <w:szCs w:val="24"/>
        </w:rPr>
        <w:t xml:space="preserve"> et al., 2011). However, there is limited research on the association between director’s network and CSR disclosure quality.</w:t>
      </w:r>
    </w:p>
    <w:p w14:paraId="40E375FF" w14:textId="77777777" w:rsidR="002F0B2C" w:rsidRPr="00920D69" w:rsidRDefault="002F0B2C" w:rsidP="00B9756B">
      <w:pPr>
        <w:autoSpaceDE w:val="0"/>
        <w:autoSpaceDN w:val="0"/>
        <w:adjustRightInd w:val="0"/>
        <w:spacing w:line="480" w:lineRule="auto"/>
        <w:ind w:firstLineChars="200" w:firstLine="480"/>
        <w:rPr>
          <w:rFonts w:ascii="Times New Roman" w:hAnsi="Times New Roman"/>
          <w:iCs/>
          <w:color w:val="C00000"/>
          <w:sz w:val="24"/>
          <w:szCs w:val="24"/>
        </w:rPr>
      </w:pPr>
    </w:p>
    <w:p w14:paraId="32CC8475" w14:textId="5BD3C9DF" w:rsidR="00B9756B" w:rsidRPr="004E7E5A" w:rsidRDefault="00B9756B" w:rsidP="00B9756B">
      <w:pPr>
        <w:pStyle w:val="4"/>
        <w:spacing w:before="0" w:after="0" w:line="480" w:lineRule="auto"/>
        <w:rPr>
          <w:i/>
          <w:iCs/>
          <w:color w:val="000000" w:themeColor="text1"/>
        </w:rPr>
      </w:pPr>
      <w:r w:rsidRPr="004E7E5A">
        <w:rPr>
          <w:i/>
          <w:iCs/>
          <w:color w:val="000000" w:themeColor="text1"/>
        </w:rPr>
        <w:lastRenderedPageBreak/>
        <w:t>Theories regarding CSR disclosure</w:t>
      </w:r>
    </w:p>
    <w:p w14:paraId="6B024375" w14:textId="3C32A959" w:rsidR="00B9756B" w:rsidRPr="004E7E5A" w:rsidRDefault="00B9756B" w:rsidP="00B9756B">
      <w:pPr>
        <w:pStyle w:val="a7"/>
        <w:spacing w:line="480" w:lineRule="auto"/>
        <w:ind w:firstLine="480"/>
        <w:rPr>
          <w:rFonts w:cs="Times New Roman"/>
        </w:rPr>
      </w:pPr>
      <w:r w:rsidRPr="004E7E5A">
        <w:rPr>
          <w:rFonts w:cs="Times New Roman"/>
        </w:rPr>
        <w:t xml:space="preserve">Explanations of the </w:t>
      </w:r>
      <w:r w:rsidRPr="004E7E5A">
        <w:rPr>
          <w:rFonts w:cs="Times New Roman" w:hint="eastAsia"/>
        </w:rPr>
        <w:t>i</w:t>
      </w:r>
      <w:r w:rsidRPr="004E7E5A">
        <w:rPr>
          <w:rFonts w:cs="Times New Roman"/>
        </w:rPr>
        <w:t xml:space="preserve">nfluencing factors of CSR disclosure quality stem primarily from three different logics: Legitimacy theory, stakeholder theory and resource-based view. Legitimacy theory has been applied widely which argues that companies tend to </w:t>
      </w:r>
      <w:proofErr w:type="spellStart"/>
      <w:r w:rsidRPr="004E7E5A">
        <w:rPr>
          <w:rFonts w:cs="Times New Roman"/>
        </w:rPr>
        <w:t>legitimise</w:t>
      </w:r>
      <w:proofErr w:type="spellEnd"/>
      <w:r w:rsidRPr="004E7E5A">
        <w:rPr>
          <w:rFonts w:cs="Times New Roman"/>
        </w:rPr>
        <w:t xml:space="preserve"> their activities through discretionary disclosure to alter the perception of the public </w:t>
      </w:r>
      <w:r w:rsidRPr="004E7E5A">
        <w:rPr>
          <w:rFonts w:cs="Times New Roman"/>
        </w:rPr>
        <w:fldChar w:fldCharType="begin"/>
      </w:r>
      <w:r w:rsidR="006F6C86" w:rsidRPr="004E7E5A">
        <w:rPr>
          <w:rFonts w:cs="Times New Roman"/>
        </w:rPr>
        <w:instrText xml:space="preserve"> ADDIN EN.CITE &lt;EndNote&gt;&lt;Cite&gt;&lt;Author&gt;Cho&lt;/Author&gt;&lt;Year&gt;2007&lt;/Year&gt;&lt;RecNum&gt;2272&lt;/RecNum&gt;&lt;DisplayText&gt;(Cho and Patten 2007)&lt;/DisplayText&gt;&lt;record&gt;&lt;rec-number&gt;2272&lt;/rec-number&gt;&lt;foreign-keys&gt;&lt;key app="EN" db-id="trr00pfsbzzex0ezwf6v5swd9fpfpwfa90xp" timestamp="1638627592" guid="cafae408-ce59-4bb2-a475-ea84e01b3098"&gt;2272&lt;/key&gt;&lt;/foreign-keys&gt;&lt;ref-type name="Journal Article"&gt;17&lt;/ref-type&gt;&lt;contributors&gt;&lt;authors&gt;&lt;author&gt;Cho, Charles H&lt;/author&gt;&lt;author&gt;Patten, Dennis M&lt;/author&gt;&lt;/authors&gt;&lt;/contributors&gt;&lt;titles&gt;&lt;title&gt;The role of environmental disclosures as tools of legitimacy: A research note&lt;/title&gt;&lt;secondary-title&gt;Accounting, organizations and society&lt;/secondary-title&gt;&lt;/titles&gt;&lt;periodical&gt;&lt;full-title&gt;Accounting, Organizations and Society&lt;/full-title&gt;&lt;/periodical&gt;&lt;pages&gt;639-647&lt;/pages&gt;&lt;volume&gt;32&lt;/volume&gt;&lt;number&gt;7-8&lt;/number&gt;&lt;dates&gt;&lt;year&gt;2007&lt;/year&gt;&lt;/dates&gt;&lt;isbn&gt;0361-3682&lt;/isbn&gt;&lt;urls&gt;&lt;/urls&gt;&lt;/record&gt;&lt;/Cite&gt;&lt;/EndNote&gt;</w:instrText>
      </w:r>
      <w:r w:rsidRPr="004E7E5A">
        <w:rPr>
          <w:rFonts w:cs="Times New Roman"/>
        </w:rPr>
        <w:fldChar w:fldCharType="separate"/>
      </w:r>
      <w:r w:rsidRPr="004E7E5A">
        <w:rPr>
          <w:rFonts w:cs="Times New Roman"/>
          <w:noProof/>
        </w:rPr>
        <w:t>(Cho and Patten 2007)</w:t>
      </w:r>
      <w:r w:rsidRPr="004E7E5A">
        <w:rPr>
          <w:rFonts w:cs="Times New Roman"/>
        </w:rPr>
        <w:fldChar w:fldCharType="end"/>
      </w:r>
      <w:r w:rsidRPr="004E7E5A">
        <w:rPr>
          <w:rFonts w:cs="Times New Roman"/>
        </w:rPr>
        <w:t xml:space="preserve">. The legitimacy perspective argue that CSR disclosure is a response to the </w:t>
      </w:r>
      <w:proofErr w:type="spellStart"/>
      <w:r w:rsidRPr="004E7E5A">
        <w:rPr>
          <w:rFonts w:cs="Times New Roman"/>
        </w:rPr>
        <w:t>exteranl</w:t>
      </w:r>
      <w:proofErr w:type="spellEnd"/>
      <w:r w:rsidRPr="004E7E5A">
        <w:rPr>
          <w:rFonts w:cs="Times New Roman"/>
        </w:rPr>
        <w:t xml:space="preserve"> environment, where regulations, nongovernmental actors, and institutionalized norms set expectations about appropriate organizational behavior </w:t>
      </w:r>
      <w:r w:rsidRPr="004E7E5A">
        <w:rPr>
          <w:rFonts w:cs="Times New Roman"/>
        </w:rPr>
        <w:fldChar w:fldCharType="begin"/>
      </w:r>
      <w:r w:rsidR="00E12D2F">
        <w:rPr>
          <w:rFonts w:cs="Times New Roman"/>
        </w:rPr>
        <w:instrText xml:space="preserve"> ADDIN EN.CITE &lt;EndNote&gt;&lt;Cite&gt;&lt;Author&gt;Campbell&lt;/Author&gt;&lt;Year&gt;2007&lt;/Year&gt;&lt;RecNum&gt;1670&lt;/RecNum&gt;&lt;DisplayText&gt;(Campbell 2007; Zerbini 2017)&lt;/DisplayText&gt;&lt;record&gt;&lt;rec-number&gt;1670&lt;/rec-number&gt;&lt;foreign-keys&gt;&lt;key app="EN" db-id="trr00pfsbzzex0ezwf6v5swd9fpfpwfa90xp" timestamp="1581605994" guid="1f2243c2-6fb1-409e-afbb-8d42dbd00d2a"&gt;1670&lt;/key&gt;&lt;/foreign-keys&gt;&lt;ref-type name="Journal Article"&gt;17&lt;/ref-type&gt;&lt;contributors&gt;&lt;authors&gt;&lt;author&gt;John L. Campbell&lt;/author&gt;&lt;/authors&gt;&lt;/contributors&gt;&lt;titles&gt;&lt;title&gt;Why would corporations behave in socially responsible ways? An institutional theory of corporate social responsibility&lt;/title&gt;&lt;secondary-title&gt;Academy of Management Review&lt;/secondary-title&gt;&lt;/titles&gt;&lt;periodical&gt;&lt;full-title&gt;Academy of management review&lt;/full-title&gt;&lt;/periodical&gt;&lt;pages&gt;946-967&lt;/pages&gt;&lt;volume&gt;32&lt;/volume&gt;&lt;number&gt;3&lt;/number&gt;&lt;dates&gt;&lt;year&gt;2007&lt;/year&gt;&lt;/dates&gt;&lt;urls&gt;&lt;/urls&gt;&lt;/record&gt;&lt;/Cite&gt;&lt;Cite&gt;&lt;Author&gt;Zerbini&lt;/Author&gt;&lt;Year&gt;2017&lt;/Year&gt;&lt;RecNum&gt;1980&lt;/RecNum&gt;&lt;record&gt;&lt;rec-number&gt;1980&lt;/rec-number&gt;&lt;foreign-keys&gt;&lt;key app="EN" db-id="trr00pfsbzzex0ezwf6v5swd9fpfpwfa90xp" timestamp="1625733787" guid="efe173d5-698f-4328-a793-74f36ce501a0"&gt;1980&lt;/key&gt;&lt;/foreign-keys&gt;&lt;ref-type name="Journal Article"&gt;17&lt;/ref-type&gt;&lt;contributors&gt;&lt;authors&gt;&lt;author&gt;Zerbini, F.&lt;/author&gt;&lt;/authors&gt;&lt;/contributors&gt;&lt;titles&gt;&lt;title&gt;Csr initiatives as market signals: A review and research agenda&lt;/title&gt;&lt;secondary-title&gt;Journal of Business Ethics&lt;/secondary-title&gt;&lt;/titles&gt;&lt;periodical&gt;&lt;full-title&gt;Journal of Business Ethics&lt;/full-title&gt;&lt;/periodical&gt;&lt;pages&gt;1-23&lt;/pages&gt;&lt;volume&gt;146&lt;/volume&gt;&lt;number&gt;1&lt;/number&gt;&lt;dates&gt;&lt;year&gt;2017&lt;/year&gt;&lt;/dates&gt;&lt;urls&gt;&lt;/urls&gt;&lt;/record&gt;&lt;/Cite&gt;&lt;/EndNote&gt;</w:instrText>
      </w:r>
      <w:r w:rsidRPr="004E7E5A">
        <w:rPr>
          <w:rFonts w:cs="Times New Roman"/>
        </w:rPr>
        <w:fldChar w:fldCharType="separate"/>
      </w:r>
      <w:r w:rsidRPr="004E7E5A">
        <w:rPr>
          <w:rFonts w:cs="Times New Roman"/>
          <w:noProof/>
        </w:rPr>
        <w:t>(Campbell 2007; Zerbini 2017)</w:t>
      </w:r>
      <w:r w:rsidRPr="004E7E5A">
        <w:rPr>
          <w:rFonts w:cs="Times New Roman"/>
        </w:rPr>
        <w:fldChar w:fldCharType="end"/>
      </w:r>
      <w:r w:rsidRPr="004E7E5A">
        <w:rPr>
          <w:rFonts w:cs="Times New Roman"/>
        </w:rPr>
        <w:t>.</w:t>
      </w:r>
      <w:r w:rsidRPr="004E7E5A">
        <w:rPr>
          <w:rFonts w:cs="Times New Roman" w:hint="eastAsia"/>
        </w:rPr>
        <w:t xml:space="preserve"> F</w:t>
      </w:r>
      <w:r w:rsidRPr="004E7E5A">
        <w:rPr>
          <w:rFonts w:cs="Times New Roman"/>
        </w:rPr>
        <w:t xml:space="preserve">irms might invest strategically in CSR initiatives to gain consensus from the institutional environment </w:t>
      </w:r>
      <w:r w:rsidRPr="004E7E5A">
        <w:rPr>
          <w:rFonts w:cs="Times New Roman"/>
        </w:rPr>
        <w:fldChar w:fldCharType="begin"/>
      </w:r>
      <w:r w:rsidR="00E12D2F">
        <w:rPr>
          <w:rFonts w:cs="Times New Roman"/>
        </w:rPr>
        <w:instrText xml:space="preserve"> ADDIN EN.CITE &lt;EndNote&gt;&lt;Cite&gt;&lt;Author&gt;Campbell&lt;/Author&gt;&lt;Year&gt;2007&lt;/Year&gt;&lt;RecNum&gt;1670&lt;/RecNum&gt;&lt;DisplayText&gt;(Campbell 2007; Zerbini 2017)&lt;/DisplayText&gt;&lt;record&gt;&lt;rec-number&gt;1670&lt;/rec-number&gt;&lt;foreign-keys&gt;&lt;key app="EN" db-id="trr00pfsbzzex0ezwf6v5swd9fpfpwfa90xp" timestamp="1581605994" guid="1f2243c2-6fb1-409e-afbb-8d42dbd00d2a"&gt;1670&lt;/key&gt;&lt;/foreign-keys&gt;&lt;ref-type name="Journal Article"&gt;17&lt;/ref-type&gt;&lt;contributors&gt;&lt;authors&gt;&lt;author&gt;John L. Campbell&lt;/author&gt;&lt;/authors&gt;&lt;/contributors&gt;&lt;titles&gt;&lt;title&gt;Why would corporations behave in socially responsible ways? An institutional theory of corporate social responsibility&lt;/title&gt;&lt;secondary-title&gt;Academy of Management Review&lt;/secondary-title&gt;&lt;/titles&gt;&lt;periodical&gt;&lt;full-title&gt;Academy of management review&lt;/full-title&gt;&lt;/periodical&gt;&lt;pages&gt;946-967&lt;/pages&gt;&lt;volume&gt;32&lt;/volume&gt;&lt;number&gt;3&lt;/number&gt;&lt;dates&gt;&lt;year&gt;2007&lt;/year&gt;&lt;/dates&gt;&lt;urls&gt;&lt;/urls&gt;&lt;/record&gt;&lt;/Cite&gt;&lt;Cite&gt;&lt;Author&gt;Zerbini&lt;/Author&gt;&lt;Year&gt;2017&lt;/Year&gt;&lt;RecNum&gt;1980&lt;/RecNum&gt;&lt;record&gt;&lt;rec-number&gt;1980&lt;/rec-number&gt;&lt;foreign-keys&gt;&lt;key app="EN" db-id="trr00pfsbzzex0ezwf6v5swd9fpfpwfa90xp" timestamp="1625733787" guid="efe173d5-698f-4328-a793-74f36ce501a0"&gt;1980&lt;/key&gt;&lt;/foreign-keys&gt;&lt;ref-type name="Journal Article"&gt;17&lt;/ref-type&gt;&lt;contributors&gt;&lt;authors&gt;&lt;author&gt;Zerbini, F.&lt;/author&gt;&lt;/authors&gt;&lt;/contributors&gt;&lt;titles&gt;&lt;title&gt;Csr initiatives as market signals: A review and research agenda&lt;/title&gt;&lt;secondary-title&gt;Journal of Business Ethics&lt;/secondary-title&gt;&lt;/titles&gt;&lt;periodical&gt;&lt;full-title&gt;Journal of Business Ethics&lt;/full-title&gt;&lt;/periodical&gt;&lt;pages&gt;1-23&lt;/pages&gt;&lt;volume&gt;146&lt;/volume&gt;&lt;number&gt;1&lt;/number&gt;&lt;dates&gt;&lt;year&gt;2017&lt;/year&gt;&lt;/dates&gt;&lt;urls&gt;&lt;/urls&gt;&lt;/record&gt;&lt;/Cite&gt;&lt;/EndNote&gt;</w:instrText>
      </w:r>
      <w:r w:rsidRPr="004E7E5A">
        <w:rPr>
          <w:rFonts w:cs="Times New Roman"/>
        </w:rPr>
        <w:fldChar w:fldCharType="separate"/>
      </w:r>
      <w:r w:rsidRPr="004E7E5A">
        <w:rPr>
          <w:rFonts w:cs="Times New Roman"/>
          <w:noProof/>
        </w:rPr>
        <w:t>(Campbell 2007; Zerbini 2017)</w:t>
      </w:r>
      <w:r w:rsidRPr="004E7E5A">
        <w:rPr>
          <w:rFonts w:cs="Times New Roman"/>
        </w:rPr>
        <w:fldChar w:fldCharType="end"/>
      </w:r>
      <w:r w:rsidRPr="004E7E5A">
        <w:rPr>
          <w:rFonts w:cs="Times New Roman"/>
        </w:rPr>
        <w:t xml:space="preserve">, enhance firm reputation, increase stakeholder reciprocation, and strengthen innovation capacity </w:t>
      </w:r>
      <w:r w:rsidRPr="004E7E5A">
        <w:rPr>
          <w:rFonts w:cs="Times New Roman"/>
        </w:rPr>
        <w:fldChar w:fldCharType="begin"/>
      </w:r>
      <w:r w:rsidR="00317C6A" w:rsidRPr="004E7E5A">
        <w:rPr>
          <w:rFonts w:cs="Times New Roman"/>
        </w:rPr>
        <w:instrText xml:space="preserve"> ADDIN EN.CITE &lt;EndNote&gt;&lt;Cite&gt;&lt;Author&gt;Vishwanathan&lt;/Author&gt;&lt;Year&gt;2020&lt;/Year&gt;&lt;RecNum&gt;2074&lt;/RecNum&gt;&lt;DisplayText&gt;(Vishwanathan et al. 2020)&lt;/DisplayText&gt;&lt;record&gt;&lt;rec-number&gt;2074&lt;/rec-number&gt;&lt;foreign-keys&gt;&lt;key app="EN" db-id="trr00pfsbzzex0ezwf6v5swd9fpfpwfa90xp" timestamp="1627975196" guid="34cff050-fd37-4055-bef0-5b3c078a644f"&gt;2074&lt;/key&gt;&lt;/foreign-keys&gt;&lt;ref-type name="Journal Article"&gt;17&lt;/ref-type&gt;&lt;contributors&gt;&lt;authors&gt;&lt;author&gt;Vishwanathan, P.&lt;/author&gt;&lt;author&gt;Oosterhout, Hjv&lt;/author&gt;&lt;author&gt;Heugens, Ppmar&lt;/author&gt;&lt;author&gt;Duran, P.&lt;/author&gt;&lt;author&gt;Essen, M. V.&lt;/author&gt;&lt;/authors&gt;&lt;/contributors&gt;&lt;titles&gt;&lt;title&gt;Strategic CSR: A concept building meta-analysis&lt;/title&gt;&lt;secondary-title&gt;Journal of Management Studies&lt;/secondary-title&gt;&lt;/titles&gt;&lt;periodical&gt;&lt;full-title&gt;Journal of Management Studies&lt;/full-title&gt;&lt;/periodical&gt;&lt;pages&gt;314-350&lt;/pages&gt;&lt;volume&gt;57&lt;/volume&gt;&lt;number&gt;2&lt;/number&gt;&lt;dates&gt;&lt;year&gt;2020&lt;/year&gt;&lt;/dates&gt;&lt;urls&gt;&lt;/urls&gt;&lt;/record&gt;&lt;/Cite&gt;&lt;/EndNote&gt;</w:instrText>
      </w:r>
      <w:r w:rsidRPr="004E7E5A">
        <w:rPr>
          <w:rFonts w:cs="Times New Roman"/>
        </w:rPr>
        <w:fldChar w:fldCharType="separate"/>
      </w:r>
      <w:r w:rsidRPr="004E7E5A">
        <w:rPr>
          <w:rFonts w:cs="Times New Roman"/>
          <w:noProof/>
        </w:rPr>
        <w:t>(Vishwanathan et al. 2020)</w:t>
      </w:r>
      <w:r w:rsidRPr="004E7E5A">
        <w:rPr>
          <w:rFonts w:cs="Times New Roman"/>
        </w:rPr>
        <w:fldChar w:fldCharType="end"/>
      </w:r>
      <w:r w:rsidRPr="004E7E5A">
        <w:rPr>
          <w:rFonts w:cs="Times New Roman"/>
        </w:rPr>
        <w:t xml:space="preserve">, and communicate to the stakeholders about the ethical stance and gain legitimacy </w:t>
      </w:r>
      <w:r w:rsidRPr="004E7E5A">
        <w:rPr>
          <w:rFonts w:cs="Times New Roman"/>
        </w:rPr>
        <w:fldChar w:fldCharType="begin"/>
      </w:r>
      <w:r w:rsidR="001A1175" w:rsidRPr="004E7E5A">
        <w:rPr>
          <w:rFonts w:cs="Times New Roman"/>
        </w:rPr>
        <w:instrText xml:space="preserve"> ADDIN EN.CITE &lt;EndNote&gt;&lt;Cite&gt;&lt;Author&gt;Harjoto&lt;/Author&gt;&lt;Year&gt;2014&lt;/Year&gt;&lt;RecNum&gt;322&lt;/RecNum&gt;&lt;DisplayText&gt;(Harjoto et al. 2014)&lt;/DisplayText&gt;&lt;record&gt;&lt;rec-number&gt;322&lt;/rec-number&gt;&lt;foreign-keys&gt;&lt;key app="EN" db-id="trr00pfsbzzex0ezwf6v5swd9fpfpwfa90xp" timestamp="1581079823" guid="9044b7b2-c56c-418c-b281-495bc4fc754c"&gt;322&lt;/key&gt;&lt;/foreign-keys&gt;&lt;ref-type name="Journal Article"&gt;17&lt;/ref-type&gt;&lt;contributors&gt;&lt;authors&gt;&lt;author&gt;Harjoto, Maretno&lt;/author&gt;&lt;author&gt;Laksmana, Indrarini&lt;/author&gt;&lt;author&gt;Lee, Robert&lt;/author&gt;&lt;/authors&gt;&lt;/contributors&gt;&lt;titles&gt;&lt;title&gt;Board diversity and corporate social responsibility&lt;/title&gt;&lt;secondary-title&gt;Journal of Business Ethics&lt;/secondary-title&gt;&lt;/titles&gt;&lt;periodical&gt;&lt;full-title&gt;Journal of Business Ethics&lt;/full-title&gt;&lt;/periodical&gt;&lt;pages&gt;641-660&lt;/pages&gt;&lt;volume&gt;132&lt;/volume&gt;&lt;number&gt;4&lt;/number&gt;&lt;section&gt;641&lt;/section&gt;&lt;dates&gt;&lt;year&gt;2014&lt;/year&gt;&lt;/dates&gt;&lt;isbn&gt;0167-4544&amp;#xD;1573-0697&lt;/isbn&gt;&lt;urls&gt;&lt;/urls&gt;&lt;electronic-resource-num&gt;10.1007/s10551-014-2343-0&lt;/electronic-resource-num&gt;&lt;/record&gt;&lt;/Cite&gt;&lt;/EndNote&gt;</w:instrText>
      </w:r>
      <w:r w:rsidRPr="004E7E5A">
        <w:rPr>
          <w:rFonts w:cs="Times New Roman"/>
        </w:rPr>
        <w:fldChar w:fldCharType="separate"/>
      </w:r>
      <w:r w:rsidRPr="004E7E5A">
        <w:rPr>
          <w:rFonts w:cs="Times New Roman"/>
          <w:noProof/>
        </w:rPr>
        <w:t>(Harjoto et al. 2014)</w:t>
      </w:r>
      <w:r w:rsidRPr="004E7E5A">
        <w:rPr>
          <w:rFonts w:cs="Times New Roman"/>
        </w:rPr>
        <w:fldChar w:fldCharType="end"/>
      </w:r>
      <w:r w:rsidRPr="004E7E5A">
        <w:rPr>
          <w:rFonts w:cs="Times New Roman"/>
        </w:rPr>
        <w:t xml:space="preserve">. However, The institutional-based view claims that the exploitation of firm-level resources into strategy is subject to the condition of the institutional mechanisms in which the firm is operating </w:t>
      </w:r>
      <w:r w:rsidRPr="004E7E5A">
        <w:rPr>
          <w:rFonts w:cs="Times New Roman"/>
        </w:rPr>
        <w:fldChar w:fldCharType="begin"/>
      </w:r>
      <w:r w:rsidR="001A1175" w:rsidRPr="004E7E5A">
        <w:rPr>
          <w:rFonts w:cs="Times New Roman"/>
        </w:rPr>
        <w:instrText xml:space="preserve"> ADDIN EN.CITE &lt;EndNote&gt;&lt;Cite&gt;&lt;Author&gt;Peng&lt;/Author&gt;&lt;Year&gt;2008&lt;/Year&gt;&lt;RecNum&gt;2277&lt;/RecNum&gt;&lt;DisplayText&gt;(Peng et al. 2008; Katmon et al. 2017)&lt;/DisplayText&gt;&lt;record&gt;&lt;rec-number&gt;2277&lt;/rec-number&gt;&lt;foreign-keys&gt;&lt;key app="EN" db-id="trr00pfsbzzex0ezwf6v5swd9fpfpwfa90xp" timestamp="1638672482" guid="52362377-3a09-45a4-ad09-81d10578b123"&gt;2277&lt;/key&gt;&lt;/foreign-keys&gt;&lt;ref-type name="Journal Article"&gt;17&lt;/ref-type&gt;&lt;contributors&gt;&lt;authors&gt;&lt;author&gt;Peng, Mike W&lt;/author&gt;&lt;author&gt;Wang, Denis YL&lt;/author&gt;&lt;author&gt;Jiang, Yi&lt;/author&gt;&lt;/authors&gt;&lt;/contributors&gt;&lt;titles&gt;&lt;title&gt;An institution-based view of international business strategy: A focus on emerging economies&lt;/title&gt;&lt;secondary-title&gt;Journal of international business studies&lt;/secondary-title&gt;&lt;/titles&gt;&lt;periodical&gt;&lt;full-title&gt;Journal of international business studies&lt;/full-title&gt;&lt;/periodical&gt;&lt;pages&gt;920-936&lt;/pages&gt;&lt;volume&gt;39&lt;/volume&gt;&lt;number&gt;5&lt;/number&gt;&lt;dates&gt;&lt;year&gt;2008&lt;/year&gt;&lt;/dates&gt;&lt;isbn&gt;1478-6990&lt;/isbn&gt;&lt;urls&gt;&lt;/urls&gt;&lt;/record&gt;&lt;/Cite&gt;&lt;Cite&gt;&lt;Author&gt;Katmon&lt;/Author&gt;&lt;Year&gt;2017&lt;/Year&gt;&lt;RecNum&gt;114&lt;/RecNum&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(Peng et al. 2008; Katmon et al. 2017)</w:t>
      </w:r>
      <w:r w:rsidRPr="004E7E5A">
        <w:rPr>
          <w:rFonts w:cs="Times New Roman"/>
        </w:rPr>
        <w:fldChar w:fldCharType="end"/>
      </w:r>
      <w:r w:rsidRPr="004E7E5A">
        <w:rPr>
          <w:rFonts w:cs="Times New Roman"/>
        </w:rPr>
        <w:t>.</w:t>
      </w:r>
      <w:r w:rsidRPr="004E7E5A">
        <w:rPr>
          <w:rFonts w:cs="Times New Roman" w:hint="eastAsia"/>
        </w:rPr>
        <w:t xml:space="preserve"> </w:t>
      </w:r>
      <w:r w:rsidRPr="004E7E5A">
        <w:rPr>
          <w:rFonts w:cs="Times New Roman"/>
        </w:rPr>
        <w:t xml:space="preserve">The legitimacy perspective may only provide a partial explanation, which is relevant especially when a firm faces legitimacy issues </w:t>
      </w:r>
      <w:r w:rsidRPr="004E7E5A">
        <w:rPr>
          <w:rFonts w:cs="Times New Roman"/>
        </w:rPr>
        <w:fldChar w:fldCharType="begin"/>
      </w:r>
      <w:r w:rsidR="006F6C86" w:rsidRPr="004E7E5A">
        <w:rPr>
          <w:rFonts w:cs="Times New Roman"/>
        </w:rPr>
        <w:instrText xml:space="preserve"> ADDIN EN.CITE &lt;EndNote&gt;&lt;Cite&gt;&lt;Author&gt;Deegan&lt;/Author&gt;&lt;Year&gt;1996&lt;/Year&gt;&lt;RecNum&gt;2174&lt;/RecNum&gt;&lt;DisplayText&gt;(Deegan and Gordon 1996; Liao et al. 2015)&lt;/DisplayText&gt;&lt;record&gt;&lt;rec-number&gt;2174&lt;/rec-number&gt;&lt;foreign-keys&gt;&lt;key app="EN" db-id="trr00pfsbzzex0ezwf6v5swd9fpfpwfa90xp" timestamp="1633694367" guid="310dfdc5-7778-4f91-aefd-df864008f5fd"&gt;2174&lt;/key&gt;&lt;/foreign-keys&gt;&lt;ref-type name="Journal Article"&gt;17&lt;/ref-type&gt;&lt;contributors&gt;&lt;authors&gt;&lt;author&gt;Deegan, Craig&lt;/author&gt;&lt;author&gt;Gordon, Ben&lt;/author&gt;&lt;/authors&gt;&lt;/contributors&gt;&lt;titles&gt;&lt;title&gt;A study of the environmental disclosure practices of Australian corporations&lt;/title&gt;&lt;secondary-title&gt;Accounting and business research&lt;/secondary-title&gt;&lt;/titles&gt;&lt;periodical&gt;&lt;full-title&gt;Accounting and Business Research&lt;/full-title&gt;&lt;/periodical&gt;&lt;pages&gt;187-199&lt;/pages&gt;&lt;volume&gt;26&lt;/volume&gt;&lt;number&gt;3&lt;/number&gt;&lt;dates&gt;&lt;year&gt;1996&lt;/year&gt;&lt;/dates&gt;&lt;isbn&gt;0001-4788&lt;/isbn&gt;&lt;urls&gt;&lt;/urls&gt;&lt;/record&gt;&lt;/Cite&gt;&lt;Cite&gt;&lt;Author&gt;Liao&lt;/Author&gt;&lt;Year&gt;2015&lt;/Year&gt;&lt;RecNum&gt;2141&lt;/RecNum&gt;&lt;record&gt;&lt;rec-number&gt;2141&lt;/rec-number&gt;&lt;foreign-keys&gt;&lt;key app="EN" db-id="trr00pfsbzzex0ezwf6v5swd9fpfpwfa90xp" timestamp="1633694139" guid="e946732b-a428-4b4a-bc5b-e65882390c21"&gt;2141&lt;/key&gt;&lt;/foreign-keys&gt;&lt;ref-type name="Journal Article"&gt;17&lt;/ref-type&gt;&lt;contributors&gt;&lt;authors&gt;&lt;author&gt;Liao, Lin&lt;/author&gt;&lt;author&gt;Luo, Le&lt;/author&gt;&lt;author&gt;Tang, Qingliang&lt;/author&gt;&lt;/authors&gt;&lt;/contributors&gt;&lt;titles&gt;&lt;title&gt;Gender diversity, board independence, environmental committee and greenhouse gas disclosure&lt;/title&gt;&lt;secondary-title&gt;The British Accounting Review&lt;/secondary-title&gt;&lt;/titles&gt;&lt;periodical&gt;&lt;full-title&gt;The British Accounting Review&lt;/full-title&gt;&lt;/periodical&gt;&lt;pages&gt;409-424&lt;/pages&gt;&lt;volume&gt;47&lt;/volume&gt;&lt;number&gt;4&lt;/number&gt;&lt;dates&gt;&lt;year&gt;2015&lt;/year&gt;&lt;/dates&gt;&lt;isbn&gt;0890-8389&lt;/isbn&gt;&lt;urls&gt;&lt;/urls&gt;&lt;/record&gt;&lt;/Cite&gt;&lt;/EndNote&gt;</w:instrText>
      </w:r>
      <w:r w:rsidRPr="004E7E5A">
        <w:rPr>
          <w:rFonts w:cs="Times New Roman"/>
        </w:rPr>
        <w:fldChar w:fldCharType="separate"/>
      </w:r>
      <w:r w:rsidRPr="004E7E5A">
        <w:rPr>
          <w:rFonts w:cs="Times New Roman"/>
          <w:noProof/>
        </w:rPr>
        <w:t>(Deegan and Gordon 1996; Liao et al. 2015)</w:t>
      </w:r>
      <w:r w:rsidRPr="004E7E5A">
        <w:rPr>
          <w:rFonts w:cs="Times New Roman"/>
        </w:rPr>
        <w:fldChar w:fldCharType="end"/>
      </w:r>
      <w:r w:rsidRPr="004E7E5A">
        <w:rPr>
          <w:rFonts w:cs="Times New Roman"/>
        </w:rPr>
        <w:t xml:space="preserve">. </w:t>
      </w:r>
    </w:p>
    <w:p w14:paraId="50E2E03B" w14:textId="662768D5" w:rsidR="00B9756B" w:rsidRPr="004E7E5A" w:rsidRDefault="00B9756B" w:rsidP="00171DB7">
      <w:pPr>
        <w:pStyle w:val="a7"/>
        <w:spacing w:line="480" w:lineRule="auto"/>
        <w:ind w:firstLine="480"/>
        <w:rPr>
          <w:rFonts w:cs="Times New Roman"/>
        </w:rPr>
      </w:pPr>
      <w:r w:rsidRPr="004E7E5A">
        <w:rPr>
          <w:rFonts w:cs="Times New Roman"/>
        </w:rPr>
        <w:t xml:space="preserve">Stakeholder theory is </w:t>
      </w:r>
      <w:r w:rsidR="00A315BC" w:rsidRPr="004E7E5A">
        <w:rPr>
          <w:rFonts w:cs="Times New Roman" w:hint="eastAsia"/>
        </w:rPr>
        <w:t>also</w:t>
      </w:r>
      <w:r w:rsidR="00A315BC" w:rsidRPr="004E7E5A">
        <w:rPr>
          <w:rFonts w:cs="Times New Roman"/>
        </w:rPr>
        <w:t xml:space="preserve"> </w:t>
      </w:r>
      <w:r w:rsidR="00A315BC" w:rsidRPr="004E7E5A">
        <w:rPr>
          <w:rFonts w:cs="Times New Roman" w:hint="eastAsia"/>
        </w:rPr>
        <w:t>a</w:t>
      </w:r>
      <w:r w:rsidRPr="004E7E5A">
        <w:rPr>
          <w:rFonts w:cs="Times New Roman"/>
        </w:rPr>
        <w:t xml:space="preserve"> frequently adopted theoretical perspective which extends the traditional perspective to a wide range of legitimate individuals or groups who are affecting, or being affected by a firm </w:t>
      </w:r>
      <w:r w:rsidRPr="004E7E5A">
        <w:rPr>
          <w:rFonts w:cs="Times New Roman"/>
        </w:rPr>
        <w:fldChar w:fldCharType="begin"/>
      </w:r>
      <w:r w:rsidR="006F6C86" w:rsidRPr="004E7E5A">
        <w:rPr>
          <w:rFonts w:cs="Times New Roman"/>
        </w:rPr>
        <w:instrText xml:space="preserve"> ADDIN EN.CITE &lt;EndNote&gt;&lt;Cite&gt;&lt;Author&gt;Freeman&lt;/Author&gt;&lt;Year&gt;1984&lt;/Year&gt;&lt;RecNum&gt;2279&lt;/RecNum&gt;&lt;DisplayText&gt;(Freeman 1984)&lt;/DisplayText&gt;&lt;record&gt;&lt;rec-number&gt;2279&lt;/rec-number&gt;&lt;foreign-keys&gt;&lt;key app="EN" db-id="trr00pfsbzzex0ezwf6v5swd9fpfpwfa90xp" timestamp="1638673157" guid="1205eba1-2d02-4e69-ad77-e061e848d788"&gt;2279&lt;/key&gt;&lt;/foreign-keys&gt;&lt;ref-type name="Book"&gt;6&lt;/ref-type&gt;&lt;contributors&gt;&lt;authors&gt;&lt;author&gt;Freeman, R Edward&lt;/author&gt;&lt;/authors&gt;&lt;/contributors&gt;&lt;titles&gt;&lt;title&gt;Strategic management: A stakeholder approach&lt;/title&gt;&lt;/titles&gt;&lt;dates&gt;&lt;year&gt;1984&lt;/year&gt;&lt;/dates&gt;&lt;pub-location&gt;Marshfield, Massachusetts&lt;/pub-location&gt;&lt;publisher&gt;Pitman Publishing Inc.&lt;/publisher&gt;&lt;isbn&gt;0521151740&lt;/isbn&gt;&lt;urls&gt;&lt;/urls&gt;&lt;/record&gt;&lt;/Cite&gt;&lt;/EndNote&gt;</w:instrText>
      </w:r>
      <w:r w:rsidRPr="004E7E5A">
        <w:rPr>
          <w:rFonts w:cs="Times New Roman"/>
        </w:rPr>
        <w:fldChar w:fldCharType="separate"/>
      </w:r>
      <w:r w:rsidR="00FA31BA" w:rsidRPr="004E7E5A">
        <w:rPr>
          <w:rFonts w:cs="Times New Roman"/>
          <w:noProof/>
        </w:rPr>
        <w:t>(Freeman 1984)</w:t>
      </w:r>
      <w:r w:rsidRPr="004E7E5A">
        <w:rPr>
          <w:rFonts w:cs="Times New Roman"/>
        </w:rPr>
        <w:fldChar w:fldCharType="end"/>
      </w:r>
      <w:r w:rsidRPr="004E7E5A">
        <w:rPr>
          <w:rFonts w:cs="Times New Roman"/>
        </w:rPr>
        <w:t xml:space="preserve">. The stakeholders are entitled to obtain benefits and information, although the priorities of all stakeholders are not self-evident and multiple corporate stakeholders may have </w:t>
      </w:r>
      <w:proofErr w:type="spellStart"/>
      <w:r w:rsidRPr="004E7E5A">
        <w:rPr>
          <w:rFonts w:cs="Times New Roman"/>
        </w:rPr>
        <w:t>compatible</w:t>
      </w:r>
      <w:r w:rsidR="00611B13" w:rsidRPr="004E7E5A">
        <w:rPr>
          <w:rFonts w:cs="Times New Roman" w:hint="eastAsia"/>
        </w:rPr>
        <w:t>d</w:t>
      </w:r>
      <w:proofErr w:type="spellEnd"/>
      <w:r w:rsidR="00611B13" w:rsidRPr="004E7E5A">
        <w:rPr>
          <w:rFonts w:cs="Times New Roman"/>
        </w:rPr>
        <w:t xml:space="preserve"> </w:t>
      </w:r>
      <w:r w:rsidRPr="004E7E5A">
        <w:rPr>
          <w:rFonts w:cs="Times New Roman"/>
        </w:rPr>
        <w:t>or competing</w:t>
      </w:r>
      <w:r w:rsidR="00597FA7" w:rsidRPr="004E7E5A">
        <w:rPr>
          <w:rFonts w:cs="Times New Roman"/>
        </w:rPr>
        <w:t xml:space="preserve"> </w:t>
      </w:r>
      <w:r w:rsidRPr="004E7E5A">
        <w:rPr>
          <w:rFonts w:cs="Times New Roman"/>
        </w:rPr>
        <w:t xml:space="preserve">interests, and may interact with </w:t>
      </w:r>
      <w:r w:rsidRPr="004E7E5A">
        <w:rPr>
          <w:rFonts w:cs="Times New Roman"/>
        </w:rPr>
        <w:lastRenderedPageBreak/>
        <w:t xml:space="preserve">others to effect change </w:t>
      </w:r>
      <w:r w:rsidRPr="004E7E5A">
        <w:rPr>
          <w:rFonts w:cs="Times New Roman"/>
        </w:rPr>
        <w:fldChar w:fldCharType="begin"/>
      </w:r>
      <w:r w:rsidR="006F6C86" w:rsidRPr="004E7E5A">
        <w:rPr>
          <w:rFonts w:cs="Times New Roman"/>
        </w:rPr>
        <w:instrText xml:space="preserve"> ADDIN EN.CITE &lt;EndNote&gt;&lt;Cite&gt;&lt;Author&gt;Adams&lt;/Author&gt;&lt;Year&gt;2009&lt;/Year&gt;&lt;RecNum&gt;2281&lt;/RecNum&gt;&lt;DisplayText&gt;(Adams and Whelan 2009; Liao et al. 2015)&lt;/DisplayText&gt;&lt;record&gt;&lt;rec-number&gt;2281&lt;/rec-number&gt;&lt;foreign-keys&gt;&lt;key app="EN" db-id="trr00pfsbzzex0ezwf6v5swd9fpfpwfa90xp" timestamp="1638673395" guid="61fd1374-04d3-4bdf-ac05-4d0dda2e33e3"&gt;2281&lt;/key&gt;&lt;/foreign-keys&gt;&lt;ref-type name="Journal Article"&gt;17&lt;/ref-type&gt;&lt;contributors&gt;&lt;authors&gt;&lt;author&gt;Adams, Carol A&lt;/author&gt;&lt;author&gt;Whelan, Glen&lt;/author&gt;&lt;/authors&gt;&lt;/contributors&gt;&lt;titles&gt;&lt;title&gt;Conceptualising future change in corporate sustainability reporting&lt;/title&gt;&lt;secondary-title&gt;Accounting, Auditing &amp;amp; Accountability Journal&lt;/secondary-title&gt;&lt;/titles&gt;&lt;periodical&gt;&lt;full-title&gt;Accounting, Auditing &amp;amp; Accountability Journal&lt;/full-title&gt;&lt;/periodical&gt;&lt;dates&gt;&lt;year&gt;2009&lt;/year&gt;&lt;/dates&gt;&lt;isbn&gt;0951-3574&lt;/isbn&gt;&lt;urls&gt;&lt;/urls&gt;&lt;/record&gt;&lt;/Cite&gt;&lt;Cite&gt;&lt;Author&gt;Liao&lt;/Author&gt;&lt;Year&gt;2015&lt;/Year&gt;&lt;RecNum&gt;2141&lt;/RecNum&gt;&lt;record&gt;&lt;rec-number&gt;2141&lt;/rec-number&gt;&lt;foreign-keys&gt;&lt;key app="EN" db-id="trr00pfsbzzex0ezwf6v5swd9fpfpwfa90xp" timestamp="1633694139" guid="e946732b-a428-4b4a-bc5b-e65882390c21"&gt;2141&lt;/key&gt;&lt;/foreign-keys&gt;&lt;ref-type name="Journal Article"&gt;17&lt;/ref-type&gt;&lt;contributors&gt;&lt;authors&gt;&lt;author&gt;Liao, Lin&lt;/author&gt;&lt;author&gt;Luo, Le&lt;/author&gt;&lt;author&gt;Tang, Qingliang&lt;/author&gt;&lt;/authors&gt;&lt;/contributors&gt;&lt;titles&gt;&lt;title&gt;Gender diversity, board independence, environmental committee and greenhouse gas disclosure&lt;/title&gt;&lt;secondary-title&gt;The British Accounting Review&lt;/secondary-title&gt;&lt;/titles&gt;&lt;periodical&gt;&lt;full-title&gt;The British Accounting Review&lt;/full-title&gt;&lt;/periodical&gt;&lt;pages&gt;409-424&lt;/pages&gt;&lt;volume&gt;47&lt;/volume&gt;&lt;number&gt;4&lt;/number&gt;&lt;dates&gt;&lt;year&gt;2015&lt;/year&gt;&lt;/dates&gt;&lt;isbn&gt;0890-8389&lt;/isbn&gt;&lt;urls&gt;&lt;/urls&gt;&lt;/record&gt;&lt;/Cite&gt;&lt;/EndNote&gt;</w:instrText>
      </w:r>
      <w:r w:rsidRPr="004E7E5A">
        <w:rPr>
          <w:rFonts w:cs="Times New Roman"/>
        </w:rPr>
        <w:fldChar w:fldCharType="separate"/>
      </w:r>
      <w:r w:rsidR="00FA31BA" w:rsidRPr="004E7E5A">
        <w:rPr>
          <w:rFonts w:cs="Times New Roman"/>
          <w:noProof/>
        </w:rPr>
        <w:t>(Adams and Whelan 2009; Liao et al. 2015)</w:t>
      </w:r>
      <w:r w:rsidRPr="004E7E5A">
        <w:rPr>
          <w:rFonts w:cs="Times New Roman"/>
        </w:rPr>
        <w:fldChar w:fldCharType="end"/>
      </w:r>
      <w:r w:rsidRPr="004E7E5A">
        <w:rPr>
          <w:rFonts w:cs="Times New Roman"/>
        </w:rPr>
        <w:t xml:space="preserve">. </w:t>
      </w:r>
      <w:r w:rsidRPr="004E7E5A">
        <w:rPr>
          <w:rFonts w:cs="Times New Roman"/>
        </w:rPr>
        <w:fldChar w:fldCharType="begin"/>
      </w:r>
      <w:r w:rsidR="00FA31BA" w:rsidRPr="004E7E5A">
        <w:rPr>
          <w:rFonts w:cs="Times New Roman"/>
        </w:rPr>
        <w:instrText xml:space="preserve"> ADDIN EN.CITE &lt;EndNote&gt;&lt;Cite AuthorYear="1"&gt;&lt;Author&gt;Freeman&lt;/Author&gt;&lt;Year&gt;1983&lt;/Year&gt;&lt;RecNum&gt;1664&lt;/RecNum&gt;&lt;DisplayText&gt;Freeman and Reed (1983)&lt;/DisplayText&gt;&lt;record&gt;&lt;rec-number&gt;1664&lt;/rec-number&gt;&lt;foreign-keys&gt;&lt;key app="EN" db-id="trr00pfsbzzex0ezwf6v5swd9fpfpwfa90xp" timestamp="1581522572" guid="3f50a79d-962e-4fb6-83ab-38cd0947b7e6"&gt;1664&lt;/key&gt;&lt;/foreign-keys&gt;&lt;ref-type name="Journal Article"&gt;17&lt;/ref-type&gt;&lt;contributors&gt;&lt;authors&gt;&lt;author&gt;Freeman, R. Edward&lt;/author&gt;&lt;author&gt;David L. Reed&lt;/author&gt;&lt;/authors&gt;&lt;/contributors&gt;&lt;titles&gt;&lt;title&gt;Stockholders and stakeholders: A new perspective on corporate governance&lt;/title&gt;&lt;secondary-title&gt;California management review&lt;/secondary-title&gt;&lt;/titles&gt;&lt;periodical&gt;&lt;full-title&gt;California management review&lt;/full-title&gt;&lt;/periodical&gt;&lt;pages&gt;88-106&lt;/pages&gt;&lt;volume&gt;25&lt;/volume&gt;&lt;number&gt;3&lt;/number&gt;&lt;dates&gt;&lt;year&gt;1983&lt;/year&gt;&lt;/dates&gt;&lt;urls&gt;&lt;/urls&gt;&lt;/record&gt;&lt;/Cite&gt;&lt;/EndNote&gt;</w:instrText>
      </w:r>
      <w:r w:rsidRPr="004E7E5A">
        <w:rPr>
          <w:rFonts w:cs="Times New Roman"/>
        </w:rPr>
        <w:fldChar w:fldCharType="separate"/>
      </w:r>
      <w:r w:rsidR="00FA31BA" w:rsidRPr="004E7E5A">
        <w:rPr>
          <w:rFonts w:cs="Times New Roman"/>
          <w:noProof/>
        </w:rPr>
        <w:t>Freeman and Reed (1983)</w:t>
      </w:r>
      <w:r w:rsidRPr="004E7E5A">
        <w:rPr>
          <w:rFonts w:cs="Times New Roman"/>
        </w:rPr>
        <w:fldChar w:fldCharType="end"/>
      </w:r>
      <w:r w:rsidRPr="004E7E5A">
        <w:rPr>
          <w:rFonts w:cs="Times New Roman"/>
        </w:rPr>
        <w:t xml:space="preserve"> discuss the dynamics of stakeholder influences on corporate decisions. A major role of corporate management is to assess the importance of meeting stakeholder demands in order to achieve the strategic objectives of the firm. As the level of stakeholder power increases</w:t>
      </w:r>
      <w:r w:rsidR="00611B13" w:rsidRPr="004E7E5A">
        <w:rPr>
          <w:rFonts w:cs="Times New Roman"/>
        </w:rPr>
        <w:t>,</w:t>
      </w:r>
      <w:r w:rsidRPr="004E7E5A">
        <w:rPr>
          <w:rFonts w:cs="Times New Roman"/>
        </w:rPr>
        <w:t xml:space="preserve"> the importance of meeting stakeholder demands increases, also.</w:t>
      </w:r>
      <w:r w:rsidRPr="004E7E5A">
        <w:rPr>
          <w:rFonts w:cs="Times New Roman" w:hint="eastAsia"/>
        </w:rPr>
        <w:t xml:space="preserve"> </w:t>
      </w:r>
      <w:r w:rsidRPr="004E7E5A">
        <w:rPr>
          <w:rFonts w:cs="Times New Roman"/>
        </w:rPr>
        <w:t xml:space="preserve">Stakeholder theory highlights the intensity of conflicting stakeholder demands and preferences, and provides a potential explanation for CSR disclosures in terms of a firm’s responsiveness to society, its strategic orientation towards social responsibility and the trade-off between economic and CSR objectives </w:t>
      </w:r>
      <w:r w:rsidRPr="004E7E5A">
        <w:rPr>
          <w:rFonts w:cs="Times New Roman"/>
        </w:rPr>
        <w:fldChar w:fldCharType="begin"/>
      </w:r>
      <w:r w:rsidR="006F6C86" w:rsidRPr="004E7E5A">
        <w:rPr>
          <w:rFonts w:cs="Times New Roman"/>
        </w:rPr>
        <w:instrText xml:space="preserve"> ADDIN EN.CITE &lt;EndNote&gt;&lt;Cite&gt;&lt;Author&gt;Macve&lt;/Author&gt;&lt;Year&gt;2010&lt;/Year&gt;&lt;RecNum&gt;2282&lt;/RecNum&gt;&lt;DisplayText&gt;(Macve and Chen 2010; Liao et al. 2015)&lt;/DisplayText&gt;&lt;record&gt;&lt;rec-number&gt;2282&lt;/rec-number&gt;&lt;foreign-keys&gt;&lt;key app="EN" db-id="trr00pfsbzzex0ezwf6v5swd9fpfpwfa90xp" timestamp="1638673943" guid="1ffda349-acf3-462f-95fd-a01383ff2652"&gt;2282&lt;/key&gt;&lt;/foreign-keys&gt;&lt;ref-type name="Journal Article"&gt;17&lt;/ref-type&gt;&lt;contributors&gt;&lt;authors&gt;&lt;author&gt;Macve, Richard&lt;/author&gt;&lt;author&gt;Chen, Xiaoli&lt;/author&gt;&lt;/authors&gt;&lt;/contributors&gt;&lt;titles&gt;&lt;title&gt;The “equator principles”: a success for voluntary codes?&lt;/title&gt;&lt;secondary-title&gt;Accounting, Auditing &amp;amp; Accountability Journal&lt;/secondary-title&gt;&lt;/titles&gt;&lt;periodical&gt;&lt;full-title&gt;Accounting, Auditing &amp;amp; Accountability Journal&lt;/full-title&gt;&lt;/periodical&gt;&lt;dates&gt;&lt;year&gt;2010&lt;/year&gt;&lt;/dates&gt;&lt;isbn&gt;0951-3574&lt;/isbn&gt;&lt;urls&gt;&lt;/urls&gt;&lt;/record&gt;&lt;/Cite&gt;&lt;Cite&gt;&lt;Author&gt;Liao&lt;/Author&gt;&lt;Year&gt;2015&lt;/Year&gt;&lt;RecNum&gt;2141&lt;/RecNum&gt;&lt;record&gt;&lt;rec-number&gt;2141&lt;/rec-number&gt;&lt;foreign-keys&gt;&lt;key app="EN" db-id="trr00pfsbzzex0ezwf6v5swd9fpfpwfa90xp" timestamp="1633694139" guid="e946732b-a428-4b4a-bc5b-e65882390c21"&gt;2141&lt;/key&gt;&lt;/foreign-keys&gt;&lt;ref-type name="Journal Article"&gt;17&lt;/ref-type&gt;&lt;contributors&gt;&lt;authors&gt;&lt;author&gt;Liao, Lin&lt;/author&gt;&lt;author&gt;Luo, Le&lt;/author&gt;&lt;author&gt;Tang, Qingliang&lt;/author&gt;&lt;/authors&gt;&lt;/contributors&gt;&lt;titles&gt;&lt;title&gt;Gender diversity, board independence, environmental committee and greenhouse gas disclosure&lt;/title&gt;&lt;secondary-title&gt;The British Accounting Review&lt;/secondary-title&gt;&lt;/titles&gt;&lt;periodical&gt;&lt;full-title&gt;The British Accounting Review&lt;/full-title&gt;&lt;/periodical&gt;&lt;pages&gt;409-424&lt;/pages&gt;&lt;volume&gt;47&lt;/volume&gt;&lt;number&gt;4&lt;/number&gt;&lt;dates&gt;&lt;year&gt;2015&lt;/year&gt;&lt;/dates&gt;&lt;isbn&gt;0890-8389&lt;/isbn&gt;&lt;urls&gt;&lt;/urls&gt;&lt;/record&gt;&lt;/Cite&gt;&lt;/EndNote&gt;</w:instrText>
      </w:r>
      <w:r w:rsidRPr="004E7E5A">
        <w:rPr>
          <w:rFonts w:cs="Times New Roman"/>
        </w:rPr>
        <w:fldChar w:fldCharType="separate"/>
      </w:r>
      <w:r w:rsidRPr="004E7E5A">
        <w:rPr>
          <w:rFonts w:cs="Times New Roman"/>
          <w:noProof/>
        </w:rPr>
        <w:t>(Macve and Chen 2010; Liao et al. 2015)</w:t>
      </w:r>
      <w:r w:rsidRPr="004E7E5A">
        <w:rPr>
          <w:rFonts w:cs="Times New Roman"/>
        </w:rPr>
        <w:fldChar w:fldCharType="end"/>
      </w:r>
      <w:r w:rsidRPr="004E7E5A">
        <w:rPr>
          <w:rFonts w:cs="Times New Roman"/>
        </w:rPr>
        <w:t xml:space="preserve">. Many scholars and theorists also argue that diverse boards are more likely to be stakeholder oriented and concerned about ethical practices and socially responsible behavior to be inclined to take actions to reduce perceived risks </w:t>
      </w:r>
      <w:r w:rsidRPr="005E4BC5">
        <w:rPr>
          <w:rFonts w:cs="Times New Roman"/>
        </w:rPr>
        <w:fldChar w:fldCharType="begin">
          <w:fldData xml:space="preserve">PEVuZE5vdGU+PENpdGU+PEF1dGhvcj5BZGFtczwvQXV0aG9yPjxZZWFyPjIwMDk8L1llYXI+PFJl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</w:fldData>
        </w:fldChar>
      </w:r>
      <w:r w:rsidR="001A1175" w:rsidRPr="005E4BC5">
        <w:rPr>
          <w:rFonts w:cs="Times New Roman"/>
        </w:rPr>
        <w:instrText xml:space="preserve"> ADDIN EN.CITE </w:instrText>
      </w:r>
      <w:r w:rsidR="001A1175" w:rsidRPr="005E4BC5">
        <w:rPr>
          <w:rFonts w:cs="Times New Roman"/>
        </w:rPr>
        <w:fldChar w:fldCharType="begin">
          <w:fldData xml:space="preserve">PEVuZE5vdGU+PENpdGU+PEF1dGhvcj5BZGFtczwvQXV0aG9yPjxZZWFyPjIwMDk8L1llYXI+PFJl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</w:fldData>
        </w:fldChar>
      </w:r>
      <w:r w:rsidR="001A1175" w:rsidRPr="005E4BC5">
        <w:rPr>
          <w:rFonts w:cs="Times New Roman"/>
        </w:rPr>
        <w:instrText xml:space="preserve"> ADDIN EN.CITE.DATA </w:instrText>
      </w:r>
      <w:r w:rsidR="001A1175" w:rsidRPr="005E4BC5">
        <w:rPr>
          <w:rFonts w:cs="Times New Roman"/>
        </w:rPr>
      </w:r>
      <w:r w:rsidR="001A1175" w:rsidRPr="005E4BC5">
        <w:rPr>
          <w:rFonts w:cs="Times New Roman"/>
        </w:rPr>
        <w:fldChar w:fldCharType="end"/>
      </w:r>
      <w:r w:rsidRPr="005E4BC5">
        <w:rPr>
          <w:rFonts w:cs="Times New Roman"/>
        </w:rPr>
      </w:r>
      <w:r w:rsidRPr="005E4BC5">
        <w:rPr>
          <w:rFonts w:cs="Times New Roman"/>
        </w:rPr>
        <w:fldChar w:fldCharType="separate"/>
      </w:r>
      <w:r w:rsidR="00FA31BA" w:rsidRPr="005E4BC5">
        <w:rPr>
          <w:rFonts w:cs="Times New Roman"/>
          <w:noProof/>
        </w:rPr>
        <w:t>(Adams and Ferreira 2009; Liao et al. 2015; Katmon et al. 2017)</w:t>
      </w:r>
      <w:r w:rsidRPr="005E4BC5">
        <w:rPr>
          <w:rFonts w:cs="Times New Roman"/>
        </w:rPr>
        <w:fldChar w:fldCharType="end"/>
      </w:r>
      <w:r w:rsidRPr="005E4BC5">
        <w:rPr>
          <w:rFonts w:cs="Times New Roman"/>
        </w:rPr>
        <w:t xml:space="preserve">. </w:t>
      </w:r>
      <w:r w:rsidR="00D77418" w:rsidRPr="005E4BC5">
        <w:rPr>
          <w:rFonts w:cs="Times New Roman"/>
        </w:rPr>
        <w:t>For instance, d</w:t>
      </w:r>
      <w:r w:rsidR="000B0BEF" w:rsidRPr="005E4BC5">
        <w:rPr>
          <w:rFonts w:cs="Times New Roman"/>
        </w:rPr>
        <w:t xml:space="preserve">ue to females’ higher concerns for social responsibility issues and greater stakeholder orientation a gender diverse board </w:t>
      </w:r>
      <w:r w:rsidR="00B54CD0" w:rsidRPr="005E4BC5">
        <w:rPr>
          <w:rFonts w:cs="Times New Roman" w:hint="eastAsia"/>
        </w:rPr>
        <w:t>may</w:t>
      </w:r>
      <w:r w:rsidR="000B0BEF" w:rsidRPr="005E4BC5">
        <w:rPr>
          <w:rFonts w:cs="Times New Roman"/>
        </w:rPr>
        <w:t xml:space="preserve"> affect </w:t>
      </w:r>
      <w:r w:rsidR="00976C66" w:rsidRPr="005E4BC5">
        <w:rPr>
          <w:rFonts w:cs="Times New Roman"/>
        </w:rPr>
        <w:t>CSR</w:t>
      </w:r>
      <w:r w:rsidR="000B0BEF" w:rsidRPr="005E4BC5">
        <w:rPr>
          <w:rFonts w:cs="Times New Roman"/>
        </w:rPr>
        <w:t xml:space="preserve"> reporting quality</w:t>
      </w:r>
      <w:r w:rsidR="00976C66" w:rsidRPr="005E4BC5">
        <w:rPr>
          <w:rFonts w:cs="Times New Roman"/>
        </w:rPr>
        <w:t xml:space="preserve"> </w:t>
      </w:r>
      <w:r w:rsidR="00E12D2F" w:rsidRPr="005E4BC5">
        <w:rPr>
          <w:rFonts w:cs="Times New Roman"/>
        </w:rPr>
        <w:fldChar w:fldCharType="begin"/>
      </w:r>
      <w:r w:rsidR="00E12D2F" w:rsidRPr="005E4BC5">
        <w:rPr>
          <w:rFonts w:cs="Times New Roman"/>
        </w:rPr>
        <w:instrText xml:space="preserve"> ADDIN EN.CITE &lt;EndNote&gt;&lt;Cite&gt;&lt;Author&gt;Al-Shaer&lt;/Author&gt;&lt;Year&gt;2016&lt;/Year&gt;&lt;RecNum&gt;2416&lt;/RecNum&gt;&lt;DisplayText&gt;(Al-Shaer and Zaman 2016)&lt;/DisplayText&gt;&lt;record&gt;&lt;rec-number&gt;2416&lt;/rec-number&gt;&lt;foreign-keys&gt;&lt;key app="EN" db-id="trr00pfsbzzex0ezwf6v5swd9fpfpwfa90xp" timestamp="1645509145" guid="0c27ed58-f45a-48b3-99e5-c6a94d67dfe2"&gt;2416&lt;/key&gt;&lt;/foreign-keys&gt;&lt;ref-type name="Journal Article"&gt;17&lt;/ref-type&gt;&lt;contributors&gt;&lt;authors&gt;&lt;author&gt;Al-Shaer, Habiba&lt;/author&gt;&lt;author&gt;Zaman, Mahbub&lt;/author&gt;&lt;/authors&gt;&lt;/contributors&gt;&lt;titles&gt;&lt;title&gt;Board gender diversity and sustainability reporting quality&lt;/title&gt;&lt;secondary-title&gt;Journal of Contemporary Accounting &amp;amp; Economics&lt;/secondary-title&gt;&lt;/titles&gt;&lt;periodical&gt;&lt;full-title&gt;Journal of Contemporary Accounting &amp;amp; Economics&lt;/full-title&gt;&lt;/periodical&gt;&lt;pages&gt;210-222&lt;/pages&gt;&lt;volume&gt;12&lt;/volume&gt;&lt;number&gt;3&lt;/number&gt;&lt;dates&gt;&lt;year&gt;2016&lt;/year&gt;&lt;/dates&gt;&lt;isbn&gt;1815-5669&lt;/isbn&gt;&lt;urls&gt;&lt;/urls&gt;&lt;/record&gt;&lt;/Cite&gt;&lt;/EndNote&gt;</w:instrText>
      </w:r>
      <w:r w:rsidR="00E12D2F" w:rsidRPr="005E4BC5">
        <w:rPr>
          <w:rFonts w:cs="Times New Roman"/>
        </w:rPr>
        <w:fldChar w:fldCharType="separate"/>
      </w:r>
      <w:r w:rsidR="00E12D2F" w:rsidRPr="005E4BC5">
        <w:rPr>
          <w:rFonts w:cs="Times New Roman"/>
          <w:noProof/>
        </w:rPr>
        <w:t>(Al-Shaer and Zaman 2016)</w:t>
      </w:r>
      <w:r w:rsidR="00E12D2F" w:rsidRPr="005E4BC5">
        <w:rPr>
          <w:rFonts w:cs="Times New Roman"/>
        </w:rPr>
        <w:fldChar w:fldCharType="end"/>
      </w:r>
      <w:r w:rsidR="000B0BEF" w:rsidRPr="005E4BC5">
        <w:rPr>
          <w:rFonts w:cs="Times New Roman"/>
        </w:rPr>
        <w:t>.</w:t>
      </w:r>
      <w:r w:rsidR="00B54CD0" w:rsidRPr="005E4BC5">
        <w:rPr>
          <w:rFonts w:cs="Times New Roman"/>
        </w:rPr>
        <w:t xml:space="preserve"> </w:t>
      </w:r>
      <w:r w:rsidRPr="005E4BC5">
        <w:rPr>
          <w:rFonts w:cs="Times New Roman"/>
        </w:rPr>
        <w:t>According to</w:t>
      </w:r>
      <w:r w:rsidR="00171DB7" w:rsidRPr="005E4BC5">
        <w:rPr>
          <w:rFonts w:cs="Times New Roman"/>
        </w:rPr>
        <w:t xml:space="preserve"> Maurer et al. (2011), a</w:t>
      </w:r>
      <w:r w:rsidRPr="005E4BC5">
        <w:rPr>
          <w:rFonts w:cs="Times New Roman"/>
        </w:rPr>
        <w:t xml:space="preserve"> firm’s strategies that contradict with social values put their economic value at stake due to th</w:t>
      </w:r>
      <w:r w:rsidRPr="004E7E5A">
        <w:rPr>
          <w:rFonts w:cs="Times New Roman"/>
        </w:rPr>
        <w:t xml:space="preserve">e risk that stakeholders might respond negatively to the firm, and vice versa. Given that directors’ network is not a purely economic-driven pursuit, stakeholder and broader social accountability perspectives closely fit between the societal tenets of network and the need for communication/accountability by firms. Thus, to be sensitive with the stakeholder’s perception and social value and act accordingly in developing firm strategies is also one of the unique capabilities under the lens of </w:t>
      </w:r>
      <w:r w:rsidR="00591D93" w:rsidRPr="004E7E5A">
        <w:rPr>
          <w:rFonts w:cs="Times New Roman"/>
        </w:rPr>
        <w:t>resource-based view</w:t>
      </w:r>
      <w:r w:rsidRPr="004E7E5A">
        <w:rPr>
          <w:rFonts w:cs="Times New Roman"/>
        </w:rPr>
        <w:t xml:space="preserve"> theory </w:t>
      </w:r>
      <w:r w:rsidRPr="004E7E5A">
        <w:rPr>
          <w:rFonts w:cs="Times New Roman"/>
        </w:rPr>
        <w:fldChar w:fldCharType="begin"/>
      </w:r>
      <w:r w:rsidR="001A1175" w:rsidRPr="004E7E5A">
        <w:rPr>
          <w:rFonts w:cs="Times New Roman"/>
        </w:rPr>
        <w:instrText xml:space="preserve"> ADDIN EN.CITE &lt;EndNote&gt;&lt;Cite&gt;&lt;Author&gt;Maurer&lt;/Author&gt;&lt;Year&gt;2011&lt;/Year&gt;&lt;RecNum&gt;2283&lt;/RecNum&gt;&lt;DisplayText&gt;(Maurer et al. 2011; Katmon et al. 2017)&lt;/DisplayText&gt;&lt;record&gt;&lt;rec-number&gt;2283&lt;/rec-number&gt;&lt;foreign-keys&gt;&lt;key app="EN" db-id="trr00pfsbzzex0ezwf6v5swd9fpfpwfa90xp" timestamp="1638674367" guid="600cb55a-f958-4a89-b3b6-6f822b3a6265"&gt;2283&lt;/key&gt;&lt;/foreign-keys&gt;&lt;ref-type name="Journal Article"&gt;17&lt;/ref-type&gt;&lt;contributors&gt;&lt;authors&gt;&lt;author&gt;Maurer, Cara C&lt;/author&gt;&lt;author&gt;Bansal, Pratima&lt;/author&gt;&lt;author&gt;Crossan, Mary M&lt;/author&gt;&lt;/authors&gt;&lt;/contributors&gt;&lt;titles&gt;&lt;title&gt;Creating economic value through social values: Introducing a culturally informed resource-based view&lt;/title&gt;&lt;secondary-title&gt;Organization Science&lt;/secondary-title&gt;&lt;/titles&gt;&lt;periodical&gt;&lt;full-title&gt;Organization Science&lt;/full-title&gt;&lt;/periodical&gt;&lt;pages&gt;432-448&lt;/pages&gt;&lt;volume&gt;22&lt;/volume&gt;&lt;number&gt;2&lt;/number&gt;&lt;dates&gt;&lt;year&gt;2011&lt;/year&gt;&lt;/dates&gt;&lt;isbn&gt;1047-7039&lt;/isbn&gt;&lt;urls&gt;&lt;/urls&gt;&lt;/record&gt;&lt;/Cite&gt;&lt;Cite&gt;&lt;Author&gt;Katmon&lt;/Author&gt;&lt;Year&gt;2017&lt;/Year&gt;&lt;RecNum&gt;114&lt;/RecNum&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(Maurer et al. 2011; Katmon et al. 2017)</w:t>
      </w:r>
      <w:r w:rsidRPr="004E7E5A">
        <w:rPr>
          <w:rFonts w:cs="Times New Roman"/>
        </w:rPr>
        <w:fldChar w:fldCharType="end"/>
      </w:r>
      <w:r w:rsidRPr="004E7E5A">
        <w:rPr>
          <w:rFonts w:cs="Times New Roman"/>
        </w:rPr>
        <w:t>.</w:t>
      </w:r>
    </w:p>
    <w:p w14:paraId="74D537D9" w14:textId="62C53270" w:rsidR="00B9756B" w:rsidRPr="004E7E5A" w:rsidRDefault="00B9756B" w:rsidP="004D1695">
      <w:pPr>
        <w:pStyle w:val="a7"/>
        <w:spacing w:line="480" w:lineRule="auto"/>
        <w:ind w:firstLine="480"/>
        <w:rPr>
          <w:rFonts w:cs="Times New Roman"/>
        </w:rPr>
      </w:pPr>
      <w:r w:rsidRPr="004E7E5A">
        <w:rPr>
          <w:rFonts w:cs="Times New Roman"/>
        </w:rPr>
        <w:lastRenderedPageBreak/>
        <w:t xml:space="preserve">Resource-based view is another frequently adopted theoretical perspective which suggests that firms accumulate valuable resources and capabilities that lead to superior CSR disclosure quality </w:t>
      </w:r>
      <w:r w:rsidRPr="004E7E5A">
        <w:rPr>
          <w:rFonts w:cs="Times New Roman"/>
        </w:rPr>
        <w:fldChar w:fldCharType="begin"/>
      </w:r>
      <w:r w:rsidR="001A1175" w:rsidRPr="004E7E5A">
        <w:rPr>
          <w:rFonts w:cs="Times New Roman"/>
        </w:rPr>
        <w:instrText xml:space="preserve"> ADDIN EN.CITE &lt;EndNote&gt;&lt;Cite&gt;&lt;Author&gt;Maurer&lt;/Author&gt;&lt;Year&gt;2011&lt;/Year&gt;&lt;RecNum&gt;2283&lt;/RecNum&gt;&lt;DisplayText&gt;(Maurer et al. 2011; Katmon et al. 2017)&lt;/DisplayText&gt;&lt;record&gt;&lt;rec-number&gt;2283&lt;/rec-number&gt;&lt;foreign-keys&gt;&lt;key app="EN" db-id="trr00pfsbzzex0ezwf6v5swd9fpfpwfa90xp" timestamp="1638674367" guid="600cb55a-f958-4a89-b3b6-6f822b3a6265"&gt;2283&lt;/key&gt;&lt;/foreign-keys&gt;&lt;ref-type name="Journal Article"&gt;17&lt;/ref-type&gt;&lt;contributors&gt;&lt;authors&gt;&lt;author&gt;Maurer, Cara C&lt;/author&gt;&lt;author&gt;Bansal, Pratima&lt;/author&gt;&lt;author&gt;Crossan, Mary M&lt;/author&gt;&lt;/authors&gt;&lt;/contributors&gt;&lt;titles&gt;&lt;title&gt;Creating economic value through social values: Introducing a culturally informed resource-based view&lt;/title&gt;&lt;secondary-title&gt;Organization Science&lt;/secondary-title&gt;&lt;/titles&gt;&lt;periodical&gt;&lt;full-title&gt;Organization Science&lt;/full-title&gt;&lt;/periodical&gt;&lt;pages&gt;432-448&lt;/pages&gt;&lt;volume&gt;22&lt;/volume&gt;&lt;number&gt;2&lt;/number&gt;&lt;dates&gt;&lt;year&gt;2011&lt;/year&gt;&lt;/dates&gt;&lt;isbn&gt;1047-7039&lt;/isbn&gt;&lt;urls&gt;&lt;/urls&gt;&lt;/record&gt;&lt;/Cite&gt;&lt;Cite&gt;&lt;Author&gt;Katmon&lt;/Author&gt;&lt;Year&gt;2017&lt;/Year&gt;&lt;RecNum&gt;114&lt;/RecNum&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(Maurer et al. 2011; Katmon et al. 2017)</w:t>
      </w:r>
      <w:r w:rsidRPr="004E7E5A">
        <w:rPr>
          <w:rFonts w:cs="Times New Roman"/>
        </w:rPr>
        <w:fldChar w:fldCharType="end"/>
      </w:r>
      <w:r w:rsidRPr="004E7E5A">
        <w:rPr>
          <w:rFonts w:cs="Times New Roman"/>
        </w:rPr>
        <w:t xml:space="preserve">. Firms encompassed of heterogeneous resources such as </w:t>
      </w:r>
      <w:r w:rsidR="005A1544" w:rsidRPr="004E7E5A">
        <w:rPr>
          <w:rFonts w:cs="Times New Roman"/>
        </w:rPr>
        <w:t>bundles of tangible and intangible assets</w:t>
      </w:r>
      <w:r w:rsidRPr="004E7E5A">
        <w:rPr>
          <w:rFonts w:cs="Times New Roman"/>
        </w:rPr>
        <w:t xml:space="preserve">, </w:t>
      </w:r>
      <w:r w:rsidR="00D67693" w:rsidRPr="004E7E5A">
        <w:rPr>
          <w:rFonts w:cs="Times New Roman"/>
        </w:rPr>
        <w:t xml:space="preserve">management skills, </w:t>
      </w:r>
      <w:r w:rsidRPr="004E7E5A">
        <w:rPr>
          <w:rFonts w:cs="Times New Roman"/>
        </w:rPr>
        <w:t>experience and intelligence of staff, as well as</w:t>
      </w:r>
      <w:r w:rsidRPr="004E7E5A">
        <w:t xml:space="preserve"> </w:t>
      </w:r>
      <w:r w:rsidRPr="004E7E5A">
        <w:rPr>
          <w:rFonts w:cs="Times New Roman"/>
        </w:rPr>
        <w:t xml:space="preserve">planning, control and coordinating systems, and the resources owned by firms may not be perfectly mobile across firms, and thus heterogeneity can be long lasting </w:t>
      </w:r>
      <w:r w:rsidRPr="004E7E5A">
        <w:rPr>
          <w:rFonts w:cs="Times New Roman"/>
        </w:rPr>
        <w:fldChar w:fldCharType="begin">
          <w:fldData xml:space="preserve">PEVuZE5vdGU+PENpdGU+PEF1dGhvcj5CYXJuZXk8L0F1dGhvcj48WWVhcj4xOTkxPC9ZZWFyPjxS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PEVuZE5vdGU+PENpdGU+PEF1dGhvcj5CYXJuZXk8L0F1dGhvcj48WWVhcj4xOTkxPC9ZZWFyPjxS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00A64CC5" w:rsidRPr="004E7E5A">
        <w:rPr>
          <w:rFonts w:cs="Times New Roman"/>
          <w:noProof/>
        </w:rPr>
        <w:t>(Barney 1991; Katmon et al. 2017; Barney et al. 2011)</w:t>
      </w:r>
      <w:r w:rsidRPr="004E7E5A">
        <w:rPr>
          <w:rFonts w:cs="Times New Roman"/>
        </w:rPr>
        <w:fldChar w:fldCharType="end"/>
      </w:r>
      <w:r w:rsidRPr="004E7E5A">
        <w:rPr>
          <w:rFonts w:cs="Times New Roman"/>
        </w:rPr>
        <w:t>.</w:t>
      </w:r>
      <w:r w:rsidRPr="004E7E5A">
        <w:rPr>
          <w:rFonts w:cs="Times New Roman" w:hint="eastAsia"/>
        </w:rPr>
        <w:t xml:space="preserve"> </w:t>
      </w:r>
      <w:r w:rsidRPr="004E7E5A">
        <w:rPr>
          <w:rFonts w:cs="Times New Roman"/>
        </w:rPr>
        <w:t>The</w:t>
      </w:r>
      <w:r w:rsidRPr="004E7E5A">
        <w:t xml:space="preserve"> </w:t>
      </w:r>
      <w:r w:rsidRPr="004E7E5A">
        <w:rPr>
          <w:rFonts w:cs="Times New Roman"/>
        </w:rPr>
        <w:t xml:space="preserve">resource-based view theory reflects internal resources as the cornerstone for firms to achieve competitive advantage and, in order to be recognized as a firm’s resources, the potential asset must comply with certain criteria which are valuable, rare and hard to imitate </w:t>
      </w:r>
      <w:r w:rsidRPr="004E7E5A">
        <w:rPr>
          <w:rFonts w:cs="Times New Roman"/>
        </w:rPr>
        <w:fldChar w:fldCharType="begin"/>
      </w:r>
      <w:r w:rsidR="006F6C86" w:rsidRPr="004E7E5A">
        <w:rPr>
          <w:rFonts w:cs="Times New Roman"/>
        </w:rPr>
        <w:instrText xml:space="preserve"> ADDIN EN.CITE &lt;EndNote&gt;&lt;Cite&gt;&lt;Author&gt;Barney&lt;/Author&gt;&lt;Year&gt;1991&lt;/Year&gt;&lt;RecNum&gt;2268&lt;/RecNum&gt;&lt;DisplayText&gt;(Barney 1991)&lt;/DisplayText&gt;&lt;record&gt;&lt;rec-number&gt;2268&lt;/rec-number&gt;&lt;foreign-keys&gt;&lt;key app="EN" db-id="trr00pfsbzzex0ezwf6v5swd9fpfpwfa90xp" timestamp="1638622497" guid="c8519075-204a-43c4-8be7-ac9c33953f72"&gt;2268&lt;/key&gt;&lt;/foreign-keys&gt;&lt;ref-type name="Journal Article"&gt;17&lt;/ref-type&gt;&lt;contributors&gt;&lt;authors&gt;&lt;author&gt;Barney, Jay&lt;/author&gt;&lt;/authors&gt;&lt;/contributors&gt;&lt;titles&gt;&lt;title&gt;Firm resources and sustained competitive advantage&lt;/title&gt;&lt;secondary-title&gt;Journal of management&lt;/secondary-title&gt;&lt;/titles&gt;&lt;periodical&gt;&lt;full-title&gt;Journal of Management&lt;/full-title&gt;&lt;/periodical&gt;&lt;pages&gt;99-120&lt;/pages&gt;&lt;volume&gt;17&lt;/volume&gt;&lt;number&gt;1&lt;/number&gt;&lt;dates&gt;&lt;year&gt;1991&lt;/year&gt;&lt;/dates&gt;&lt;isbn&gt;0149-2063&lt;/isbn&gt;&lt;urls&gt;&lt;/urls&gt;&lt;/record&gt;&lt;/Cite&gt;&lt;/EndNote&gt;</w:instrText>
      </w:r>
      <w:r w:rsidRPr="004E7E5A">
        <w:rPr>
          <w:rFonts w:cs="Times New Roman"/>
        </w:rPr>
        <w:fldChar w:fldCharType="separate"/>
      </w:r>
      <w:r w:rsidRPr="004E7E5A">
        <w:rPr>
          <w:rFonts w:cs="Times New Roman"/>
          <w:noProof/>
        </w:rPr>
        <w:t>(Barney 1991)</w:t>
      </w:r>
      <w:r w:rsidRPr="004E7E5A">
        <w:rPr>
          <w:rFonts w:cs="Times New Roman"/>
        </w:rPr>
        <w:fldChar w:fldCharType="end"/>
      </w:r>
      <w:r w:rsidRPr="004E7E5A">
        <w:rPr>
          <w:rFonts w:cs="Times New Roman"/>
        </w:rPr>
        <w:t xml:space="preserve">. Sustained competitive advantage derives from the resources and capabilities a firm controls that are valuable, rare, imperfectly imitable, and not substitutable </w:t>
      </w:r>
      <w:r w:rsidRPr="004E7E5A">
        <w:rPr>
          <w:rFonts w:cs="Times New Roman"/>
        </w:rPr>
        <w:fldChar w:fldCharType="begin"/>
      </w:r>
      <w:r w:rsidR="006F6C86" w:rsidRPr="004E7E5A">
        <w:rPr>
          <w:rFonts w:cs="Times New Roman"/>
        </w:rPr>
        <w:instrText xml:space="preserve"> ADDIN EN.CITE &lt;EndNote&gt;&lt;Cite&gt;&lt;Author&gt;Barney&lt;/Author&gt;&lt;Year&gt;1991&lt;/Year&gt;&lt;RecNum&gt;2268&lt;/RecNum&gt;&lt;DisplayText&gt;(Barney 1991)&lt;/DisplayText&gt;&lt;record&gt;&lt;rec-number&gt;2268&lt;/rec-number&gt;&lt;foreign-keys&gt;&lt;key app="EN" db-id="trr00pfsbzzex0ezwf6v5swd9fpfpwfa90xp" timestamp="1638622497" guid="c8519075-204a-43c4-8be7-ac9c33953f72"&gt;2268&lt;/key&gt;&lt;/foreign-keys&gt;&lt;ref-type name="Journal Article"&gt;17&lt;/ref-type&gt;&lt;contributors&gt;&lt;authors&gt;&lt;author&gt;Barney, Jay&lt;/author&gt;&lt;/authors&gt;&lt;/contributors&gt;&lt;titles&gt;&lt;title&gt;Firm resources and sustained competitive advantage&lt;/title&gt;&lt;secondary-title&gt;Journal of management&lt;/secondary-title&gt;&lt;/titles&gt;&lt;periodical&gt;&lt;full-title&gt;Journal of Management&lt;/full-title&gt;&lt;/periodical&gt;&lt;pages&gt;99-120&lt;/pages&gt;&lt;volume&gt;17&lt;/volume&gt;&lt;number&gt;1&lt;/number&gt;&lt;dates&gt;&lt;year&gt;1991&lt;/year&gt;&lt;/dates&gt;&lt;isbn&gt;0149-2063&lt;/isbn&gt;&lt;urls&gt;&lt;/urls&gt;&lt;/record&gt;&lt;/Cite&gt;&lt;/EndNote&gt;</w:instrText>
      </w:r>
      <w:r w:rsidRPr="004E7E5A">
        <w:rPr>
          <w:rFonts w:cs="Times New Roman"/>
        </w:rPr>
        <w:fldChar w:fldCharType="separate"/>
      </w:r>
      <w:r w:rsidRPr="004E7E5A">
        <w:rPr>
          <w:rFonts w:cs="Times New Roman"/>
          <w:noProof/>
        </w:rPr>
        <w:t>(Barney 1991)</w:t>
      </w:r>
      <w:r w:rsidRPr="004E7E5A">
        <w:rPr>
          <w:rFonts w:cs="Times New Roman"/>
        </w:rPr>
        <w:fldChar w:fldCharType="end"/>
      </w:r>
      <w:r w:rsidRPr="004E7E5A">
        <w:rPr>
          <w:rFonts w:cs="Times New Roman"/>
        </w:rPr>
        <w:t>.</w:t>
      </w:r>
      <w:r w:rsidRPr="004E7E5A">
        <w:rPr>
          <w:rFonts w:cs="Times New Roman" w:hint="eastAsia"/>
        </w:rPr>
        <w:t xml:space="preserve"> </w:t>
      </w:r>
      <w:r w:rsidR="00D359CD" w:rsidRPr="004E7E5A">
        <w:rPr>
          <w:rFonts w:cs="Times New Roman"/>
        </w:rPr>
        <w:t>F</w:t>
      </w:r>
      <w:r w:rsidRPr="004E7E5A">
        <w:rPr>
          <w:rFonts w:cs="Times New Roman"/>
        </w:rPr>
        <w:t xml:space="preserve">irms design their strategies by organizing their internal resources in response to the environmental opportunities, while counterbalancing the external threat and preventing internal weaknesses in order to achieve competitive advantage </w:t>
      </w:r>
      <w:r w:rsidRPr="004E7E5A">
        <w:rPr>
          <w:rFonts w:cs="Times New Roman"/>
        </w:rPr>
        <w:fldChar w:fldCharType="begin"/>
      </w:r>
      <w:r w:rsidR="006F6C86" w:rsidRPr="004E7E5A">
        <w:rPr>
          <w:rFonts w:cs="Times New Roman"/>
        </w:rPr>
        <w:instrText xml:space="preserve"> ADDIN EN.CITE &lt;EndNote&gt;&lt;Cite&gt;&lt;Author&gt;Barney&lt;/Author&gt;&lt;Year&gt;1991&lt;/Year&gt;&lt;RecNum&gt;2268&lt;/RecNum&gt;&lt;DisplayText&gt;(Barney 1991)&lt;/DisplayText&gt;&lt;record&gt;&lt;rec-number&gt;2268&lt;/rec-number&gt;&lt;foreign-keys&gt;&lt;key app="EN" db-id="trr00pfsbzzex0ezwf6v5swd9fpfpwfa90xp" timestamp="1638622497" guid="c8519075-204a-43c4-8be7-ac9c33953f72"&gt;2268&lt;/key&gt;&lt;/foreign-keys&gt;&lt;ref-type name="Journal Article"&gt;17&lt;/ref-type&gt;&lt;contributors&gt;&lt;authors&gt;&lt;author&gt;Barney, Jay&lt;/author&gt;&lt;/authors&gt;&lt;/contributors&gt;&lt;titles&gt;&lt;title&gt;Firm resources and sustained competitive advantage&lt;/title&gt;&lt;secondary-title&gt;Journal of management&lt;/secondary-title&gt;&lt;/titles&gt;&lt;periodical&gt;&lt;full-title&gt;Journal of Management&lt;/full-title&gt;&lt;/periodical&gt;&lt;pages&gt;99-120&lt;/pages&gt;&lt;volume&gt;17&lt;/volume&gt;&lt;number&gt;1&lt;/number&gt;&lt;dates&gt;&lt;year&gt;1991&lt;/year&gt;&lt;/dates&gt;&lt;isbn&gt;0149-2063&lt;/isbn&gt;&lt;urls&gt;&lt;/urls&gt;&lt;/record&gt;&lt;/Cite&gt;&lt;/EndNote&gt;</w:instrText>
      </w:r>
      <w:r w:rsidRPr="004E7E5A">
        <w:rPr>
          <w:rFonts w:cs="Times New Roman"/>
        </w:rPr>
        <w:fldChar w:fldCharType="separate"/>
      </w:r>
      <w:r w:rsidRPr="004E7E5A">
        <w:rPr>
          <w:rFonts w:cs="Times New Roman"/>
          <w:noProof/>
        </w:rPr>
        <w:t>(Barney 1991)</w:t>
      </w:r>
      <w:r w:rsidRPr="004E7E5A">
        <w:rPr>
          <w:rFonts w:cs="Times New Roman"/>
        </w:rPr>
        <w:fldChar w:fldCharType="end"/>
      </w:r>
      <w:r w:rsidRPr="004E7E5A">
        <w:rPr>
          <w:rFonts w:cs="Times New Roman"/>
        </w:rPr>
        <w:t>.</w:t>
      </w:r>
      <w:r w:rsidRPr="004E7E5A">
        <w:rPr>
          <w:rFonts w:cs="Times New Roman" w:hint="eastAsia"/>
        </w:rPr>
        <w:t xml:space="preserve"> </w:t>
      </w:r>
      <w:r w:rsidRPr="004E7E5A">
        <w:rPr>
          <w:rFonts w:cs="Times New Roman"/>
        </w:rPr>
        <w:t xml:space="preserve">We consider directors’ network is </w:t>
      </w:r>
      <w:r w:rsidR="0050306B" w:rsidRPr="004E7E5A">
        <w:rPr>
          <w:rFonts w:cs="Times New Roman"/>
        </w:rPr>
        <w:t>of great importance</w:t>
      </w:r>
      <w:r w:rsidRPr="004E7E5A">
        <w:rPr>
          <w:rFonts w:cs="Times New Roman"/>
        </w:rPr>
        <w:t xml:space="preserve"> to the board uniqueness in line with resource-based view theory that supports the knowledge, intelligence and expertise of networked board members as valuable firm resources. This might explain the effectiveness of the board in governance and decision-making processes including information about the firm’s CSR </w:t>
      </w:r>
      <w:r w:rsidRPr="004E7E5A">
        <w:rPr>
          <w:rFonts w:cs="Times New Roman"/>
        </w:rPr>
        <w:fldChar w:fldCharType="begin"/>
      </w:r>
      <w:r w:rsidR="001A1175" w:rsidRPr="004E7E5A">
        <w:rPr>
          <w:rFonts w:cs="Times New Roman"/>
        </w:rPr>
        <w:instrText xml:space="preserve"> ADDIN EN.CITE &lt;EndNote&gt;&lt;Cite&gt;&lt;Author&gt;Katmon&lt;/Author&gt;&lt;Year&gt;2017&lt;/Year&gt;&lt;RecNum&gt;114&lt;/RecNum&gt;&lt;DisplayText&gt;(Katmon et al. 2017)&lt;/DisplayText&gt;&lt;record&gt;&lt;rec-number&gt;114&lt;/rec-number&gt;&lt;foreign-keys&gt;&lt;key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(Katmon et al. 2017)</w:t>
      </w:r>
      <w:r w:rsidRPr="004E7E5A">
        <w:rPr>
          <w:rFonts w:cs="Times New Roman"/>
        </w:rPr>
        <w:fldChar w:fldCharType="end"/>
      </w:r>
      <w:r w:rsidRPr="004E7E5A">
        <w:rPr>
          <w:rFonts w:cs="Times New Roman"/>
        </w:rPr>
        <w:t xml:space="preserve">. We apply resource-based view perspectives to understand why firms improve CSR disclosure quality and why the reasons for CSR disclosure quality may change over time </w:t>
      </w:r>
      <w:r w:rsidRPr="004E7E5A">
        <w:rPr>
          <w:rFonts w:cs="Times New Roman"/>
        </w:rPr>
        <w:fldChar w:fldCharType="begin"/>
      </w:r>
      <w:r w:rsidR="001A1175" w:rsidRPr="004E7E5A">
        <w:rPr>
          <w:rFonts w:cs="Times New Roman"/>
        </w:rPr>
        <w:instrText xml:space="preserve"> ADDIN EN.CITE &lt;EndNote&gt;&lt;Cite&gt;&lt;Author&gt;Branco&lt;/Author&gt;&lt;Year&gt;2006&lt;/Year&gt;&lt;RecNum&gt;2260&lt;/RecNum&gt;&lt;DisplayText&gt;(Branco and Rodrigues 2006)&lt;/DisplayText&gt;&lt;record&gt;&lt;rec-number&gt;2260&lt;/rec-number&gt;&lt;foreign-keys&gt;&lt;key app="EN" db-id="trr00pfsbzzex0ezwf6v5swd9fpfpwfa90xp" timestamp="1638519405" guid="8f721b81-fa4c-4a41-a3e1-22cd08bbfe09"&gt;2260&lt;/key&gt;&lt;/foreign-keys&gt;&lt;ref-type name="Journal Article"&gt;17&lt;/ref-type&gt;&lt;contributors&gt;&lt;authors&gt;&lt;author&gt;Branco, Manuel Castelo&lt;/author&gt;&lt;author&gt;Rodrigues, Lúcia Lima&lt;/author&gt;&lt;/authors&gt;&lt;/contributors&gt;&lt;titles&gt;&lt;title&gt;Corporate social responsibility and resource-based perspectives&lt;/title&gt;&lt;secondary-title&gt;Journal of Business Ethics&lt;/secondary-title&gt;&lt;/titles&gt;&lt;periodical&gt;&lt;full-title&gt;Journal of Business Ethics&lt;/full-title&gt;&lt;/periodical&gt;&lt;pages&gt;111-132&lt;/pages&gt;&lt;volume&gt;69&lt;/volume&gt;&lt;number&gt;2&lt;/number&gt;&lt;dates&gt;&lt;year&gt;2006&lt;/year&gt;&lt;pub-dates&gt;&lt;date&gt;2006/12/01&lt;/date&gt;&lt;/pub-dates&gt;&lt;/dates&gt;&lt;isbn&gt;1573-0697&lt;/isbn&gt;&lt;urls&gt;&lt;related-urls&gt;&lt;url&gt;https://doi.org/10.1007/s10551-006-9071-z&lt;/url&gt;&lt;/related-urls&gt;&lt;/urls&gt;&lt;electronic-resource-num&gt;10.1007/s10551-006-9071-z&lt;/electronic-resource-num&gt;&lt;/record&gt;&lt;/Cite&gt;&lt;/EndNote&gt;</w:instrText>
      </w:r>
      <w:r w:rsidRPr="004E7E5A">
        <w:rPr>
          <w:rFonts w:cs="Times New Roman"/>
        </w:rPr>
        <w:fldChar w:fldCharType="separate"/>
      </w:r>
      <w:r w:rsidRPr="004E7E5A">
        <w:rPr>
          <w:rFonts w:cs="Times New Roman"/>
          <w:noProof/>
        </w:rPr>
        <w:t>(Branco and Rodrigues 2006)</w:t>
      </w:r>
      <w:r w:rsidRPr="004E7E5A">
        <w:rPr>
          <w:rFonts w:cs="Times New Roman"/>
        </w:rPr>
        <w:fldChar w:fldCharType="end"/>
      </w:r>
      <w:r w:rsidRPr="004E7E5A">
        <w:rPr>
          <w:rFonts w:cs="Times New Roman"/>
        </w:rPr>
        <w:t>.</w:t>
      </w:r>
    </w:p>
    <w:p w14:paraId="3A25856D"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lastRenderedPageBreak/>
        <w:t>Directors’ Network and the Dissemination of Resources</w:t>
      </w:r>
    </w:p>
    <w:p w14:paraId="4C7C77BF" w14:textId="3977E61D" w:rsidR="00746786" w:rsidRPr="004E7E5A" w:rsidRDefault="00746786" w:rsidP="00746786">
      <w:pPr>
        <w:pStyle w:val="a7"/>
        <w:spacing w:line="480" w:lineRule="auto"/>
        <w:ind w:firstLine="480"/>
        <w:rPr>
          <w:rFonts w:cs="Times New Roman"/>
        </w:rPr>
      </w:pPr>
      <w:r w:rsidRPr="004E7E5A">
        <w:rPr>
          <w:rFonts w:cs="Times New Roman"/>
        </w:rPr>
        <w:t xml:space="preserve">Prior literature suggests that there are mainly two approaches through which directors’ network can affect firms’ decisions: one approach is the organizational contagion effect that allows behavior to spread between firms through board of directors’ networks </w:t>
      </w:r>
      <w:r w:rsidRPr="004E7E5A">
        <w:rPr>
          <w:rFonts w:cs="Times New Roman"/>
        </w:rPr>
        <w:fldChar w:fldCharType="begin"/>
      </w:r>
      <w:r w:rsidR="001A1175" w:rsidRPr="004E7E5A">
        <w:rPr>
          <w:rFonts w:cs="Times New Roman"/>
        </w:rPr>
        <w:instrText xml:space="preserve"> ADDIN EN.CITE &lt;EndNote&gt;&lt;Cite&gt;&lt;Author&gt;Brown&lt;/Author&gt;&lt;Year&gt;2011&lt;/Year&gt;&lt;RecNum&gt;856&lt;/RecNum&gt;&lt;DisplayText&gt;(Brown 2011)&lt;/DisplayText&gt;&lt;record&gt;&lt;rec-number&gt;856&lt;/rec-number&gt;&lt;foreign-keys&gt;&lt;key app="EN" db-id="trr00pfsbzzex0ezwf6v5swd9fpfpwfa90xp" timestamp="1581080418" guid="566e4890-bfd7-4cc2-8e5b-ef411617c257"&gt;856&lt;/key&gt;&lt;/foreign-keys&gt;&lt;ref-type name="Journal Article"&gt;17&lt;/ref-type&gt;&lt;contributors&gt;&lt;authors&gt;&lt;author&gt;Brown, Jennifer L.&lt;/author&gt;&lt;/authors&gt;&lt;/contributors&gt;&lt;titles&gt;&lt;title&gt;The spread of aggressive corporate tax reporting: A detailed examination of the corporate-owned life insurance shelter&lt;/title&gt;&lt;secondary-title&gt;The Accounting Review&lt;/secondary-title&gt;&lt;/titles&gt;&lt;periodical&gt;&lt;full-title&gt;The Accounting Review&lt;/full-title&gt;&lt;/periodical&gt;&lt;pages&gt;23-57&lt;/pages&gt;&lt;volume&gt;86&lt;/volume&gt;&lt;number&gt;1&lt;/number&gt;&lt;section&gt;23&lt;/section&gt;&lt;dates&gt;&lt;year&gt;2011&lt;/year&gt;&lt;/dates&gt;&lt;isbn&gt;0001-4826&amp;#xD;1558-7967&lt;/isbn&gt;&lt;urls&gt;&lt;/urls&gt;&lt;electronic-resource-num&gt;10.2308/accr.00000008&lt;/electronic-resource-num&gt;&lt;/record&gt;&lt;/Cite&gt;&lt;/EndNote&gt;</w:instrText>
      </w:r>
      <w:r w:rsidRPr="004E7E5A">
        <w:rPr>
          <w:rFonts w:cs="Times New Roman"/>
        </w:rPr>
        <w:fldChar w:fldCharType="separate"/>
      </w:r>
      <w:r w:rsidRPr="004E7E5A">
        <w:rPr>
          <w:rFonts w:cs="Times New Roman"/>
          <w:noProof/>
        </w:rPr>
        <w:t>(Brown 2011)</w:t>
      </w:r>
      <w:r w:rsidRPr="004E7E5A">
        <w:rPr>
          <w:rFonts w:cs="Times New Roman"/>
        </w:rPr>
        <w:fldChar w:fldCharType="end"/>
      </w:r>
      <w:r w:rsidRPr="004E7E5A">
        <w:rPr>
          <w:rFonts w:cs="Times New Roman"/>
        </w:rPr>
        <w:t xml:space="preserve">. In this way, directors’ network potentially serve as conduits for spreading behaviors from firm to firm and thus influence the firms’ earnings management </w:t>
      </w:r>
      <w:r w:rsidRPr="004E7E5A">
        <w:rPr>
          <w:rFonts w:cs="Times New Roman"/>
        </w:rPr>
        <w:fldChar w:fldCharType="begin"/>
      </w:r>
      <w:r w:rsidR="001A1175" w:rsidRPr="004E7E5A">
        <w:rPr>
          <w:rFonts w:cs="Times New Roman"/>
        </w:rPr>
        <w:instrText xml:space="preserve"> ADDIN EN.CITE &lt;EndNote&gt;&lt;Cite&gt;&lt;Author&gt;Chiu&lt;/Author&gt;&lt;Year&gt;2013&lt;/Year&gt;&lt;RecNum&gt;799&lt;/RecNum&gt;&lt;DisplayText&gt;(Chiu et al. 2013)&lt;/DisplayText&gt;&lt;record&gt;&lt;rec-number&gt;799&lt;/rec-number&gt;&lt;foreign-keys&gt;&lt;key app="EN" db-id="trr00pfsbzzex0ezwf6v5swd9fpfpwfa90xp" timestamp="1581080356" guid="3db7c9c3-c088-45b4-97c3-c84ac7d38cb2"&gt;799&lt;/key&gt;&lt;/foreign-keys&gt;&lt;ref-type name="Journal Article"&gt;17&lt;/ref-type&gt;&lt;contributors&gt;&lt;authors&gt;&lt;author&gt;Chiu, Peng Chia&lt;/author&gt;&lt;author&gt;Teoh, Siew Hong&lt;/author&gt;&lt;author&gt;Tian, Feng&lt;/author&gt;&lt;/authors&gt;&lt;/contributors&gt;&lt;titles&gt;&lt;title&gt;Board interlocks and earnings management contagion&lt;/title&gt;&lt;secondary-title&gt;The Accounting Review&lt;/secondary-title&gt;&lt;/titles&gt;&lt;periodical&gt;&lt;full-title&gt;The Accounting Review&lt;/full-title&gt;&lt;/periodical&gt;&lt;pages&gt;915-944&lt;/pages&gt;&lt;volume&gt;88&lt;/volume&gt;&lt;number&gt;3&lt;/number&gt;&lt;section&gt;915&lt;/section&gt;&lt;dates&gt;&lt;year&gt;2013&lt;/year&gt;&lt;/dates&gt;&lt;isbn&gt;0001-4826&amp;#xD;1558-7967&lt;/isbn&gt;&lt;urls&gt;&lt;/urls&gt;&lt;electronic-resource-num&gt;10.2308/accr-50369&lt;/electronic-resource-num&gt;&lt;/record&gt;&lt;/Cite&gt;&lt;/EndNote&gt;</w:instrText>
      </w:r>
      <w:r w:rsidRPr="004E7E5A">
        <w:rPr>
          <w:rFonts w:cs="Times New Roman"/>
        </w:rPr>
        <w:fldChar w:fldCharType="separate"/>
      </w:r>
      <w:r w:rsidRPr="004E7E5A">
        <w:rPr>
          <w:rFonts w:cs="Times New Roman"/>
          <w:noProof/>
        </w:rPr>
        <w:t>(Chiu et al. 2013)</w:t>
      </w:r>
      <w:r w:rsidRPr="004E7E5A">
        <w:rPr>
          <w:rFonts w:cs="Times New Roman"/>
        </w:rPr>
        <w:fldChar w:fldCharType="end"/>
      </w:r>
      <w:r w:rsidRPr="004E7E5A">
        <w:rPr>
          <w:rFonts w:cs="Times New Roman"/>
        </w:rPr>
        <w:t xml:space="preserve">, disclosure policies </w:t>
      </w:r>
      <w:r w:rsidRPr="004E7E5A">
        <w:rPr>
          <w:rFonts w:cs="Times New Roman"/>
        </w:rPr>
        <w:fldChar w:fldCharType="begin"/>
      </w:r>
      <w:r w:rsidR="006F6C86" w:rsidRPr="004E7E5A">
        <w:rPr>
          <w:rFonts w:cs="Times New Roman"/>
        </w:rPr>
        <w:instrText xml:space="preserve"> ADDIN EN.CITE &lt;EndNote&gt;&lt;Cite&gt;&lt;Author&gt;Cai&lt;/Author&gt;&lt;Year&gt;2014&lt;/Year&gt;&lt;RecNum&gt;1939&lt;/RecNum&gt;&lt;DisplayText&gt;(Cai et al. 2014)&lt;/DisplayText&gt;&lt;record&gt;&lt;rec-number&gt;1939&lt;/rec-number&gt;&lt;foreign-keys&gt;&lt;key app="EN" db-id="trr00pfsbzzex0ezwf6v5swd9fpfpwfa90xp" timestamp="1606876185" guid="6d8cd310-cade-4f9b-91da-a250124fc0a3"&gt;1939&lt;/key&gt;&lt;/foreign-keys&gt;&lt;ref-type name="Journal Article"&gt;17&lt;/ref-type&gt;&lt;contributors&gt;&lt;authors&gt;&lt;author&gt;Cai, Ye&lt;/author&gt;&lt;author&gt;Dhaliwal, Dan S.&lt;/author&gt;&lt;author&gt;Kim, Yongtae&lt;/author&gt;&lt;author&gt;Pan, Carrie&lt;/author&gt;&lt;/authors&gt;&lt;/contributors&gt;&lt;titles&gt;&lt;title&gt;Board interlocks and the diffusion of disclosure policy&lt;/title&gt;&lt;secondary-title&gt;Review of Accounting Studies&lt;/secondary-title&gt;&lt;/titles&gt;&lt;periodical&gt;&lt;full-title&gt;Review of Accounting Studies&lt;/full-title&gt;&lt;/periodical&gt;&lt;pages&gt;1086-1119&lt;/pages&gt;&lt;volume&gt;19&lt;/volume&gt;&lt;number&gt;3&lt;/number&gt;&lt;section&gt;1086&lt;/section&gt;&lt;dates&gt;&lt;year&gt;2014&lt;/year&gt;&lt;/dates&gt;&lt;isbn&gt;1380-6653&amp;#xD;1573-7136&lt;/isbn&gt;&lt;urls&gt;&lt;/urls&gt;&lt;electronic-resource-num&gt;10.1007/s11142-014-9280-0&lt;/electronic-resource-num&gt;&lt;/record&gt;&lt;/Cite&gt;&lt;/EndNote&gt;</w:instrText>
      </w:r>
      <w:r w:rsidRPr="004E7E5A">
        <w:rPr>
          <w:rFonts w:cs="Times New Roman"/>
        </w:rPr>
        <w:fldChar w:fldCharType="separate"/>
      </w:r>
      <w:r w:rsidRPr="004E7E5A">
        <w:rPr>
          <w:rFonts w:cs="Times New Roman"/>
          <w:noProof/>
        </w:rPr>
        <w:t>(Cai et al. 2014)</w:t>
      </w:r>
      <w:r w:rsidRPr="004E7E5A">
        <w:rPr>
          <w:rFonts w:cs="Times New Roman"/>
        </w:rPr>
        <w:fldChar w:fldCharType="end"/>
      </w:r>
      <w:r w:rsidRPr="004E7E5A">
        <w:rPr>
          <w:rFonts w:cs="Times New Roman"/>
        </w:rPr>
        <w:t xml:space="preserve">, adoption of corporate-owned life insurance as a tax shelter </w:t>
      </w:r>
      <w:r w:rsidRPr="004E7E5A">
        <w:rPr>
          <w:rFonts w:cs="Times New Roman"/>
        </w:rPr>
        <w:fldChar w:fldCharType="begin"/>
      </w:r>
      <w:r w:rsidR="001A1175" w:rsidRPr="004E7E5A">
        <w:rPr>
          <w:rFonts w:cs="Times New Roman"/>
        </w:rPr>
        <w:instrText xml:space="preserve"> ADDIN EN.CITE &lt;EndNote&gt;&lt;Cite&gt;&lt;Author&gt;Brown&lt;/Author&gt;&lt;Year&gt;2011&lt;/Year&gt;&lt;RecNum&gt;856&lt;/RecNum&gt;&lt;DisplayText&gt;(Brown 2011)&lt;/DisplayText&gt;&lt;record&gt;&lt;rec-number&gt;856&lt;/rec-number&gt;&lt;foreign-keys&gt;&lt;key app="EN" db-id="trr00pfsbzzex0ezwf6v5swd9fpfpwfa90xp" timestamp="1581080418" guid="566e4890-bfd7-4cc2-8e5b-ef411617c257"&gt;856&lt;/key&gt;&lt;/foreign-keys&gt;&lt;ref-type name="Journal Article"&gt;17&lt;/ref-type&gt;&lt;contributors&gt;&lt;authors&gt;&lt;author&gt;Brown, Jennifer L.&lt;/author&gt;&lt;/authors&gt;&lt;/contributors&gt;&lt;titles&gt;&lt;title&gt;The spread of aggressive corporate tax reporting: A detailed examination of the corporate-owned life insurance shelter&lt;/title&gt;&lt;secondary-title&gt;The Accounting Review&lt;/secondary-title&gt;&lt;/titles&gt;&lt;periodical&gt;&lt;full-title&gt;The Accounting Review&lt;/full-title&gt;&lt;/periodical&gt;&lt;pages&gt;23-57&lt;/pages&gt;&lt;volume&gt;86&lt;/volume&gt;&lt;number&gt;1&lt;/number&gt;&lt;section&gt;23&lt;/section&gt;&lt;dates&gt;&lt;year&gt;2011&lt;/year&gt;&lt;/dates&gt;&lt;isbn&gt;0001-4826&amp;#xD;1558-7967&lt;/isbn&gt;&lt;urls&gt;&lt;/urls&gt;&lt;electronic-resource-num&gt;10.2308/accr.00000008&lt;/electronic-resource-num&gt;&lt;/record&gt;&lt;/Cite&gt;&lt;/EndNote&gt;</w:instrText>
      </w:r>
      <w:r w:rsidRPr="004E7E5A">
        <w:rPr>
          <w:rFonts w:cs="Times New Roman"/>
        </w:rPr>
        <w:fldChar w:fldCharType="separate"/>
      </w:r>
      <w:r w:rsidRPr="004E7E5A">
        <w:rPr>
          <w:rFonts w:cs="Times New Roman"/>
          <w:noProof/>
        </w:rPr>
        <w:t>(Brown 2011)</w:t>
      </w:r>
      <w:r w:rsidRPr="004E7E5A">
        <w:rPr>
          <w:rFonts w:cs="Times New Roman"/>
        </w:rPr>
        <w:fldChar w:fldCharType="end"/>
      </w:r>
      <w:r w:rsidRPr="004E7E5A">
        <w:rPr>
          <w:rFonts w:cs="Times New Roman"/>
        </w:rPr>
        <w:t xml:space="preserve">, and tax avoidance </w:t>
      </w:r>
      <w:r w:rsidRPr="004E7E5A">
        <w:rPr>
          <w:rFonts w:cs="Times New Roman"/>
        </w:rPr>
        <w:fldChar w:fldCharType="begin"/>
      </w:r>
      <w:r w:rsidR="001A1175" w:rsidRPr="004E7E5A">
        <w:rPr>
          <w:rFonts w:cs="Times New Roman"/>
        </w:rPr>
        <w:instrText xml:space="preserve"> ADDIN EN.CITE &lt;EndNote&gt;&lt;Cite&gt;&lt;Author&gt;Brown&lt;/Author&gt;&lt;Year&gt;2014&lt;/Year&gt;&lt;RecNum&gt;1858&lt;/RecNum&gt;&lt;DisplayText&gt;(Brown and Drake 2014)&lt;/DisplayText&gt;&lt;record&gt;&lt;rec-number&gt;1858&lt;/rec-number&gt;&lt;foreign-keys&gt;&lt;key app="EN" db-id="trr00pfsbzzex0ezwf6v5swd9fpfpwfa90xp" timestamp="1598695104" guid="16c7778e-a613-493b-8440-1c6ba718aa2c"&gt;1858&lt;/key&gt;&lt;/foreign-keys&gt;&lt;ref-type name="Journal Article"&gt;17&lt;/ref-type&gt;&lt;contributors&gt;&lt;authors&gt;&lt;author&gt;Brown, Jennifer L.&lt;/author&gt;&lt;author&gt;Drake, Katharine D.&lt;/author&gt;&lt;/authors&gt;&lt;/contributors&gt;&lt;titles&gt;&lt;title&gt;Network ties among low-tax firms&lt;/title&gt;&lt;secondary-title&gt;The Accounting Review&lt;/secondary-title&gt;&lt;/titles&gt;&lt;periodical&gt;&lt;full-title&gt;The Accounting Review&lt;/full-title&gt;&lt;/periodical&gt;&lt;pages&gt;483-510&lt;/pages&gt;&lt;volume&gt;89&lt;/volume&gt;&lt;number&gt;2&lt;/number&gt;&lt;dates&gt;&lt;year&gt;2014&lt;/year&gt;&lt;/dates&gt;&lt;urls&gt;&lt;/urls&gt;&lt;/record&gt;&lt;/Cite&gt;&lt;/EndNote&gt;</w:instrText>
      </w:r>
      <w:r w:rsidRPr="004E7E5A">
        <w:rPr>
          <w:rFonts w:cs="Times New Roman"/>
        </w:rPr>
        <w:fldChar w:fldCharType="separate"/>
      </w:r>
      <w:r w:rsidRPr="004E7E5A">
        <w:rPr>
          <w:rFonts w:cs="Times New Roman"/>
          <w:noProof/>
        </w:rPr>
        <w:t>(Brown and Drake 2014)</w:t>
      </w:r>
      <w:r w:rsidRPr="004E7E5A">
        <w:rPr>
          <w:rFonts w:cs="Times New Roman"/>
        </w:rPr>
        <w:fldChar w:fldCharType="end"/>
      </w:r>
      <w:r w:rsidRPr="004E7E5A">
        <w:rPr>
          <w:rFonts w:cs="Times New Roman"/>
        </w:rPr>
        <w:t xml:space="preserve">. </w:t>
      </w:r>
      <w:r w:rsidR="00AE58EB" w:rsidRPr="004E7E5A">
        <w:rPr>
          <w:rFonts w:cs="Times New Roman"/>
        </w:rPr>
        <w:t xml:space="preserve">Based on this approach, Cai et al. (2014) find that directors’ networks serve as conduits for information that influences the contagion of quarterly earnings guidance cessation. </w:t>
      </w:r>
      <w:r w:rsidRPr="004E7E5A">
        <w:rPr>
          <w:rFonts w:cs="Times New Roman"/>
        </w:rPr>
        <w:t xml:space="preserve">Another approach is </w:t>
      </w:r>
      <w:proofErr w:type="spellStart"/>
      <w:r w:rsidRPr="004E7E5A">
        <w:rPr>
          <w:rFonts w:cs="Times New Roman"/>
        </w:rPr>
        <w:t>maily</w:t>
      </w:r>
      <w:proofErr w:type="spellEnd"/>
      <w:r w:rsidRPr="004E7E5A">
        <w:rPr>
          <w:rFonts w:cs="Times New Roman"/>
        </w:rPr>
        <w:t xml:space="preserve"> based on networked directors’ provision of resources to a firm </w:t>
      </w:r>
      <w:r w:rsidRPr="004E7E5A">
        <w:rPr>
          <w:rFonts w:cs="Times New Roman"/>
        </w:rPr>
        <w:fldChar w:fldCharType="begin"/>
      </w:r>
      <w:r w:rsidRPr="004E7E5A">
        <w:rPr>
          <w:rFonts w:cs="Times New Roman"/>
        </w:rPr>
        <w:instrText xml:space="preserve"> ADDIN EN.CITE &lt;EndNote&gt;&lt;Cite&gt;&lt;Author&gt;Larcker&lt;/Author&gt;&lt;Year&gt;2013&lt;/Year&gt;&lt;RecNum&gt;801&lt;/RecNum&gt;&lt;DisplayText&gt;(Larcker et al. 2013)&lt;/DisplayText&gt;&lt;record&gt;&lt;rec-number&gt;801&lt;/rec-number&gt;&lt;foreign-keys&gt;&lt;key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EndNote&gt;</w:instrText>
      </w:r>
      <w:r w:rsidRPr="004E7E5A">
        <w:rPr>
          <w:rFonts w:cs="Times New Roman"/>
        </w:rPr>
        <w:fldChar w:fldCharType="separate"/>
      </w:r>
      <w:r w:rsidRPr="004E7E5A">
        <w:rPr>
          <w:rFonts w:cs="Times New Roman"/>
          <w:noProof/>
        </w:rPr>
        <w:t>(Larcker et al. 2013)</w:t>
      </w:r>
      <w:r w:rsidRPr="004E7E5A">
        <w:rPr>
          <w:rFonts w:cs="Times New Roman"/>
        </w:rPr>
        <w:fldChar w:fldCharType="end"/>
      </w:r>
      <w:r w:rsidRPr="004E7E5A">
        <w:rPr>
          <w:rFonts w:cs="Times New Roman"/>
        </w:rPr>
        <w:t xml:space="preserve">. The resources such as knowledge and experience gained through director’ network can influence firms’ change-of-control transactions </w:t>
      </w:r>
      <w:r w:rsidRPr="004E7E5A">
        <w:rPr>
          <w:rFonts w:cs="Times New Roman"/>
        </w:rPr>
        <w:fldChar w:fldCharType="begin"/>
      </w:r>
      <w:r w:rsidRPr="004E7E5A">
        <w:rPr>
          <w:rFonts w:cs="Times New Roman"/>
        </w:rPr>
        <w:instrText xml:space="preserve"> ADDIN EN.CITE &lt;EndNote&gt;&lt;Cite&gt;&lt;Author&gt;Stuart&lt;/Author&gt;&lt;Year&gt;2010&lt;/Year&gt;&lt;RecNum&gt;845&lt;/RecNum&gt;&lt;DisplayText&gt;(Stuart and Yim 2010)&lt;/DisplayText&gt;&lt;record&gt;&lt;rec-number&gt;845&lt;/rec-number&gt;&lt;foreign-keys&gt;&lt;key app="EN" db-id="trr00pfsbzzex0ezwf6v5swd9fpfpwfa90xp" timestamp="1581080402" guid="ade7d928-f23a-47d9-88ec-0d4691af61a7"&gt;845&lt;/key&gt;&lt;/foreign-keys&gt;&lt;ref-type name="Journal Article"&gt;17&lt;/ref-type&gt;&lt;contributors&gt;&lt;authors&gt;&lt;author&gt;Stuart, Toby E.&lt;/author&gt;&lt;author&gt;Yim, Soojin&lt;/author&gt;&lt;/authors&gt;&lt;/contributors&gt;&lt;titles&gt;&lt;title&gt;Board interlocks and the propensity to be targeted in private equity transactions&lt;/title&gt;&lt;secondary-title&gt;Journal of Financial Economics&lt;/secondary-title&gt;&lt;/titles&gt;&lt;periodical&gt;&lt;full-title&gt;Journal of Financial Economics&lt;/full-title&gt;&lt;/periodical&gt;&lt;pages&gt;174-189&lt;/pages&gt;&lt;volume&gt;97&lt;/volume&gt;&lt;number&gt;1&lt;/number&gt;&lt;section&gt;174&lt;/section&gt;&lt;dates&gt;&lt;year&gt;2010&lt;/year&gt;&lt;/dates&gt;&lt;isbn&gt;0304405X&lt;/isbn&gt;&lt;urls&gt;&lt;/urls&gt;&lt;electronic-resource-num&gt;10.1016/j.jfineco.2010.03.012&lt;/electronic-resource-num&gt;&lt;/record&gt;&lt;/Cite&gt;&lt;/EndNote&gt;</w:instrText>
      </w:r>
      <w:r w:rsidRPr="004E7E5A">
        <w:rPr>
          <w:rFonts w:cs="Times New Roman"/>
        </w:rPr>
        <w:fldChar w:fldCharType="separate"/>
      </w:r>
      <w:r w:rsidRPr="004E7E5A">
        <w:rPr>
          <w:rFonts w:cs="Times New Roman"/>
          <w:noProof/>
        </w:rPr>
        <w:t>(Stuart and Yim 2010)</w:t>
      </w:r>
      <w:r w:rsidRPr="004E7E5A">
        <w:rPr>
          <w:rFonts w:cs="Times New Roman"/>
        </w:rPr>
        <w:fldChar w:fldCharType="end"/>
      </w:r>
      <w:r w:rsidRPr="004E7E5A">
        <w:rPr>
          <w:rFonts w:cs="Times New Roman"/>
        </w:rPr>
        <w:t xml:space="preserve">, financial performance </w:t>
      </w:r>
      <w:r w:rsidRPr="004E7E5A">
        <w:rPr>
          <w:rFonts w:cs="Times New Roman"/>
        </w:rPr>
        <w:fldChar w:fldCharType="begin"/>
      </w:r>
      <w:r w:rsidRPr="004E7E5A">
        <w:rPr>
          <w:rFonts w:cs="Times New Roman"/>
        </w:rPr>
        <w:instrText xml:space="preserve"> ADDIN EN.CITE &lt;EndNote&gt;&lt;Cite&gt;&lt;Author&gt;Larcker&lt;/Author&gt;&lt;Year&gt;2013&lt;/Year&gt;&lt;RecNum&gt;801&lt;/RecNum&gt;&lt;DisplayText&gt;(Larcker et al. 2013)&lt;/DisplayText&gt;&lt;record&gt;&lt;rec-number&gt;801&lt;/rec-number&gt;&lt;foreign-keys&gt;&lt;key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EndNote&gt;</w:instrText>
      </w:r>
      <w:r w:rsidRPr="004E7E5A">
        <w:rPr>
          <w:rFonts w:cs="Times New Roman"/>
        </w:rPr>
        <w:fldChar w:fldCharType="separate"/>
      </w:r>
      <w:r w:rsidRPr="004E7E5A">
        <w:rPr>
          <w:rFonts w:cs="Times New Roman"/>
          <w:noProof/>
        </w:rPr>
        <w:t>(Larcker et al. 2013)</w:t>
      </w:r>
      <w:r w:rsidRPr="004E7E5A">
        <w:rPr>
          <w:rFonts w:cs="Times New Roman"/>
        </w:rPr>
        <w:fldChar w:fldCharType="end"/>
      </w:r>
      <w:r w:rsidRPr="004E7E5A">
        <w:rPr>
          <w:rFonts w:cs="Times New Roman"/>
        </w:rPr>
        <w:t xml:space="preserve">, political donations </w:t>
      </w:r>
      <w:r w:rsidRPr="004E7E5A">
        <w:rPr>
          <w:rFonts w:cs="Times New Roman"/>
        </w:rPr>
        <w:fldChar w:fldCharType="begin"/>
      </w:r>
      <w:r w:rsidR="001A1175" w:rsidRPr="004E7E5A">
        <w:rPr>
          <w:rFonts w:cs="Times New Roman"/>
        </w:rPr>
        <w:instrText xml:space="preserve"> ADDIN EN.CITE &lt;EndNote&gt;&lt;Cite&gt;&lt;Author&gt;Lu&lt;/Author&gt;&lt;Year&gt;2016&lt;/Year&gt;&lt;RecNum&gt;1865&lt;/RecNum&gt;&lt;DisplayText&gt;(Lu et al. 2016)&lt;/DisplayText&gt;&lt;record&gt;&lt;rec-number&gt;1865&lt;/rec-number&gt;&lt;foreign-keys&gt;&lt;key app="EN" db-id="trr00pfsbzzex0ezwf6v5swd9fpfpwfa90xp" timestamp="1598955672" guid="217b63a0-d788-4d86-b99a-5c552ac05753"&gt;1865&lt;/key&gt;&lt;/foreign-keys&gt;&lt;ref-type name="Journal Article"&gt;17&lt;/ref-type&gt;&lt;contributors&gt;&lt;authors&gt;&lt;author&gt;Lu, Yi&lt;/author&gt;&lt;author&gt;Shailer, Greg&lt;/author&gt;&lt;author&gt;Wilson, Mark&lt;/author&gt;&lt;/authors&gt;&lt;/contributors&gt;&lt;titles&gt;&lt;title&gt;Corporate political donations: Influences from directors&amp;apos; networks&lt;/title&gt;&lt;secondary-title&gt;Journal of Business Ethics&lt;/secondary-title&gt;&lt;/titles&gt;&lt;periodical&gt;&lt;full-title&gt;Journal of Business Ethics&lt;/full-title&gt;&lt;/periodical&gt;&lt;pages&gt;461-481&lt;/pages&gt;&lt;volume&gt;135&lt;/volume&gt;&lt;number&gt;3&lt;/number&gt;&lt;dates&gt;&lt;year&gt;2016&lt;/year&gt;&lt;/dates&gt;&lt;urls&gt;&lt;/urls&gt;&lt;/record&gt;&lt;/Cite&gt;&lt;/EndNote&gt;</w:instrText>
      </w:r>
      <w:r w:rsidRPr="004E7E5A">
        <w:rPr>
          <w:rFonts w:cs="Times New Roman"/>
        </w:rPr>
        <w:fldChar w:fldCharType="separate"/>
      </w:r>
      <w:r w:rsidRPr="004E7E5A">
        <w:rPr>
          <w:rFonts w:cs="Times New Roman"/>
          <w:noProof/>
        </w:rPr>
        <w:t>(Lu et al. 2016)</w:t>
      </w:r>
      <w:r w:rsidRPr="004E7E5A">
        <w:rPr>
          <w:rFonts w:cs="Times New Roman"/>
        </w:rPr>
        <w:fldChar w:fldCharType="end"/>
      </w:r>
      <w:r w:rsidRPr="004E7E5A">
        <w:rPr>
          <w:rFonts w:cs="Times New Roman"/>
        </w:rPr>
        <w:t xml:space="preserve">, environmental performance </w:t>
      </w:r>
      <w:r w:rsidRPr="004E7E5A">
        <w:rPr>
          <w:rFonts w:cs="Times New Roman"/>
        </w:rPr>
        <w:fldChar w:fldCharType="begin"/>
      </w:r>
      <w:r w:rsidR="001A1175" w:rsidRPr="004E7E5A">
        <w:rPr>
          <w:rFonts w:cs="Times New Roman"/>
        </w:rPr>
        <w:instrText xml:space="preserve"> ADDIN EN.CITE &lt;EndNote&gt;&lt;Cite&gt;&lt;Author&gt;Homroy&lt;/Author&gt;&lt;Year&gt;2017&lt;/Year&gt;&lt;RecNum&gt;1739&lt;/RecNum&gt;&lt;DisplayText&gt;(Homroy and Slechten 2017)&lt;/DisplayText&gt;&lt;record&gt;&lt;rec-number&gt;1739&lt;/rec-number&gt;&lt;foreign-keys&gt;&lt;key app="EN" db-id="trr00pfsbzzex0ezwf6v5swd9fpfpwfa90xp" timestamp="1587541509" guid="66d31698-0ec3-47d9-92f6-47205987b8da"&gt;1739&lt;/key&gt;&lt;/foreign-keys&gt;&lt;ref-type name="Journal Article"&gt;17&lt;/ref-type&gt;&lt;contributors&gt;&lt;authors&gt;&lt;author&gt;Homroy, Swarnodeep&lt;/author&gt;&lt;author&gt;Slechten, Aurelie&lt;/author&gt;&lt;/authors&gt;&lt;/contributors&gt;&lt;titles&gt;&lt;title&gt;Do board expertise and networked boards affect environmental performance?&lt;/title&gt;&lt;secondary-title&gt;Journal of Business Ethics&lt;/secondary-title&gt;&lt;/titles&gt;&lt;periodical&gt;&lt;full-title&gt;Journal of Business Ethics&lt;/full-title&gt;&lt;/periodical&gt;&lt;pages&gt;269-292&lt;/pages&gt;&lt;volume&gt;158&lt;/volume&gt;&lt;number&gt;1&lt;/number&gt;&lt;section&gt;269&lt;/section&gt;&lt;dates&gt;&lt;year&gt;2017&lt;/year&gt;&lt;/dates&gt;&lt;isbn&gt;0167-4544&amp;#xD;1573-0697&lt;/isbn&gt;&lt;urls&gt;&lt;/urls&gt;&lt;electronic-resource-num&gt;10.1007/s10551-017-3769-y&lt;/electronic-resource-num&gt;&lt;/record&gt;&lt;/Cite&gt;&lt;/EndNote&gt;</w:instrText>
      </w:r>
      <w:r w:rsidRPr="004E7E5A">
        <w:rPr>
          <w:rFonts w:cs="Times New Roman"/>
        </w:rPr>
        <w:fldChar w:fldCharType="separate"/>
      </w:r>
      <w:r w:rsidRPr="004E7E5A">
        <w:rPr>
          <w:rFonts w:cs="Times New Roman"/>
          <w:noProof/>
        </w:rPr>
        <w:t>(Homroy and Slechten 2017)</w:t>
      </w:r>
      <w:r w:rsidRPr="004E7E5A">
        <w:rPr>
          <w:rFonts w:cs="Times New Roman"/>
        </w:rPr>
        <w:fldChar w:fldCharType="end"/>
      </w:r>
      <w:r w:rsidRPr="004E7E5A">
        <w:rPr>
          <w:rFonts w:cs="Times New Roman"/>
        </w:rPr>
        <w:t xml:space="preserve">, financial reporting quality </w:t>
      </w:r>
      <w:r w:rsidRPr="004E7E5A">
        <w:rPr>
          <w:rFonts w:cs="Times New Roman"/>
        </w:rPr>
        <w:fldChar w:fldCharType="begin"/>
      </w:r>
      <w:r w:rsidR="00317C6A" w:rsidRPr="004E7E5A">
        <w:rPr>
          <w:rFonts w:cs="Times New Roman"/>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cs="Times New Roman"/>
        </w:rPr>
        <w:fldChar w:fldCharType="separate"/>
      </w:r>
      <w:r w:rsidRPr="004E7E5A">
        <w:rPr>
          <w:rFonts w:cs="Times New Roman"/>
          <w:noProof/>
        </w:rPr>
        <w:t>(Omer et al. 2019)</w:t>
      </w:r>
      <w:r w:rsidRPr="004E7E5A">
        <w:rPr>
          <w:rFonts w:cs="Times New Roman"/>
        </w:rPr>
        <w:fldChar w:fldCharType="end"/>
      </w:r>
      <w:r w:rsidRPr="004E7E5A">
        <w:rPr>
          <w:rFonts w:cs="Times New Roman"/>
        </w:rPr>
        <w:t xml:space="preserve">, and innovation </w:t>
      </w:r>
      <w:r w:rsidRPr="004E7E5A">
        <w:rPr>
          <w:rFonts w:cs="Times New Roman"/>
        </w:rPr>
        <w:fldChar w:fldCharType="begin"/>
      </w:r>
      <w:r w:rsidR="001A1175" w:rsidRPr="004E7E5A">
        <w:rPr>
          <w:rFonts w:cs="Times New Roman"/>
        </w:rPr>
        <w:instrText xml:space="preserve"> ADDIN EN.CITE &lt;EndNote&gt;&lt;Cite&gt;&lt;Author&gt;Chang&lt;/Author&gt;&lt;Year&gt;2020&lt;/Year&gt;&lt;RecNum&gt;1987&lt;/RecNum&gt;&lt;DisplayText&gt;(Chang and Wu 2020)&lt;/DisplayText&gt;&lt;record&gt;&lt;rec-number&gt;1987&lt;/rec-number&gt;&lt;foreign-keys&gt;&lt;key app="EN" db-id="trr00pfsbzzex0ezwf6v5swd9fpfpwfa90xp" timestamp="1626059574" guid="b7b2667f-c9c6-40f0-b109-a56c681a9448"&gt;1987&lt;/key&gt;&lt;/foreign-keys&gt;&lt;ref-type name="Journal Article"&gt;17&lt;/ref-type&gt;&lt;contributors&gt;&lt;authors&gt;&lt;author&gt;Chang, C. H.&lt;/author&gt;&lt;author&gt;Wu, Q.&lt;/author&gt;&lt;/authors&gt;&lt;/contributors&gt;&lt;titles&gt;&lt;title&gt;Board networks and corporate innovation&lt;/title&gt;&lt;secondary-title&gt;Management Science&lt;/secondary-title&gt;&lt;/titles&gt;&lt;periodical&gt;&lt;full-title&gt;Management Science&lt;/full-title&gt;&lt;/periodical&gt;&lt;pages&gt;3618-3654&lt;/pages&gt;&lt;volume&gt;67&lt;/volume&gt;&lt;number&gt;6&lt;/number&gt;&lt;dates&gt;&lt;year&gt;2020&lt;/year&gt;&lt;/dates&gt;&lt;urls&gt;&lt;/urls&gt;&lt;electronic-resource-num&gt;https://doi.org/10.1287/mnsc.2020.3587&lt;/electronic-resource-num&gt;&lt;/record&gt;&lt;/Cite&gt;&lt;/EndNote&gt;</w:instrText>
      </w:r>
      <w:r w:rsidRPr="004E7E5A">
        <w:rPr>
          <w:rFonts w:cs="Times New Roman"/>
        </w:rPr>
        <w:fldChar w:fldCharType="separate"/>
      </w:r>
      <w:r w:rsidRPr="004E7E5A">
        <w:rPr>
          <w:rFonts w:cs="Times New Roman"/>
          <w:noProof/>
        </w:rPr>
        <w:t>(Chang and Wu 2020)</w:t>
      </w:r>
      <w:r w:rsidRPr="004E7E5A">
        <w:rPr>
          <w:rFonts w:cs="Times New Roman"/>
        </w:rPr>
        <w:fldChar w:fldCharType="end"/>
      </w:r>
      <w:r w:rsidRPr="004E7E5A">
        <w:rPr>
          <w:rFonts w:cs="Times New Roman"/>
        </w:rPr>
        <w:t xml:space="preserve">. </w:t>
      </w:r>
    </w:p>
    <w:p w14:paraId="5E0AA95C" w14:textId="47AE784A" w:rsidR="00746786" w:rsidRPr="004E7E5A" w:rsidRDefault="0050306B" w:rsidP="00746786">
      <w:pPr>
        <w:pStyle w:val="a7"/>
        <w:spacing w:line="480" w:lineRule="auto"/>
        <w:ind w:firstLine="480"/>
        <w:rPr>
          <w:rFonts w:cs="Times New Roman"/>
        </w:rPr>
      </w:pPr>
      <w:r w:rsidRPr="004E7E5A">
        <w:rPr>
          <w:rFonts w:cs="Times New Roman"/>
        </w:rPr>
        <w:t>F</w:t>
      </w:r>
      <w:r w:rsidR="00746786" w:rsidRPr="004E7E5A">
        <w:rPr>
          <w:rFonts w:cs="Times New Roman"/>
        </w:rPr>
        <w:t xml:space="preserve">rom the lens of resource-based view </w:t>
      </w:r>
      <w:r w:rsidR="00746786" w:rsidRPr="004E7E5A">
        <w:rPr>
          <w:rFonts w:cs="Times New Roman"/>
        </w:rPr>
        <w:fldChar w:fldCharType="begin">
          <w:fldData xml:space="preserve">PEVuZE5vdGU+PENpdGU+PEF1dGhvcj5MYXZpZTwvQXV0aG9yPjxZZWFyPjIwMDY8L1llYXI+PFJl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PEVuZE5vdGU+PENpdGU+PEF1dGhvcj5MYXZpZTwvQXV0aG9yPjxZZWFyPjIwMDY8L1llYXI+PFJl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00746786" w:rsidRPr="004E7E5A">
        <w:rPr>
          <w:rFonts w:cs="Times New Roman"/>
        </w:rPr>
      </w:r>
      <w:r w:rsidR="00746786" w:rsidRPr="004E7E5A">
        <w:rPr>
          <w:rFonts w:cs="Times New Roman"/>
        </w:rPr>
        <w:fldChar w:fldCharType="separate"/>
      </w:r>
      <w:r w:rsidR="006F6C86" w:rsidRPr="004E7E5A">
        <w:rPr>
          <w:rFonts w:cs="Times New Roman"/>
          <w:noProof/>
        </w:rPr>
        <w:t>(Lavie 2006; Shaukat et al. 2015; Katmon et al. 2017; Macaulay et al. 2017)</w:t>
      </w:r>
      <w:r w:rsidR="00746786" w:rsidRPr="004E7E5A">
        <w:rPr>
          <w:rFonts w:cs="Times New Roman"/>
        </w:rPr>
        <w:fldChar w:fldCharType="end"/>
      </w:r>
      <w:r w:rsidRPr="004E7E5A">
        <w:rPr>
          <w:rFonts w:cs="Times New Roman"/>
        </w:rPr>
        <w:t>,</w:t>
      </w:r>
      <w:r w:rsidR="00746786" w:rsidRPr="004E7E5A">
        <w:rPr>
          <w:rFonts w:cs="Times New Roman"/>
        </w:rPr>
        <w:t xml:space="preserve"> </w:t>
      </w:r>
      <w:r w:rsidRPr="004E7E5A">
        <w:rPr>
          <w:rFonts w:cs="Times New Roman"/>
        </w:rPr>
        <w:t>t</w:t>
      </w:r>
      <w:r w:rsidR="00746786" w:rsidRPr="004E7E5A">
        <w:rPr>
          <w:rFonts w:cs="Times New Roman"/>
        </w:rPr>
        <w:t xml:space="preserve">he provision of resources is an important board function </w:t>
      </w:r>
      <w:r w:rsidR="00746786" w:rsidRPr="004E7E5A">
        <w:rPr>
          <w:rFonts w:cs="Times New Roman"/>
        </w:rPr>
        <w:fldChar w:fldCharType="begin"/>
      </w:r>
      <w:r w:rsidR="001A1175" w:rsidRPr="004E7E5A">
        <w:rPr>
          <w:rFonts w:cs="Times New Roman"/>
        </w:rPr>
        <w:instrText xml:space="preserve"> ADDIN EN.CITE &lt;EndNote&gt;&lt;Cite&gt;&lt;Author&gt;Hillman&lt;/Author&gt;&lt;Year&gt;2003&lt;/Year&gt;&lt;RecNum&gt;2007&lt;/RecNum&gt;&lt;DisplayText&gt;(Hillman and Dalziel 2003)&lt;/DisplayText&gt;&lt;record&gt;&lt;rec-number&gt;2007&lt;/rec-number&gt;&lt;foreign-keys&gt;&lt;key app="EN" db-id="trr00pfsbzzex0ezwf6v5swd9fpfpwfa90xp" timestamp="1626671815" guid="b5a52957-6891-4832-a6b6-595ec3c5a75e"&gt;2007&lt;/key&gt;&lt;/foreign-keys&gt;&lt;ref-type name="Journal Article"&gt;17&lt;/ref-type&gt;&lt;contributors&gt;&lt;authors&gt;&lt;author&gt;Amy J. Hillman&lt;/author&gt;&lt;author&gt;Thomas Dalziel&lt;/author&gt;&lt;/authors&gt;&lt;/contributors&gt;&lt;titles&gt;&lt;title&gt;Boards of directors and firm performance: Integrating agency and resource dependence perspectives&lt;/title&gt;&lt;secondary-title&gt;Academy of Management Review&lt;/secondary-title&gt;&lt;/titles&gt;&lt;periodical&gt;&lt;full-title&gt;Academy of management review&lt;/full-title&gt;&lt;/periodical&gt;&lt;pages&gt;383-396&lt;/pages&gt;&lt;volume&gt;28&lt;/volume&gt;&lt;number&gt;3&lt;/number&gt;&lt;dates&gt;&lt;year&gt;2003&lt;/year&gt;&lt;/dates&gt;&lt;urls&gt;&lt;/urls&gt;&lt;/record&gt;&lt;/Cite&gt;&lt;/EndNote&gt;</w:instrText>
      </w:r>
      <w:r w:rsidR="00746786" w:rsidRPr="004E7E5A">
        <w:rPr>
          <w:rFonts w:cs="Times New Roman"/>
        </w:rPr>
        <w:fldChar w:fldCharType="separate"/>
      </w:r>
      <w:r w:rsidR="00746786" w:rsidRPr="004E7E5A">
        <w:rPr>
          <w:rFonts w:cs="Times New Roman"/>
          <w:noProof/>
        </w:rPr>
        <w:t>(Hillman and Dalziel 2003)</w:t>
      </w:r>
      <w:r w:rsidR="00746786" w:rsidRPr="004E7E5A">
        <w:rPr>
          <w:rFonts w:cs="Times New Roman"/>
        </w:rPr>
        <w:fldChar w:fldCharType="end"/>
      </w:r>
      <w:r w:rsidR="006E4DE9" w:rsidRPr="004E7E5A">
        <w:rPr>
          <w:rFonts w:cs="Times New Roman"/>
        </w:rPr>
        <w:t>,</w:t>
      </w:r>
      <w:r w:rsidR="00746786" w:rsidRPr="004E7E5A">
        <w:rPr>
          <w:rFonts w:cs="Times New Roman"/>
        </w:rPr>
        <w:t xml:space="preserve"> </w:t>
      </w:r>
      <w:r w:rsidR="006E4DE9" w:rsidRPr="004E7E5A">
        <w:rPr>
          <w:rFonts w:cs="Times New Roman"/>
        </w:rPr>
        <w:t>and f</w:t>
      </w:r>
      <w:r w:rsidR="00746786" w:rsidRPr="004E7E5A">
        <w:rPr>
          <w:rFonts w:cs="Times New Roman"/>
        </w:rPr>
        <w:t xml:space="preserve">irms that have access to superior resources and capabilities may obtain competitive advantage </w:t>
      </w:r>
      <w:r w:rsidR="00746786" w:rsidRPr="004E7E5A">
        <w:rPr>
          <w:rFonts w:cs="Times New Roman"/>
        </w:rPr>
        <w:fldChar w:fldCharType="begin">
          <w:fldData xml:space="preserve">PEVuZE5vdGU+PENpdGU+PEF1dGhvcj5XZXJuZXJmZWx0PC9BdXRob3I+PFllYXI+MTk4NDwvWWVh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==
</w:fldData>
        </w:fldChar>
      </w:r>
      <w:r w:rsidR="00B55BEF" w:rsidRPr="004E7E5A">
        <w:rPr>
          <w:rFonts w:cs="Times New Roman"/>
        </w:rPr>
        <w:instrText xml:space="preserve"> ADDIN EN.CITE </w:instrText>
      </w:r>
      <w:r w:rsidR="00B55BEF" w:rsidRPr="004E7E5A">
        <w:rPr>
          <w:rFonts w:cs="Times New Roman"/>
        </w:rPr>
        <w:fldChar w:fldCharType="begin">
          <w:fldData xml:space="preserve">PEVuZE5vdGU+PENpdGU+PEF1dGhvcj5XZXJuZXJmZWx0PC9BdXRob3I+PFllYXI+MTk4NDwvWWVh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==
</w:fldData>
        </w:fldChar>
      </w:r>
      <w:r w:rsidR="00B55BEF" w:rsidRPr="004E7E5A">
        <w:rPr>
          <w:rFonts w:cs="Times New Roman"/>
        </w:rPr>
        <w:instrText xml:space="preserve"> ADDIN EN.CITE.DATA </w:instrText>
      </w:r>
      <w:r w:rsidR="00B55BEF" w:rsidRPr="004E7E5A">
        <w:rPr>
          <w:rFonts w:cs="Times New Roman"/>
        </w:rPr>
      </w:r>
      <w:r w:rsidR="00B55BEF" w:rsidRPr="004E7E5A">
        <w:rPr>
          <w:rFonts w:cs="Times New Roman"/>
        </w:rPr>
        <w:fldChar w:fldCharType="end"/>
      </w:r>
      <w:r w:rsidR="00746786" w:rsidRPr="004E7E5A">
        <w:rPr>
          <w:rFonts w:cs="Times New Roman"/>
        </w:rPr>
      </w:r>
      <w:r w:rsidR="00746786" w:rsidRPr="004E7E5A">
        <w:rPr>
          <w:rFonts w:cs="Times New Roman"/>
        </w:rPr>
        <w:fldChar w:fldCharType="separate"/>
      </w:r>
      <w:r w:rsidR="00B55BEF" w:rsidRPr="004E7E5A">
        <w:rPr>
          <w:rFonts w:cs="Times New Roman"/>
          <w:noProof/>
        </w:rPr>
        <w:t>(Wernerfelt 1984; Peteraf 1993; Barney 1991)</w:t>
      </w:r>
      <w:r w:rsidR="00746786" w:rsidRPr="004E7E5A">
        <w:rPr>
          <w:rFonts w:cs="Times New Roman"/>
        </w:rPr>
        <w:fldChar w:fldCharType="end"/>
      </w:r>
      <w:r w:rsidR="00746786" w:rsidRPr="004E7E5A">
        <w:rPr>
          <w:rFonts w:cs="Times New Roman"/>
        </w:rPr>
        <w:t xml:space="preserve">. Hence the competitive basis of firms resides in how firms leverage the available tangible and intangible resources </w:t>
      </w:r>
      <w:r w:rsidR="00746786" w:rsidRPr="004E7E5A">
        <w:rPr>
          <w:rFonts w:cs="Times New Roman"/>
        </w:rPr>
        <w:fldChar w:fldCharType="begin"/>
      </w:r>
      <w:r w:rsidR="00317C6A" w:rsidRPr="004E7E5A">
        <w:rPr>
          <w:rFonts w:cs="Times New Roman"/>
        </w:rPr>
        <w:instrText xml:space="preserve"> ADDIN EN.CITE &lt;EndNote&gt;&lt;Cite&gt;&lt;Author&gt;Wernerfelt&lt;/Author&gt;&lt;Year&gt;1984&lt;/Year&gt;&lt;RecNum&gt;1852&lt;/RecNum&gt;&lt;DisplayText&gt;(Wernerfelt 1984; Macaulay et al. 2017)&lt;/DisplayText&gt;&lt;record&gt;&lt;rec-number&gt;1852&lt;/rec-number&gt;&lt;foreign-keys&gt;&lt;key app="EN" db-id="trr00pfsbzzex0ezwf6v5swd9fpfpwfa90xp" timestamp="1598344820" guid="77d08114-42dc-4823-95ae-1601de214dd0"&gt;1852&lt;/key&gt;&lt;/foreign-keys&gt;&lt;ref-type name="Journal Article"&gt;17&lt;/ref-type&gt;&lt;contributors&gt;&lt;authors&gt;&lt;author&gt;Birger Wernerfelt&lt;/author&gt;&lt;/authors&gt;&lt;/contributors&gt;&lt;titles&gt;&lt;title&gt;A resource-based view of the firm&lt;/title&gt;&lt;secondary-title&gt;Strategic Management Journal&lt;/secondary-title&gt;&lt;/titles&gt;&lt;periodical&gt;&lt;full-title&gt;Strategic Management Journal&lt;/full-title&gt;&lt;/periodical&gt;&lt;pages&gt;171-180&lt;/pages&gt;&lt;volume&gt;5&lt;/volume&gt;&lt;dates&gt;&lt;year&gt;1984&lt;/year&gt;&lt;/dates&gt;&lt;urls&gt;&lt;/urls&gt;&lt;/record&gt;&lt;/Cite&gt;&lt;Cite&gt;&lt;Author&gt;Macaulay&lt;/Author&gt;&lt;Year&gt;2017&lt;/Year&gt;&lt;RecNum&gt;572&lt;/RecNum&gt;&lt;record&gt;&lt;rec-number&gt;572&lt;/rec-number&gt;&lt;foreign-keys&gt;&lt;key app="EN" db-id="trr00pfsbzzex0ezwf6v5swd9fpfpwfa90xp" timestamp="1581080100" guid="1fdcf0cf-1256-477a-8640-38a3afad5af6"&gt;572&lt;/key&gt;&lt;/foreign-keys&gt;&lt;ref-type name="Journal Article"&gt;17&lt;/ref-type&gt;&lt;contributors&gt;&lt;authors&gt;&lt;author&gt;Macaulay, Craig D.&lt;/author&gt;&lt;author&gt;Richard, Orlando C.&lt;/author&gt;&lt;author&gt;Peng, Mike W.&lt;/author&gt;&lt;author&gt;Hasenhuttl, Maria&lt;/author&gt;&lt;/authors&gt;&lt;/contributors&gt;&lt;titles&gt;&lt;title&gt;Alliance network centrality, board composition, and corporate social performance&lt;/title&gt;&lt;secondary-title&gt;Journal of Business Ethics&lt;/secondary-title&gt;&lt;/titles&gt;&lt;periodical&gt;&lt;full-title&gt;Journal of Business Ethics&lt;/full-title&gt;&lt;/periodical&gt;&lt;pages&gt;997-1008&lt;/pages&gt;&lt;volume&gt;151&lt;/volume&gt;&lt;number&gt;4&lt;/number&gt;&lt;section&gt;997&lt;/section&gt;&lt;dates&gt;&lt;year&gt;2017&lt;/year&gt;&lt;/dates&gt;&lt;isbn&gt;0167-4544&amp;#xD;1573-0697&lt;/isbn&gt;&lt;urls&gt;&lt;/urls&gt;&lt;electronic-resource-num&gt;10.1007/s10551-017-3566-7&lt;/electronic-resource-num&gt;&lt;/record&gt;&lt;/Cite&gt;&lt;/EndNote&gt;</w:instrText>
      </w:r>
      <w:r w:rsidR="00746786" w:rsidRPr="004E7E5A">
        <w:rPr>
          <w:rFonts w:cs="Times New Roman"/>
        </w:rPr>
        <w:fldChar w:fldCharType="separate"/>
      </w:r>
      <w:r w:rsidR="00746786" w:rsidRPr="004E7E5A">
        <w:rPr>
          <w:rFonts w:cs="Times New Roman"/>
          <w:noProof/>
        </w:rPr>
        <w:t>(Wernerfelt 1984; Macaulay et al. 2017)</w:t>
      </w:r>
      <w:r w:rsidR="00746786" w:rsidRPr="004E7E5A">
        <w:rPr>
          <w:rFonts w:cs="Times New Roman"/>
        </w:rPr>
        <w:fldChar w:fldCharType="end"/>
      </w:r>
      <w:r w:rsidR="00746786" w:rsidRPr="004E7E5A">
        <w:rPr>
          <w:rFonts w:cs="Times New Roman"/>
        </w:rPr>
        <w:t xml:space="preserve">. Firms with more central directors in the network have advantage in accessing valuable resources </w:t>
      </w:r>
      <w:r w:rsidR="00746786" w:rsidRPr="004E7E5A">
        <w:rPr>
          <w:rFonts w:cs="Times New Roman"/>
        </w:rPr>
        <w:fldChar w:fldCharType="begin">
          <w:fldData xml:space="preserve">PEVuZE5vdGU+PENpdGU+PEF1dGhvcj5MYXZpZTwvQXV0aG9yPjxZZWFyPjIwMDY8L1llYXI+PFJl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PEVuZE5vdGU+PENpdGU+PEF1dGhvcj5MYXZpZTwvQXV0aG9yPjxZZWFyPjIwMDY8L1llYXI+PFJl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00746786" w:rsidRPr="004E7E5A">
        <w:rPr>
          <w:rFonts w:cs="Times New Roman"/>
        </w:rPr>
      </w:r>
      <w:r w:rsidR="00746786" w:rsidRPr="004E7E5A">
        <w:rPr>
          <w:rFonts w:cs="Times New Roman"/>
        </w:rPr>
        <w:fldChar w:fldCharType="separate"/>
      </w:r>
      <w:r w:rsidR="00746786" w:rsidRPr="004E7E5A">
        <w:rPr>
          <w:rFonts w:cs="Times New Roman"/>
          <w:noProof/>
        </w:rPr>
        <w:t xml:space="preserve">(Lavie 2006; Lavie and Miller 2008; Macaulay et al. </w:t>
      </w:r>
      <w:r w:rsidR="00746786" w:rsidRPr="004E7E5A">
        <w:rPr>
          <w:rFonts w:cs="Times New Roman"/>
          <w:noProof/>
        </w:rPr>
        <w:lastRenderedPageBreak/>
        <w:t>2017)</w:t>
      </w:r>
      <w:r w:rsidR="00746786" w:rsidRPr="004E7E5A">
        <w:rPr>
          <w:rFonts w:cs="Times New Roman"/>
        </w:rPr>
        <w:fldChar w:fldCharType="end"/>
      </w:r>
      <w:r w:rsidR="00746786" w:rsidRPr="004E7E5A">
        <w:rPr>
          <w:rFonts w:cs="Times New Roman"/>
        </w:rPr>
        <w:t>.</w:t>
      </w:r>
    </w:p>
    <w:p w14:paraId="5A10197E" w14:textId="1692AD71" w:rsidR="00746786" w:rsidRPr="004E7E5A" w:rsidRDefault="001B4C31" w:rsidP="00746786">
      <w:pPr>
        <w:pStyle w:val="a7"/>
        <w:spacing w:line="480" w:lineRule="auto"/>
        <w:ind w:firstLine="480"/>
        <w:rPr>
          <w:rFonts w:cs="Times New Roman"/>
        </w:rPr>
      </w:pPr>
      <w:r w:rsidRPr="004E7E5A">
        <w:rPr>
          <w:rFonts w:cs="Times New Roman"/>
        </w:rPr>
        <w:t xml:space="preserve">Prior </w:t>
      </w:r>
      <w:r w:rsidR="00746786" w:rsidRPr="004E7E5A">
        <w:rPr>
          <w:rFonts w:cs="Times New Roman"/>
        </w:rPr>
        <w:t xml:space="preserve">research indicates that network ties impact a variety of firm decisions. Directors’ network provides an effective channel for information exchange, allowing transmission of knowledge, ideas, and private information </w:t>
      </w:r>
      <w:r w:rsidR="00746786" w:rsidRPr="004E7E5A">
        <w:rPr>
          <w:rFonts w:cs="Times New Roman"/>
        </w:rPr>
        <w:fldChar w:fldCharType="begin"/>
      </w:r>
      <w:r w:rsidR="006F6C86" w:rsidRPr="004E7E5A">
        <w:rPr>
          <w:rFonts w:cs="Times New Roman"/>
        </w:rPr>
        <w:instrText xml:space="preserve"> ADDIN EN.CITE &lt;EndNote&gt;&lt;Cite&gt;&lt;Author&gt;Rwan&lt;/Author&gt;&lt;Year&gt;2015&lt;/Year&gt;&lt;RecNum&gt;832&lt;/RecNum&gt;&lt;DisplayText&gt;(Rwan et al. 2015)&lt;/DisplayText&gt;&lt;record&gt;&lt;rec-number&gt;832&lt;/rec-number&gt;&lt;foreign-keys&gt;&lt;key app="EN" db-id="trr00pfsbzzex0ezwf6v5swd9fpfpwfa90xp" timestamp="1581080388" guid="21ece770-2b39-4822-a344-44b78b0c5ef9"&gt;832&lt;/key&gt;&lt;/foreign-keys&gt;&lt;ref-type name="Journal Article"&gt;17&lt;/ref-type&gt;&lt;contributors&gt;&lt;authors&gt;&lt;author&gt;El Khatib Rwan &lt;/author&gt;&lt;author&gt;Fogel Kathy &lt;/author&gt;&lt;author&gt;Jandik Tomas &lt;/author&gt;&lt;/authors&gt;&lt;/contributors&gt;&lt;titles&gt;&lt;title&gt;CEO network centrality and merger performance&lt;/title&gt;&lt;secondary-title&gt;Journal of Financial Economics&lt;/secondary-title&gt;&lt;/titles&gt;&lt;periodical&gt;&lt;full-title&gt;Journal of Financial Economics&lt;/full-title&gt;&lt;/periodical&gt;&lt;pages&gt;349-382&lt;/pages&gt;&lt;volume&gt;116&lt;/volume&gt;&lt;number&gt;2&lt;/number&gt;&lt;section&gt;349&lt;/section&gt;&lt;dates&gt;&lt;year&gt;2015&lt;/year&gt;&lt;/dates&gt;&lt;isbn&gt;0304405X&lt;/isbn&gt;&lt;urls&gt;&lt;/urls&gt;&lt;electronic-resource-num&gt;10.1016/j.jfineco.2015.01.001&lt;/electronic-resource-num&gt;&lt;/record&gt;&lt;/Cite&gt;&lt;/EndNote&gt;</w:instrText>
      </w:r>
      <w:r w:rsidR="00746786" w:rsidRPr="004E7E5A">
        <w:rPr>
          <w:rFonts w:cs="Times New Roman"/>
        </w:rPr>
        <w:fldChar w:fldCharType="separate"/>
      </w:r>
      <w:r w:rsidR="00746786" w:rsidRPr="004E7E5A">
        <w:rPr>
          <w:rFonts w:cs="Times New Roman"/>
          <w:noProof/>
        </w:rPr>
        <w:t>(Rwan et al. 2015)</w:t>
      </w:r>
      <w:r w:rsidR="00746786" w:rsidRPr="004E7E5A">
        <w:rPr>
          <w:rFonts w:cs="Times New Roman"/>
        </w:rPr>
        <w:fldChar w:fldCharType="end"/>
      </w:r>
      <w:r w:rsidR="00746786" w:rsidRPr="004E7E5A">
        <w:rPr>
          <w:rFonts w:cs="Times New Roman"/>
        </w:rPr>
        <w:t xml:space="preserve">. Prior studies examine the resource provision role of directors in ensuring substantive corporate sustainability practices </w:t>
      </w:r>
      <w:r w:rsidR="00746786" w:rsidRPr="004E7E5A">
        <w:rPr>
          <w:rFonts w:cs="Times New Roman"/>
        </w:rPr>
        <w:fldChar w:fldCharType="begin"/>
      </w:r>
      <w:r w:rsidR="001A1175" w:rsidRPr="004E7E5A">
        <w:rPr>
          <w:rFonts w:cs="Times New Roman"/>
        </w:rPr>
        <w:instrText xml:space="preserve"> ADDIN EN.CITE &lt;EndNote&gt;&lt;Cite&gt;&lt;Author&gt;Homroy&lt;/Author&gt;&lt;Year&gt;2017&lt;/Year&gt;&lt;RecNum&gt;1739&lt;/RecNum&gt;&lt;DisplayText&gt;(Homroy and Slechten 2017)&lt;/DisplayText&gt;&lt;record&gt;&lt;rec-number&gt;1739&lt;/rec-number&gt;&lt;foreign-keys&gt;&lt;key app="EN" db-id="trr00pfsbzzex0ezwf6v5swd9fpfpwfa90xp" timestamp="1587541509" guid="66d31698-0ec3-47d9-92f6-47205987b8da"&gt;1739&lt;/key&gt;&lt;/foreign-keys&gt;&lt;ref-type name="Journal Article"&gt;17&lt;/ref-type&gt;&lt;contributors&gt;&lt;authors&gt;&lt;author&gt;Homroy, Swarnodeep&lt;/author&gt;&lt;author&gt;Slechten, Aurelie&lt;/author&gt;&lt;/authors&gt;&lt;/contributors&gt;&lt;titles&gt;&lt;title&gt;Do board expertise and networked boards affect environmental performance?&lt;/title&gt;&lt;secondary-title&gt;Journal of Business Ethics&lt;/secondary-title&gt;&lt;/titles&gt;&lt;periodical&gt;&lt;full-title&gt;Journal of Business Ethics&lt;/full-title&gt;&lt;/periodical&gt;&lt;pages&gt;269-292&lt;/pages&gt;&lt;volume&gt;158&lt;/volume&gt;&lt;number&gt;1&lt;/number&gt;&lt;section&gt;269&lt;/section&gt;&lt;dates&gt;&lt;year&gt;2017&lt;/year&gt;&lt;/dates&gt;&lt;isbn&gt;0167-4544&amp;#xD;1573-0697&lt;/isbn&gt;&lt;urls&gt;&lt;/urls&gt;&lt;electronic-resource-num&gt;10.1007/s10551-017-3769-y&lt;/electronic-resource-num&gt;&lt;/record&gt;&lt;/Cite&gt;&lt;/EndNote&gt;</w:instrText>
      </w:r>
      <w:r w:rsidR="00746786" w:rsidRPr="004E7E5A">
        <w:rPr>
          <w:rFonts w:cs="Times New Roman"/>
        </w:rPr>
        <w:fldChar w:fldCharType="separate"/>
      </w:r>
      <w:r w:rsidR="00746786" w:rsidRPr="004E7E5A">
        <w:rPr>
          <w:rFonts w:cs="Times New Roman"/>
          <w:noProof/>
        </w:rPr>
        <w:t>(Homroy and Slechten 2017)</w:t>
      </w:r>
      <w:r w:rsidR="00746786" w:rsidRPr="004E7E5A">
        <w:rPr>
          <w:rFonts w:cs="Times New Roman"/>
        </w:rPr>
        <w:fldChar w:fldCharType="end"/>
      </w:r>
      <w:r w:rsidR="00746786" w:rsidRPr="004E7E5A">
        <w:rPr>
          <w:rFonts w:cs="Times New Roman"/>
        </w:rPr>
        <w:t xml:space="preserve">. </w:t>
      </w:r>
      <w:r w:rsidRPr="004E7E5A">
        <w:rPr>
          <w:rFonts w:cs="Times New Roman"/>
        </w:rPr>
        <w:t>Literature documents that w</w:t>
      </w:r>
      <w:r w:rsidR="00746786" w:rsidRPr="004E7E5A">
        <w:rPr>
          <w:rFonts w:cs="Times New Roman"/>
        </w:rPr>
        <w:t xml:space="preserve">ell-connected directors trade shares less frequently and for smaller values on insider trading. However, their transactions are more profitable, especially when they make consecutive opportunistic purchases in the companies for which they serve in the board </w:t>
      </w:r>
      <w:r w:rsidR="00746786" w:rsidRPr="004E7E5A">
        <w:rPr>
          <w:rFonts w:cs="Times New Roman"/>
        </w:rPr>
        <w:fldChar w:fldCharType="begin"/>
      </w:r>
      <w:r w:rsidR="006F6C86" w:rsidRPr="004E7E5A">
        <w:rPr>
          <w:rFonts w:cs="Times New Roman"/>
        </w:rPr>
        <w:instrText xml:space="preserve"> ADDIN EN.CITE &lt;EndNote&gt;&lt;Cite&gt;&lt;Author&gt;Goergen&lt;/Author&gt;&lt;Year&gt;2019&lt;/Year&gt;&lt;RecNum&gt;1738&lt;/RecNum&gt;&lt;DisplayText&gt;(Goergen et al. 2019)&lt;/DisplayText&gt;&lt;record&gt;&lt;rec-number&gt;1738&lt;/rec-number&gt;&lt;foreign-keys&gt;&lt;key app="EN" db-id="trr00pfsbzzex0ezwf6v5swd9fpfpwfa90xp" timestamp="1587541456" guid="9ae43d52-0610-4cd0-aa68-06d203d89990"&gt;1738&lt;/key&gt;&lt;/foreign-keys&gt;&lt;ref-type name="Journal Article"&gt;17&lt;/ref-type&gt;&lt;contributors&gt;&lt;authors&gt;&lt;author&gt;Goergen, Marc&lt;/author&gt;&lt;author&gt;Renneboog, Luc&lt;/author&gt;&lt;author&gt;Zhao, Yang&lt;/author&gt;&lt;/authors&gt;&lt;/contributors&gt;&lt;titles&gt;&lt;title&gt;Insider trading and networked directors&lt;/title&gt;&lt;secondary-title&gt;Journal of Corporate Finance&lt;/secondary-title&gt;&lt;/titles&gt;&lt;periodical&gt;&lt;full-title&gt;Journal of Corporate Finance&lt;/full-title&gt;&lt;/periodical&gt;&lt;pages&gt;152-175&lt;/pages&gt;&lt;volume&gt;56&lt;/volume&gt;&lt;section&gt;152&lt;/section&gt;&lt;dates&gt;&lt;year&gt;2019&lt;/year&gt;&lt;/dates&gt;&lt;isbn&gt;09291199&lt;/isbn&gt;&lt;urls&gt;&lt;/urls&gt;&lt;electronic-resource-num&gt;10.1016/j.jcorpfin.2019.02.001&lt;/electronic-resource-num&gt;&lt;/record&gt;&lt;/Cite&gt;&lt;/EndNote&gt;</w:instrText>
      </w:r>
      <w:r w:rsidR="00746786" w:rsidRPr="004E7E5A">
        <w:rPr>
          <w:rFonts w:cs="Times New Roman"/>
        </w:rPr>
        <w:fldChar w:fldCharType="separate"/>
      </w:r>
      <w:r w:rsidR="00746786" w:rsidRPr="004E7E5A">
        <w:rPr>
          <w:rFonts w:cs="Times New Roman"/>
          <w:noProof/>
        </w:rPr>
        <w:t>(Goergen et al. 2019)</w:t>
      </w:r>
      <w:r w:rsidR="00746786" w:rsidRPr="004E7E5A">
        <w:rPr>
          <w:rFonts w:cs="Times New Roman"/>
        </w:rPr>
        <w:fldChar w:fldCharType="end"/>
      </w:r>
      <w:r w:rsidR="00746786" w:rsidRPr="004E7E5A">
        <w:rPr>
          <w:rFonts w:cs="Times New Roman"/>
        </w:rPr>
        <w:t xml:space="preserve">. Study has also found that firms with well-connected audit committees are less likely to misstate annual financial statements </w:t>
      </w:r>
      <w:r w:rsidR="00746786" w:rsidRPr="004E7E5A">
        <w:rPr>
          <w:rFonts w:cs="Times New Roman"/>
        </w:rPr>
        <w:fldChar w:fldCharType="begin"/>
      </w:r>
      <w:r w:rsidR="00317C6A" w:rsidRPr="004E7E5A">
        <w:rPr>
          <w:rFonts w:cs="Times New Roman"/>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00746786" w:rsidRPr="004E7E5A">
        <w:rPr>
          <w:rFonts w:cs="Times New Roman"/>
        </w:rPr>
        <w:fldChar w:fldCharType="separate"/>
      </w:r>
      <w:r w:rsidR="00746786" w:rsidRPr="004E7E5A">
        <w:rPr>
          <w:rFonts w:cs="Times New Roman"/>
          <w:noProof/>
        </w:rPr>
        <w:t>(Omer et al. 2019)</w:t>
      </w:r>
      <w:r w:rsidR="00746786" w:rsidRPr="004E7E5A">
        <w:rPr>
          <w:rFonts w:cs="Times New Roman"/>
        </w:rPr>
        <w:fldChar w:fldCharType="end"/>
      </w:r>
      <w:r w:rsidR="00746786" w:rsidRPr="004E7E5A">
        <w:rPr>
          <w:rFonts w:cs="Times New Roman"/>
        </w:rPr>
        <w:t>.</w:t>
      </w:r>
    </w:p>
    <w:p w14:paraId="36AEE645" w14:textId="77777777" w:rsidR="00746786" w:rsidRPr="004E7E5A" w:rsidRDefault="00746786" w:rsidP="00746786">
      <w:pPr>
        <w:pStyle w:val="4"/>
        <w:spacing w:before="0" w:after="0" w:line="480" w:lineRule="auto"/>
        <w:rPr>
          <w:color w:val="000000" w:themeColor="text1"/>
        </w:rPr>
      </w:pPr>
      <w:r w:rsidRPr="004E7E5A">
        <w:rPr>
          <w:color w:val="000000" w:themeColor="text1"/>
        </w:rPr>
        <w:t>Hypotheses Development</w:t>
      </w:r>
    </w:p>
    <w:p w14:paraId="6EC4A354"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t>Directors’ Network and CSR Disclosure Quality</w:t>
      </w:r>
    </w:p>
    <w:p w14:paraId="08BACB8C" w14:textId="67A09B94" w:rsidR="00746786" w:rsidRPr="004E7E5A" w:rsidRDefault="00746786" w:rsidP="00746786">
      <w:pPr>
        <w:pStyle w:val="a7"/>
        <w:spacing w:line="480" w:lineRule="auto"/>
        <w:ind w:firstLine="480"/>
        <w:rPr>
          <w:rFonts w:cs="Times New Roman"/>
          <w:szCs w:val="24"/>
        </w:rPr>
      </w:pPr>
      <w:r w:rsidRPr="004E7E5A">
        <w:rPr>
          <w:rFonts w:cs="Times New Roman"/>
          <w:szCs w:val="24"/>
        </w:rPr>
        <w:t xml:space="preserve">The board of directors is considered as one of the most important internal governance mechanism because the background, experience and relationship to other stakeholders of directors can help the firm raise resources to better address stakeholders’ claim </w:t>
      </w:r>
      <w:r w:rsidRPr="004E7E5A">
        <w:rPr>
          <w:rFonts w:cs="Times New Roman"/>
          <w:szCs w:val="24"/>
        </w:rPr>
        <w:fldChar w:fldCharType="begin"/>
      </w:r>
      <w:r w:rsidRPr="004E7E5A">
        <w:rPr>
          <w:rFonts w:cs="Times New Roman"/>
          <w:szCs w:val="24"/>
        </w:rPr>
        <w:instrText xml:space="preserve"> ADDIN EN.CITE &lt;EndNote&gt;&lt;Cite&gt;&lt;Author&gt;Fama&lt;/Author&gt;&lt;Year&gt;1983&lt;/Year&gt;&lt;RecNum&gt;1695&lt;/RecNum&gt;&lt;DisplayText&gt;(Fama 1983)&lt;/DisplayText&gt;&lt;record&gt;&lt;rec-number&gt;1695&lt;/rec-number&gt;&lt;foreign-keys&gt;&lt;key app="EN" db-id="trr00pfsbzzex0ezwf6v5swd9fpfpwfa90xp" timestamp="1582024502" guid="c5760cc6-f927-40f9-9610-c7138b7ee420"&gt;1695&lt;/key&gt;&lt;/foreign-keys&gt;&lt;ref-type name="Journal Article"&gt;17&lt;/ref-type&gt;&lt;contributors&gt;&lt;authors&gt;&lt;author&gt;Fama, Eugene F., and Michael C. Jensen.&lt;/author&gt;&lt;/authors&gt;&lt;/contributors&gt;&lt;titles&gt;&lt;title&gt;Separation of ownership and control&lt;/title&gt;&lt;secondary-title&gt;The journal of law and Economics&lt;/secondary-title&gt;&lt;/titles&gt;&lt;periodical&gt;&lt;full-title&gt;The journal of law and Economics&lt;/full-title&gt;&lt;/periodical&gt;&lt;pages&gt;301-325&lt;/pages&gt;&lt;volume&gt;26&lt;/volume&gt;&lt;number&gt;2&lt;/number&gt;&lt;dates&gt;&lt;year&gt;1983&lt;/year&gt;&lt;/dates&gt;&lt;urls&gt;&lt;/urls&gt;&lt;/record&gt;&lt;/Cite&gt;&lt;/EndNote&gt;</w:instrText>
      </w:r>
      <w:r w:rsidRPr="004E7E5A">
        <w:rPr>
          <w:rFonts w:cs="Times New Roman"/>
          <w:szCs w:val="24"/>
        </w:rPr>
        <w:fldChar w:fldCharType="separate"/>
      </w:r>
      <w:r w:rsidRPr="004E7E5A">
        <w:rPr>
          <w:rFonts w:cs="Times New Roman"/>
          <w:noProof/>
          <w:szCs w:val="24"/>
        </w:rPr>
        <w:t>(Fama 1983)</w:t>
      </w:r>
      <w:r w:rsidRPr="004E7E5A">
        <w:rPr>
          <w:rFonts w:cs="Times New Roman"/>
          <w:szCs w:val="24"/>
        </w:rPr>
        <w:fldChar w:fldCharType="end"/>
      </w:r>
      <w:r w:rsidRPr="004E7E5A">
        <w:rPr>
          <w:rFonts w:cs="Times New Roman"/>
          <w:szCs w:val="24"/>
        </w:rPr>
        <w:t xml:space="preserve">. </w:t>
      </w:r>
      <w:r w:rsidRPr="004E7E5A">
        <w:rPr>
          <w:rFonts w:cs="Times New Roman"/>
        </w:rPr>
        <w:t xml:space="preserve">Board of directors are responsible for the issues pertaining to CSR disclosure </w:t>
      </w:r>
      <w:r w:rsidRPr="004E7E5A">
        <w:rPr>
          <w:rFonts w:cs="Times New Roman"/>
        </w:rPr>
        <w:fldChar w:fldCharType="begin">
          <w:fldData xml:space="preserve">PEVuZE5vdGU+PENpdGU+PEF1dGhvcj5FbGtpbmd0b248L0F1dGhvcj48WWVhcj4yMDA2PC9ZZWFy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PEVuZE5vdGU+PENpdGU+PEF1dGhvcj5FbGtpbmd0b248L0F1dGhvcj48WWVhcj4yMDA2PC9ZZWFy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006F6C86" w:rsidRPr="004E7E5A">
        <w:rPr>
          <w:rFonts w:cs="Times New Roman"/>
          <w:noProof/>
        </w:rPr>
        <w:t>(Elkington 2006; Shaukat et al. 2015; Katmon et al. 2017)</w:t>
      </w:r>
      <w:r w:rsidRPr="004E7E5A">
        <w:rPr>
          <w:rFonts w:cs="Times New Roman"/>
        </w:rPr>
        <w:fldChar w:fldCharType="end"/>
      </w:r>
      <w:r w:rsidRPr="004E7E5A">
        <w:rPr>
          <w:rFonts w:cs="Times New Roman"/>
        </w:rPr>
        <w:t xml:space="preserve">, because CSR is a critical item on boards’ agenda </w:t>
      </w:r>
      <w:r w:rsidRPr="004E7E5A">
        <w:rPr>
          <w:rFonts w:cs="Times New Roman"/>
        </w:rPr>
        <w:fldChar w:fldCharType="begin"/>
      </w:r>
      <w:r w:rsidR="00317C6A" w:rsidRPr="004E7E5A">
        <w:rPr>
          <w:rFonts w:cs="Times New Roman"/>
        </w:rPr>
        <w:instrText xml:space="preserve"> ADDIN EN.CITE &lt;EndNote&gt;&lt;Cite&gt;&lt;Author&gt;Rao&lt;/Author&gt;&lt;Year&gt;2015&lt;/Year&gt;&lt;RecNum&gt;124&lt;/RecNum&gt;&lt;DisplayText&gt;(Rao and Tilt 2015)&lt;/DisplayText&gt;&lt;record&gt;&lt;rec-number&gt;124&lt;/rec-number&gt;&lt;foreign-keys&gt;&lt;key app="EN" db-id="trr00pfsbzzex0ezwf6v5swd9fpfpwfa90xp" timestamp="1580912168" guid="e2fcf112-0c4f-4012-86c0-6da5f63ee0ab"&gt;124&lt;/key&gt;&lt;/foreign-keys&gt;&lt;ref-type name="Journal Article"&gt;17&lt;/ref-type&gt;&lt;contributors&gt;&lt;authors&gt;&lt;author&gt;Rao, Kathyayini&lt;/author&gt;&lt;author&gt;Tilt, Carol&lt;/author&gt;&lt;/authors&gt;&lt;/contributors&gt;&lt;titles&gt;&lt;title&gt;Board composition and corporate social responsibility: The role of diversity, gender, strategy and decision making&lt;/title&gt;&lt;secondary-title&gt;Journal of Business Ethics&lt;/secondary-title&gt;&lt;/titles&gt;&lt;periodical&gt;&lt;full-title&gt;Journal of Business Ethics&lt;/full-title&gt;&lt;/periodical&gt;&lt;pages&gt;327-347&lt;/pages&gt;&lt;volume&gt;138&lt;/volume&gt;&lt;number&gt;2&lt;/number&gt;&lt;section&gt;327&lt;/section&gt;&lt;dates&gt;&lt;year&gt;2015&lt;/year&gt;&lt;/dates&gt;&lt;isbn&gt;0167-4544&amp;#xD;1573-0697&lt;/isbn&gt;&lt;urls&gt;&lt;/urls&gt;&lt;electronic-resource-num&gt;10.1007/s10551-015-2613-5&lt;/electronic-resource-num&gt;&lt;/record&gt;&lt;/Cite&gt;&lt;/EndNote&gt;</w:instrText>
      </w:r>
      <w:r w:rsidRPr="004E7E5A">
        <w:rPr>
          <w:rFonts w:cs="Times New Roman"/>
        </w:rPr>
        <w:fldChar w:fldCharType="separate"/>
      </w:r>
      <w:r w:rsidRPr="004E7E5A">
        <w:rPr>
          <w:rFonts w:cs="Times New Roman"/>
          <w:noProof/>
        </w:rPr>
        <w:t>(Rao and Tilt 2015)</w:t>
      </w:r>
      <w:r w:rsidRPr="004E7E5A">
        <w:rPr>
          <w:rFonts w:cs="Times New Roman"/>
        </w:rPr>
        <w:fldChar w:fldCharType="end"/>
      </w:r>
      <w:r w:rsidRPr="004E7E5A">
        <w:rPr>
          <w:rFonts w:cs="Times New Roman"/>
        </w:rPr>
        <w:t xml:space="preserve">, and boards have major responsibility in ensuring the reliability of corporate disclosure </w:t>
      </w:r>
      <w:r w:rsidRPr="004E7E5A">
        <w:rPr>
          <w:rFonts w:cs="Times New Roman"/>
        </w:rPr>
        <w:fldChar w:fldCharType="begin"/>
      </w:r>
      <w:r w:rsidR="00317C6A" w:rsidRPr="004E7E5A">
        <w:rPr>
          <w:rFonts w:cs="Times New Roman"/>
        </w:rPr>
        <w:instrText xml:space="preserve"> ADDIN EN.CITE &lt;EndNote&gt;&lt;Cite&gt;&lt;Author&gt;Elkington&lt;/Author&gt;&lt;Year&gt;2006&lt;/Year&gt;&lt;RecNum&gt;2023&lt;/RecNum&gt;&lt;DisplayText&gt;(Elkington 2006; Rao and Tilt 2015)&lt;/DisplayText&gt;&lt;record&gt;&lt;rec-number&gt;2023&lt;/rec-number&gt;&lt;foreign-keys&gt;&lt;key app="EN" db-id="trr00pfsbzzex0ezwf6v5swd9fpfpwfa90xp" timestamp="1627302540" guid="b96ae2bc-0efd-463c-9ae5-aa2a01b6723b"&gt;2023&lt;/key&gt;&lt;/foreign-keys&gt;&lt;ref-type name="Journal Article"&gt;17&lt;/ref-type&gt;&lt;contributors&gt;&lt;authors&gt;&lt;author&gt;Elkington, J.&lt;/author&gt;&lt;/authors&gt;&lt;/contributors&gt;&lt;titles&gt;&lt;title&gt;Governance for sustainability&lt;/title&gt;&lt;secondary-title&gt;Corporate Governance: An International Review&lt;/secondary-title&gt;&lt;/titles&gt;&lt;periodical&gt;&lt;full-title&gt;Corporate Governance: An International Review&lt;/full-title&gt;&lt;/periodical&gt;&lt;pages&gt;522-529&lt;/pages&gt;&lt;volume&gt;14&lt;/volume&gt;&lt;number&gt;6&lt;/number&gt;&lt;dates&gt;&lt;year&gt;2006&lt;/year&gt;&lt;/dates&gt;&lt;urls&gt;&lt;/urls&gt;&lt;/record&gt;&lt;/Cite&gt;&lt;Cite&gt;&lt;Author&gt;Rao&lt;/Author&gt;&lt;Year&gt;2015&lt;/Year&gt;&lt;RecNum&gt;124&lt;/RecNum&gt;&lt;record&gt;&lt;rec-number&gt;124&lt;/rec-number&gt;&lt;foreign-keys&gt;&lt;key app="EN" db-id="trr00pfsbzzex0ezwf6v5swd9fpfpwfa90xp" timestamp="1580912168" guid="e2fcf112-0c4f-4012-86c0-6da5f63ee0ab"&gt;124&lt;/key&gt;&lt;/foreign-keys&gt;&lt;ref-type name="Journal Article"&gt;17&lt;/ref-type&gt;&lt;contributors&gt;&lt;authors&gt;&lt;author&gt;Rao, Kathyayini&lt;/author&gt;&lt;author&gt;Tilt, Carol&lt;/author&gt;&lt;/authors&gt;&lt;/contributors&gt;&lt;titles&gt;&lt;title&gt;Board composition and corporate social responsibility: The role of diversity, gender, strategy and decision making&lt;/title&gt;&lt;secondary-title&gt;Journal of Business Ethics&lt;/secondary-title&gt;&lt;/titles&gt;&lt;periodical&gt;&lt;full-title&gt;Journal of Business Ethics&lt;/full-title&gt;&lt;/periodical&gt;&lt;pages&gt;327-347&lt;/pages&gt;&lt;volume&gt;138&lt;/volume&gt;&lt;number&gt;2&lt;/number&gt;&lt;section&gt;327&lt;/section&gt;&lt;dates&gt;&lt;year&gt;2015&lt;/year&gt;&lt;/dates&gt;&lt;isbn&gt;0167-4544&amp;#xD;1573-0697&lt;/isbn&gt;&lt;urls&gt;&lt;/urls&gt;&lt;electronic-resource-num&gt;10.1007/s10551-015-2613-5&lt;/electronic-resource-num&gt;&lt;/record&gt;&lt;/Cite&gt;&lt;/EndNote&gt;</w:instrText>
      </w:r>
      <w:r w:rsidRPr="004E7E5A">
        <w:rPr>
          <w:rFonts w:cs="Times New Roman"/>
        </w:rPr>
        <w:fldChar w:fldCharType="separate"/>
      </w:r>
      <w:r w:rsidRPr="004E7E5A">
        <w:rPr>
          <w:rFonts w:cs="Times New Roman"/>
          <w:noProof/>
        </w:rPr>
        <w:t>(Elkington 2006; Rao and Tilt 2015)</w:t>
      </w:r>
      <w:r w:rsidRPr="004E7E5A">
        <w:rPr>
          <w:rFonts w:cs="Times New Roman"/>
        </w:rPr>
        <w:fldChar w:fldCharType="end"/>
      </w:r>
      <w:r w:rsidRPr="004E7E5A">
        <w:rPr>
          <w:rFonts w:cs="Times New Roman"/>
        </w:rPr>
        <w:t xml:space="preserve">. Previous research shows that various board attributes can have significant influence on CSR engagement and disclosure </w:t>
      </w:r>
      <w:r w:rsidRPr="004E7E5A">
        <w:rPr>
          <w:rFonts w:cs="Times New Roman"/>
        </w:rPr>
        <w:fldChar w:fldCharType="begin">
          <w:fldData xml:space="preserve">PEVuZE5vdGU+PENpdGU+PEF1dGhvcj5CZWFyPC9BdXRob3I+PFllYXI+MjAxMDwvWWVhcj48UmVj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PEVuZE5vdGU+PENpdGU+PEF1dGhvcj5CZWFyPC9BdXRob3I+PFllYXI+MjAxMDwvWWVhcj48UmVj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(Bear et al. 2010; Harjoto et al. 2014; Rao and Tilt 2015; Liao et al. 2016)</w:t>
      </w:r>
      <w:r w:rsidRPr="004E7E5A">
        <w:rPr>
          <w:rFonts w:cs="Times New Roman"/>
        </w:rPr>
        <w:fldChar w:fldCharType="end"/>
      </w:r>
      <w:r w:rsidRPr="004E7E5A">
        <w:rPr>
          <w:rFonts w:cs="Times New Roman"/>
        </w:rPr>
        <w:t xml:space="preserve">. </w:t>
      </w:r>
    </w:p>
    <w:p w14:paraId="011F816C" w14:textId="4862467C" w:rsidR="00746786" w:rsidRPr="004E7E5A" w:rsidRDefault="00746786" w:rsidP="00746786">
      <w:pPr>
        <w:pStyle w:val="a7"/>
        <w:spacing w:line="480" w:lineRule="auto"/>
        <w:ind w:firstLine="480"/>
        <w:rPr>
          <w:rFonts w:cs="Times New Roman"/>
        </w:rPr>
      </w:pPr>
      <w:r w:rsidRPr="004E7E5A">
        <w:rPr>
          <w:rFonts w:cs="Times New Roman"/>
        </w:rPr>
        <w:lastRenderedPageBreak/>
        <w:t xml:space="preserve">Studies have identified the ways in which directors’ membership of and position in a network can affect their decisions at the organizational level, which emphasizes resources transfer across directors’ network, allowing firms with well-connected directors to experience larger abnormal returns </w:t>
      </w:r>
      <w:r w:rsidRPr="004E7E5A">
        <w:rPr>
          <w:rFonts w:cs="Times New Roman"/>
        </w:rPr>
        <w:fldChar w:fldCharType="begin">
          <w:fldData xml:space="preserve">PEVuZE5vdGU+PENpdGU+PEF1dGhvcj5IaWxsbWFuPC9BdXRob3I+PFllYXI+MjAwMzwvWWVhcj48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=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PEVuZE5vdGU+PENpdGU+PEF1dGhvcj5IaWxsbWFuPC9BdXRob3I+PFllYXI+MjAwMzwvWWVhcj48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=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(Hillman and Dalziel 2003; Macaulay et al. 2017; Omer et al. 2019)</w:t>
      </w:r>
      <w:r w:rsidRPr="004E7E5A">
        <w:rPr>
          <w:rFonts w:cs="Times New Roman"/>
        </w:rPr>
        <w:fldChar w:fldCharType="end"/>
      </w:r>
      <w:r w:rsidRPr="004E7E5A">
        <w:rPr>
          <w:rFonts w:cs="Times New Roman"/>
        </w:rPr>
        <w:t xml:space="preserve">. Drawing on resource-based view, Hart (1995) maintains that for firms to sustain their competitive advantages, it is important to consistently build their internal human and organizational competencies and resources, as these may otherwise erode over time as competitors catch up </w:t>
      </w:r>
      <w:r w:rsidRPr="004E7E5A">
        <w:rPr>
          <w:rFonts w:cs="Times New Roman"/>
        </w:rPr>
        <w:fldChar w:fldCharType="begin"/>
      </w:r>
      <w:r w:rsidR="00317C6A" w:rsidRPr="004E7E5A">
        <w:rPr>
          <w:rFonts w:cs="Times New Roman"/>
        </w:rPr>
        <w:instrText xml:space="preserve"> ADDIN EN.CITE &lt;EndNote&gt;&lt;Cite&gt;&lt;Author&gt;Hart&lt;/Author&gt;&lt;Year&gt;1995&lt;/Year&gt;&lt;RecNum&gt;2004&lt;/RecNum&gt;&lt;DisplayText&gt;(Hart 1995; Shaukat et al. 2015)&lt;/DisplayText&gt;&lt;record&gt;&lt;rec-number&gt;2004&lt;/rec-number&gt;&lt;foreign-keys&gt;&lt;key app="EN" db-id="trr00pfsbzzex0ezwf6v5swd9fpfpwfa90xp" timestamp="1626662866" guid="904c6e5d-b55f-402b-b674-dd515d7eec92"&gt;2004&lt;/key&gt;&lt;/foreign-keys&gt;&lt;ref-type name="Book"&gt;6&lt;/ref-type&gt;&lt;contributors&gt;&lt;authors&gt;&lt;author&gt;Hart, O. D.&lt;/author&gt;&lt;/authors&gt;&lt;/contributors&gt;&lt;titles&gt;&lt;title&gt;Firms, contracts and financial structure&lt;/title&gt;&lt;/titles&gt;&lt;dates&gt;&lt;year&gt;1995&lt;/year&gt;&lt;/dates&gt;&lt;pub-location&gt;Oxford&lt;/pub-location&gt;&lt;publisher&gt;Clarendon Press&lt;/publisher&gt;&lt;urls&gt;&lt;/urls&gt;&lt;/record&gt;&lt;/Cite&gt;&lt;Cite&gt;&lt;Author&gt;Shaukat&lt;/Author&gt;&lt;Year&gt;2015&lt;/Year&gt;&lt;RecNum&gt;1615&lt;/RecNum&gt;&lt;record&gt;&lt;rec-number&gt;1615&lt;/rec-number&gt;&lt;foreign-keys&gt;&lt;key app="EN" db-id="trr00pfsbzzex0ezwf6v5swd9fpfpwfa90xp" timestamp="1581329663" guid="a8895b83-127f-4354-9bbc-4d70a20b2cd8"&gt;1615&lt;/key&gt;&lt;/foreign-keys&gt;&lt;ref-type name="Journal Article"&gt;17&lt;/ref-type&gt;&lt;contributors&gt;&lt;authors&gt;&lt;author&gt;Shaukat, Amama&lt;/author&gt;&lt;author&gt;Qiu, Yan&lt;/author&gt;&lt;author&gt;Trojanowski, Grzegorz&lt;/author&gt;&lt;/authors&gt;&lt;/contributors&gt;&lt;titles&gt;&lt;title&gt;Board attributes, corporate social responsibility strategy, and corporate environmental and social performance&lt;/title&gt;&lt;secondary-title&gt;Journal of Business Ethics&lt;/secondary-title&gt;&lt;/titles&gt;&lt;periodical&gt;&lt;full-title&gt;Journal of Business Ethics&lt;/full-title&gt;&lt;/periodical&gt;&lt;pages&gt;569-585&lt;/pages&gt;&lt;volume&gt;135&lt;/volume&gt;&lt;number&gt;3&lt;/number&gt;&lt;section&gt;569&lt;/section&gt;&lt;dates&gt;&lt;year&gt;2015&lt;/year&gt;&lt;/dates&gt;&lt;isbn&gt;0167-4544&amp;#xD;1573-0697&lt;/isbn&gt;&lt;urls&gt;&lt;/urls&gt;&lt;electronic-resource-num&gt;10.1007/s10551-014-2460-9&lt;/electronic-resource-num&gt;&lt;/record&gt;&lt;/Cite&gt;&lt;/EndNote&gt;</w:instrText>
      </w:r>
      <w:r w:rsidRPr="004E7E5A">
        <w:rPr>
          <w:rFonts w:cs="Times New Roman"/>
        </w:rPr>
        <w:fldChar w:fldCharType="separate"/>
      </w:r>
      <w:r w:rsidR="006F6C86" w:rsidRPr="004E7E5A">
        <w:rPr>
          <w:rFonts w:cs="Times New Roman"/>
          <w:noProof/>
        </w:rPr>
        <w:t>(Hart 1995; Shaukat et al. 2015)</w:t>
      </w:r>
      <w:r w:rsidRPr="004E7E5A">
        <w:rPr>
          <w:rFonts w:cs="Times New Roman"/>
        </w:rPr>
        <w:fldChar w:fldCharType="end"/>
      </w:r>
      <w:r w:rsidRPr="004E7E5A">
        <w:rPr>
          <w:rFonts w:cs="Times New Roman"/>
        </w:rPr>
        <w:t xml:space="preserve">. Directors’ networks provide access to such resources as shared contacts, best management practices, and improved terms of contracts </w:t>
      </w:r>
      <w:r w:rsidRPr="004E7E5A">
        <w:rPr>
          <w:rFonts w:cs="Times New Roman"/>
        </w:rPr>
        <w:fldChar w:fldCharType="begin"/>
      </w:r>
      <w:r w:rsidRPr="004E7E5A">
        <w:rPr>
          <w:rFonts w:cs="Times New Roman"/>
        </w:rPr>
        <w:instrText xml:space="preserve"> ADDIN EN.CITE &lt;EndNote&gt;&lt;Cite&gt;&lt;Author&gt;Larcker&lt;/Author&gt;&lt;Year&gt;2013&lt;/Year&gt;&lt;RecNum&gt;801&lt;/RecNum&gt;&lt;DisplayText&gt;(Larcker et al. 2013)&lt;/DisplayText&gt;&lt;record&gt;&lt;rec-number&gt;801&lt;/rec-number&gt;&lt;foreign-keys&gt;&lt;key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EndNote&gt;</w:instrText>
      </w:r>
      <w:r w:rsidRPr="004E7E5A">
        <w:rPr>
          <w:rFonts w:cs="Times New Roman"/>
        </w:rPr>
        <w:fldChar w:fldCharType="separate"/>
      </w:r>
      <w:r w:rsidRPr="004E7E5A">
        <w:rPr>
          <w:rFonts w:cs="Times New Roman"/>
          <w:noProof/>
        </w:rPr>
        <w:t>(Larcker et al. 2013)</w:t>
      </w:r>
      <w:r w:rsidRPr="004E7E5A">
        <w:rPr>
          <w:rFonts w:cs="Times New Roman"/>
        </w:rPr>
        <w:fldChar w:fldCharType="end"/>
      </w:r>
      <w:r w:rsidRPr="004E7E5A">
        <w:rPr>
          <w:rFonts w:cs="Times New Roman"/>
        </w:rPr>
        <w:t xml:space="preserve">. The boardroom is one formal channel through which directors build relationships and exchange ideas, and these ideas move from one firm to another when directors hold multiple directorships </w:t>
      </w:r>
      <w:r w:rsidRPr="004E7E5A">
        <w:rPr>
          <w:rFonts w:cs="Times New Roman"/>
        </w:rPr>
        <w:fldChar w:fldCharType="begin"/>
      </w:r>
      <w:r w:rsidR="00317C6A" w:rsidRPr="004E7E5A">
        <w:rPr>
          <w:rFonts w:cs="Times New Roman"/>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cs="Times New Roman"/>
        </w:rPr>
        <w:fldChar w:fldCharType="separate"/>
      </w:r>
      <w:r w:rsidRPr="004E7E5A">
        <w:rPr>
          <w:rFonts w:cs="Times New Roman"/>
          <w:noProof/>
        </w:rPr>
        <w:t>(Omer et al. 2019)</w:t>
      </w:r>
      <w:r w:rsidRPr="004E7E5A">
        <w:rPr>
          <w:rFonts w:cs="Times New Roman"/>
        </w:rPr>
        <w:fldChar w:fldCharType="end"/>
      </w:r>
      <w:r w:rsidRPr="004E7E5A">
        <w:rPr>
          <w:rFonts w:cs="Times New Roman"/>
        </w:rPr>
        <w:t xml:space="preserve">. Moreover, directors who sit on well-connected boards are central to the network’s overall flow of information and therefore have better access to trends, best practices, and current challenges, as well as new information </w:t>
      </w:r>
      <w:r w:rsidRPr="004E7E5A">
        <w:rPr>
          <w:rFonts w:cs="Times New Roman"/>
        </w:rPr>
        <w:fldChar w:fldCharType="begin"/>
      </w:r>
      <w:r w:rsidR="00317C6A" w:rsidRPr="004E7E5A">
        <w:rPr>
          <w:rFonts w:cs="Times New Roman"/>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cs="Times New Roman"/>
        </w:rPr>
        <w:fldChar w:fldCharType="separate"/>
      </w:r>
      <w:r w:rsidRPr="004E7E5A">
        <w:rPr>
          <w:rFonts w:cs="Times New Roman"/>
          <w:noProof/>
        </w:rPr>
        <w:t>(Omer et al. 2019)</w:t>
      </w:r>
      <w:r w:rsidRPr="004E7E5A">
        <w:rPr>
          <w:rFonts w:cs="Times New Roman"/>
        </w:rPr>
        <w:fldChar w:fldCharType="end"/>
      </w:r>
      <w:r w:rsidRPr="004E7E5A">
        <w:rPr>
          <w:rFonts w:cs="Times New Roman"/>
        </w:rPr>
        <w:t xml:space="preserve">. Well-connected </w:t>
      </w:r>
      <w:r w:rsidRPr="004E7E5A">
        <w:rPr>
          <w:rFonts w:cs="Times New Roman" w:hint="eastAsia"/>
        </w:rPr>
        <w:t>director</w:t>
      </w:r>
      <w:r w:rsidRPr="004E7E5A">
        <w:rPr>
          <w:rFonts w:cs="Times New Roman"/>
        </w:rPr>
        <w:t xml:space="preserve">s may take a comparative advantage in making strategic decisions </w:t>
      </w:r>
      <w:r w:rsidRPr="004E7E5A">
        <w:rPr>
          <w:rFonts w:cs="Times New Roman"/>
        </w:rPr>
        <w:fldChar w:fldCharType="begin"/>
      </w:r>
      <w:r w:rsidR="001A1175" w:rsidRPr="004E7E5A">
        <w:rPr>
          <w:rFonts w:cs="Times New Roman"/>
        </w:rPr>
        <w:instrText xml:space="preserve"> ADDIN EN.CITE &lt;EndNote&gt;&lt;Cite&gt;&lt;Author&gt;Larcker&lt;/Author&gt;&lt;Year&gt;2013&lt;/Year&gt;&lt;RecNum&gt;801&lt;/RecNum&gt;&lt;DisplayText&gt;(Larcker et al. 2013; Mol 2001)&lt;/DisplayText&gt;&lt;record&gt;&lt;rec-number&gt;801&lt;/rec-number&gt;&lt;foreign-keys&gt;&lt;key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Cite&gt;&lt;Author&gt;Mol&lt;/Author&gt;&lt;Year&gt;2001&lt;/Year&gt;&lt;RecNum&gt;1896&lt;/RecNum&gt;&lt;record&gt;&lt;rec-number&gt;1896&lt;/rec-number&gt;&lt;foreign-keys&gt;&lt;key app="EN" db-id="trr00pfsbzzex0ezwf6v5swd9fpfpwfa90xp" timestamp="1599619112" guid="7d5a11fe-be54-4266-96f3-46d599452d63"&gt;1896&lt;/key&gt;&lt;/foreign-keys&gt;&lt;ref-type name="Journal Article"&gt;17&lt;/ref-type&gt;&lt;contributors&gt;&lt;authors&gt;&lt;author&gt;Mol, Michael J.&lt;/author&gt;&lt;/authors&gt;&lt;/contributors&gt;&lt;titles&gt;&lt;title&gt;Creating wealth in organizations || Creating wealth through working with others: Interorganizational relationships&lt;/title&gt;&lt;secondary-title&gt;The Academy of Management Executive (1993-2005)&lt;/secondary-title&gt;&lt;/titles&gt;&lt;periodical&gt;&lt;full-title&gt;The Academy of Management Executive (1993-2005)&lt;/full-title&gt;&lt;/periodical&gt;&lt;pages&gt;150-152&lt;/pages&gt;&lt;volume&gt;15&lt;/volume&gt;&lt;number&gt;1&lt;/number&gt;&lt;dates&gt;&lt;year&gt;2001&lt;/year&gt;&lt;/dates&gt;&lt;urls&gt;&lt;/urls&gt;&lt;/record&gt;&lt;/Cite&gt;&lt;/EndNote&gt;</w:instrText>
      </w:r>
      <w:r w:rsidRPr="004E7E5A">
        <w:rPr>
          <w:rFonts w:cs="Times New Roman"/>
        </w:rPr>
        <w:fldChar w:fldCharType="separate"/>
      </w:r>
      <w:r w:rsidRPr="004E7E5A">
        <w:rPr>
          <w:rFonts w:cs="Times New Roman"/>
          <w:noProof/>
        </w:rPr>
        <w:t>(Larcker et al. 2013; Mol 2001)</w:t>
      </w:r>
      <w:r w:rsidRPr="004E7E5A">
        <w:rPr>
          <w:rFonts w:cs="Times New Roman"/>
        </w:rPr>
        <w:fldChar w:fldCharType="end"/>
      </w:r>
      <w:r w:rsidRPr="004E7E5A">
        <w:rPr>
          <w:rFonts w:cs="Times New Roman"/>
        </w:rPr>
        <w:t xml:space="preserve"> and thus positively influence firms’ CSR disclosure quality.</w:t>
      </w:r>
    </w:p>
    <w:p w14:paraId="30B4AB42" w14:textId="77777777" w:rsidR="00746786" w:rsidRPr="004E7E5A" w:rsidRDefault="00746786" w:rsidP="00746786">
      <w:pPr>
        <w:pStyle w:val="a7"/>
        <w:ind w:firstLine="480"/>
        <w:rPr>
          <w:rFonts w:cs="Times New Roman"/>
        </w:rPr>
      </w:pPr>
      <w:r w:rsidRPr="004E7E5A">
        <w:rPr>
          <w:rFonts w:cs="Times New Roman"/>
        </w:rPr>
        <w:t>Therefore, we propose hypothesis 1 as follows:</w:t>
      </w:r>
    </w:p>
    <w:p w14:paraId="1E1ABE19" w14:textId="77777777" w:rsidR="00746786" w:rsidRPr="004E7E5A" w:rsidRDefault="00746786" w:rsidP="00746786">
      <w:pPr>
        <w:pStyle w:val="a7"/>
        <w:spacing w:line="480" w:lineRule="auto"/>
        <w:ind w:firstLine="482"/>
        <w:rPr>
          <w:rFonts w:cs="Times New Roman"/>
        </w:rPr>
      </w:pPr>
      <w:r w:rsidRPr="004E7E5A">
        <w:rPr>
          <w:rFonts w:cs="Times New Roman"/>
          <w:b/>
          <w:bCs/>
        </w:rPr>
        <w:t>H1:</w:t>
      </w:r>
      <w:r w:rsidRPr="004E7E5A">
        <w:rPr>
          <w:rFonts w:cs="Times New Roman"/>
        </w:rPr>
        <w:t xml:space="preserve"> </w:t>
      </w:r>
      <w:r w:rsidRPr="004E7E5A">
        <w:rPr>
          <w:rFonts w:cs="Times New Roman"/>
          <w:i/>
          <w:iCs/>
        </w:rPr>
        <w:t>Directors’ network centrality has a positive impact on CSR disclosure quality.</w:t>
      </w:r>
    </w:p>
    <w:p w14:paraId="02FB9020"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t>The Moderating Role of Marketing Strategy</w:t>
      </w:r>
    </w:p>
    <w:p w14:paraId="702BD356" w14:textId="11B372BB" w:rsidR="009B1827" w:rsidRPr="004E7E5A" w:rsidRDefault="00240A2D" w:rsidP="009B1827">
      <w:pPr>
        <w:pStyle w:val="a7"/>
        <w:spacing w:line="480" w:lineRule="auto"/>
        <w:ind w:firstLine="480"/>
        <w:rPr>
          <w:rFonts w:cs="Times New Roman"/>
        </w:rPr>
      </w:pPr>
      <w:proofErr w:type="spellStart"/>
      <w:r w:rsidRPr="004E7E5A">
        <w:rPr>
          <w:rFonts w:cs="Times New Roman"/>
        </w:rPr>
        <w:t>Wernerfelt</w:t>
      </w:r>
      <w:proofErr w:type="spellEnd"/>
      <w:r w:rsidRPr="004E7E5A">
        <w:rPr>
          <w:rFonts w:cs="Times New Roman"/>
        </w:rPr>
        <w:t xml:space="preserve"> (1984) advanced the </w:t>
      </w:r>
      <w:r w:rsidR="00650417" w:rsidRPr="004E7E5A">
        <w:rPr>
          <w:rFonts w:cs="Times New Roman"/>
        </w:rPr>
        <w:t>resource-based view</w:t>
      </w:r>
      <w:r w:rsidRPr="004E7E5A">
        <w:rPr>
          <w:rFonts w:cs="Times New Roman"/>
        </w:rPr>
        <w:t xml:space="preserve"> by arguing that the internal development of resources, the nature of resources, and different methods of employing resources are related to firm behavior.</w:t>
      </w:r>
      <w:r w:rsidR="00650417" w:rsidRPr="004E7E5A">
        <w:rPr>
          <w:rFonts w:cs="Times New Roman"/>
        </w:rPr>
        <w:t xml:space="preserve"> Network resources include the resources embedded in </w:t>
      </w:r>
      <w:r w:rsidR="00650417" w:rsidRPr="004E7E5A">
        <w:rPr>
          <w:rFonts w:cs="Times New Roman"/>
        </w:rPr>
        <w:lastRenderedPageBreak/>
        <w:t xml:space="preserve">the network that provide strategic opportunities and affect firm behavior and value </w:t>
      </w:r>
      <w:r w:rsidR="00A62214" w:rsidRPr="004E7E5A">
        <w:rPr>
          <w:rFonts w:cs="Times New Roman"/>
        </w:rPr>
        <w:fldChar w:fldCharType="begin"/>
      </w:r>
      <w:r w:rsidR="001A1175" w:rsidRPr="004E7E5A">
        <w:rPr>
          <w:rFonts w:cs="Times New Roman"/>
        </w:rPr>
        <w:instrText xml:space="preserve"> ADDIN EN.CITE &lt;EndNote&gt;&lt;Cite&gt;&lt;Author&gt;Lavie&lt;/Author&gt;&lt;Year&gt;2006&lt;/Year&gt;&lt;RecNum&gt;2084&lt;/RecNum&gt;&lt;DisplayText&gt;(Lavie 2006)&lt;/DisplayText&gt;&lt;record&gt;&lt;rec-number&gt;2084&lt;/rec-number&gt;&lt;foreign-keys&gt;&lt;key app="EN" db-id="trr00pfsbzzex0ezwf6v5swd9fpfpwfa90xp" timestamp="1629276922" guid="25c645a4-5ca7-444a-92ee-3834d19eff66"&gt;2084&lt;/key&gt;&lt;/foreign-keys&gt;&lt;ref-type name="Journal Article"&gt;17&lt;/ref-type&gt;&lt;contributors&gt;&lt;authors&gt;&lt;author&gt;Lavie, Dovev&lt;/author&gt;&lt;/authors&gt;&lt;/contributors&gt;&lt;titles&gt;&lt;title&gt;The competitive advantage of interconnected firms: An extension of the resource-based view&lt;/title&gt;&lt;secondary-title&gt;Academy of Management Review&lt;/secondary-title&gt;&lt;/titles&gt;&lt;periodical&gt;&lt;full-title&gt;Academy of management review&lt;/full-title&gt;&lt;/periodical&gt;&lt;pages&gt;638-658&lt;/pages&gt;&lt;volume&gt;31&lt;/volume&gt;&lt;number&gt;3&lt;/number&gt;&lt;dates&gt;&lt;year&gt;2006&lt;/year&gt;&lt;/dates&gt;&lt;urls&gt;&lt;/urls&gt;&lt;/record&gt;&lt;/Cite&gt;&lt;/EndNote&gt;</w:instrText>
      </w:r>
      <w:r w:rsidR="00A62214" w:rsidRPr="004E7E5A">
        <w:rPr>
          <w:rFonts w:cs="Times New Roman"/>
        </w:rPr>
        <w:fldChar w:fldCharType="separate"/>
      </w:r>
      <w:r w:rsidR="00A62214" w:rsidRPr="004E7E5A">
        <w:rPr>
          <w:rFonts w:cs="Times New Roman"/>
          <w:noProof/>
        </w:rPr>
        <w:t>(Lavie 2006)</w:t>
      </w:r>
      <w:r w:rsidR="00A62214" w:rsidRPr="004E7E5A">
        <w:rPr>
          <w:rFonts w:cs="Times New Roman"/>
        </w:rPr>
        <w:fldChar w:fldCharType="end"/>
      </w:r>
      <w:r w:rsidR="00650417" w:rsidRPr="004E7E5A">
        <w:rPr>
          <w:rFonts w:cs="Times New Roman"/>
        </w:rPr>
        <w:t>.</w:t>
      </w:r>
      <w:r w:rsidR="004006A3" w:rsidRPr="004E7E5A">
        <w:rPr>
          <w:rFonts w:cs="Times New Roman"/>
        </w:rPr>
        <w:t xml:space="preserve"> </w:t>
      </w:r>
      <w:r w:rsidR="00EB7426" w:rsidRPr="004E7E5A">
        <w:rPr>
          <w:rFonts w:cs="Times New Roman"/>
        </w:rPr>
        <w:t xml:space="preserve">To what extent do </w:t>
      </w:r>
      <w:r w:rsidR="001B27C2" w:rsidRPr="004E7E5A">
        <w:rPr>
          <w:rFonts w:cs="Times New Roman"/>
        </w:rPr>
        <w:t>director</w:t>
      </w:r>
      <w:r w:rsidR="00EB7426" w:rsidRPr="004E7E5A">
        <w:rPr>
          <w:rFonts w:cs="Times New Roman"/>
        </w:rPr>
        <w:t>s value their status or acceptance in their network</w:t>
      </w:r>
      <w:r w:rsidR="00EB7426" w:rsidRPr="004E7E5A">
        <w:rPr>
          <w:rFonts w:cs="Times New Roman" w:hint="eastAsia"/>
        </w:rPr>
        <w:t xml:space="preserve"> may</w:t>
      </w:r>
      <w:r w:rsidR="00EB7426" w:rsidRPr="004E7E5A">
        <w:rPr>
          <w:rFonts w:cs="Times New Roman"/>
        </w:rPr>
        <w:t xml:space="preserve"> influence the use of network resources, and therefore, </w:t>
      </w:r>
      <w:r w:rsidR="00DE6E1C" w:rsidRPr="004E7E5A">
        <w:rPr>
          <w:rFonts w:cs="Times New Roman"/>
        </w:rPr>
        <w:t>the</w:t>
      </w:r>
      <w:r w:rsidR="00EB7426" w:rsidRPr="004E7E5A">
        <w:rPr>
          <w:rFonts w:cs="Times New Roman"/>
        </w:rPr>
        <w:t xml:space="preserve"> firm’s CSR disclosure </w:t>
      </w:r>
      <w:r w:rsidR="00EB7426" w:rsidRPr="004E7E5A">
        <w:rPr>
          <w:rFonts w:cs="Times New Roman" w:hint="eastAsia"/>
        </w:rPr>
        <w:t>quality</w:t>
      </w:r>
      <w:r w:rsidR="00EB7426" w:rsidRPr="004E7E5A">
        <w:rPr>
          <w:rFonts w:cs="Times New Roman"/>
        </w:rPr>
        <w:t xml:space="preserve">. </w:t>
      </w:r>
      <w:r w:rsidR="009B1827" w:rsidRPr="004E7E5A">
        <w:rPr>
          <w:rFonts w:cs="Times New Roman" w:hint="eastAsia"/>
        </w:rPr>
        <w:t>T</w:t>
      </w:r>
      <w:r w:rsidR="009B1827" w:rsidRPr="004E7E5A">
        <w:rPr>
          <w:rFonts w:cs="Times New Roman"/>
        </w:rPr>
        <w:t xml:space="preserve">here is a well-developed stream of literature providing evidence that individuals value their status or acceptance in their networks </w:t>
      </w:r>
      <w:r w:rsidR="009B1827" w:rsidRPr="004E7E5A">
        <w:rPr>
          <w:rFonts w:cs="Times New Roman"/>
        </w:rPr>
        <w:fldChar w:fldCharType="begin">
          <w:fldData xml:space="preserve">PEVuZE5vdGU+PENpdGU+PEF1dGhvcj5Vc2VlbTwvQXV0aG9yPjxZZWFyPjE5ODQ8L1llYXI+PFJl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PEVuZE5vdGU+PENpdGU+PEF1dGhvcj5Vc2VlbTwvQXV0aG9yPjxZZWFyPjE5ODQ8L1llYXI+PFJl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009B1827" w:rsidRPr="004E7E5A">
        <w:rPr>
          <w:rFonts w:cs="Times New Roman"/>
        </w:rPr>
      </w:r>
      <w:r w:rsidR="009B1827" w:rsidRPr="004E7E5A">
        <w:rPr>
          <w:rFonts w:cs="Times New Roman"/>
        </w:rPr>
        <w:fldChar w:fldCharType="separate"/>
      </w:r>
      <w:r w:rsidR="009B1827" w:rsidRPr="004E7E5A">
        <w:rPr>
          <w:rFonts w:cs="Times New Roman"/>
          <w:noProof/>
        </w:rPr>
        <w:t>(Useem 1984; Galaskiewicz 1985; Mizruchi 1996; Lu et al. 2016)</w:t>
      </w:r>
      <w:r w:rsidR="009B1827" w:rsidRPr="004E7E5A">
        <w:rPr>
          <w:rFonts w:cs="Times New Roman"/>
        </w:rPr>
        <w:fldChar w:fldCharType="end"/>
      </w:r>
      <w:r w:rsidR="009B1827" w:rsidRPr="004E7E5A">
        <w:rPr>
          <w:rFonts w:cs="Times New Roman"/>
        </w:rPr>
        <w:t xml:space="preserve">, which may yield extra-network benefits such as promotion </w:t>
      </w:r>
      <w:r w:rsidR="009B1827" w:rsidRPr="004E7E5A">
        <w:rPr>
          <w:rFonts w:cs="Times New Roman"/>
        </w:rPr>
        <w:fldChar w:fldCharType="begin"/>
      </w:r>
      <w:r w:rsidR="001A1175" w:rsidRPr="004E7E5A">
        <w:rPr>
          <w:rFonts w:cs="Times New Roman"/>
        </w:rPr>
        <w:instrText xml:space="preserve"> ADDIN EN.CITE &lt;EndNote&gt;&lt;Cite&gt;&lt;Author&gt;Haley&lt;/Author&gt;&lt;Year&gt;1991&lt;/Year&gt;&lt;RecNum&gt;2017&lt;/RecNum&gt;&lt;DisplayText&gt;(Haley 1991; Lu et al. 2016)&lt;/DisplayText&gt;&lt;record&gt;&lt;rec-number&gt;2017&lt;/rec-number&gt;&lt;foreign-keys&gt;&lt;key app="EN" db-id="trr00pfsbzzex0ezwf6v5swd9fpfpwfa90xp" timestamp="1626943550" guid="9d16b96a-f77f-4066-9818-5cdd460f2604"&gt;2017&lt;/key&gt;&lt;/foreign-keys&gt;&lt;ref-type name="Journal Article"&gt;17&lt;/ref-type&gt;&lt;contributors&gt;&lt;authors&gt;&lt;author&gt;Haley, Ucv&lt;/author&gt;&lt;/authors&gt;&lt;/contributors&gt;&lt;titles&gt;&lt;title&gt;Corporate contributions as managerial masques: Reframing corporate contributions as strategies to influence society&lt;/title&gt;&lt;secondary-title&gt;Journal of Management Studies&lt;/secondary-title&gt;&lt;/titles&gt;&lt;periodical&gt;&lt;full-title&gt;Journal of Management Studies&lt;/full-title&gt;&lt;/periodical&gt;&lt;pages&gt;485-510&lt;/pages&gt;&lt;volume&gt;28&lt;/volume&gt;&lt;number&gt;5&lt;/number&gt;&lt;dates&gt;&lt;year&gt;1991&lt;/year&gt;&lt;/dates&gt;&lt;urls&gt;&lt;/urls&gt;&lt;electronic-resource-num&gt;https://doi.org/10.1111/j.1467-6486.1991.tb00765.x&lt;/electronic-resource-num&gt;&lt;/record&gt;&lt;/Cite&gt;&lt;Cite&gt;&lt;Author&gt;Lu&lt;/Author&gt;&lt;Year&gt;2016&lt;/Year&gt;&lt;RecNum&gt;1865&lt;/RecNum&gt;&lt;record&gt;&lt;rec-number&gt;1865&lt;/rec-number&gt;&lt;foreign-keys&gt;&lt;key app="EN" db-id="trr00pfsbzzex0ezwf6v5swd9fpfpwfa90xp" timestamp="1598955672" guid="217b63a0-d788-4d86-b99a-5c552ac05753"&gt;1865&lt;/key&gt;&lt;/foreign-keys&gt;&lt;ref-type name="Journal Article"&gt;17&lt;/ref-type&gt;&lt;contributors&gt;&lt;authors&gt;&lt;author&gt;Lu, Yi&lt;/author&gt;&lt;author&gt;Shailer, Greg&lt;/author&gt;&lt;author&gt;Wilson, Mark&lt;/author&gt;&lt;/authors&gt;&lt;/contributors&gt;&lt;titles&gt;&lt;title&gt;Corporate political donations: Influences from directors&amp;apos; networks&lt;/title&gt;&lt;secondary-title&gt;Journal of Business Ethics&lt;/secondary-title&gt;&lt;/titles&gt;&lt;periodical&gt;&lt;full-title&gt;Journal of Business Ethics&lt;/full-title&gt;&lt;/periodical&gt;&lt;pages&gt;461-481&lt;/pages&gt;&lt;volume&gt;135&lt;/volume&gt;&lt;number&gt;3&lt;/number&gt;&lt;dates&gt;&lt;year&gt;2016&lt;/year&gt;&lt;/dates&gt;&lt;urls&gt;&lt;/urls&gt;&lt;/record&gt;&lt;/Cite&gt;&lt;/EndNote&gt;</w:instrText>
      </w:r>
      <w:r w:rsidR="009B1827" w:rsidRPr="004E7E5A">
        <w:rPr>
          <w:rFonts w:cs="Times New Roman"/>
        </w:rPr>
        <w:fldChar w:fldCharType="separate"/>
      </w:r>
      <w:r w:rsidR="009B1827" w:rsidRPr="004E7E5A">
        <w:rPr>
          <w:rFonts w:cs="Times New Roman"/>
          <w:noProof/>
        </w:rPr>
        <w:t>(Haley 1991; Lu et al. 2016)</w:t>
      </w:r>
      <w:r w:rsidR="009B1827" w:rsidRPr="004E7E5A">
        <w:rPr>
          <w:rFonts w:cs="Times New Roman"/>
        </w:rPr>
        <w:fldChar w:fldCharType="end"/>
      </w:r>
      <w:r w:rsidR="009B1827" w:rsidRPr="004E7E5A">
        <w:rPr>
          <w:rFonts w:cs="Times New Roman"/>
        </w:rPr>
        <w:t xml:space="preserve">. To acquire, retain or enhance their status or acceptance, individuals demonstrate conformity to the norms of their social group </w:t>
      </w:r>
      <w:r w:rsidR="009B1827" w:rsidRPr="004E7E5A">
        <w:rPr>
          <w:rFonts w:cs="Times New Roman"/>
        </w:rPr>
        <w:fldChar w:fldCharType="begin">
          <w:fldData xml:space="preserve">PEVuZE5vdGU+PENpdGU+PEF1dGhvcj5PbHNvbjwvQXV0aG9yPjxZZWFyPjE5NjU8L1llYXI+PFJl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PEVuZE5vdGU+PENpdGU+PEF1dGhvcj5PbHNvbjwvQXV0aG9yPjxZZWFyPjE5NjU8L1llYXI+PFJl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009B1827" w:rsidRPr="004E7E5A">
        <w:rPr>
          <w:rFonts w:cs="Times New Roman"/>
        </w:rPr>
      </w:r>
      <w:r w:rsidR="009B1827" w:rsidRPr="004E7E5A">
        <w:rPr>
          <w:rFonts w:cs="Times New Roman"/>
        </w:rPr>
        <w:fldChar w:fldCharType="separate"/>
      </w:r>
      <w:r w:rsidR="009B1827" w:rsidRPr="004E7E5A">
        <w:rPr>
          <w:rFonts w:cs="Times New Roman"/>
          <w:noProof/>
        </w:rPr>
        <w:t>(Olson 1965; Galaskiewicz 1985; Lu et al. 2016)</w:t>
      </w:r>
      <w:r w:rsidR="009B1827" w:rsidRPr="004E7E5A">
        <w:rPr>
          <w:rFonts w:cs="Times New Roman"/>
        </w:rPr>
        <w:fldChar w:fldCharType="end"/>
      </w:r>
      <w:r w:rsidR="009B1827" w:rsidRPr="004E7E5A">
        <w:rPr>
          <w:rFonts w:cs="Times New Roman"/>
        </w:rPr>
        <w:t xml:space="preserve">. Socially responsible behavior enables corporate leaders to enhance their status and future career perspective </w:t>
      </w:r>
      <w:r w:rsidR="009B1827" w:rsidRPr="004E7E5A">
        <w:rPr>
          <w:rFonts w:cs="Times New Roman"/>
        </w:rPr>
        <w:fldChar w:fldCharType="begin"/>
      </w:r>
      <w:r w:rsidR="001A1175" w:rsidRPr="004E7E5A">
        <w:rPr>
          <w:rFonts w:cs="Times New Roman"/>
        </w:rPr>
        <w:instrText xml:space="preserve"> ADDIN EN.CITE &lt;EndNote&gt;&lt;Cite&gt;&lt;Author&gt;Galaskiewicz&lt;/Author&gt;&lt;Year&gt;1985&lt;/Year&gt;&lt;RecNum&gt;2016&lt;/RecNum&gt;&lt;DisplayText&gt;(Galaskiewicz 1985; Lu et al. 2016)&lt;/DisplayText&gt;&lt;record&gt;&lt;rec-number&gt;2016&lt;/rec-number&gt;&lt;foreign-keys&gt;&lt;key app="EN" db-id="trr00pfsbzzex0ezwf6v5swd9fpfpwfa90xp" timestamp="1626943357" guid="be76aeb1-5864-4a09-b6c3-b770f164c471"&gt;2016&lt;/key&gt;&lt;/foreign-keys&gt;&lt;ref-type name="Journal Article"&gt;17&lt;/ref-type&gt;&lt;contributors&gt;&lt;authors&gt;&lt;author&gt;Galaskiewicz, Joseph&lt;/author&gt;&lt;/authors&gt;&lt;/contributors&gt;&lt;titles&gt;&lt;title&gt;Social organization in an urban grants economy: A study of business philanthropy and nonprofit organizations&lt;/title&gt;&lt;secondary-title&gt;New York: Academic Press&lt;/secondary-title&gt;&lt;/titles&gt;&lt;periodical&gt;&lt;full-title&gt;New York: Academic Press&lt;/full-title&gt;&lt;/periodical&gt;&lt;dates&gt;&lt;year&gt;1985&lt;/year&gt;&lt;/dates&gt;&lt;urls&gt;&lt;/urls&gt;&lt;/record&gt;&lt;/Cite&gt;&lt;Cite&gt;&lt;Author&gt;Lu&lt;/Author&gt;&lt;Year&gt;2016&lt;/Year&gt;&lt;RecNum&gt;1865&lt;/RecNum&gt;&lt;record&gt;&lt;rec-number&gt;1865&lt;/rec-number&gt;&lt;foreign-keys&gt;&lt;key app="EN" db-id="trr00pfsbzzex0ezwf6v5swd9fpfpwfa90xp" timestamp="1598955672" guid="217b63a0-d788-4d86-b99a-5c552ac05753"&gt;1865&lt;/key&gt;&lt;/foreign-keys&gt;&lt;ref-type name="Journal Article"&gt;17&lt;/ref-type&gt;&lt;contributors&gt;&lt;authors&gt;&lt;author&gt;Lu, Yi&lt;/author&gt;&lt;author&gt;Shailer, Greg&lt;/author&gt;&lt;author&gt;Wilson, Mark&lt;/author&gt;&lt;/authors&gt;&lt;/contributors&gt;&lt;titles&gt;&lt;title&gt;Corporate political donations: Influences from directors&amp;apos; networks&lt;/title&gt;&lt;secondary-title&gt;Journal of Business Ethics&lt;/secondary-title&gt;&lt;/titles&gt;&lt;periodical&gt;&lt;full-title&gt;Journal of Business Ethics&lt;/full-title&gt;&lt;/periodical&gt;&lt;pages&gt;461-481&lt;/pages&gt;&lt;volume&gt;135&lt;/volume&gt;&lt;number&gt;3&lt;/number&gt;&lt;dates&gt;&lt;year&gt;2016&lt;/year&gt;&lt;/dates&gt;&lt;urls&gt;&lt;/urls&gt;&lt;/record&gt;&lt;/Cite&gt;&lt;/EndNote&gt;</w:instrText>
      </w:r>
      <w:r w:rsidR="009B1827" w:rsidRPr="004E7E5A">
        <w:rPr>
          <w:rFonts w:cs="Times New Roman"/>
        </w:rPr>
        <w:fldChar w:fldCharType="separate"/>
      </w:r>
      <w:r w:rsidR="009B1827" w:rsidRPr="004E7E5A">
        <w:rPr>
          <w:rFonts w:cs="Times New Roman"/>
          <w:noProof/>
        </w:rPr>
        <w:t>(Galaskiewicz 1985; Lu et al. 2016)</w:t>
      </w:r>
      <w:r w:rsidR="009B1827" w:rsidRPr="004E7E5A">
        <w:rPr>
          <w:rFonts w:cs="Times New Roman"/>
        </w:rPr>
        <w:fldChar w:fldCharType="end"/>
      </w:r>
      <w:r w:rsidR="009B1827" w:rsidRPr="004E7E5A">
        <w:rPr>
          <w:rFonts w:cs="Times New Roman"/>
        </w:rPr>
        <w:t xml:space="preserve">. Compared with individuals at the edge of directors’ network, directors at the center of the network are more eager to gain social recognition from peers </w:t>
      </w:r>
      <w:r w:rsidR="009B1827" w:rsidRPr="004E7E5A">
        <w:rPr>
          <w:rFonts w:cs="Times New Roman"/>
        </w:rPr>
        <w:fldChar w:fldCharType="begin"/>
      </w:r>
      <w:r w:rsidR="00A62214" w:rsidRPr="004E7E5A">
        <w:rPr>
          <w:rFonts w:cs="Times New Roman"/>
        </w:rPr>
        <w:instrText xml:space="preserve"> ADDIN EN.CITE &lt;EndNote&gt;&lt;Cite&gt;&lt;Author&gt;Lin&lt;/Author&gt;&lt;Year&gt;2002&lt;/Year&gt;&lt;RecNum&gt;1694&lt;/RecNum&gt;&lt;DisplayText&gt;(Lin 2002)&lt;/DisplayText&gt;&lt;record&gt;&lt;rec-number&gt;1694&lt;/rec-number&gt;&lt;foreign-keys&gt;&lt;key app="EN" db-id="trr00pfsbzzex0ezwf6v5swd9fpfpwfa90xp" timestamp="1582018655" guid="76fae9b2-edc3-456f-a142-84bcebbd1aea"&gt;1694&lt;/key&gt;&lt;/foreign-keys&gt;&lt;ref-type name="Journal Article"&gt;17&lt;/ref-type&gt;&lt;contributors&gt;&lt;authors&gt;&lt;author&gt;Lin, Nan&lt;/author&gt;&lt;/authors&gt;&lt;/contributors&gt;&lt;titles&gt;&lt;title&gt;Social capital: A theory of social structure and action&lt;/title&gt;&lt;secondary-title&gt;Cambridge: Cambridge university press&lt;/secondary-title&gt;&lt;/titles&gt;&lt;periodical&gt;&lt;full-title&gt;Cambridge: Cambridge University Press&lt;/full-title&gt;&lt;/periodical&gt;&lt;dates&gt;&lt;year&gt;2002&lt;/year&gt;&lt;/dates&gt;&lt;urls&gt;&lt;/urls&gt;&lt;/record&gt;&lt;/Cite&gt;&lt;/EndNote&gt;</w:instrText>
      </w:r>
      <w:r w:rsidR="009B1827" w:rsidRPr="004E7E5A">
        <w:rPr>
          <w:rFonts w:cs="Times New Roman"/>
        </w:rPr>
        <w:fldChar w:fldCharType="separate"/>
      </w:r>
      <w:r w:rsidR="00A62214" w:rsidRPr="004E7E5A">
        <w:rPr>
          <w:rFonts w:cs="Times New Roman"/>
          <w:noProof/>
        </w:rPr>
        <w:t>(Lin 2002)</w:t>
      </w:r>
      <w:r w:rsidR="009B1827" w:rsidRPr="004E7E5A">
        <w:rPr>
          <w:rFonts w:cs="Times New Roman"/>
        </w:rPr>
        <w:fldChar w:fldCharType="end"/>
      </w:r>
      <w:r w:rsidR="009B1827" w:rsidRPr="004E7E5A">
        <w:rPr>
          <w:rFonts w:cs="Times New Roman"/>
        </w:rPr>
        <w:t>.</w:t>
      </w:r>
      <w:r w:rsidR="009B1827" w:rsidRPr="004E7E5A">
        <w:rPr>
          <w:rStyle w:val="af4"/>
          <w:rFonts w:cs="Times New Roman"/>
        </w:rPr>
        <w:footnoteReference w:id="5"/>
      </w:r>
      <w:r w:rsidR="009B1827" w:rsidRPr="004E7E5A">
        <w:rPr>
          <w:rFonts w:cs="Times New Roman"/>
        </w:rPr>
        <w:t xml:space="preserve"> Highly networked directors may have “more to lose” and endure more cost if their inappropriate CSR activities are detected </w:t>
      </w:r>
      <w:r w:rsidR="009B1827" w:rsidRPr="004E7E5A">
        <w:rPr>
          <w:rFonts w:cs="Times New Roman"/>
        </w:rPr>
        <w:fldChar w:fldCharType="begin"/>
      </w:r>
      <w:r w:rsidR="00E12D2F">
        <w:rPr>
          <w:rFonts w:cs="Times New Roman"/>
        </w:rPr>
        <w:instrText xml:space="preserve"> ADDIN EN.CITE &lt;EndNote&gt;&lt;Cite&gt;&lt;Author&gt;Duan&lt;/Author&gt;&lt;Year&gt;2018&lt;/Year&gt;&lt;RecNum&gt;2021&lt;/RecNum&gt;&lt;DisplayText&gt;(Duan et al. 2018)&lt;/DisplayText&gt;&lt;record&gt;&lt;rec-number&gt;2021&lt;/rec-number&gt;&lt;foreign-keys&gt;&lt;key app="EN" db-id="trr00pfsbzzex0ezwf6v5swd9fpfpwfa90xp" timestamp="1627289800" guid="e127145a-c7e4-44af-be15-a9874a9d23bb"&gt;2021&lt;/key&gt;&lt;/foreign-keys&gt;&lt;ref-type name="Journal Article"&gt;17&lt;/ref-type&gt;&lt;contributors&gt;&lt;authors&gt;&lt;author&gt;Tinghua Duan&lt;/author&gt;&lt;author&gt;Rong Ding&lt;/author&gt;&lt;author&gt;Wenxuan Hou&lt;/author&gt;&lt;author&gt;John Ziyang Zhang&lt;/author&gt;&lt;/authors&gt;&lt;/contributors&gt;&lt;titles&gt;&lt;title&gt;The burden of attention: CEO publicity and tax avoidance&lt;/title&gt;&lt;secondary-title&gt;Journal of Business Research&lt;/secondary-title&gt;&lt;/titles&gt;&lt;periodical&gt;&lt;full-title&gt;Journal of Business Research&lt;/full-title&gt;&lt;/periodical&gt;&lt;pages&gt;90-101&lt;/pages&gt;&lt;volume&gt;87&lt;/volume&gt;&lt;number&gt;6&lt;/number&gt;&lt;dates&gt;&lt;year&gt;2018&lt;/year&gt;&lt;/dates&gt;&lt;urls&gt;&lt;/urls&gt;&lt;/record&gt;&lt;/Cite&gt;&lt;/EndNote&gt;</w:instrText>
      </w:r>
      <w:r w:rsidR="009B1827" w:rsidRPr="004E7E5A">
        <w:rPr>
          <w:rFonts w:cs="Times New Roman"/>
        </w:rPr>
        <w:fldChar w:fldCharType="separate"/>
      </w:r>
      <w:r w:rsidR="009B1827" w:rsidRPr="004E7E5A">
        <w:rPr>
          <w:rFonts w:cs="Times New Roman"/>
          <w:noProof/>
        </w:rPr>
        <w:t>(Duan et al. 2018)</w:t>
      </w:r>
      <w:r w:rsidR="009B1827" w:rsidRPr="004E7E5A">
        <w:rPr>
          <w:rFonts w:cs="Times New Roman"/>
        </w:rPr>
        <w:fldChar w:fldCharType="end"/>
      </w:r>
      <w:r w:rsidR="009B1827" w:rsidRPr="004E7E5A">
        <w:rPr>
          <w:rFonts w:cs="Times New Roman"/>
        </w:rPr>
        <w:t xml:space="preserve">. Therefore, the individual director’s compliance with group norms encourages her/him to make organizational decisions that are expected by other members in the network </w:t>
      </w:r>
      <w:r w:rsidR="009B1827" w:rsidRPr="004E7E5A">
        <w:rPr>
          <w:rFonts w:cs="Times New Roman"/>
        </w:rPr>
        <w:fldChar w:fldCharType="begin">
          <w:fldData xml:space="preserve">PEVuZE5vdGU+PENpdGU+PEF1dGhvcj5PbHNvbjwvQXV0aG9yPjxZZWFyPjE5NjU8L1llYXI+PFJl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PEVuZE5vdGU+PENpdGU+PEF1dGhvcj5PbHNvbjwvQXV0aG9yPjxZZWFyPjE5NjU8L1llYXI+PFJl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009B1827" w:rsidRPr="004E7E5A">
        <w:rPr>
          <w:rFonts w:cs="Times New Roman"/>
        </w:rPr>
      </w:r>
      <w:r w:rsidR="009B1827" w:rsidRPr="004E7E5A">
        <w:rPr>
          <w:rFonts w:cs="Times New Roman"/>
        </w:rPr>
        <w:fldChar w:fldCharType="separate"/>
      </w:r>
      <w:r w:rsidR="009B1827" w:rsidRPr="004E7E5A">
        <w:rPr>
          <w:rFonts w:cs="Times New Roman"/>
          <w:noProof/>
        </w:rPr>
        <w:t>(Olson 1965; Useem 1984; Burt 1992; Lu et al. 2016)</w:t>
      </w:r>
      <w:r w:rsidR="009B1827" w:rsidRPr="004E7E5A">
        <w:rPr>
          <w:rFonts w:cs="Times New Roman"/>
        </w:rPr>
        <w:fldChar w:fldCharType="end"/>
      </w:r>
      <w:r w:rsidR="009B1827" w:rsidRPr="004E7E5A">
        <w:rPr>
          <w:rFonts w:cs="Times New Roman"/>
        </w:rPr>
        <w:t>.</w:t>
      </w:r>
    </w:p>
    <w:p w14:paraId="5C577B62" w14:textId="17D5AE77" w:rsidR="009B1827" w:rsidRPr="004E7E5A" w:rsidRDefault="009B1827" w:rsidP="009B1827">
      <w:pPr>
        <w:pStyle w:val="a7"/>
        <w:spacing w:line="480" w:lineRule="auto"/>
        <w:ind w:firstLine="480"/>
        <w:rPr>
          <w:rFonts w:cs="Times New Roman"/>
        </w:rPr>
      </w:pPr>
      <w:r w:rsidRPr="004E7E5A">
        <w:rPr>
          <w:rFonts w:cs="Times New Roman"/>
        </w:rPr>
        <w:t xml:space="preserve">Advertising is considered as an important marketing strategy adopted by firms </w:t>
      </w:r>
      <w:r w:rsidRPr="004E7E5A">
        <w:rPr>
          <w:rFonts w:cs="Times New Roman"/>
        </w:rPr>
        <w:fldChar w:fldCharType="begin"/>
      </w:r>
      <w:r w:rsidR="00317C6A" w:rsidRPr="004E7E5A">
        <w:rPr>
          <w:rFonts w:cs="Times New Roman"/>
        </w:rPr>
        <w:instrText xml:space="preserve"> ADDIN EN.CITE &lt;EndNote&gt;&lt;Cite&gt;&lt;Author&gt;Sandler&lt;/Author&gt;&lt;Year&gt;1992&lt;/Year&gt;&lt;RecNum&gt;2130&lt;/RecNum&gt;&lt;DisplayText&gt;(Sandler and Shani 1992)&lt;/DisplayText&gt;&lt;record&gt;&lt;rec-number&gt;2130&lt;/rec-number&gt;&lt;foreign-keys&gt;&lt;key app="EN" db-id="trr00pfsbzzex0ezwf6v5swd9fpfpwfa90xp" timestamp="1631589784" guid="9b0a6e6e-9cbc-42ff-a9aa-ecf24674a35d"&gt;2130&lt;/key&gt;&lt;/foreign-keys&gt;&lt;ref-type name="Journal Article"&gt;17&lt;/ref-type&gt;&lt;contributors&gt;&lt;authors&gt;&lt;author&gt;Sandler, D. M.&lt;/author&gt;&lt;author&gt;Shani, D.&lt;/author&gt;&lt;/authors&gt;&lt;/contributors&gt;&lt;titles&gt;&lt;title&gt;Brand globally but advertise locally?: An empirical investigation&lt;/title&gt;&lt;secondary-title&gt;International Marketing Review&lt;/secondary-title&gt;&lt;/titles&gt;&lt;periodical&gt;&lt;full-title&gt;International Marketing Review&lt;/full-title&gt;&lt;/periodical&gt;&lt;pages&gt;59-71&lt;/pages&gt;&lt;volume&gt;9&lt;/volume&gt;&lt;number&gt;4&lt;/number&gt;&lt;dates&gt;&lt;year&gt;1992&lt;/year&gt;&lt;/dates&gt;&lt;urls&gt;&lt;/urls&gt;&lt;/record&gt;&lt;/Cite&gt;&lt;/EndNote&gt;</w:instrText>
      </w:r>
      <w:r w:rsidRPr="004E7E5A">
        <w:rPr>
          <w:rFonts w:cs="Times New Roman"/>
        </w:rPr>
        <w:fldChar w:fldCharType="separate"/>
      </w:r>
      <w:r w:rsidRPr="004E7E5A">
        <w:rPr>
          <w:rFonts w:cs="Times New Roman"/>
          <w:noProof/>
        </w:rPr>
        <w:t>(Sandler and Shani 1992)</w:t>
      </w:r>
      <w:r w:rsidRPr="004E7E5A">
        <w:rPr>
          <w:rFonts w:cs="Times New Roman"/>
        </w:rPr>
        <w:fldChar w:fldCharType="end"/>
      </w:r>
      <w:r w:rsidRPr="004E7E5A">
        <w:rPr>
          <w:rFonts w:cs="Times New Roman"/>
        </w:rPr>
        <w:t xml:space="preserve">. Investment in advertising enhances a firm’s visibility and promotes its reputation </w:t>
      </w:r>
      <w:r w:rsidRPr="004E7E5A">
        <w:rPr>
          <w:rFonts w:cs="Times New Roman"/>
        </w:rPr>
        <w:fldChar w:fldCharType="begin">
          <w:fldData xml:space="preserve">PEVuZE5vdGU+PENpdGU+PEF1dGhvcj5Gb21icnVuPC9BdXRob3I+PFllYXI+MTk5MDwvWWVhcj48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</w:fldData>
        </w:fldChar>
      </w:r>
      <w:r w:rsidR="00E12D2F">
        <w:rPr>
          <w:rFonts w:cs="Times New Roman"/>
        </w:rPr>
        <w:instrText xml:space="preserve"> ADDIN EN.CITE </w:instrText>
      </w:r>
      <w:r w:rsidR="00E12D2F">
        <w:rPr>
          <w:rFonts w:cs="Times New Roman"/>
        </w:rPr>
        <w:fldChar w:fldCharType="begin">
          <w:fldData xml:space="preserve">PEVuZE5vdGU+PENpdGU+PEF1dGhvcj5Gb21icnVuPC9BdXRob3I+PFllYXI+MTk5MDwvWWVhcj48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</w:fldData>
        </w:fldChar>
      </w:r>
      <w:r w:rsidR="00E12D2F">
        <w:rPr>
          <w:rFonts w:cs="Times New Roman"/>
        </w:rPr>
        <w:instrText xml:space="preserve"> ADDIN EN.CITE.DATA </w:instrText>
      </w:r>
      <w:r w:rsidR="00E12D2F">
        <w:rPr>
          <w:rFonts w:cs="Times New Roman"/>
        </w:rPr>
      </w:r>
      <w:r w:rsidR="00E12D2F">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(Fombrun and Shanley 1990; Ricardo et al. 2018)</w:t>
      </w:r>
      <w:r w:rsidRPr="004E7E5A">
        <w:rPr>
          <w:rFonts w:cs="Times New Roman"/>
        </w:rPr>
        <w:fldChar w:fldCharType="end"/>
      </w:r>
      <w:r w:rsidRPr="004E7E5A">
        <w:rPr>
          <w:rFonts w:cs="Times New Roman"/>
        </w:rPr>
        <w:t xml:space="preserve">. Firms frequently and positively covered by the media therefore develop better reputations than other firms </w:t>
      </w:r>
      <w:r w:rsidRPr="004E7E5A">
        <w:rPr>
          <w:rFonts w:cs="Times New Roman"/>
        </w:rPr>
        <w:fldChar w:fldCharType="begin"/>
      </w:r>
      <w:r w:rsidR="001A1175" w:rsidRPr="004E7E5A">
        <w:rPr>
          <w:rFonts w:cs="Times New Roman"/>
        </w:rPr>
        <w:instrText xml:space="preserve"> ADDIN EN.CITE &lt;EndNote&gt;&lt;Cite&gt;&lt;Author&gt;Fombrun&lt;/Author&gt;&lt;Year&gt;1990&lt;/Year&gt;&lt;RecNum&gt;1981&lt;/RecNum&gt;&lt;DisplayText&gt;(Fombrun and Shanley 1990)&lt;/DisplayText&gt;&lt;record&gt;&lt;rec-number&gt;1981&lt;/rec-number&gt;&lt;foreign-keys&gt;&lt;key app="EN" db-id="trr00pfsbzzex0ezwf6v5swd9fpfpwfa90xp" timestamp="1625794802" guid="ab2d9d49-adc5-430d-90dd-9ebbc2374e8a"&gt;1981&lt;/key&gt;&lt;/foreign-keys&gt;&lt;ref-type name="Journal Article"&gt;17&lt;/ref-type&gt;&lt;contributors&gt;&lt;authors&gt;&lt;author&gt;Fombrun, C.&lt;/author&gt;&lt;author&gt;Shanley, M.&lt;/author&gt;&lt;/authors&gt;&lt;/contributors&gt;&lt;titles&gt;&lt;title&gt;What&amp;apos;s in a name? Reputation building and corporate strategy&lt;/title&gt;&lt;secondary-title&gt;Academy of Management Journal&lt;/secondary-title&gt;&lt;/titles&gt;&lt;periodical&gt;&lt;full-title&gt;Academy of management Journal&lt;/full-title&gt;&lt;/periodical&gt;&lt;pages&gt;233-258&lt;/pages&gt;&lt;volume&gt;33&lt;/volume&gt;&lt;number&gt;2&lt;/number&gt;&lt;dates&gt;&lt;year&gt;1990&lt;/year&gt;&lt;/dates&gt;&lt;urls&gt;&lt;/urls&gt;&lt;/record&gt;&lt;/Cite&gt;&lt;/EndNote&gt;</w:instrText>
      </w:r>
      <w:r w:rsidRPr="004E7E5A">
        <w:rPr>
          <w:rFonts w:cs="Times New Roman"/>
        </w:rPr>
        <w:fldChar w:fldCharType="separate"/>
      </w:r>
      <w:r w:rsidRPr="004E7E5A">
        <w:rPr>
          <w:rFonts w:cs="Times New Roman"/>
          <w:noProof/>
        </w:rPr>
        <w:t xml:space="preserve">(Fombrun and </w:t>
      </w:r>
      <w:r w:rsidRPr="004E7E5A">
        <w:rPr>
          <w:rFonts w:cs="Times New Roman"/>
          <w:noProof/>
        </w:rPr>
        <w:lastRenderedPageBreak/>
        <w:t>Shanley 1990)</w:t>
      </w:r>
      <w:r w:rsidRPr="004E7E5A">
        <w:rPr>
          <w:rFonts w:cs="Times New Roman"/>
        </w:rPr>
        <w:fldChar w:fldCharType="end"/>
      </w:r>
      <w:r w:rsidRPr="004E7E5A">
        <w:rPr>
          <w:rFonts w:cs="Times New Roman"/>
        </w:rPr>
        <w:t xml:space="preserve">. Advertising also enhances a firm’s information environment, and increases potential customers’ awareness of the firm </w:t>
      </w:r>
      <w:r w:rsidRPr="004E7E5A">
        <w:rPr>
          <w:rFonts w:cs="Times New Roman"/>
        </w:rPr>
        <w:fldChar w:fldCharType="begin"/>
      </w:r>
      <w:r w:rsidR="00317C6A" w:rsidRPr="004E7E5A">
        <w:rPr>
          <w:rFonts w:cs="Times New Roman"/>
        </w:rPr>
        <w:instrText xml:space="preserve"> ADDIN EN.CITE &lt;EndNote&gt;&lt;Cite&gt;&lt;Author&gt;Servaes&lt;/Author&gt;&lt;Year&gt;2013&lt;/Year&gt;&lt;RecNum&gt;2089&lt;/RecNum&gt;&lt;DisplayText&gt;(Servaes and Tamayo 2013)&lt;/DisplayText&gt;&lt;record&gt;&lt;rec-number&gt;2089&lt;/rec-number&gt;&lt;foreign-keys&gt;&lt;key app="EN" db-id="trr00pfsbzzex0ezwf6v5swd9fpfpwfa90xp" timestamp="1629466430" guid="5ba03db8-8af3-4bed-97d1-10d56735ef5b"&gt;2089&lt;/key&gt;&lt;/foreign-keys&gt;&lt;ref-type name="Journal Article"&gt;17&lt;/ref-type&gt;&lt;contributors&gt;&lt;authors&gt;&lt;author&gt;Servaes, H.&lt;/author&gt;&lt;author&gt;Tamayo, A.&lt;/author&gt;&lt;/authors&gt;&lt;/contributors&gt;&lt;titles&gt;&lt;title&gt;The impact of corporate social responsibility on firm value: The role of customer awareness&lt;/title&gt;&lt;secondary-title&gt;Management Science&lt;/secondary-title&gt;&lt;/titles&gt;&lt;periodical&gt;&lt;full-title&gt;Management Science&lt;/full-title&gt;&lt;/periodical&gt;&lt;pages&gt;1045-1061&lt;/pages&gt;&lt;volume&gt;59&lt;/volume&gt;&lt;number&gt;5&lt;/number&gt;&lt;dates&gt;&lt;year&gt;2013&lt;/year&gt;&lt;/dates&gt;&lt;urls&gt;&lt;/urls&gt;&lt;/record&gt;&lt;/Cite&gt;&lt;/EndNote&gt;</w:instrText>
      </w:r>
      <w:r w:rsidRPr="004E7E5A">
        <w:rPr>
          <w:rFonts w:cs="Times New Roman"/>
        </w:rPr>
        <w:fldChar w:fldCharType="separate"/>
      </w:r>
      <w:r w:rsidRPr="004E7E5A">
        <w:rPr>
          <w:rFonts w:cs="Times New Roman"/>
          <w:noProof/>
        </w:rPr>
        <w:t>(Servaes and Tamayo 2013)</w:t>
      </w:r>
      <w:r w:rsidRPr="004E7E5A">
        <w:rPr>
          <w:rFonts w:cs="Times New Roman"/>
        </w:rPr>
        <w:fldChar w:fldCharType="end"/>
      </w:r>
      <w:r w:rsidRPr="004E7E5A">
        <w:rPr>
          <w:rFonts w:cs="Times New Roman"/>
        </w:rPr>
        <w:t xml:space="preserve">. Consequently, directors at firms with high media visibility get more exposure to the public </w:t>
      </w:r>
      <w:r w:rsidRPr="004E7E5A">
        <w:rPr>
          <w:rFonts w:cs="Times New Roman"/>
        </w:rPr>
        <w:fldChar w:fldCharType="begin">
          <w:fldData xml:space="preserve">PEVuZE5vdGU+PENpdGU+PEF1dGhvcj5MZWFyeTwvQXV0aG9yPjxZZWFyPjE5OTA8L1llYXI+PFJl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==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PEVuZE5vdGU+PENpdGU+PEF1dGhvcj5MZWFyeTwvQXV0aG9yPjxZZWFyPjE5OTA8L1llYXI+PFJl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==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(Leary and Kowalski 1990; Canace et al. 2020)</w:t>
      </w:r>
      <w:r w:rsidRPr="004E7E5A">
        <w:rPr>
          <w:rFonts w:cs="Times New Roman"/>
        </w:rPr>
        <w:fldChar w:fldCharType="end"/>
      </w:r>
      <w:r w:rsidRPr="004E7E5A">
        <w:rPr>
          <w:rFonts w:cs="Times New Roman"/>
        </w:rPr>
        <w:t xml:space="preserve">, and the exposure in the media enhances their public awareness </w:t>
      </w:r>
      <w:r w:rsidRPr="004E7E5A">
        <w:rPr>
          <w:rFonts w:cs="Times New Roman"/>
        </w:rPr>
        <w:fldChar w:fldCharType="begin"/>
      </w:r>
      <w:r w:rsidR="001A1175" w:rsidRPr="004E7E5A">
        <w:rPr>
          <w:rFonts w:cs="Times New Roman"/>
        </w:rPr>
        <w:instrText xml:space="preserve"> ADDIN EN.CITE &lt;EndNote&gt;&lt;Cite&gt;&lt;Author&gt;Leary&lt;/Author&gt;&lt;Year&gt;1990&lt;/Year&gt;&lt;RecNum&gt;2058&lt;/RecNum&gt;&lt;DisplayText&gt;(Leary and Kowalski 1990)&lt;/DisplayText&gt;&lt;record&gt;&lt;rec-number&gt;2058&lt;/rec-number&gt;&lt;foreign-keys&gt;&lt;key app="EN" db-id="trr00pfsbzzex0ezwf6v5swd9fpfpwfa90xp" timestamp="1627697241" guid="a10f7baf-7a59-47d1-a7c6-482a1b9a3467"&gt;2058&lt;/key&gt;&lt;/foreign-keys&gt;&lt;ref-type name="Journal Article"&gt;17&lt;/ref-type&gt;&lt;contributors&gt;&lt;authors&gt;&lt;author&gt;Leary, M. R.&lt;/author&gt;&lt;author&gt;Kowalski, R. M.&lt;/author&gt;&lt;/authors&gt;&lt;/contributors&gt;&lt;titles&gt;&lt;title&gt;Impression management: A literature review and two-component model&lt;/title&gt;&lt;secondary-title&gt;Psychological Bulletin&lt;/secondary-title&gt;&lt;/titles&gt;&lt;periodical&gt;&lt;full-title&gt;Psychological Bulletin&lt;/full-title&gt;&lt;/periodical&gt;&lt;pages&gt;34-47&lt;/pages&gt;&lt;volume&gt;107&lt;/volume&gt;&lt;number&gt;1&lt;/number&gt;&lt;dates&gt;&lt;year&gt;1990&lt;/year&gt;&lt;/dates&gt;&lt;urls&gt;&lt;/urls&gt;&lt;/record&gt;&lt;/Cite&gt;&lt;/EndNote&gt;</w:instrText>
      </w:r>
      <w:r w:rsidRPr="004E7E5A">
        <w:rPr>
          <w:rFonts w:cs="Times New Roman"/>
        </w:rPr>
        <w:fldChar w:fldCharType="separate"/>
      </w:r>
      <w:r w:rsidRPr="004E7E5A">
        <w:rPr>
          <w:rFonts w:cs="Times New Roman"/>
          <w:noProof/>
        </w:rPr>
        <w:t>(Leary and Kowalski 1990)</w:t>
      </w:r>
      <w:r w:rsidRPr="004E7E5A">
        <w:rPr>
          <w:rFonts w:cs="Times New Roman"/>
        </w:rPr>
        <w:fldChar w:fldCharType="end"/>
      </w:r>
      <w:r w:rsidRPr="004E7E5A">
        <w:rPr>
          <w:rFonts w:cs="Times New Roman"/>
        </w:rPr>
        <w:t xml:space="preserve">. When a firm spends less on advertising, the firm and its directors get limited public attention. If highly networked directors are more concerned about their social recognition, firms with highly networked directors </w:t>
      </w:r>
      <w:r w:rsidR="00C33597" w:rsidRPr="004E7E5A">
        <w:rPr>
          <w:rFonts w:cs="Times New Roman"/>
        </w:rPr>
        <w:t>may</w:t>
      </w:r>
      <w:r w:rsidRPr="004E7E5A">
        <w:rPr>
          <w:rFonts w:cs="Times New Roman"/>
        </w:rPr>
        <w:t xml:space="preserve"> devote more effort to enhancing the quality of CSR disclosure. Based on the discussion, we propose the following hypothesis:</w:t>
      </w:r>
    </w:p>
    <w:p w14:paraId="2325433B" w14:textId="77777777" w:rsidR="009B1827" w:rsidRPr="004E7E5A" w:rsidRDefault="009B1827" w:rsidP="009B1827">
      <w:pPr>
        <w:pStyle w:val="a7"/>
        <w:spacing w:line="480" w:lineRule="auto"/>
        <w:ind w:firstLine="482"/>
        <w:rPr>
          <w:rFonts w:cs="Times New Roman"/>
          <w:i/>
          <w:iCs/>
        </w:rPr>
      </w:pPr>
      <w:r w:rsidRPr="004E7E5A">
        <w:rPr>
          <w:rFonts w:cs="Times New Roman"/>
          <w:b/>
          <w:bCs/>
        </w:rPr>
        <w:t>H2:</w:t>
      </w:r>
      <w:r w:rsidRPr="004E7E5A">
        <w:rPr>
          <w:rFonts w:cs="Times New Roman"/>
        </w:rPr>
        <w:t xml:space="preserve"> </w:t>
      </w:r>
      <w:r w:rsidRPr="004E7E5A">
        <w:rPr>
          <w:rFonts w:cs="Times New Roman"/>
          <w:i/>
          <w:iCs/>
        </w:rPr>
        <w:t>The positive association between directors’ network centrality and CSR disclosure quality is stronger when a firm spends less in advertising.</w:t>
      </w:r>
    </w:p>
    <w:p w14:paraId="268DF64F"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t>The Moderating Role of Analysts’ Attention</w:t>
      </w:r>
    </w:p>
    <w:p w14:paraId="2487A376" w14:textId="143F6E35" w:rsidR="00876723" w:rsidRPr="004E7E5A" w:rsidRDefault="00257CDB" w:rsidP="00876723">
      <w:pPr>
        <w:pStyle w:val="a7"/>
        <w:spacing w:line="480" w:lineRule="auto"/>
        <w:ind w:firstLine="480"/>
        <w:rPr>
          <w:rFonts w:cs="Times New Roman"/>
        </w:rPr>
      </w:pPr>
      <w:r w:rsidRPr="004E7E5A">
        <w:rPr>
          <w:rFonts w:cs="Times New Roman"/>
        </w:rPr>
        <w:t xml:space="preserve">Drawing on the resource-based view, firms need to use CSR-related resources to generate CSR-related output </w:t>
      </w:r>
      <w:r w:rsidRPr="004E7E5A">
        <w:rPr>
          <w:rFonts w:cs="Times New Roman"/>
        </w:rPr>
        <w:fldChar w:fldCharType="begin"/>
      </w:r>
      <w:r w:rsidR="006F6C86" w:rsidRPr="004E7E5A">
        <w:rPr>
          <w:rFonts w:cs="Times New Roman"/>
        </w:rPr>
        <w:instrText xml:space="preserve"> ADDIN EN.CITE &lt;EndNote&gt;&lt;Cite&gt;&lt;Author&gt;McWilliams&lt;/Author&gt;&lt;Year&gt;2001&lt;/Year&gt;&lt;RecNum&gt;2321&lt;/RecNum&gt;&lt;DisplayText&gt;(McWilliams and Siegel 2001)&lt;/DisplayText&gt;&lt;record&gt;&lt;rec-number&gt;2321&lt;/rec-number&gt;&lt;foreign-keys&gt;&lt;key app="EN" db-id="trr00pfsbzzex0ezwf6v5swd9fpfpwfa90xp" timestamp="1640264947" guid="5941c37c-f99a-4030-b59f-b1c3e5992713"&gt;2321&lt;/key&gt;&lt;/foreign-keys&gt;&lt;ref-type name="Journal Article"&gt;17&lt;/ref-type&gt;&lt;contributors&gt;&lt;authors&gt;&lt;author&gt;McWilliams, Abagail&lt;/author&gt;&lt;author&gt;Siegel, Donald&lt;/author&gt;&lt;/authors&gt;&lt;/contributors&gt;&lt;titles&gt;&lt;title&gt;Corporate social responsibility: A theory of the firm perspective&lt;/title&gt;&lt;secondary-title&gt;Academy of management review&lt;/secondary-title&gt;&lt;/titles&gt;&lt;periodical&gt;&lt;full-title&gt;Academy of management review&lt;/full-title&gt;&lt;/periodical&gt;&lt;pages&gt;117-127&lt;/pages&gt;&lt;volume&gt;26&lt;/volume&gt;&lt;number&gt;1&lt;/number&gt;&lt;dates&gt;&lt;year&gt;2001&lt;/year&gt;&lt;/dates&gt;&lt;isbn&gt;0363-7425&lt;/isbn&gt;&lt;urls&gt;&lt;/urls&gt;&lt;/record&gt;&lt;/Cite&gt;&lt;/EndNote&gt;</w:instrText>
      </w:r>
      <w:r w:rsidRPr="004E7E5A">
        <w:rPr>
          <w:rFonts w:cs="Times New Roman"/>
        </w:rPr>
        <w:fldChar w:fldCharType="separate"/>
      </w:r>
      <w:r w:rsidRPr="004E7E5A">
        <w:rPr>
          <w:rFonts w:cs="Times New Roman"/>
          <w:noProof/>
        </w:rPr>
        <w:t>(McWilliams and Siegel 2001)</w:t>
      </w:r>
      <w:r w:rsidRPr="004E7E5A">
        <w:rPr>
          <w:rFonts w:cs="Times New Roman"/>
        </w:rPr>
        <w:fldChar w:fldCharType="end"/>
      </w:r>
      <w:r w:rsidRPr="004E7E5A">
        <w:rPr>
          <w:rFonts w:cs="Times New Roman"/>
        </w:rPr>
        <w:t>.</w:t>
      </w:r>
      <w:r w:rsidRPr="004E7E5A">
        <w:rPr>
          <w:rFonts w:cs="Times New Roman" w:hint="eastAsia"/>
        </w:rPr>
        <w:t xml:space="preserve"> </w:t>
      </w:r>
      <w:r w:rsidR="008111F8" w:rsidRPr="004E7E5A">
        <w:rPr>
          <w:rFonts w:cs="Times New Roman"/>
        </w:rPr>
        <w:t xml:space="preserve">The resources invested </w:t>
      </w:r>
      <w:r w:rsidR="008111F8" w:rsidRPr="004E7E5A">
        <w:rPr>
          <w:rFonts w:cs="Times New Roman" w:hint="eastAsia"/>
        </w:rPr>
        <w:t>in</w:t>
      </w:r>
      <w:r w:rsidR="008111F8" w:rsidRPr="004E7E5A">
        <w:rPr>
          <w:rFonts w:cs="Times New Roman"/>
        </w:rPr>
        <w:t xml:space="preserve"> </w:t>
      </w:r>
      <w:r w:rsidR="008111F8" w:rsidRPr="004E7E5A">
        <w:rPr>
          <w:rFonts w:cs="Times New Roman" w:hint="eastAsia"/>
        </w:rPr>
        <w:t>CSR</w:t>
      </w:r>
      <w:r w:rsidR="008111F8" w:rsidRPr="004E7E5A">
        <w:rPr>
          <w:rFonts w:cs="Times New Roman"/>
        </w:rPr>
        <w:t xml:space="preserve"> is affected by the </w:t>
      </w:r>
      <w:r w:rsidR="00A914B2" w:rsidRPr="004E7E5A">
        <w:rPr>
          <w:rFonts w:cs="Times New Roman" w:hint="eastAsia"/>
        </w:rPr>
        <w:t>d</w:t>
      </w:r>
      <w:r w:rsidR="00A914B2" w:rsidRPr="004E7E5A">
        <w:rPr>
          <w:rFonts w:cs="Times New Roman"/>
        </w:rPr>
        <w:t>iscretion</w:t>
      </w:r>
      <w:r w:rsidR="008111F8" w:rsidRPr="004E7E5A">
        <w:rPr>
          <w:rFonts w:cs="Times New Roman"/>
        </w:rPr>
        <w:t xml:space="preserve"> of board</w:t>
      </w:r>
      <w:r w:rsidR="00A914B2" w:rsidRPr="004E7E5A">
        <w:rPr>
          <w:rFonts w:cs="Times New Roman"/>
        </w:rPr>
        <w:t xml:space="preserve"> of </w:t>
      </w:r>
      <w:proofErr w:type="spellStart"/>
      <w:r w:rsidR="00A914B2" w:rsidRPr="004E7E5A">
        <w:rPr>
          <w:rFonts w:cs="Times New Roman"/>
        </w:rPr>
        <w:t>direcotrs</w:t>
      </w:r>
      <w:proofErr w:type="spellEnd"/>
      <w:r w:rsidR="00517748" w:rsidRPr="004E7E5A">
        <w:rPr>
          <w:rFonts w:cs="Times New Roman"/>
        </w:rPr>
        <w:t xml:space="preserve"> </w:t>
      </w:r>
      <w:r w:rsidR="00A62214" w:rsidRPr="004E7E5A">
        <w:rPr>
          <w:rFonts w:cs="Times New Roman"/>
        </w:rPr>
        <w:fldChar w:fldCharType="begin"/>
      </w:r>
      <w:r w:rsidR="00317C6A" w:rsidRPr="004E7E5A">
        <w:rPr>
          <w:rFonts w:cs="Times New Roman"/>
        </w:rPr>
        <w:instrText xml:space="preserve"> ADDIN EN.CITE &lt;EndNote&gt;&lt;Cite&gt;&lt;Author&gt;Shaukat&lt;/Author&gt;&lt;Year&gt;2015&lt;/Year&gt;&lt;RecNum&gt;1615&lt;/RecNum&gt;&lt;DisplayText&gt;(Shaukat et al. 2015)&lt;/DisplayText&gt;&lt;record&gt;&lt;rec-number&gt;1615&lt;/rec-number&gt;&lt;foreign-keys&gt;&lt;key app="EN" db-id="trr00pfsbzzex0ezwf6v5swd9fpfpwfa90xp" timestamp="1581329663" guid="a8895b83-127f-4354-9bbc-4d70a20b2cd8"&gt;1615&lt;/key&gt;&lt;/foreign-keys&gt;&lt;ref-type name="Journal Article"&gt;17&lt;/ref-type&gt;&lt;contributors&gt;&lt;authors&gt;&lt;author&gt;Shaukat, Amama&lt;/author&gt;&lt;author&gt;Qiu, Yan&lt;/author&gt;&lt;author&gt;Trojanowski, Grzegorz&lt;/author&gt;&lt;/authors&gt;&lt;/contributors&gt;&lt;titles&gt;&lt;title&gt;Board attributes, corporate social responsibility strategy, and corporate environmental and social performance&lt;/title&gt;&lt;secondary-title&gt;Journal of Business Ethics&lt;/secondary-title&gt;&lt;/titles&gt;&lt;periodical&gt;&lt;full-title&gt;Journal of Business Ethics&lt;/full-title&gt;&lt;/periodical&gt;&lt;pages&gt;569-585&lt;/pages&gt;&lt;volume&gt;135&lt;/volume&gt;&lt;number&gt;3&lt;/number&gt;&lt;section&gt;569&lt;/section&gt;&lt;dates&gt;&lt;year&gt;2015&lt;/year&gt;&lt;/dates&gt;&lt;isbn&gt;0167-4544&amp;#xD;1573-0697&lt;/isbn&gt;&lt;urls&gt;&lt;/urls&gt;&lt;electronic-resource-num&gt;10.1007/s10551-014-2460-9&lt;/electronic-resource-num&gt;&lt;/record&gt;&lt;/Cite&gt;&lt;/EndNote&gt;</w:instrText>
      </w:r>
      <w:r w:rsidR="00A62214" w:rsidRPr="004E7E5A">
        <w:rPr>
          <w:rFonts w:cs="Times New Roman"/>
        </w:rPr>
        <w:fldChar w:fldCharType="separate"/>
      </w:r>
      <w:r w:rsidR="006F6C86" w:rsidRPr="004E7E5A">
        <w:rPr>
          <w:rFonts w:cs="Times New Roman"/>
          <w:noProof/>
        </w:rPr>
        <w:t>(Shaukat et al. 2015)</w:t>
      </w:r>
      <w:r w:rsidR="00A62214" w:rsidRPr="004E7E5A">
        <w:rPr>
          <w:rFonts w:cs="Times New Roman"/>
        </w:rPr>
        <w:fldChar w:fldCharType="end"/>
      </w:r>
      <w:r w:rsidR="008111F8" w:rsidRPr="004E7E5A">
        <w:rPr>
          <w:rFonts w:cs="Times New Roman"/>
        </w:rPr>
        <w:t>.</w:t>
      </w:r>
      <w:r w:rsidR="008C6A5E" w:rsidRPr="004E7E5A">
        <w:rPr>
          <w:rFonts w:cs="Times New Roman"/>
        </w:rPr>
        <w:t xml:space="preserve"> </w:t>
      </w:r>
      <w:r w:rsidR="00876723" w:rsidRPr="004E7E5A">
        <w:rPr>
          <w:rFonts w:cs="Times New Roman"/>
        </w:rPr>
        <w:t xml:space="preserve">Analysts’ attention refers to the frequency and amount of earnings forecast or </w:t>
      </w:r>
      <w:proofErr w:type="spellStart"/>
      <w:r w:rsidR="00876723" w:rsidRPr="004E7E5A">
        <w:rPr>
          <w:rFonts w:cs="Times New Roman"/>
        </w:rPr>
        <w:t>reserach</w:t>
      </w:r>
      <w:proofErr w:type="spellEnd"/>
      <w:r w:rsidR="00876723" w:rsidRPr="004E7E5A">
        <w:rPr>
          <w:rFonts w:cs="Times New Roman"/>
        </w:rPr>
        <w:t xml:space="preserve"> report issued by financial analysts, an important intermediary in the capital market </w:t>
      </w:r>
      <w:r w:rsidR="00876723" w:rsidRPr="004E7E5A">
        <w:rPr>
          <w:rFonts w:cs="Times New Roman"/>
        </w:rPr>
        <w:fldChar w:fldCharType="begin">
          <w:fldData xml:space="preserve">PEVuZE5vdGU+PENpdGU+PEF1dGhvcj5MYW5nPC9BdXRob3I+PFllYXI+MTk5NjwvWWVhcj48UmVj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PEVuZE5vdGU+PENpdGU+PEF1dGhvcj5MYW5nPC9BdXRob3I+PFllYXI+MTk5NjwvWWVhcj48UmVj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00876723" w:rsidRPr="004E7E5A">
        <w:rPr>
          <w:rFonts w:cs="Times New Roman"/>
        </w:rPr>
      </w:r>
      <w:r w:rsidR="00876723" w:rsidRPr="004E7E5A">
        <w:rPr>
          <w:rFonts w:cs="Times New Roman"/>
        </w:rPr>
        <w:fldChar w:fldCharType="separate"/>
      </w:r>
      <w:r w:rsidR="00876723" w:rsidRPr="004E7E5A">
        <w:rPr>
          <w:rFonts w:cs="Times New Roman"/>
          <w:noProof/>
        </w:rPr>
        <w:t>(Lang and Lundholm 1996; Bradshaw et al. 2021)</w:t>
      </w:r>
      <w:r w:rsidR="00876723" w:rsidRPr="004E7E5A">
        <w:rPr>
          <w:rFonts w:cs="Times New Roman"/>
        </w:rPr>
        <w:fldChar w:fldCharType="end"/>
      </w:r>
      <w:r w:rsidR="00876723" w:rsidRPr="004E7E5A">
        <w:rPr>
          <w:rFonts w:cs="Times New Roman"/>
        </w:rPr>
        <w:t xml:space="preserve">. Market values financial analysts not only because of their ability to facilitate the flow of information to investors but also because of their knowledge about industry trends and economic fundamentals </w:t>
      </w:r>
      <w:r w:rsidR="00876723" w:rsidRPr="004E7E5A">
        <w:rPr>
          <w:rFonts w:cs="Times New Roman"/>
        </w:rPr>
        <w:fldChar w:fldCharType="begin"/>
      </w:r>
      <w:r w:rsidR="001A1175" w:rsidRPr="004E7E5A">
        <w:rPr>
          <w:rFonts w:cs="Times New Roman"/>
        </w:rPr>
        <w:instrText xml:space="preserve"> ADDIN EN.CITE &lt;EndNote&gt;&lt;Cite&gt;&lt;Author&gt;Martens&lt;/Author&gt;&lt;Year&gt;2021&lt;/Year&gt;&lt;RecNum&gt;2125&lt;/RecNum&gt;&lt;DisplayText&gt;(Martens and Sextroh 2021)&lt;/DisplayText&gt;&lt;record&gt;&lt;rec-number&gt;2125&lt;/rec-number&gt;&lt;foreign-keys&gt;&lt;key app="EN" db-id="trr00pfsbzzex0ezwf6v5swd9fpfpwfa90xp" timestamp="1631411273" guid="2e9e9ab7-3d88-462f-8c0a-3f91edd0ef7f"&gt;2125&lt;/key&gt;&lt;/foreign-keys&gt;&lt;ref-type name="Journal Article"&gt;17&lt;/ref-type&gt;&lt;contributors&gt;&lt;authors&gt;&lt;author&gt;Martens, T. I. M.&lt;/author&gt;&lt;author&gt;Sextroh, Christoph J.&lt;/author&gt;&lt;/authors&gt;&lt;/contributors&gt;&lt;titles&gt;&lt;title&gt;Analyst coverage overlaps and interfirm information spillovers&lt;/title&gt;&lt;secondary-title&gt;Journal of Accounting Research&lt;/secondary-title&gt;&lt;/titles&gt;&lt;periodical&gt;&lt;full-title&gt;Journal of Accounting Research&lt;/full-title&gt;&lt;/periodical&gt;&lt;pages&gt;1425-1480&lt;/pages&gt;&lt;volume&gt;59&lt;/volume&gt;&lt;number&gt;4&lt;/number&gt;&lt;keywords&gt;&lt;keyword&gt;Externalities&lt;/keyword&gt;&lt;keyword&gt;Financial analysts&lt;/keyword&gt;&lt;keyword&gt;Information asymmetry&lt;/keyword&gt;&lt;keyword&gt;Capital market&lt;/keyword&gt;&lt;keyword&gt;Patents&lt;/keyword&gt;&lt;keyword&gt;Business intelligence&lt;/keyword&gt;&lt;keyword&gt;Economic indicators&lt;/keyword&gt;&lt;keyword&gt;Economic trends&lt;/keyword&gt;&lt;keyword&gt;Information dissemination&lt;/keyword&gt;&lt;keyword&gt;analysts&lt;/keyword&gt;&lt;keyword&gt;corporate innovation&lt;/keyword&gt;&lt;keyword&gt;coverage overlap&lt;/keyword&gt;&lt;keyword&gt;feedback effect&lt;/keyword&gt;&lt;keyword&gt;information spillover&lt;/keyword&gt;&lt;keyword&gt;knowledge flow&lt;/keyword&gt;&lt;keyword&gt;patent citations&lt;/keyword&gt;&lt;/keywords&gt;&lt;dates&gt;&lt;year&gt;2021&lt;/year&gt;&lt;/dates&gt;&lt;publisher&gt;John Wiley &amp;amp; Sons, Inc.&lt;/publisher&gt;&lt;isbn&gt;00218456&lt;/isbn&gt;&lt;accession-num&gt;151682655&lt;/accession-num&gt;&lt;urls&gt;&lt;related-urls&gt;&lt;url&gt;https://search.ebscohost.com/login.aspx?direct=true&amp;amp;db=bsu&amp;amp;AN=151682655&amp;amp;lang=zh-cn&amp;amp;site=ehost-live&lt;/url&gt;&lt;/related-urls&gt;&lt;/urls&gt;&lt;electronic-resource-num&gt;10.1111/1475-679X.12391&lt;/electronic-resource-num&gt;&lt;remote-database-name&gt;Business Source Ultimate&lt;/remote-database-name&gt;&lt;remote-database-provider&gt;EBSCOhost&lt;/remote-database-provider&gt;&lt;/record&gt;&lt;/Cite&gt;&lt;/EndNote&gt;</w:instrText>
      </w:r>
      <w:r w:rsidR="00876723" w:rsidRPr="004E7E5A">
        <w:rPr>
          <w:rFonts w:cs="Times New Roman"/>
        </w:rPr>
        <w:fldChar w:fldCharType="separate"/>
      </w:r>
      <w:r w:rsidR="00876723" w:rsidRPr="004E7E5A">
        <w:rPr>
          <w:rFonts w:cs="Times New Roman"/>
          <w:noProof/>
        </w:rPr>
        <w:t>(Martens and Sextroh 2021)</w:t>
      </w:r>
      <w:r w:rsidR="00876723" w:rsidRPr="004E7E5A">
        <w:rPr>
          <w:rFonts w:cs="Times New Roman"/>
        </w:rPr>
        <w:fldChar w:fldCharType="end"/>
      </w:r>
      <w:r w:rsidR="00876723" w:rsidRPr="004E7E5A">
        <w:rPr>
          <w:rFonts w:cs="Times New Roman"/>
        </w:rPr>
        <w:t xml:space="preserve">. By analyzing the financial performance of listed companies, analysts can estimate the investment value of these companies and communicate with current and potential investors by research reports </w:t>
      </w:r>
      <w:r w:rsidR="00876723" w:rsidRPr="004E7E5A">
        <w:rPr>
          <w:rFonts w:cs="Times New Roman"/>
        </w:rPr>
        <w:fldChar w:fldCharType="begin">
          <w:fldData xml:space="preserve">PEVuZE5vdGU+PENpdGU+PEF1dGhvcj5MYW5nPC9BdXRob3I+PFllYXI+MTk5NjwvWWVhcj48UmVj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PEVuZE5vdGU+PENpdGU+PEF1dGhvcj5MYW5nPC9BdXRob3I+PFllYXI+MTk5NjwvWWVhcj48UmVj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00876723" w:rsidRPr="004E7E5A">
        <w:rPr>
          <w:rFonts w:cs="Times New Roman"/>
        </w:rPr>
      </w:r>
      <w:r w:rsidR="00876723" w:rsidRPr="004E7E5A">
        <w:rPr>
          <w:rFonts w:cs="Times New Roman"/>
        </w:rPr>
        <w:fldChar w:fldCharType="separate"/>
      </w:r>
      <w:r w:rsidR="00876723" w:rsidRPr="004E7E5A">
        <w:rPr>
          <w:rFonts w:cs="Times New Roman"/>
          <w:noProof/>
        </w:rPr>
        <w:t xml:space="preserve">(Lang and Lundholm </w:t>
      </w:r>
      <w:r w:rsidR="00876723" w:rsidRPr="004E7E5A">
        <w:rPr>
          <w:rFonts w:cs="Times New Roman"/>
          <w:noProof/>
        </w:rPr>
        <w:lastRenderedPageBreak/>
        <w:t>1996; Martens and Sextroh 2021)</w:t>
      </w:r>
      <w:r w:rsidR="00876723" w:rsidRPr="004E7E5A">
        <w:rPr>
          <w:rFonts w:cs="Times New Roman"/>
        </w:rPr>
        <w:fldChar w:fldCharType="end"/>
      </w:r>
      <w:r w:rsidR="00876723" w:rsidRPr="004E7E5A">
        <w:rPr>
          <w:rFonts w:cs="Times New Roman"/>
        </w:rPr>
        <w:t xml:space="preserve">. According to the investor cognition hypothesis </w:t>
      </w:r>
      <w:r w:rsidR="00876723" w:rsidRPr="004E7E5A">
        <w:rPr>
          <w:rFonts w:cs="Times New Roman"/>
        </w:rPr>
        <w:fldChar w:fldCharType="begin"/>
      </w:r>
      <w:r w:rsidR="006F6C86" w:rsidRPr="004E7E5A">
        <w:rPr>
          <w:rFonts w:cs="Times New Roman"/>
        </w:rPr>
        <w:instrText xml:space="preserve"> ADDIN EN.CITE &lt;EndNote&gt;&lt;Cite&gt;&lt;Author&gt;Merton&lt;/Author&gt;&lt;Year&gt;1987&lt;/Year&gt;&lt;RecNum&gt;2108&lt;/RecNum&gt;&lt;DisplayText&gt;(Merton 1987)&lt;/DisplayText&gt;&lt;record&gt;&lt;rec-number&gt;2108&lt;/rec-number&gt;&lt;foreign-keys&gt;&lt;key app="EN" db-id="trr00pfsbzzex0ezwf6v5swd9fpfpwfa90xp" timestamp="1630380024" guid="566e5080-78fb-4f5e-87a1-d5518ebbe4f1"&gt;2108&lt;/key&gt;&lt;/foreign-keys&gt;&lt;ref-type name="Journal Article"&gt;17&lt;/ref-type&gt;&lt;contributors&gt;&lt;authors&gt;&lt;author&gt;Merton, R.&lt;/author&gt;&lt;/authors&gt;&lt;/contributors&gt;&lt;titles&gt;&lt;title&gt;An equilibrium market model with incomplete information&lt;/title&gt;&lt;secondary-title&gt;The Journal of Finance&lt;/secondary-title&gt;&lt;/titles&gt;&lt;periodical&gt;&lt;full-title&gt;The Journal of Finance&lt;/full-title&gt;&lt;/periodical&gt;&lt;pages&gt;483-511&lt;/pages&gt;&lt;volume&gt;42&lt;/volume&gt;&lt;dates&gt;&lt;year&gt;1987&lt;/year&gt;&lt;/dates&gt;&lt;urls&gt;&lt;/urls&gt;&lt;/record&gt;&lt;/Cite&gt;&lt;/EndNote&gt;</w:instrText>
      </w:r>
      <w:r w:rsidR="00876723" w:rsidRPr="004E7E5A">
        <w:rPr>
          <w:rFonts w:cs="Times New Roman"/>
        </w:rPr>
        <w:fldChar w:fldCharType="separate"/>
      </w:r>
      <w:r w:rsidR="00876723" w:rsidRPr="004E7E5A">
        <w:rPr>
          <w:rFonts w:cs="Times New Roman"/>
          <w:noProof/>
        </w:rPr>
        <w:t>(Merton 1987)</w:t>
      </w:r>
      <w:r w:rsidR="00876723" w:rsidRPr="004E7E5A">
        <w:rPr>
          <w:rFonts w:cs="Times New Roman"/>
        </w:rPr>
        <w:fldChar w:fldCharType="end"/>
      </w:r>
      <w:r w:rsidR="00876723" w:rsidRPr="004E7E5A">
        <w:rPr>
          <w:rFonts w:cs="Times New Roman"/>
        </w:rPr>
        <w:t xml:space="preserve">, while delivering information to investors, analysts also attract investors’ attention and improve the recognition of firms among investors. Therefore, firms with high analysts’ attention may have a higher reputation, and directors can naturally obtain better social status. Firms that attract less attention from analysts are more likely to have worse internal information quality and disclose less information </w:t>
      </w:r>
      <w:r w:rsidR="00876723" w:rsidRPr="004E7E5A">
        <w:rPr>
          <w:rFonts w:cs="Times New Roman"/>
        </w:rPr>
        <w:fldChar w:fldCharType="begin"/>
      </w:r>
      <w:r w:rsidR="006F6C86" w:rsidRPr="004E7E5A">
        <w:rPr>
          <w:rFonts w:cs="Times New Roman"/>
        </w:rPr>
        <w:instrText xml:space="preserve"> ADDIN EN.CITE &lt;EndNote&gt;&lt;Cite&gt;&lt;Author&gt;Ding&lt;/Author&gt;&lt;Year&gt;2021&lt;/Year&gt;&lt;RecNum&gt;2020&lt;/RecNum&gt;&lt;DisplayText&gt;(Ding et al. 2021)&lt;/DisplayText&gt;&lt;record&gt;&lt;rec-number&gt;2020&lt;/rec-number&gt;&lt;foreign-keys&gt;&lt;key app="EN" db-id="trr00pfsbzzex0ezwf6v5swd9fpfpwfa90xp" timestamp="1627289792" guid="b00706dc-5243-4d75-80ce-c24f17c93ead"&gt;2020&lt;/key&gt;&lt;/foreign-keys&gt;&lt;ref-type name="Journal Article"&gt;17&lt;/ref-type&gt;&lt;contributors&gt;&lt;authors&gt;&lt;author&gt;Rong Ding&lt;/author&gt;&lt;author&gt;Sushil Sainani&lt;/author&gt;&lt;author&gt;Ziyang (John) Zhang&lt;/author&gt;&lt;/authors&gt;&lt;/contributors&gt;&lt;titles&gt;&lt;title&gt;Protection of trade secrets and corporate tax avoidance: Evidence from the inevitable disclosure doctrine&lt;/title&gt;&lt;secondary-title&gt;Journal of Business Research&lt;/secondary-title&gt;&lt;/titles&gt;&lt;periodical&gt;&lt;full-title&gt;Journal of Business Research&lt;/full-title&gt;&lt;/periodical&gt;&lt;pages&gt;221-232&lt;/pages&gt;&lt;volume&gt;132&lt;/volume&gt;&lt;number&gt;5&lt;/number&gt;&lt;dates&gt;&lt;year&gt;2021&lt;/year&gt;&lt;/dates&gt;&lt;urls&gt;&lt;/urls&gt;&lt;/record&gt;&lt;/Cite&gt;&lt;/EndNote&gt;</w:instrText>
      </w:r>
      <w:r w:rsidR="00876723" w:rsidRPr="004E7E5A">
        <w:rPr>
          <w:rFonts w:cs="Times New Roman"/>
        </w:rPr>
        <w:fldChar w:fldCharType="separate"/>
      </w:r>
      <w:r w:rsidR="00876723" w:rsidRPr="004E7E5A">
        <w:rPr>
          <w:rFonts w:cs="Times New Roman"/>
          <w:noProof/>
        </w:rPr>
        <w:t>(Ding et al. 2021)</w:t>
      </w:r>
      <w:r w:rsidR="00876723" w:rsidRPr="004E7E5A">
        <w:rPr>
          <w:rFonts w:cs="Times New Roman"/>
        </w:rPr>
        <w:fldChar w:fldCharType="end"/>
      </w:r>
      <w:r w:rsidR="00876723" w:rsidRPr="004E7E5A">
        <w:rPr>
          <w:rFonts w:cs="Times New Roman"/>
        </w:rPr>
        <w:t>. In this situation, if well-connected directors pay more attention to their social recognition, firms with well-connected directors may invest more to improve CSR disclosure quality. Therefore, we propose hypothesis 3 as follows:</w:t>
      </w:r>
    </w:p>
    <w:p w14:paraId="0296B033" w14:textId="77777777" w:rsidR="00876723" w:rsidRPr="004E7E5A" w:rsidRDefault="00876723" w:rsidP="00876723">
      <w:pPr>
        <w:pStyle w:val="a7"/>
        <w:spacing w:line="480" w:lineRule="auto"/>
        <w:ind w:firstLine="482"/>
        <w:rPr>
          <w:rFonts w:cs="Times New Roman"/>
        </w:rPr>
      </w:pPr>
      <w:r w:rsidRPr="004E7E5A">
        <w:rPr>
          <w:rFonts w:cs="Times New Roman"/>
          <w:b/>
          <w:bCs/>
        </w:rPr>
        <w:t>H3:</w:t>
      </w:r>
      <w:r w:rsidRPr="004E7E5A">
        <w:rPr>
          <w:rFonts w:cs="Times New Roman"/>
        </w:rPr>
        <w:t xml:space="preserve"> </w:t>
      </w:r>
      <w:r w:rsidRPr="004E7E5A">
        <w:rPr>
          <w:rFonts w:cs="Times New Roman"/>
          <w:i/>
          <w:iCs/>
        </w:rPr>
        <w:t>The positive association between directors’ network centrality and CSR disclosure quality is stronger when a firm attract</w:t>
      </w:r>
      <w:r w:rsidRPr="004E7E5A">
        <w:rPr>
          <w:rFonts w:cs="Times New Roman" w:hint="eastAsia"/>
          <w:i/>
          <w:iCs/>
        </w:rPr>
        <w:t>s</w:t>
      </w:r>
      <w:r w:rsidRPr="004E7E5A">
        <w:rPr>
          <w:rFonts w:cs="Times New Roman"/>
          <w:i/>
          <w:iCs/>
        </w:rPr>
        <w:t xml:space="preserve"> less analysts’ attention.</w:t>
      </w:r>
    </w:p>
    <w:p w14:paraId="40BAE61B" w14:textId="5F16D667" w:rsidR="00746786" w:rsidRPr="004E7E5A" w:rsidRDefault="00746786" w:rsidP="00746786">
      <w:pPr>
        <w:pStyle w:val="4"/>
        <w:spacing w:before="0" w:after="0" w:line="480" w:lineRule="auto"/>
        <w:rPr>
          <w:i/>
          <w:iCs/>
          <w:color w:val="000000" w:themeColor="text1"/>
        </w:rPr>
      </w:pPr>
      <w:r w:rsidRPr="004E7E5A">
        <w:rPr>
          <w:i/>
          <w:iCs/>
          <w:color w:val="000000" w:themeColor="text1"/>
        </w:rPr>
        <w:t>The Moderating Role of Assurance of</w:t>
      </w:r>
      <w:r w:rsidR="0044142E" w:rsidRPr="004E7E5A">
        <w:rPr>
          <w:color w:val="000000" w:themeColor="text1"/>
        </w:rPr>
        <w:t xml:space="preserve"> </w:t>
      </w:r>
      <w:r w:rsidR="0044142E" w:rsidRPr="004E7E5A">
        <w:rPr>
          <w:rFonts w:hint="eastAsia"/>
          <w:i/>
          <w:iCs/>
          <w:color w:val="000000" w:themeColor="text1"/>
        </w:rPr>
        <w:t>S</w:t>
      </w:r>
      <w:r w:rsidR="0044142E" w:rsidRPr="004E7E5A">
        <w:rPr>
          <w:i/>
          <w:iCs/>
          <w:color w:val="000000" w:themeColor="text1"/>
        </w:rPr>
        <w:t>ustainability</w:t>
      </w:r>
      <w:r w:rsidRPr="004E7E5A">
        <w:rPr>
          <w:i/>
          <w:iCs/>
          <w:color w:val="000000" w:themeColor="text1"/>
        </w:rPr>
        <w:t xml:space="preserve"> Report</w:t>
      </w:r>
    </w:p>
    <w:p w14:paraId="4285CF4B" w14:textId="22861AF2" w:rsidR="00876723" w:rsidRPr="004E7E5A" w:rsidRDefault="006546DA" w:rsidP="00876723">
      <w:pPr>
        <w:pStyle w:val="a7"/>
        <w:spacing w:line="480" w:lineRule="auto"/>
        <w:ind w:firstLine="480"/>
        <w:rPr>
          <w:rFonts w:cs="Times New Roman"/>
        </w:rPr>
      </w:pPr>
      <w:r w:rsidRPr="004E7E5A">
        <w:rPr>
          <w:rFonts w:cs="Times New Roman"/>
        </w:rPr>
        <w:t xml:space="preserve">The resource-based view leads us to a supply-side perspective, which begins with the realization that firms must devote resources to satisfy the demand for CSR </w:t>
      </w:r>
      <w:r w:rsidRPr="004E7E5A">
        <w:rPr>
          <w:rFonts w:cs="Times New Roman"/>
        </w:rPr>
        <w:fldChar w:fldCharType="begin"/>
      </w:r>
      <w:r w:rsidR="006F6C86" w:rsidRPr="004E7E5A">
        <w:rPr>
          <w:rFonts w:cs="Times New Roman"/>
        </w:rPr>
        <w:instrText xml:space="preserve"> ADDIN EN.CITE &lt;EndNote&gt;&lt;Cite&gt;&lt;Author&gt;McWilliams&lt;/Author&gt;&lt;Year&gt;2001&lt;/Year&gt;&lt;RecNum&gt;2321&lt;/RecNum&gt;&lt;DisplayText&gt;(McWilliams and Siegel 2001)&lt;/DisplayText&gt;&lt;record&gt;&lt;rec-number&gt;2321&lt;/rec-number&gt;&lt;foreign-keys&gt;&lt;key app="EN" db-id="trr00pfsbzzex0ezwf6v5swd9fpfpwfa90xp" timestamp="1640264947" guid="5941c37c-f99a-4030-b59f-b1c3e5992713"&gt;2321&lt;/key&gt;&lt;/foreign-keys&gt;&lt;ref-type name="Journal Article"&gt;17&lt;/ref-type&gt;&lt;contributors&gt;&lt;authors&gt;&lt;author&gt;McWilliams, Abagail&lt;/author&gt;&lt;author&gt;Siegel, Donald&lt;/author&gt;&lt;/authors&gt;&lt;/contributors&gt;&lt;titles&gt;&lt;title&gt;Corporate social responsibility: A theory of the firm perspective&lt;/title&gt;&lt;secondary-title&gt;Academy of management review&lt;/secondary-title&gt;&lt;/titles&gt;&lt;periodical&gt;&lt;full-title&gt;Academy of management review&lt;/full-title&gt;&lt;/periodical&gt;&lt;pages&gt;117-127&lt;/pages&gt;&lt;volume&gt;26&lt;/volume&gt;&lt;number&gt;1&lt;/number&gt;&lt;dates&gt;&lt;year&gt;2001&lt;/year&gt;&lt;/dates&gt;&lt;isbn&gt;0363-7425&lt;/isbn&gt;&lt;urls&gt;&lt;/urls&gt;&lt;/record&gt;&lt;/Cite&gt;&lt;/EndNote&gt;</w:instrText>
      </w:r>
      <w:r w:rsidRPr="004E7E5A">
        <w:rPr>
          <w:rFonts w:cs="Times New Roman"/>
        </w:rPr>
        <w:fldChar w:fldCharType="separate"/>
      </w:r>
      <w:r w:rsidRPr="004E7E5A">
        <w:rPr>
          <w:rFonts w:cs="Times New Roman"/>
          <w:noProof/>
        </w:rPr>
        <w:t>(McWilliams and Siegel 2001)</w:t>
      </w:r>
      <w:r w:rsidRPr="004E7E5A">
        <w:rPr>
          <w:rFonts w:cs="Times New Roman"/>
        </w:rPr>
        <w:fldChar w:fldCharType="end"/>
      </w:r>
      <w:r w:rsidRPr="004E7E5A">
        <w:rPr>
          <w:rFonts w:cs="Times New Roman"/>
        </w:rPr>
        <w:t>.</w:t>
      </w:r>
      <w:r w:rsidRPr="004E7E5A">
        <w:rPr>
          <w:rFonts w:cs="Times New Roman" w:hint="eastAsia"/>
        </w:rPr>
        <w:t xml:space="preserve"> </w:t>
      </w:r>
      <w:r w:rsidR="00876723" w:rsidRPr="004E7E5A">
        <w:rPr>
          <w:rFonts w:cs="Times New Roman"/>
        </w:rPr>
        <w:t xml:space="preserve">Managers may “green-washing” their firms by issuing CSR reports, but they may not necessarily </w:t>
      </w:r>
      <w:r w:rsidRPr="004E7E5A">
        <w:rPr>
          <w:rFonts w:cs="Times New Roman"/>
        </w:rPr>
        <w:t>devote resources to satisfy the demand for CSR</w:t>
      </w:r>
      <w:r w:rsidRPr="004E7E5A">
        <w:rPr>
          <w:rFonts w:cs="Times New Roman" w:hint="eastAsia"/>
        </w:rPr>
        <w:t xml:space="preserve"> </w:t>
      </w:r>
      <w:r w:rsidR="00876723" w:rsidRPr="004E7E5A">
        <w:rPr>
          <w:rFonts w:cs="Times New Roman"/>
        </w:rPr>
        <w:fldChar w:fldCharType="begin"/>
      </w:r>
      <w:r w:rsidR="001A1175" w:rsidRPr="004E7E5A">
        <w:rPr>
          <w:rFonts w:cs="Times New Roman"/>
        </w:rPr>
        <w:instrText xml:space="preserve"> ADDIN EN.CITE &lt;EndNote&gt;&lt;Cite&gt;&lt;Author&gt;Hemingway&lt;/Author&gt;&lt;Year&gt;2004&lt;/Year&gt;&lt;RecNum&gt;1816&lt;/RecNum&gt;&lt;DisplayText&gt;(Hemingway 2004)&lt;/DisplayText&gt;&lt;record&gt;&lt;rec-number&gt;1816&lt;/rec-number&gt;&lt;foreign-keys&gt;&lt;key app="EN" db-id="trr00pfsbzzex0ezwf6v5swd9fpfpwfa90xp" timestamp="1596787270" guid="c80d001d-906e-41c6-a15c-0593e2a1608c"&gt;1816&lt;/key&gt;&lt;/foreign-keys&gt;&lt;ref-type name="Journal Article"&gt;17&lt;/ref-type&gt;&lt;contributors&gt;&lt;authors&gt;&lt;author&gt;Hemingway, Christine A. , and P. W. Maclagan&lt;/author&gt;&lt;/authors&gt;&lt;/contributors&gt;&lt;titles&gt;&lt;title&gt;Managers&amp;apos; personal values as drivers of corporate social responsibility&lt;/title&gt;&lt;secondary-title&gt;Journal of Business Ethics&lt;/secondary-title&gt;&lt;/titles&gt;&lt;periodical&gt;&lt;full-title&gt;Journal of Business Ethics&lt;/full-title&gt;&lt;/periodical&gt;&lt;pages&gt;33-44&lt;/pages&gt;&lt;volume&gt;50&lt;/volume&gt;&lt;number&gt;1&lt;/number&gt;&lt;dates&gt;&lt;year&gt;2004&lt;/year&gt;&lt;/dates&gt;&lt;urls&gt;&lt;/urls&gt;&lt;/record&gt;&lt;/Cite&gt;&lt;/EndNote&gt;</w:instrText>
      </w:r>
      <w:r w:rsidR="00876723" w:rsidRPr="004E7E5A">
        <w:rPr>
          <w:rFonts w:cs="Times New Roman"/>
        </w:rPr>
        <w:fldChar w:fldCharType="separate"/>
      </w:r>
      <w:r w:rsidR="00876723" w:rsidRPr="004E7E5A">
        <w:rPr>
          <w:rFonts w:cs="Times New Roman"/>
          <w:noProof/>
        </w:rPr>
        <w:t>(Hemingway 2004)</w:t>
      </w:r>
      <w:r w:rsidR="00876723" w:rsidRPr="004E7E5A">
        <w:rPr>
          <w:rFonts w:cs="Times New Roman"/>
        </w:rPr>
        <w:fldChar w:fldCharType="end"/>
      </w:r>
      <w:r w:rsidR="00876723" w:rsidRPr="004E7E5A">
        <w:rPr>
          <w:rFonts w:cs="Times New Roman"/>
        </w:rPr>
        <w:t>. Assurance of sustainability reports (which include CSR reports) is considered an important mechanism to enhance the reliability of CSR</w:t>
      </w:r>
      <w:r w:rsidR="00876723" w:rsidRPr="004E7E5A">
        <w:t xml:space="preserve"> </w:t>
      </w:r>
      <w:r w:rsidR="00876723" w:rsidRPr="004E7E5A">
        <w:rPr>
          <w:rFonts w:cs="Times New Roman"/>
        </w:rPr>
        <w:t xml:space="preserve">reports. Companies seeking to enhance the credibility of their reports and build their corporate reputation are more likely to have their sustainability reports assured </w:t>
      </w:r>
      <w:r w:rsidR="00876723" w:rsidRPr="004E7E5A">
        <w:rPr>
          <w:rFonts w:cs="Times New Roman"/>
        </w:rPr>
        <w:fldChar w:fldCharType="begin"/>
      </w:r>
      <w:r w:rsidR="00317C6A" w:rsidRPr="004E7E5A">
        <w:rPr>
          <w:rFonts w:cs="Times New Roman"/>
        </w:rPr>
        <w:instrText xml:space="preserve"> ADDIN EN.CITE &lt;EndNote&gt;&lt;Cite&gt;&lt;Author&gt;Simnett&lt;/Author&gt;&lt;Year&gt;2009&lt;/Year&gt;&lt;RecNum&gt;2062&lt;/RecNum&gt;&lt;DisplayText&gt;(Simnett et al. 2009)&lt;/DisplayText&gt;&lt;record&gt;&lt;rec-number&gt;2062&lt;/rec-number&gt;&lt;foreign-keys&gt;&lt;key app="EN" db-id="trr00pfsbzzex0ezwf6v5swd9fpfpwfa90xp" timestamp="1627809955" guid="4dc6f8bf-0de1-4269-8813-55d1a3db074b"&gt;2062&lt;/key&gt;&lt;/foreign-keys&gt;&lt;ref-type name="Journal Article"&gt;17&lt;/ref-type&gt;&lt;contributors&gt;&lt;authors&gt;&lt;author&gt;Simnett, R.&lt;/author&gt;&lt;author&gt;Vanstraelen, A.&lt;/author&gt;&lt;author&gt;Chua, W. F.&lt;/author&gt;&lt;/authors&gt;&lt;/contributors&gt;&lt;titles&gt;&lt;title&gt;Assurance on sustainability reports: An international comparison&lt;/title&gt;&lt;secondary-title&gt;The Accounting Review&lt;/secondary-title&gt;&lt;/titles&gt;&lt;periodical&gt;&lt;full-title&gt;The Accounting Review&lt;/full-title&gt;&lt;/periodical&gt;&lt;pages&gt;937-967&lt;/pages&gt;&lt;volume&gt;84&lt;/volume&gt;&lt;number&gt;3&lt;/number&gt;&lt;dates&gt;&lt;year&gt;2009&lt;/year&gt;&lt;/dates&gt;&lt;urls&gt;&lt;/urls&gt;&lt;/record&gt;&lt;/Cite&gt;&lt;/EndNote&gt;</w:instrText>
      </w:r>
      <w:r w:rsidR="00876723" w:rsidRPr="004E7E5A">
        <w:rPr>
          <w:rFonts w:cs="Times New Roman"/>
        </w:rPr>
        <w:fldChar w:fldCharType="separate"/>
      </w:r>
      <w:r w:rsidR="00876723" w:rsidRPr="004E7E5A">
        <w:rPr>
          <w:rFonts w:cs="Times New Roman"/>
          <w:noProof/>
        </w:rPr>
        <w:t>(Simnett et al. 2009)</w:t>
      </w:r>
      <w:r w:rsidR="00876723" w:rsidRPr="004E7E5A">
        <w:rPr>
          <w:rFonts w:cs="Times New Roman"/>
        </w:rPr>
        <w:fldChar w:fldCharType="end"/>
      </w:r>
      <w:r w:rsidR="00876723" w:rsidRPr="004E7E5A">
        <w:rPr>
          <w:rFonts w:cs="Times New Roman"/>
        </w:rPr>
        <w:t xml:space="preserve">, which implies that assurance of sustainability reports could weaken the effect of directors’ network on CSR disclosure quality. Our discussion leads to hypothesis 4: </w:t>
      </w:r>
    </w:p>
    <w:p w14:paraId="226E42D2" w14:textId="77777777" w:rsidR="00876723" w:rsidRPr="004E7E5A" w:rsidRDefault="00876723" w:rsidP="00876723">
      <w:pPr>
        <w:pStyle w:val="a7"/>
        <w:spacing w:line="480" w:lineRule="auto"/>
        <w:ind w:firstLine="482"/>
        <w:rPr>
          <w:rFonts w:cs="Times New Roman"/>
        </w:rPr>
      </w:pPr>
      <w:r w:rsidRPr="004E7E5A">
        <w:rPr>
          <w:rFonts w:cs="Times New Roman"/>
          <w:b/>
          <w:bCs/>
        </w:rPr>
        <w:t>H4:</w:t>
      </w:r>
      <w:r w:rsidRPr="004E7E5A">
        <w:rPr>
          <w:rFonts w:cs="Times New Roman"/>
        </w:rPr>
        <w:t xml:space="preserve"> </w:t>
      </w:r>
      <w:r w:rsidRPr="004E7E5A">
        <w:rPr>
          <w:rFonts w:cs="Times New Roman"/>
          <w:i/>
          <w:iCs/>
        </w:rPr>
        <w:t xml:space="preserve">The positive association between directors’ network centrality and CSR disclosure </w:t>
      </w:r>
      <w:r w:rsidRPr="004E7E5A">
        <w:rPr>
          <w:rFonts w:cs="Times New Roman"/>
          <w:i/>
          <w:iCs/>
        </w:rPr>
        <w:lastRenderedPageBreak/>
        <w:t>quality is weaker when a firm’ CSR report is assured.</w:t>
      </w:r>
    </w:p>
    <w:p w14:paraId="4EF8639B"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t>The Moderating Role of External Punishment Pressure</w:t>
      </w:r>
    </w:p>
    <w:p w14:paraId="5D95FC8A" w14:textId="520D7BAE" w:rsidR="002209EB" w:rsidRPr="004E7E5A" w:rsidRDefault="005E4BB5" w:rsidP="002209EB">
      <w:pPr>
        <w:pStyle w:val="a7"/>
        <w:spacing w:line="480" w:lineRule="auto"/>
        <w:ind w:firstLine="480"/>
        <w:rPr>
          <w:rFonts w:cs="Times New Roman"/>
          <w:shd w:val="clear" w:color="auto" w:fill="FFFFFF"/>
        </w:rPr>
      </w:pPr>
      <w:r w:rsidRPr="004E7E5A">
        <w:rPr>
          <w:rFonts w:cs="Times New Roman"/>
        </w:rPr>
        <w:t>According to resource-based view, additional resources might be required to improve CSR disclosures.</w:t>
      </w:r>
      <w:r w:rsidRPr="004E7E5A">
        <w:rPr>
          <w:rFonts w:cs="Times New Roman" w:hint="eastAsia"/>
        </w:rPr>
        <w:t xml:space="preserve"> </w:t>
      </w:r>
      <w:r w:rsidRPr="004E7E5A">
        <w:rPr>
          <w:rFonts w:cs="Times New Roman"/>
        </w:rPr>
        <w:t>CSR investment may embody the product with socially responsible attributes.</w:t>
      </w:r>
      <w:r w:rsidRPr="004E7E5A">
        <w:rPr>
          <w:rFonts w:cs="Times New Roman" w:hint="eastAsia"/>
        </w:rPr>
        <w:t xml:space="preserve"> </w:t>
      </w:r>
      <w:r w:rsidRPr="004E7E5A">
        <w:rPr>
          <w:rFonts w:cs="Times New Roman"/>
        </w:rPr>
        <w:t xml:space="preserve">CSR may also involve intangible attributes, such as a reputation for quality or reliability </w:t>
      </w:r>
      <w:r w:rsidRPr="004E7E5A">
        <w:rPr>
          <w:rFonts w:cs="Times New Roman"/>
        </w:rPr>
        <w:fldChar w:fldCharType="begin"/>
      </w:r>
      <w:r w:rsidR="006F6C86" w:rsidRPr="004E7E5A">
        <w:rPr>
          <w:rFonts w:cs="Times New Roman"/>
        </w:rPr>
        <w:instrText xml:space="preserve"> ADDIN EN.CITE &lt;EndNote&gt;&lt;Cite&gt;&lt;Author&gt;McWilliams&lt;/Author&gt;&lt;Year&gt;2001&lt;/Year&gt;&lt;RecNum&gt;2321&lt;/RecNum&gt;&lt;DisplayText&gt;(McWilliams and Siegel 2001)&lt;/DisplayText&gt;&lt;record&gt;&lt;rec-number&gt;2321&lt;/rec-number&gt;&lt;foreign-keys&gt;&lt;key app="EN" db-id="trr00pfsbzzex0ezwf6v5swd9fpfpwfa90xp" timestamp="1640264947" guid="5941c37c-f99a-4030-b59f-b1c3e5992713"&gt;2321&lt;/key&gt;&lt;/foreign-keys&gt;&lt;ref-type name="Journal Article"&gt;17&lt;/ref-type&gt;&lt;contributors&gt;&lt;authors&gt;&lt;author&gt;McWilliams, Abagail&lt;/author&gt;&lt;author&gt;Siegel, Donald&lt;/author&gt;&lt;/authors&gt;&lt;/contributors&gt;&lt;titles&gt;&lt;title&gt;Corporate social responsibility: A theory of the firm perspective&lt;/title&gt;&lt;secondary-title&gt;Academy of management review&lt;/secondary-title&gt;&lt;/titles&gt;&lt;periodical&gt;&lt;full-title&gt;Academy of management review&lt;/full-title&gt;&lt;/periodical&gt;&lt;pages&gt;117-127&lt;/pages&gt;&lt;volume&gt;26&lt;/volume&gt;&lt;number&gt;1&lt;/number&gt;&lt;dates&gt;&lt;year&gt;2001&lt;/year&gt;&lt;/dates&gt;&lt;isbn&gt;0363-7425&lt;/isbn&gt;&lt;urls&gt;&lt;/urls&gt;&lt;/record&gt;&lt;/Cite&gt;&lt;/EndNote&gt;</w:instrText>
      </w:r>
      <w:r w:rsidRPr="004E7E5A">
        <w:rPr>
          <w:rFonts w:cs="Times New Roman"/>
        </w:rPr>
        <w:fldChar w:fldCharType="separate"/>
      </w:r>
      <w:r w:rsidRPr="004E7E5A">
        <w:rPr>
          <w:rFonts w:cs="Times New Roman"/>
          <w:noProof/>
        </w:rPr>
        <w:t>(McWilliams and Siegel 2001)</w:t>
      </w:r>
      <w:r w:rsidRPr="004E7E5A">
        <w:rPr>
          <w:rFonts w:cs="Times New Roman"/>
        </w:rPr>
        <w:fldChar w:fldCharType="end"/>
      </w:r>
      <w:r w:rsidRPr="004E7E5A">
        <w:rPr>
          <w:rFonts w:cs="Times New Roman"/>
        </w:rPr>
        <w:t>.</w:t>
      </w:r>
      <w:r w:rsidR="00DB45C0" w:rsidRPr="004E7E5A">
        <w:rPr>
          <w:rFonts w:cs="Times New Roman"/>
        </w:rPr>
        <w:t xml:space="preserve"> Hence, </w:t>
      </w:r>
      <w:r w:rsidR="002209EB" w:rsidRPr="004E7E5A">
        <w:rPr>
          <w:rFonts w:cs="Times New Roman"/>
          <w:shd w:val="clear" w:color="auto" w:fill="FFFFFF"/>
        </w:rPr>
        <w:t xml:space="preserve">CSR engagement can positively influence operating performance and firm value </w:t>
      </w:r>
      <w:r w:rsidR="002209EB" w:rsidRPr="004E7E5A">
        <w:rPr>
          <w:rFonts w:cs="Times New Roman"/>
          <w:shd w:val="clear" w:color="auto" w:fill="FFFFFF"/>
        </w:rPr>
        <w:fldChar w:fldCharType="begin"/>
      </w:r>
      <w:r w:rsidR="001A1175" w:rsidRPr="004E7E5A">
        <w:rPr>
          <w:rFonts w:cs="Times New Roman"/>
          <w:shd w:val="clear" w:color="auto" w:fill="FFFFFF"/>
        </w:rPr>
        <w:instrText xml:space="preserve"> ADDIN EN.CITE &lt;EndNote&gt;&lt;Cite&gt;&lt;Author&gt;Bocquet&lt;/Author&gt;&lt;Year&gt;2017&lt;/Year&gt;&lt;RecNum&gt;1979&lt;/RecNum&gt;&lt;DisplayText&gt;(Bocquet et al. 2017; Porter and Kramer 2006)&lt;/DisplayText&gt;&lt;record&gt;&lt;rec-number&gt;1979&lt;/rec-number&gt;&lt;foreign-keys&gt;&lt;key app="EN" db-id="trr00pfsbzzex0ezwf6v5swd9fpfpwfa90xp" timestamp="1625733656" guid="447083c2-9477-4d2e-a401-af2a402b8dd3"&gt;1979&lt;/key&gt;&lt;/foreign-keys&gt;&lt;ref-type name="Journal Article"&gt;17&lt;/ref-type&gt;&lt;contributors&gt;&lt;authors&gt;&lt;author&gt;Bocquet, Rachel&lt;/author&gt;&lt;author&gt;Le Bas, Christian&lt;/author&gt;&lt;author&gt;Mothe, Caroline&lt;/author&gt;&lt;author&gt;Poussing, Nicolas&lt;/author&gt;&lt;/authors&gt;&lt;/contributors&gt;&lt;titles&gt;&lt;title&gt;CSR, innovation, and firm performance in sluggish growth contexts: A firm-level empirical analysis&lt;/title&gt;&lt;secondary-title&gt;Journal of Business Ethics&lt;/secondary-title&gt;&lt;/titles&gt;&lt;periodical&gt;&lt;full-title&gt;Journal of Business Ethics&lt;/full-title&gt;&lt;/periodical&gt;&lt;pages&gt;241-254&lt;/pages&gt;&lt;volume&gt;146&lt;/volume&gt;&lt;number&gt;1&lt;/number&gt;&lt;dates&gt;&lt;year&gt;2017&lt;/year&gt;&lt;/dates&gt;&lt;urls&gt;&lt;/urls&gt;&lt;/record&gt;&lt;/Cite&gt;&lt;Cite&gt;&lt;Author&gt;Porter&lt;/Author&gt;&lt;Year&gt;2006&lt;/Year&gt;&lt;RecNum&gt;2075&lt;/RecNum&gt;&lt;record&gt;&lt;rec-number&gt;2075&lt;/rec-number&gt;&lt;foreign-keys&gt;&lt;key app="EN" db-id="trr00pfsbzzex0ezwf6v5swd9fpfpwfa90xp" timestamp="1627975819" guid="12e84457-8b39-4653-93bf-5273cbe8ec35"&gt;2075&lt;/key&gt;&lt;/foreign-keys&gt;&lt;ref-type name="Journal Article"&gt;17&lt;/ref-type&gt;&lt;contributors&gt;&lt;authors&gt;&lt;author&gt;Porter, M. E.&lt;/author&gt;&lt;author&gt;Kramer, M. R.&lt;/author&gt;&lt;/authors&gt;&lt;/contributors&gt;&lt;titles&gt;&lt;title&gt;Strategy and society: the link between competitive advantage and corporate social responsibility&lt;/title&gt;&lt;secondary-title&gt;Harvard business review&lt;/secondary-title&gt;&lt;/titles&gt;&lt;periodical&gt;&lt;full-title&gt;Harvard business review&lt;/full-title&gt;&lt;/periodical&gt;&lt;pages&gt;78-92, 163&lt;/pages&gt;&lt;volume&gt;84&lt;/volume&gt;&lt;number&gt;12&lt;/number&gt;&lt;dates&gt;&lt;year&gt;2006&lt;/year&gt;&lt;/dates&gt;&lt;urls&gt;&lt;/urls&gt;&lt;/record&gt;&lt;/Cite&gt;&lt;/EndNote&gt;</w:instrText>
      </w:r>
      <w:r w:rsidR="002209EB" w:rsidRPr="004E7E5A">
        <w:rPr>
          <w:rFonts w:cs="Times New Roman"/>
          <w:shd w:val="clear" w:color="auto" w:fill="FFFFFF"/>
        </w:rPr>
        <w:fldChar w:fldCharType="separate"/>
      </w:r>
      <w:r w:rsidR="00A62214" w:rsidRPr="004E7E5A">
        <w:rPr>
          <w:rFonts w:cs="Times New Roman"/>
          <w:noProof/>
          <w:shd w:val="clear" w:color="auto" w:fill="FFFFFF"/>
        </w:rPr>
        <w:t>(Bocquet et al. 2017; Porter and Kramer 2006)</w:t>
      </w:r>
      <w:r w:rsidR="002209EB" w:rsidRPr="004E7E5A">
        <w:rPr>
          <w:rFonts w:cs="Times New Roman"/>
          <w:shd w:val="clear" w:color="auto" w:fill="FFFFFF"/>
        </w:rPr>
        <w:fldChar w:fldCharType="end"/>
      </w:r>
      <w:r w:rsidR="002209EB" w:rsidRPr="004E7E5A">
        <w:rPr>
          <w:rFonts w:cs="Times New Roman"/>
          <w:shd w:val="clear" w:color="auto" w:fill="FFFFFF"/>
        </w:rPr>
        <w:t xml:space="preserve">, and can help a firm </w:t>
      </w:r>
      <w:r w:rsidR="002209EB" w:rsidRPr="004E7E5A">
        <w:rPr>
          <w:rFonts w:cs="Times New Roman" w:hint="eastAsia"/>
          <w:shd w:val="clear" w:color="auto" w:fill="FFFFFF"/>
        </w:rPr>
        <w:t>r</w:t>
      </w:r>
      <w:r w:rsidR="002209EB" w:rsidRPr="004E7E5A">
        <w:rPr>
          <w:rFonts w:cs="Times New Roman"/>
          <w:shd w:val="clear" w:color="auto" w:fill="FFFFFF"/>
        </w:rPr>
        <w:t xml:space="preserve">epair its reputation after a crisis </w:t>
      </w:r>
      <w:r w:rsidR="002209EB" w:rsidRPr="004E7E5A">
        <w:rPr>
          <w:rFonts w:cs="Times New Roman"/>
          <w:shd w:val="clear" w:color="auto" w:fill="FFFFFF"/>
        </w:rPr>
        <w:fldChar w:fldCharType="begin">
          <w:fldData xml:space="preserve">PEVuZE5vdGU+PENpdGU+PEF1dGhvcj5YaWE8L0F1dGhvcj48WWVhcj4yMDE5PC9ZZWFyPjxSZWNO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</w:fldData>
        </w:fldChar>
      </w:r>
      <w:r w:rsidR="001A1175" w:rsidRPr="004E7E5A">
        <w:rPr>
          <w:rFonts w:cs="Times New Roman"/>
          <w:shd w:val="clear" w:color="auto" w:fill="FFFFFF"/>
        </w:rPr>
        <w:instrText xml:space="preserve"> ADDIN EN.CITE </w:instrText>
      </w:r>
      <w:r w:rsidR="001A1175" w:rsidRPr="004E7E5A">
        <w:rPr>
          <w:rFonts w:cs="Times New Roman"/>
          <w:shd w:val="clear" w:color="auto" w:fill="FFFFFF"/>
        </w:rPr>
        <w:fldChar w:fldCharType="begin">
          <w:fldData xml:space="preserve">PEVuZE5vdGU+PENpdGU+PEF1dGhvcj5YaWE8L0F1dGhvcj48WWVhcj4yMDE5PC9ZZWFyPjxSZWNO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</w:fldData>
        </w:fldChar>
      </w:r>
      <w:r w:rsidR="001A1175" w:rsidRPr="004E7E5A">
        <w:rPr>
          <w:rFonts w:cs="Times New Roman"/>
          <w:shd w:val="clear" w:color="auto" w:fill="FFFFFF"/>
        </w:rPr>
        <w:instrText xml:space="preserve"> ADDIN EN.CITE.DATA </w:instrText>
      </w:r>
      <w:r w:rsidR="001A1175" w:rsidRPr="004E7E5A">
        <w:rPr>
          <w:rFonts w:cs="Times New Roman"/>
          <w:shd w:val="clear" w:color="auto" w:fill="FFFFFF"/>
        </w:rPr>
      </w:r>
      <w:r w:rsidR="001A1175" w:rsidRPr="004E7E5A">
        <w:rPr>
          <w:rFonts w:cs="Times New Roman"/>
          <w:shd w:val="clear" w:color="auto" w:fill="FFFFFF"/>
        </w:rPr>
        <w:fldChar w:fldCharType="end"/>
      </w:r>
      <w:r w:rsidR="002209EB" w:rsidRPr="004E7E5A">
        <w:rPr>
          <w:rFonts w:cs="Times New Roman"/>
          <w:shd w:val="clear" w:color="auto" w:fill="FFFFFF"/>
        </w:rPr>
      </w:r>
      <w:r w:rsidR="002209EB" w:rsidRPr="004E7E5A">
        <w:rPr>
          <w:rFonts w:cs="Times New Roman"/>
          <w:shd w:val="clear" w:color="auto" w:fill="FFFFFF"/>
        </w:rPr>
        <w:fldChar w:fldCharType="separate"/>
      </w:r>
      <w:r w:rsidR="002209EB" w:rsidRPr="004E7E5A">
        <w:rPr>
          <w:rFonts w:cs="Times New Roman"/>
          <w:noProof/>
          <w:shd w:val="clear" w:color="auto" w:fill="FFFFFF"/>
        </w:rPr>
        <w:t>(Xia et al. 2019; Graham et al. 2014)</w:t>
      </w:r>
      <w:r w:rsidR="002209EB" w:rsidRPr="004E7E5A">
        <w:rPr>
          <w:rFonts w:cs="Times New Roman"/>
          <w:shd w:val="clear" w:color="auto" w:fill="FFFFFF"/>
        </w:rPr>
        <w:fldChar w:fldCharType="end"/>
      </w:r>
      <w:r w:rsidR="002209EB" w:rsidRPr="004E7E5A">
        <w:rPr>
          <w:rFonts w:cs="Times New Roman"/>
          <w:shd w:val="clear" w:color="auto" w:fill="FFFFFF"/>
        </w:rPr>
        <w:t xml:space="preserve">. A more serious fraud leads to a severer penalty and is associated with a greater loss of reputation, hence a firm given a severe punishment is expected to promote its reputation through CSR engagement </w:t>
      </w:r>
      <w:r w:rsidR="002209EB" w:rsidRPr="004E7E5A">
        <w:rPr>
          <w:rFonts w:cs="Times New Roman"/>
          <w:shd w:val="clear" w:color="auto" w:fill="FFFFFF"/>
        </w:rPr>
        <w:fldChar w:fldCharType="begin">
          <w:fldData xml:space="preserve">PEVuZE5vdGU+PENpdGU+PEF1dGhvcj5YaWE8L0F1dGhvcj48WWVhcj4yMDE5PC9ZZWFyPjxSZWNO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</w:fldData>
        </w:fldChar>
      </w:r>
      <w:r w:rsidR="001A1175" w:rsidRPr="004E7E5A">
        <w:rPr>
          <w:rFonts w:cs="Times New Roman"/>
          <w:shd w:val="clear" w:color="auto" w:fill="FFFFFF"/>
        </w:rPr>
        <w:instrText xml:space="preserve"> ADDIN EN.CITE </w:instrText>
      </w:r>
      <w:r w:rsidR="001A1175" w:rsidRPr="004E7E5A">
        <w:rPr>
          <w:rFonts w:cs="Times New Roman"/>
          <w:shd w:val="clear" w:color="auto" w:fill="FFFFFF"/>
        </w:rPr>
        <w:fldChar w:fldCharType="begin">
          <w:fldData xml:space="preserve">PEVuZE5vdGU+PENpdGU+PEF1dGhvcj5YaWE8L0F1dGhvcj48WWVhcj4yMDE5PC9ZZWFyPjxSZWNO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</w:fldData>
        </w:fldChar>
      </w:r>
      <w:r w:rsidR="001A1175" w:rsidRPr="004E7E5A">
        <w:rPr>
          <w:rFonts w:cs="Times New Roman"/>
          <w:shd w:val="clear" w:color="auto" w:fill="FFFFFF"/>
        </w:rPr>
        <w:instrText xml:space="preserve"> ADDIN EN.CITE.DATA </w:instrText>
      </w:r>
      <w:r w:rsidR="001A1175" w:rsidRPr="004E7E5A">
        <w:rPr>
          <w:rFonts w:cs="Times New Roman"/>
          <w:shd w:val="clear" w:color="auto" w:fill="FFFFFF"/>
        </w:rPr>
      </w:r>
      <w:r w:rsidR="001A1175" w:rsidRPr="004E7E5A">
        <w:rPr>
          <w:rFonts w:cs="Times New Roman"/>
          <w:shd w:val="clear" w:color="auto" w:fill="FFFFFF"/>
        </w:rPr>
        <w:fldChar w:fldCharType="end"/>
      </w:r>
      <w:r w:rsidR="002209EB" w:rsidRPr="004E7E5A">
        <w:rPr>
          <w:rFonts w:cs="Times New Roman"/>
          <w:shd w:val="clear" w:color="auto" w:fill="FFFFFF"/>
        </w:rPr>
      </w:r>
      <w:r w:rsidR="002209EB" w:rsidRPr="004E7E5A">
        <w:rPr>
          <w:rFonts w:cs="Times New Roman"/>
          <w:shd w:val="clear" w:color="auto" w:fill="FFFFFF"/>
        </w:rPr>
        <w:fldChar w:fldCharType="separate"/>
      </w:r>
      <w:r w:rsidR="002209EB" w:rsidRPr="004E7E5A">
        <w:rPr>
          <w:rFonts w:cs="Times New Roman"/>
          <w:noProof/>
          <w:shd w:val="clear" w:color="auto" w:fill="FFFFFF"/>
        </w:rPr>
        <w:t>(Xia et al. 2019; Graham et al. 2014)</w:t>
      </w:r>
      <w:r w:rsidR="002209EB" w:rsidRPr="004E7E5A">
        <w:rPr>
          <w:rFonts w:cs="Times New Roman"/>
          <w:shd w:val="clear" w:color="auto" w:fill="FFFFFF"/>
        </w:rPr>
        <w:fldChar w:fldCharType="end"/>
      </w:r>
      <w:r w:rsidR="002209EB" w:rsidRPr="004E7E5A">
        <w:rPr>
          <w:rFonts w:cs="Times New Roman"/>
          <w:shd w:val="clear" w:color="auto" w:fill="FFFFFF"/>
        </w:rPr>
        <w:t>. The firm</w:t>
      </w:r>
      <w:r w:rsidR="002209EB" w:rsidRPr="004E7E5A">
        <w:rPr>
          <w:rFonts w:cs="Times New Roman"/>
        </w:rPr>
        <w:t xml:space="preserve"> might make substantive ethical practices after being </w:t>
      </w:r>
      <w:r w:rsidR="002209EB" w:rsidRPr="004E7E5A">
        <w:rPr>
          <w:rFonts w:cs="Times New Roman"/>
          <w:shd w:val="clear" w:color="auto" w:fill="FFFFFF"/>
        </w:rPr>
        <w:t>punished</w:t>
      </w:r>
      <w:r w:rsidR="002209EB" w:rsidRPr="004E7E5A">
        <w:rPr>
          <w:rFonts w:cs="Times New Roman"/>
        </w:rPr>
        <w:t xml:space="preserve"> to prevent further loss of reputational capital </w:t>
      </w:r>
      <w:r w:rsidR="002209EB" w:rsidRPr="004E7E5A">
        <w:rPr>
          <w:rFonts w:cs="Times New Roman"/>
        </w:rPr>
        <w:fldChar w:fldCharType="begin"/>
      </w:r>
      <w:r w:rsidR="006F6C86" w:rsidRPr="004E7E5A">
        <w:rPr>
          <w:rFonts w:cs="Times New Roman"/>
        </w:rPr>
        <w:instrText xml:space="preserve"> ADDIN EN.CITE &lt;EndNote&gt;&lt;Cite&gt;&lt;Author&gt;Xia&lt;/Author&gt;&lt;Year&gt;2019&lt;/Year&gt;&lt;RecNum&gt;2038&lt;/RecNum&gt;&lt;DisplayText&gt;(Xia et al. 2019)&lt;/DisplayText&gt;&lt;record&gt;&lt;rec-number&gt;2038&lt;/rec-number&gt;&lt;foreign-keys&gt;&lt;key app="EN" db-id="trr00pfsbzzex0ezwf6v5swd9fpfpwfa90xp" timestamp="1627454795" guid="72eb9cb4-42b0-46ae-9aca-c1d1dfe92af6"&gt;2038&lt;/key&gt;&lt;/foreign-keys&gt;&lt;ref-type name="Journal Article"&gt;17&lt;/ref-type&gt;&lt;contributors&gt;&lt;authors&gt;&lt;author&gt;Xia, Xue&lt;/author&gt;&lt;author&gt;Teng, Fei&lt;/author&gt;&lt;author&gt;Gu, Xiaolong&lt;/author&gt;&lt;/authors&gt;&lt;/contributors&gt;&lt;titles&gt;&lt;title&gt;Reputation repair and corporate donations: An investigation of responses to regulatory penalties&lt;/title&gt;&lt;secondary-title&gt;China Journal of Accounting Research&lt;/secondary-title&gt;&lt;/titles&gt;&lt;periodical&gt;&lt;full-title&gt;China Journal of Accounting Research&lt;/full-title&gt;&lt;/periodical&gt;&lt;pages&gt;293-313&lt;/pages&gt;&lt;volume&gt;12&lt;/volume&gt;&lt;number&gt;3&lt;/number&gt;&lt;keywords&gt;&lt;keyword&gt;Regulatory penalty&lt;/keyword&gt;&lt;keyword&gt;Donation&lt;/keyword&gt;&lt;keyword&gt;Reputation repair&lt;/keyword&gt;&lt;/keywords&gt;&lt;dates&gt;&lt;year&gt;2019&lt;/year&gt;&lt;pub-dates&gt;&lt;date&gt;2019/09/01/&lt;/date&gt;&lt;/pub-dates&gt;&lt;/dates&gt;&lt;isbn&gt;1755-3091&lt;/isbn&gt;&lt;urls&gt;&lt;related-urls&gt;&lt;url&gt;https://www.sciencedirect.com/science/article/pii/S1755309118302508&lt;/url&gt;&lt;/related-urls&gt;&lt;/urls&gt;&lt;electronic-resource-num&gt;https://doi.org/10.1016/j.cjar.2019.06.001&lt;/electronic-resource-num&gt;&lt;/record&gt;&lt;/Cite&gt;&lt;/EndNote&gt;</w:instrText>
      </w:r>
      <w:r w:rsidR="002209EB" w:rsidRPr="004E7E5A">
        <w:rPr>
          <w:rFonts w:cs="Times New Roman"/>
        </w:rPr>
        <w:fldChar w:fldCharType="separate"/>
      </w:r>
      <w:r w:rsidR="002209EB" w:rsidRPr="004E7E5A">
        <w:rPr>
          <w:rFonts w:cs="Times New Roman"/>
          <w:noProof/>
        </w:rPr>
        <w:t>(Xia et al. 2019)</w:t>
      </w:r>
      <w:r w:rsidR="002209EB" w:rsidRPr="004E7E5A">
        <w:rPr>
          <w:rFonts w:cs="Times New Roman"/>
        </w:rPr>
        <w:fldChar w:fldCharType="end"/>
      </w:r>
      <w:r w:rsidR="002209EB" w:rsidRPr="004E7E5A">
        <w:rPr>
          <w:rFonts w:cs="Times New Roman"/>
        </w:rPr>
        <w:t>.</w:t>
      </w:r>
      <w:r w:rsidR="002209EB" w:rsidRPr="004E7E5A">
        <w:rPr>
          <w:rFonts w:cs="Times New Roman"/>
          <w:shd w:val="clear" w:color="auto" w:fill="FFFFFF"/>
        </w:rPr>
        <w:t xml:space="preserve"> </w:t>
      </w:r>
      <w:r w:rsidR="002209EB" w:rsidRPr="004E7E5A">
        <w:rPr>
          <w:rFonts w:cs="Times New Roman"/>
        </w:rPr>
        <w:t>Therefore, we argue that directors’ decisions on CSR are influenced by the pressure of punishment, and the positive effect of directors’ network on CSR disclosure quality is strengthened in the presence of external punishment pressure. Therefore, we propose hypothesis 5.</w:t>
      </w:r>
    </w:p>
    <w:p w14:paraId="5E062B93" w14:textId="77777777" w:rsidR="002209EB" w:rsidRPr="004E7E5A" w:rsidRDefault="002209EB" w:rsidP="002209EB">
      <w:pPr>
        <w:pStyle w:val="a7"/>
        <w:spacing w:line="480" w:lineRule="auto"/>
        <w:ind w:firstLine="482"/>
        <w:rPr>
          <w:rFonts w:cs="Times New Roman"/>
        </w:rPr>
      </w:pPr>
      <w:r w:rsidRPr="004E7E5A">
        <w:rPr>
          <w:rFonts w:cs="Times New Roman"/>
          <w:b/>
          <w:bCs/>
        </w:rPr>
        <w:t>H5:</w:t>
      </w:r>
      <w:r w:rsidRPr="004E7E5A">
        <w:rPr>
          <w:rFonts w:cs="Times New Roman"/>
        </w:rPr>
        <w:t xml:space="preserve"> </w:t>
      </w:r>
      <w:r w:rsidRPr="004E7E5A">
        <w:rPr>
          <w:rFonts w:cs="Times New Roman"/>
          <w:i/>
          <w:iCs/>
        </w:rPr>
        <w:t>The positive association between directors’ network centrality and CSR disclosure quality is stronger when a firm has higher external punishment pressure.</w:t>
      </w:r>
    </w:p>
    <w:p w14:paraId="371EFFB5"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t>The Moderating Role of Financial Constraints</w:t>
      </w:r>
    </w:p>
    <w:p w14:paraId="675A3EF3" w14:textId="6BB47493" w:rsidR="002209EB" w:rsidRPr="004E7E5A" w:rsidRDefault="002209EB" w:rsidP="002209EB">
      <w:pPr>
        <w:pStyle w:val="a7"/>
        <w:spacing w:line="480" w:lineRule="auto"/>
        <w:ind w:firstLine="480"/>
        <w:rPr>
          <w:rFonts w:cs="Times New Roman"/>
        </w:rPr>
      </w:pPr>
      <w:r w:rsidRPr="004E7E5A">
        <w:rPr>
          <w:rFonts w:cs="Times New Roman"/>
        </w:rPr>
        <w:t>Effective CSR strategies requires investments of both financial</w:t>
      </w:r>
      <w:r w:rsidR="006546DA" w:rsidRPr="004E7E5A">
        <w:rPr>
          <w:rFonts w:cs="Times New Roman"/>
        </w:rPr>
        <w:t xml:space="preserve"> </w:t>
      </w:r>
      <w:r w:rsidRPr="004E7E5A">
        <w:rPr>
          <w:rFonts w:cs="Times New Roman"/>
        </w:rPr>
        <w:t>and non-</w:t>
      </w:r>
      <w:proofErr w:type="spellStart"/>
      <w:r w:rsidRPr="004E7E5A">
        <w:rPr>
          <w:rFonts w:cs="Times New Roman"/>
        </w:rPr>
        <w:t>finanical</w:t>
      </w:r>
      <w:proofErr w:type="spellEnd"/>
      <w:r w:rsidRPr="004E7E5A">
        <w:rPr>
          <w:rFonts w:cs="Times New Roman"/>
        </w:rPr>
        <w:t xml:space="preserve"> resources </w:t>
      </w:r>
      <w:r w:rsidRPr="004E7E5A">
        <w:rPr>
          <w:rFonts w:cs="Times New Roman"/>
        </w:rPr>
        <w:fldChar w:fldCharType="begin"/>
      </w:r>
      <w:r w:rsidR="006F6C86" w:rsidRPr="004E7E5A">
        <w:rPr>
          <w:rFonts w:cs="Times New Roman"/>
        </w:rPr>
        <w:instrText xml:space="preserve"> ADDIN EN.CITE &lt;EndNote&gt;&lt;Cite&gt;&lt;Author&gt;Sharma&lt;/Author&gt;&lt;Year&gt;1998&lt;/Year&gt;&lt;RecNum&gt;2250&lt;/RecNum&gt;&lt;DisplayText&gt;(Sharma and Vredenburg 1998; Bansal 2005)&lt;/DisplayText&gt;&lt;record&gt;&lt;rec-number&gt;2250&lt;/rec-number&gt;&lt;foreign-keys&gt;&lt;key app="EN" db-id="trr00pfsbzzex0ezwf6v5swd9fpfpwfa90xp" timestamp="1638412488" guid="bfda0930-21d2-49c4-8675-4d5516a35b14"&gt;2250&lt;/key&gt;&lt;/foreign-keys&gt;&lt;ref-type name="Journal Article"&gt;17&lt;/ref-type&gt;&lt;contributors&gt;&lt;authors&gt;&lt;author&gt;Sharma, Sanjay&lt;/author&gt;&lt;author&gt;Vredenburg, Harrie&lt;/author&gt;&lt;/authors&gt;&lt;/contributors&gt;&lt;titles&gt;&lt;title&gt;Proactive corporate environmental strategy and the development of competitively valuable organizational capabilities&lt;/title&gt;&lt;secondary-title&gt;Strategic management journal&lt;/secondary-title&gt;&lt;/titles&gt;&lt;periodical&gt;&lt;full-title&gt;Strategic Management Journal&lt;/full-title&gt;&lt;/periodical&gt;&lt;pages&gt;729-753&lt;/pages&gt;&lt;volume&gt;19&lt;/volume&gt;&lt;number&gt;8&lt;/number&gt;&lt;dates&gt;&lt;year&gt;1998&lt;/year&gt;&lt;/dates&gt;&lt;isbn&gt;0143-2095&lt;/isbn&gt;&lt;urls&gt;&lt;/urls&gt;&lt;/record&gt;&lt;/Cite&gt;&lt;Cite&gt;&lt;Author&gt;Bansal&lt;/Author&gt;&lt;Year&gt;2005&lt;/Year&gt;&lt;RecNum&gt;2249&lt;/RecNum&gt;&lt;record&gt;&lt;rec-number&gt;2249&lt;/rec-number&gt;&lt;foreign-keys&gt;&lt;key app="EN" db-id="trr00pfsbzzex0ezwf6v5swd9fpfpwfa90xp" timestamp="1638410913" guid="aef4ce10-8dcf-460e-aa80-b018031cf200"&gt;2249&lt;/key&gt;&lt;/foreign-keys&gt;&lt;ref-type name="Journal Article"&gt;17&lt;/ref-type&gt;&lt;contributors&gt;&lt;authors&gt;&lt;author&gt;Bansal, Pratima&lt;/author&gt;&lt;/authors&gt;&lt;/contributors&gt;&lt;titles&gt;&lt;title&gt;Evolving sustainably: A longitudinal study of corporate sustainable development&lt;/title&gt;&lt;secondary-title&gt;Strategic management journal&lt;/secondary-title&gt;&lt;/titles&gt;&lt;periodical&gt;&lt;full-title&gt;Strategic Management Journal&lt;/full-title&gt;&lt;/periodical&gt;&lt;pages&gt;197-218&lt;/pages&gt;&lt;volume&gt;26&lt;/volume&gt;&lt;number&gt;3&lt;/number&gt;&lt;dates&gt;&lt;year&gt;2005&lt;/year&gt;&lt;/dates&gt;&lt;isbn&gt;0143-2095&lt;/isbn&gt;&lt;urls&gt;&lt;/urls&gt;&lt;/record&gt;&lt;/Cite&gt;&lt;/EndNote&gt;</w:instrText>
      </w:r>
      <w:r w:rsidRPr="004E7E5A">
        <w:rPr>
          <w:rFonts w:cs="Times New Roman"/>
        </w:rPr>
        <w:fldChar w:fldCharType="separate"/>
      </w:r>
      <w:r w:rsidRPr="004E7E5A">
        <w:rPr>
          <w:rFonts w:cs="Times New Roman"/>
          <w:noProof/>
        </w:rPr>
        <w:t>(Sharma and Vredenburg 1998; Bansal 2005)</w:t>
      </w:r>
      <w:r w:rsidRPr="004E7E5A">
        <w:rPr>
          <w:rFonts w:cs="Times New Roman"/>
        </w:rPr>
        <w:fldChar w:fldCharType="end"/>
      </w:r>
      <w:r w:rsidRPr="004E7E5A">
        <w:rPr>
          <w:rFonts w:cs="Times New Roman"/>
        </w:rPr>
        <w:t xml:space="preserve">. Financially constrained firms have to cut expenditure and their inability to borrow externally forced then to bypass attractive investment opportunities </w:t>
      </w:r>
      <w:r w:rsidRPr="004E7E5A">
        <w:rPr>
          <w:rFonts w:cs="Times New Roman"/>
        </w:rPr>
        <w:fldChar w:fldCharType="begin"/>
      </w:r>
      <w:r w:rsidR="006F6C86" w:rsidRPr="004E7E5A">
        <w:rPr>
          <w:rFonts w:cs="Times New Roman"/>
        </w:rPr>
        <w:instrText xml:space="preserve"> ADDIN EN.CITE &lt;EndNote&gt;&lt;Cite&gt;&lt;Author&gt;Campello&lt;/Author&gt;&lt;Year&gt;2010&lt;/Year&gt;&lt;RecNum&gt;2242&lt;/RecNum&gt;&lt;DisplayText&gt;(Campello et al. 2010)&lt;/DisplayText&gt;&lt;record&gt;&lt;rec-number&gt;2242&lt;/rec-number&gt;&lt;foreign-keys&gt;&lt;key app="EN" db-id="trr00pfsbzzex0ezwf6v5swd9fpfpwfa90xp" timestamp="1638348602" guid="c7360236-f08e-4300-8d22-8b0ec6633fff"&gt;2242&lt;/key&gt;&lt;/foreign-keys&gt;&lt;ref-type name="Journal Article"&gt;17&lt;/ref-type&gt;&lt;contributors&gt;&lt;authors&gt;&lt;author&gt;Campello, Murillo&lt;/author&gt;&lt;author&gt;Graham, John R&lt;/author&gt;&lt;author&gt;Harvey, Campbell R&lt;/author&gt;&lt;/authors&gt;&lt;/contributors&gt;&lt;titles&gt;&lt;title&gt;The real effects of financial constraints: Evidence from a financial crisis&lt;/title&gt;&lt;secondary-title&gt;Journal of financial Economics&lt;/secondary-title&gt;&lt;/titles&gt;&lt;periodical&gt;&lt;full-title&gt;Journal of Financial Economics&lt;/full-title&gt;&lt;/periodical&gt;&lt;pages&gt;470-487&lt;/pages&gt;&lt;volume&gt;97&lt;/volume&gt;&lt;number&gt;3&lt;/number&gt;&lt;dates&gt;&lt;year&gt;2010&lt;/year&gt;&lt;/dates&gt;&lt;isbn&gt;0304-405X&lt;/isbn&gt;&lt;urls&gt;&lt;/urls&gt;&lt;/record&gt;&lt;/Cite&gt;&lt;/EndNote&gt;</w:instrText>
      </w:r>
      <w:r w:rsidRPr="004E7E5A">
        <w:rPr>
          <w:rFonts w:cs="Times New Roman"/>
        </w:rPr>
        <w:fldChar w:fldCharType="separate"/>
      </w:r>
      <w:r w:rsidRPr="004E7E5A">
        <w:rPr>
          <w:rFonts w:cs="Times New Roman"/>
          <w:noProof/>
        </w:rPr>
        <w:t>(Campello et al. 2010)</w:t>
      </w:r>
      <w:r w:rsidRPr="004E7E5A">
        <w:rPr>
          <w:rFonts w:cs="Times New Roman"/>
        </w:rPr>
        <w:fldChar w:fldCharType="end"/>
      </w:r>
      <w:r w:rsidRPr="004E7E5A">
        <w:rPr>
          <w:rFonts w:cs="Times New Roman"/>
        </w:rPr>
        <w:t xml:space="preserve">. Similarly, financial constraints may influence </w:t>
      </w:r>
      <w:r w:rsidRPr="004E7E5A">
        <w:rPr>
          <w:rFonts w:cs="Times New Roman"/>
        </w:rPr>
        <w:lastRenderedPageBreak/>
        <w:t>directors’ decisions on investments in CSR. We expect that directors’ ability to invest on CSR is limited by financial constraints, and the positive effect of directors’ network on CSR disclosure quality is weakened by financial constraints. Therefore, we propose hypothesis 6 as follows:</w:t>
      </w:r>
    </w:p>
    <w:p w14:paraId="0C2DDA3B" w14:textId="77777777" w:rsidR="002209EB" w:rsidRPr="004E7E5A" w:rsidRDefault="002209EB" w:rsidP="002209EB">
      <w:pPr>
        <w:pStyle w:val="a7"/>
        <w:spacing w:line="480" w:lineRule="auto"/>
        <w:ind w:firstLine="482"/>
        <w:rPr>
          <w:rFonts w:cs="Times New Roman"/>
          <w:i/>
          <w:iCs/>
        </w:rPr>
      </w:pPr>
      <w:r w:rsidRPr="004E7E5A">
        <w:rPr>
          <w:rFonts w:cs="Times New Roman"/>
          <w:b/>
          <w:bCs/>
        </w:rPr>
        <w:t>H6:</w:t>
      </w:r>
      <w:r w:rsidRPr="004E7E5A">
        <w:rPr>
          <w:rFonts w:cs="Times New Roman"/>
        </w:rPr>
        <w:t xml:space="preserve"> </w:t>
      </w:r>
      <w:r w:rsidRPr="004E7E5A">
        <w:rPr>
          <w:rFonts w:cs="Times New Roman"/>
          <w:i/>
          <w:iCs/>
        </w:rPr>
        <w:t>The positive association between directors’ network centrality and CSR disclosure quality is weaker when a firm is financially constrained.</w:t>
      </w:r>
    </w:p>
    <w:p w14:paraId="3E4F7716" w14:textId="77777777" w:rsidR="00746786" w:rsidRPr="004E7E5A" w:rsidRDefault="00746786" w:rsidP="00746786">
      <w:pPr>
        <w:pStyle w:val="a5"/>
        <w:rPr>
          <w:rFonts w:ascii="Times New Roman" w:hAnsi="Times New Roman" w:cs="Times New Roman"/>
          <w:color w:val="000000" w:themeColor="text1"/>
          <w:szCs w:val="28"/>
        </w:rPr>
      </w:pPr>
      <w:r w:rsidRPr="004E7E5A">
        <w:rPr>
          <w:rFonts w:ascii="Times New Roman" w:hAnsi="Times New Roman" w:cs="Times New Roman"/>
          <w:color w:val="000000" w:themeColor="text1"/>
          <w:szCs w:val="28"/>
        </w:rPr>
        <w:t xml:space="preserve">Sample and Research Design </w:t>
      </w:r>
    </w:p>
    <w:p w14:paraId="09986EFF" w14:textId="77777777" w:rsidR="00746786" w:rsidRPr="004E7E5A" w:rsidRDefault="00746786" w:rsidP="00746786">
      <w:pPr>
        <w:pStyle w:val="4"/>
        <w:spacing w:before="0" w:after="0" w:line="480" w:lineRule="auto"/>
        <w:jc w:val="left"/>
        <w:rPr>
          <w:color w:val="000000" w:themeColor="text1"/>
        </w:rPr>
      </w:pPr>
      <w:r w:rsidRPr="004E7E5A">
        <w:rPr>
          <w:color w:val="000000" w:themeColor="text1"/>
        </w:rPr>
        <w:t xml:space="preserve">Sample </w:t>
      </w:r>
    </w:p>
    <w:p w14:paraId="37E6E49C" w14:textId="52431979" w:rsidR="00746786" w:rsidRPr="004E7E5A" w:rsidRDefault="00746786" w:rsidP="00746786">
      <w:pPr>
        <w:pStyle w:val="a7"/>
        <w:spacing w:line="480" w:lineRule="auto"/>
        <w:ind w:firstLine="480"/>
        <w:rPr>
          <w:rFonts w:cs="Times New Roman"/>
        </w:rPr>
      </w:pPr>
      <w:r w:rsidRPr="004E7E5A">
        <w:rPr>
          <w:rFonts w:cs="Times New Roman"/>
        </w:rPr>
        <w:t>Our sample comprises 3986 observations for 833 firms over the period 2010-2018,</w:t>
      </w:r>
      <w:r w:rsidRPr="004E7E5A">
        <w:rPr>
          <w:rFonts w:eastAsia="Times New Roman" w:cs="Times New Roman"/>
          <w:szCs w:val="24"/>
        </w:rPr>
        <w:t xml:space="preserve"> including </w:t>
      </w:r>
      <w:r w:rsidRPr="004E7E5A">
        <w:rPr>
          <w:rFonts w:cs="Times New Roman"/>
          <w:szCs w:val="24"/>
          <w:lang w:val="en-AU"/>
        </w:rPr>
        <w:t xml:space="preserve">473 </w:t>
      </w:r>
      <w:r w:rsidRPr="004E7E5A">
        <w:rPr>
          <w:rFonts w:eastAsia="Times New Roman" w:cs="Times New Roman"/>
          <w:szCs w:val="24"/>
        </w:rPr>
        <w:t>state-owned firms and 360 non-state-owned firms</w:t>
      </w:r>
      <w:r w:rsidRPr="004E7E5A">
        <w:rPr>
          <w:rFonts w:cs="Times New Roman"/>
        </w:rPr>
        <w:t>.</w:t>
      </w:r>
      <w:r w:rsidRPr="004E7E5A">
        <w:rPr>
          <w:rStyle w:val="af4"/>
          <w:rFonts w:cs="Times New Roman"/>
        </w:rPr>
        <w:footnoteReference w:id="6"/>
      </w:r>
      <w:r w:rsidRPr="004E7E5A">
        <w:rPr>
          <w:rFonts w:cs="Times New Roman"/>
        </w:rPr>
        <w:t xml:space="preserve"> Our sample is limited to firms with the data on CSR disclosure</w:t>
      </w:r>
      <w:r w:rsidRPr="004E7E5A">
        <w:rPr>
          <w:rFonts w:cs="Times New Roman"/>
          <w:szCs w:val="24"/>
          <w:shd w:val="clear" w:color="auto" w:fill="FFFFFF"/>
        </w:rPr>
        <w:t xml:space="preserve"> quality</w:t>
      </w:r>
      <w:r w:rsidRPr="004E7E5A">
        <w:rPr>
          <w:rFonts w:cs="Times New Roman"/>
        </w:rPr>
        <w:t xml:space="preserve"> provided by Rankins (RKS). We start our sample in 2010 for two reasons. First, in January 2008, the State-owned Assets and Administration Commission of the State Council issued the </w:t>
      </w:r>
      <w:r w:rsidRPr="004E7E5A">
        <w:rPr>
          <w:rFonts w:cs="Times New Roman"/>
          <w:szCs w:val="24"/>
        </w:rPr>
        <w:t xml:space="preserve">Guideline of CSR for </w:t>
      </w:r>
      <w:r w:rsidR="004720BB" w:rsidRPr="004E7E5A">
        <w:rPr>
          <w:rFonts w:cs="Times New Roman"/>
          <w:szCs w:val="24"/>
        </w:rPr>
        <w:t>s</w:t>
      </w:r>
      <w:r w:rsidRPr="004E7E5A">
        <w:rPr>
          <w:rFonts w:cs="Times New Roman"/>
          <w:szCs w:val="24"/>
        </w:rPr>
        <w:t>tate-owned-enterprises controlled by the central government</w:t>
      </w:r>
      <w:r w:rsidRPr="004E7E5A">
        <w:rPr>
          <w:rFonts w:cs="Times New Roman"/>
        </w:rPr>
        <w:t xml:space="preserve">. A large number of SOEs began to issue CSR reports in 2008. Collecting CSR data from 2010 enables us to alleviate the impact of this policy on CSR reporting. Second, RKS changed its ranking system of CSR disclosure quality in 2010, so collecting CSR data from 2010 maintains consistency. </w:t>
      </w:r>
    </w:p>
    <w:p w14:paraId="2FDD0273" w14:textId="77777777" w:rsidR="00746786" w:rsidRPr="004E7E5A" w:rsidRDefault="00746786" w:rsidP="00746786">
      <w:pPr>
        <w:pStyle w:val="a7"/>
        <w:spacing w:line="480" w:lineRule="auto"/>
        <w:ind w:firstLine="480"/>
        <w:rPr>
          <w:rFonts w:cs="Times New Roman"/>
        </w:rPr>
      </w:pPr>
      <w:r w:rsidRPr="004E7E5A">
        <w:rPr>
          <w:rFonts w:cs="Times New Roman"/>
        </w:rPr>
        <w:t xml:space="preserve">We construct the sample according to the following criteria: 1) we exclude financial companies; 2) we delete the observations with asset liability ratio greater than 1; 3) we eliminate listed companies that are specially treated (ST) or warned of delisting risk by stock exchanges </w:t>
      </w:r>
      <w:r w:rsidRPr="004E7E5A">
        <w:rPr>
          <w:rFonts w:cs="Times New Roman"/>
        </w:rPr>
        <w:lastRenderedPageBreak/>
        <w:t xml:space="preserve">(ST*); 4) we eliminate listed companies that lack data; 5) we exclude listed companies within one year of IPO; 6) we </w:t>
      </w:r>
      <w:proofErr w:type="spellStart"/>
      <w:r w:rsidRPr="004E7E5A">
        <w:rPr>
          <w:rFonts w:cs="Times New Roman"/>
        </w:rPr>
        <w:t>winsorize</w:t>
      </w:r>
      <w:proofErr w:type="spellEnd"/>
      <w:r w:rsidRPr="004E7E5A">
        <w:rPr>
          <w:rFonts w:cs="Times New Roman"/>
        </w:rPr>
        <w:t xml:space="preserve"> all continuous variables at the 1 and 99 percentiles in order to mitigate the influence of outliers on the results.</w:t>
      </w:r>
      <w:r w:rsidRPr="004E7E5A">
        <w:rPr>
          <w:rStyle w:val="af4"/>
          <w:rFonts w:cs="Times New Roman"/>
        </w:rPr>
        <w:footnoteReference w:id="7"/>
      </w:r>
      <w:r w:rsidRPr="004E7E5A">
        <w:rPr>
          <w:rFonts w:cs="Times New Roman"/>
        </w:rPr>
        <w:t xml:space="preserve"> </w:t>
      </w:r>
    </w:p>
    <w:p w14:paraId="4CB3BE15" w14:textId="77777777" w:rsidR="00746786" w:rsidRPr="004E7E5A" w:rsidRDefault="00746786" w:rsidP="00746786">
      <w:pPr>
        <w:pStyle w:val="a7"/>
        <w:spacing w:line="480" w:lineRule="auto"/>
        <w:ind w:firstLine="480"/>
        <w:rPr>
          <w:rFonts w:cs="Times New Roman"/>
        </w:rPr>
      </w:pPr>
      <w:r w:rsidRPr="004E7E5A">
        <w:rPr>
          <w:rFonts w:cs="Times New Roman"/>
        </w:rPr>
        <w:t xml:space="preserve">We collect data from multiple sources: 1) the CSR disclosure quality data from RKS CSR Ratings; 2) the data of directors’ network and other financial data from Chinese Stock Market Trading Database (CSMAR); 3) other data from the annual report of listed companies, </w:t>
      </w:r>
      <w:proofErr w:type="spellStart"/>
      <w:r w:rsidRPr="004E7E5A">
        <w:rPr>
          <w:rFonts w:cs="Times New Roman"/>
        </w:rPr>
        <w:t>Sina</w:t>
      </w:r>
      <w:proofErr w:type="spellEnd"/>
      <w:r w:rsidRPr="004E7E5A">
        <w:rPr>
          <w:rFonts w:cs="Times New Roman"/>
        </w:rPr>
        <w:t xml:space="preserve"> finance, official websites of government departments, and Baidu. We used </w:t>
      </w:r>
      <w:proofErr w:type="spellStart"/>
      <w:r w:rsidRPr="004E7E5A">
        <w:rPr>
          <w:rFonts w:cs="Times New Roman"/>
        </w:rPr>
        <w:t>Pajek</w:t>
      </w:r>
      <w:proofErr w:type="spellEnd"/>
      <w:r w:rsidRPr="004E7E5A">
        <w:rPr>
          <w:rFonts w:cs="Times New Roman"/>
        </w:rPr>
        <w:t xml:space="preserve"> to calculate centrality and Stata15.1 for data analysis.</w:t>
      </w:r>
    </w:p>
    <w:p w14:paraId="26901056" w14:textId="77777777" w:rsidR="00746786" w:rsidRPr="004E7E5A" w:rsidRDefault="00746786" w:rsidP="00746786">
      <w:pPr>
        <w:pStyle w:val="4"/>
        <w:spacing w:before="0" w:after="0" w:line="480" w:lineRule="auto"/>
        <w:jc w:val="left"/>
        <w:rPr>
          <w:color w:val="000000" w:themeColor="text1"/>
        </w:rPr>
      </w:pPr>
      <w:r w:rsidRPr="004E7E5A">
        <w:rPr>
          <w:color w:val="000000" w:themeColor="text1"/>
        </w:rPr>
        <w:t xml:space="preserve">Measure of </w:t>
      </w:r>
      <w:r w:rsidRPr="004E7E5A">
        <w:rPr>
          <w:color w:val="000000" w:themeColor="text1"/>
          <w:szCs w:val="24"/>
          <w:shd w:val="clear" w:color="auto" w:fill="FFFFFF"/>
        </w:rPr>
        <w:t>CSR Disclosure Quality</w:t>
      </w:r>
    </w:p>
    <w:p w14:paraId="7FCF6B83" w14:textId="19B47BAE" w:rsidR="00746786" w:rsidRPr="004E7E5A" w:rsidRDefault="00746786" w:rsidP="00746786">
      <w:pPr>
        <w:pStyle w:val="a7"/>
        <w:spacing w:line="480" w:lineRule="auto"/>
        <w:ind w:firstLine="480"/>
        <w:rPr>
          <w:rFonts w:cs="Times New Roman"/>
        </w:rPr>
      </w:pPr>
      <w:r w:rsidRPr="004E7E5A">
        <w:rPr>
          <w:rFonts w:cs="Times New Roman"/>
        </w:rPr>
        <w:t xml:space="preserve">The dependent variable in this study is </w:t>
      </w:r>
      <w:r w:rsidRPr="004E7E5A">
        <w:rPr>
          <w:rFonts w:cs="Times New Roman"/>
          <w:szCs w:val="24"/>
          <w:shd w:val="clear" w:color="auto" w:fill="FFFFFF"/>
        </w:rPr>
        <w:t xml:space="preserve">CSR disclosure quality </w:t>
      </w:r>
      <w:r w:rsidRPr="004E7E5A">
        <w:rPr>
          <w:rFonts w:cs="Times New Roman"/>
          <w:szCs w:val="20"/>
        </w:rPr>
        <w:t>(</w:t>
      </w:r>
      <w:proofErr w:type="spellStart"/>
      <w:r w:rsidRPr="004E7E5A">
        <w:rPr>
          <w:rFonts w:cs="Times New Roman"/>
          <w:i/>
          <w:iCs/>
          <w:szCs w:val="20"/>
        </w:rPr>
        <w:t>Csr</w:t>
      </w:r>
      <w:proofErr w:type="spellEnd"/>
      <w:r w:rsidRPr="004E7E5A">
        <w:rPr>
          <w:rFonts w:cs="Times New Roman"/>
          <w:szCs w:val="20"/>
        </w:rPr>
        <w:t>)</w:t>
      </w:r>
      <w:r w:rsidRPr="004E7E5A">
        <w:rPr>
          <w:rFonts w:cs="Times New Roman"/>
        </w:rPr>
        <w:t xml:space="preserve">. Following prior literature </w:t>
      </w:r>
      <w:r w:rsidRPr="004E7E5A">
        <w:rPr>
          <w:rFonts w:cs="Times New Roman"/>
        </w:rPr>
        <w:fldChar w:fldCharType="begin"/>
      </w:r>
      <w:r w:rsidR="001A1175" w:rsidRPr="004E7E5A">
        <w:rPr>
          <w:rFonts w:cs="Times New Roman"/>
        </w:rPr>
        <w:instrText xml:space="preserve"> ADDIN EN.CITE &lt;EndNote&gt;&lt;Cite&gt;&lt;Author&gt;Marquis&lt;/Author&gt;&lt;Year&gt;2014&lt;/Year&gt;&lt;RecNum&gt;1620&lt;/RecNum&gt;&lt;DisplayText&gt;(Marquis and Qian 2014; Liao et al. 2016)&lt;/DisplayText&gt;&lt;record&gt;&lt;rec-number&gt;1620&lt;/rec-number&gt;&lt;foreign-keys&gt;&lt;key app="EN" db-id="trr00pfsbzzex0ezwf6v5swd9fpfpwfa90xp" timestamp="1581337202" guid="e5f6383e-c2f8-4b88-af50-cfc44695e8a1"&gt;1620&lt;/key&gt;&lt;/foreign-keys&gt;&lt;ref-type name="Journal Article"&gt;17&lt;/ref-type&gt;&lt;contributors&gt;&lt;authors&gt;&lt;author&gt;Marquis, Christopher&lt;/author&gt;&lt;author&gt;Qian, Cuili&lt;/author&gt;&lt;/authors&gt;&lt;/contributors&gt;&lt;titles&gt;&lt;title&gt;Corporate social responsibility reporting in China: Symbol or substance?&lt;/title&gt;&lt;secondary-title&gt;Organization Science&lt;/secondary-title&gt;&lt;/titles&gt;&lt;periodical&gt;&lt;full-title&gt;Organization Science&lt;/full-title&gt;&lt;/periodical&gt;&lt;pages&gt;127-148&lt;/pages&gt;&lt;volume&gt;25&lt;/volume&gt;&lt;number&gt;1&lt;/number&gt;&lt;section&gt;127&lt;/section&gt;&lt;dates&gt;&lt;year&gt;2014&lt;/year&gt;&lt;/dates&gt;&lt;isbn&gt;1047-7039&amp;#xD;1526-5455&lt;/isbn&gt;&lt;urls&gt;&lt;/urls&gt;&lt;electronic-resource-num&gt;10.1287/orsc.2013.0837&lt;/electronic-resource-num&gt;&lt;/record&gt;&lt;/Cite&gt;&lt;Cite&gt;&lt;Author&gt;Liao&lt;/Author&gt;&lt;Year&gt;2016&lt;/Year&gt;&lt;RecNum&gt;318&lt;/RecNum&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rPr>
        <w:fldChar w:fldCharType="separate"/>
      </w:r>
      <w:r w:rsidRPr="004E7E5A">
        <w:rPr>
          <w:rFonts w:cs="Times New Roman"/>
          <w:noProof/>
        </w:rPr>
        <w:t>(Marquis and Qian 2014; Liao et al. 2016)</w:t>
      </w:r>
      <w:r w:rsidRPr="004E7E5A">
        <w:rPr>
          <w:rFonts w:cs="Times New Roman"/>
        </w:rPr>
        <w:fldChar w:fldCharType="end"/>
      </w:r>
      <w:r w:rsidRPr="004E7E5A">
        <w:rPr>
          <w:rFonts w:cs="Times New Roman"/>
        </w:rPr>
        <w:t xml:space="preserve">, we use the evaluation index of firms’ CSR disclosure published by Rankins (RKS) to capture </w:t>
      </w:r>
      <w:r w:rsidRPr="004E7E5A">
        <w:rPr>
          <w:rFonts w:cs="Times New Roman"/>
          <w:szCs w:val="24"/>
          <w:shd w:val="clear" w:color="auto" w:fill="FFFFFF"/>
        </w:rPr>
        <w:t>CSR disclosure quality</w:t>
      </w:r>
      <w:r w:rsidRPr="004E7E5A">
        <w:rPr>
          <w:rFonts w:cs="Times New Roman"/>
        </w:rPr>
        <w:t xml:space="preserve">. RKS is a ranking agency similar to Kinder, </w:t>
      </w:r>
      <w:proofErr w:type="spellStart"/>
      <w:r w:rsidRPr="004E7E5A">
        <w:rPr>
          <w:rFonts w:cs="Times New Roman"/>
        </w:rPr>
        <w:t>Lydenberg</w:t>
      </w:r>
      <w:proofErr w:type="spellEnd"/>
      <w:r w:rsidRPr="004E7E5A">
        <w:rPr>
          <w:rFonts w:cs="Times New Roman"/>
        </w:rPr>
        <w:t>, Domini and Co., Inc. (KLD). RKS’ ranking of CSR reports is based on the Sustainability Reporting Guidelines (the third edition) issued by Global Reporting Initiative (GRI 3.0). RKS’ CSR reports ranking system includes four level-1 sub-indicators: Macrocosm (M), content (C), technical (T) and industry (I). There are 14 level-2 indicators and 70 level-3 indicators under the three level-1 indicators of macrocosm, content, technical. 141 sub-indicators designed according to 22 industry classifications are under the fourth level-1 indicator of industry.</w:t>
      </w:r>
      <w:r w:rsidRPr="004E7E5A">
        <w:rPr>
          <w:rStyle w:val="af4"/>
          <w:rFonts w:cs="Times New Roman"/>
        </w:rPr>
        <w:footnoteReference w:id="8"/>
      </w:r>
      <w:r w:rsidRPr="004E7E5A">
        <w:rPr>
          <w:rFonts w:cs="Times New Roman"/>
        </w:rPr>
        <w:t xml:space="preserve"> The comprehensive score of CSR reports ranking ranges </w:t>
      </w:r>
      <w:r w:rsidRPr="004E7E5A">
        <w:rPr>
          <w:rFonts w:cs="Times New Roman"/>
        </w:rPr>
        <w:lastRenderedPageBreak/>
        <w:t xml:space="preserve">from 0 to 100 </w:t>
      </w:r>
      <w:r w:rsidRPr="004E7E5A">
        <w:rPr>
          <w:rFonts w:cs="Times New Roman"/>
        </w:rPr>
        <w:fldChar w:fldCharType="begin"/>
      </w:r>
      <w:r w:rsidR="001A1175" w:rsidRPr="004E7E5A">
        <w:rPr>
          <w:rFonts w:cs="Times New Roman"/>
        </w:rPr>
        <w:instrText xml:space="preserve"> ADDIN EN.CITE &lt;EndNote&gt;&lt;Cite&gt;&lt;Author&gt;Marquis&lt;/Author&gt;&lt;Year&gt;2014&lt;/Year&gt;&lt;RecNum&gt;1620&lt;/RecNum&gt;&lt;DisplayText&gt;(Marquis and Qian 2014)&lt;/DisplayText&gt;&lt;record&gt;&lt;rec-number&gt;1620&lt;/rec-number&gt;&lt;foreign-keys&gt;&lt;key app="EN" db-id="trr00pfsbzzex0ezwf6v5swd9fpfpwfa90xp" timestamp="1581337202" guid="e5f6383e-c2f8-4b88-af50-cfc44695e8a1"&gt;1620&lt;/key&gt;&lt;/foreign-keys&gt;&lt;ref-type name="Journal Article"&gt;17&lt;/ref-type&gt;&lt;contributors&gt;&lt;authors&gt;&lt;author&gt;Marquis, Christopher&lt;/author&gt;&lt;author&gt;Qian, Cuili&lt;/author&gt;&lt;/authors&gt;&lt;/contributors&gt;&lt;titles&gt;&lt;title&gt;Corporate social responsibility reporting in China: Symbol or substance?&lt;/title&gt;&lt;secondary-title&gt;Organization Science&lt;/secondary-title&gt;&lt;/titles&gt;&lt;periodical&gt;&lt;full-title&gt;Organization Science&lt;/full-title&gt;&lt;/periodical&gt;&lt;pages&gt;127-148&lt;/pages&gt;&lt;volume&gt;25&lt;/volume&gt;&lt;number&gt;1&lt;/number&gt;&lt;section&gt;127&lt;/section&gt;&lt;dates&gt;&lt;year&gt;2014&lt;/year&gt;&lt;/dates&gt;&lt;isbn&gt;1047-7039&amp;#xD;1526-5455&lt;/isbn&gt;&lt;urls&gt;&lt;/urls&gt;&lt;electronic-resource-num&gt;10.1287/orsc.2013.0837&lt;/electronic-resource-num&gt;&lt;/record&gt;&lt;/Cite&gt;&lt;/EndNote&gt;</w:instrText>
      </w:r>
      <w:r w:rsidRPr="004E7E5A">
        <w:rPr>
          <w:rFonts w:cs="Times New Roman"/>
        </w:rPr>
        <w:fldChar w:fldCharType="separate"/>
      </w:r>
      <w:r w:rsidRPr="004E7E5A">
        <w:rPr>
          <w:rFonts w:cs="Times New Roman"/>
          <w:noProof/>
        </w:rPr>
        <w:t>(Marquis and Qian 2014)</w:t>
      </w:r>
      <w:r w:rsidRPr="004E7E5A">
        <w:rPr>
          <w:rFonts w:cs="Times New Roman"/>
        </w:rPr>
        <w:fldChar w:fldCharType="end"/>
      </w:r>
      <w:r w:rsidRPr="004E7E5A">
        <w:rPr>
          <w:rFonts w:cs="Times New Roman"/>
        </w:rPr>
        <w:t xml:space="preserve">. The quality of CSR disclosure is better when </w:t>
      </w:r>
      <w:proofErr w:type="spellStart"/>
      <w:r w:rsidRPr="004E7E5A">
        <w:rPr>
          <w:rFonts w:cs="Times New Roman"/>
          <w:i/>
          <w:iCs/>
        </w:rPr>
        <w:t>Csr</w:t>
      </w:r>
      <w:proofErr w:type="spellEnd"/>
      <w:r w:rsidRPr="004E7E5A">
        <w:rPr>
          <w:rFonts w:cs="Times New Roman"/>
        </w:rPr>
        <w:t xml:space="preserve"> is higher. </w:t>
      </w:r>
    </w:p>
    <w:p w14:paraId="535C6A3D" w14:textId="77777777" w:rsidR="00746786" w:rsidRPr="004E7E5A" w:rsidRDefault="00746786" w:rsidP="00746786">
      <w:pPr>
        <w:pStyle w:val="4"/>
        <w:spacing w:before="0" w:after="0" w:line="480" w:lineRule="auto"/>
        <w:jc w:val="left"/>
        <w:rPr>
          <w:color w:val="000000" w:themeColor="text1"/>
        </w:rPr>
      </w:pPr>
      <w:r w:rsidRPr="004E7E5A">
        <w:rPr>
          <w:color w:val="000000" w:themeColor="text1"/>
        </w:rPr>
        <w:t>Measure of Directors’ Network</w:t>
      </w:r>
    </w:p>
    <w:p w14:paraId="1B64847F" w14:textId="23D8822B" w:rsidR="00746786" w:rsidRPr="004E7E5A" w:rsidRDefault="00746786" w:rsidP="00746786">
      <w:pPr>
        <w:pStyle w:val="a7"/>
        <w:spacing w:line="480" w:lineRule="auto"/>
        <w:ind w:firstLine="480"/>
        <w:rPr>
          <w:rFonts w:cs="Times New Roman"/>
        </w:rPr>
      </w:pPr>
      <w:r w:rsidRPr="004E7E5A">
        <w:rPr>
          <w:rFonts w:cs="Times New Roman"/>
        </w:rPr>
        <w:t xml:space="preserve">Consistent with prior research </w:t>
      </w:r>
      <w:r w:rsidRPr="004E7E5A">
        <w:rPr>
          <w:rFonts w:cs="Times New Roman"/>
        </w:rPr>
        <w:fldChar w:fldCharType="begin"/>
      </w:r>
      <w:r w:rsidR="001A1175" w:rsidRPr="004E7E5A">
        <w:rPr>
          <w:rFonts w:cs="Times New Roman"/>
        </w:rPr>
        <w:instrText xml:space="preserve"> ADDIN EN.CITE &lt;EndNote&gt;&lt;Cite&gt;&lt;Author&gt;Freeman&lt;/Author&gt;&lt;Year&gt;1978&lt;/Year&gt;&lt;RecNum&gt;1663&lt;/RecNum&gt;&lt;DisplayText&gt;(Freeman 1978; Macaulay et al. 2017)&lt;/DisplayText&gt;&lt;record&gt;&lt;rec-number&gt;1663&lt;/rec-number&gt;&lt;foreign-keys&gt;&lt;key app="EN" db-id="trr00pfsbzzex0ezwf6v5swd9fpfpwfa90xp" timestamp="1581520716" guid="d27df4b0-2543-44a4-a564-a5d09d6b7955"&gt;1663&lt;/key&gt;&lt;/foreign-keys&gt;&lt;ref-type name="Journal Article"&gt;17&lt;/ref-type&gt;&lt;contributors&gt;&lt;authors&gt;&lt;author&gt;Freeman, Linton C.&lt;/author&gt;&lt;/authors&gt;&lt;/contributors&gt;&lt;titles&gt;&lt;title&gt;Centrality in social networks: Conceptual clarification&lt;/title&gt;&lt;secondary-title&gt;Social Networks&lt;/secondary-title&gt;&lt;/titles&gt;&lt;periodical&gt;&lt;full-title&gt;Social Networks&lt;/full-title&gt;&lt;/periodical&gt;&lt;pages&gt;215-239&lt;/pages&gt;&lt;volume&gt;1&lt;/volume&gt;&lt;number&gt;3&lt;/number&gt;&lt;dates&gt;&lt;year&gt;1978&lt;/year&gt;&lt;/dates&gt;&lt;urls&gt;&lt;/urls&gt;&lt;/record&gt;&lt;/Cite&gt;&lt;Cite&gt;&lt;Author&gt;Macaulay&lt;/Author&gt;&lt;Year&gt;2017&lt;/Year&gt;&lt;RecNum&gt;572&lt;/RecNum&gt;&lt;record&gt;&lt;rec-number&gt;572&lt;/rec-number&gt;&lt;foreign-keys&gt;&lt;key app="EN" db-id="trr00pfsbzzex0ezwf6v5swd9fpfpwfa90xp" timestamp="1581080100" guid="1fdcf0cf-1256-477a-8640-38a3afad5af6"&gt;572&lt;/key&gt;&lt;/foreign-keys&gt;&lt;ref-type name="Journal Article"&gt;17&lt;/ref-type&gt;&lt;contributors&gt;&lt;authors&gt;&lt;author&gt;Macaulay, Craig D.&lt;/author&gt;&lt;author&gt;Richard, Orlando C.&lt;/author&gt;&lt;author&gt;Peng, Mike W.&lt;/author&gt;&lt;author&gt;Hasenhuttl, Maria&lt;/author&gt;&lt;/authors&gt;&lt;/contributors&gt;&lt;titles&gt;&lt;title&gt;Alliance network centrality, board composition, and corporate social performance&lt;/title&gt;&lt;secondary-title&gt;Journal of Business Ethics&lt;/secondary-title&gt;&lt;/titles&gt;&lt;periodical&gt;&lt;full-title&gt;Journal of Business Ethics&lt;/full-title&gt;&lt;/periodical&gt;&lt;pages&gt;997-1008&lt;/pages&gt;&lt;volume&gt;151&lt;/volume&gt;&lt;number&gt;4&lt;/number&gt;&lt;section&gt;997&lt;/section&gt;&lt;dates&gt;&lt;year&gt;2017&lt;/year&gt;&lt;/dates&gt;&lt;isbn&gt;0167-4544&amp;#xD;1573-0697&lt;/isbn&gt;&lt;urls&gt;&lt;/urls&gt;&lt;electronic-resource-num&gt;10.1007/s10551-017-3566-7&lt;/electronic-resource-num&gt;&lt;/record&gt;&lt;/Cite&gt;&lt;/EndNote&gt;</w:instrText>
      </w:r>
      <w:r w:rsidRPr="004E7E5A">
        <w:rPr>
          <w:rFonts w:cs="Times New Roman"/>
        </w:rPr>
        <w:fldChar w:fldCharType="separate"/>
      </w:r>
      <w:r w:rsidR="00FA31BA" w:rsidRPr="004E7E5A">
        <w:rPr>
          <w:rFonts w:cs="Times New Roman"/>
          <w:noProof/>
        </w:rPr>
        <w:t>(Freeman 1978; Macaulay et al. 2017)</w:t>
      </w:r>
      <w:r w:rsidRPr="004E7E5A">
        <w:rPr>
          <w:rFonts w:cs="Times New Roman"/>
        </w:rPr>
        <w:fldChar w:fldCharType="end"/>
      </w:r>
      <w:r w:rsidRPr="004E7E5A">
        <w:rPr>
          <w:rFonts w:cs="Times New Roman"/>
        </w:rPr>
        <w:t>, we use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as the key independent variable to measure positional advantage of directors’ network. Network centrality is calculated based on degree centrality, betweenness centrality, and closeness centrality (</w:t>
      </w:r>
      <w:proofErr w:type="spellStart"/>
      <w:r w:rsidRPr="004E7E5A">
        <w:rPr>
          <w:rFonts w:cs="Times New Roman"/>
        </w:rPr>
        <w:t>Larcker</w:t>
      </w:r>
      <w:proofErr w:type="spellEnd"/>
      <w:r w:rsidRPr="004E7E5A">
        <w:rPr>
          <w:rFonts w:cs="Times New Roman"/>
        </w:rPr>
        <w:t xml:space="preserve"> et al., 2013). The concept that a director possesses relatively many channels of communication or resource exchange is captured by degree centrality. The concept that a director lies on relatively more paths between pairs of other directors is measured by betweenness centrality. The concept that a director possesses relatively closer ties to other directors is measured by closeness centrality. Network centrality is the sum of the maximum (</w:t>
      </w:r>
      <w:proofErr w:type="spellStart"/>
      <w:r w:rsidRPr="004E7E5A">
        <w:rPr>
          <w:rFonts w:cs="Times New Roman"/>
          <w:i/>
          <w:iCs/>
        </w:rPr>
        <w:t>Score_max</w:t>
      </w:r>
      <w:proofErr w:type="spellEnd"/>
      <w:r w:rsidRPr="004E7E5A">
        <w:rPr>
          <w:rFonts w:cs="Times New Roman"/>
        </w:rPr>
        <w:t>), mean (</w:t>
      </w:r>
      <w:proofErr w:type="spellStart"/>
      <w:r w:rsidRPr="004E7E5A">
        <w:rPr>
          <w:rFonts w:cs="Times New Roman"/>
          <w:i/>
          <w:iCs/>
        </w:rPr>
        <w:t>Score_mean</w:t>
      </w:r>
      <w:proofErr w:type="spellEnd"/>
      <w:r w:rsidRPr="004E7E5A">
        <w:rPr>
          <w:rFonts w:cs="Times New Roman"/>
        </w:rPr>
        <w:t>), median (</w:t>
      </w:r>
      <w:proofErr w:type="spellStart"/>
      <w:r w:rsidRPr="004E7E5A">
        <w:rPr>
          <w:rFonts w:cs="Times New Roman"/>
          <w:i/>
          <w:iCs/>
        </w:rPr>
        <w:t>Score_med</w:t>
      </w:r>
      <w:proofErr w:type="spellEnd"/>
      <w:r w:rsidRPr="004E7E5A">
        <w:rPr>
          <w:rFonts w:cs="Times New Roman"/>
        </w:rPr>
        <w:t>) and minimum (</w:t>
      </w:r>
      <w:proofErr w:type="spellStart"/>
      <w:r w:rsidRPr="004E7E5A">
        <w:rPr>
          <w:rFonts w:cs="Times New Roman"/>
          <w:i/>
          <w:iCs/>
        </w:rPr>
        <w:t>Score_min</w:t>
      </w:r>
      <w:proofErr w:type="spellEnd"/>
      <w:r w:rsidRPr="004E7E5A">
        <w:rPr>
          <w:rFonts w:cs="Times New Roman"/>
        </w:rPr>
        <w:t>) values of the three centrality measures of each firm, respectively. Definitions for centrality measures are provided in Appendix A. Details of centrality measures and the process of generating networking data can be found in Appendix B.</w:t>
      </w:r>
    </w:p>
    <w:p w14:paraId="7A3BC9E9" w14:textId="63E0083A" w:rsidR="00746786" w:rsidRPr="004E7E5A" w:rsidRDefault="00746786" w:rsidP="00746786">
      <w:pPr>
        <w:pStyle w:val="a7"/>
        <w:spacing w:line="480" w:lineRule="auto"/>
        <w:ind w:firstLine="480"/>
        <w:rPr>
          <w:rFonts w:cs="Times New Roman"/>
        </w:rPr>
      </w:pPr>
      <w:r w:rsidRPr="004E7E5A">
        <w:rPr>
          <w:rFonts w:cs="Times New Roman"/>
        </w:rPr>
        <w:t xml:space="preserve">According to prior literature </w:t>
      </w:r>
      <w:r w:rsidRPr="004E7E5A">
        <w:rPr>
          <w:rFonts w:cs="Times New Roman"/>
        </w:rPr>
        <w:fldChar w:fldCharType="begin">
          <w:fldData xml:space="preserve">PEVuZE5vdGU+PENpdGU+PEF1dGhvcj5MYXJja2VyPC9BdXRob3I+PFllYXI+MjAxMzwvWWVhcj48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PEVuZE5vdGU+PENpdGU+PEF1dGhvcj5MYXJja2VyPC9BdXRob3I+PFllYXI+MjAxMzwvWWVhcj48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(Larcker et al. 2013; Homroy and Slechten 2017; Omer et al. 2019)</w:t>
      </w:r>
      <w:r w:rsidRPr="004E7E5A">
        <w:rPr>
          <w:rFonts w:cs="Times New Roman"/>
        </w:rPr>
        <w:fldChar w:fldCharType="end"/>
      </w:r>
      <w:r w:rsidRPr="004E7E5A">
        <w:rPr>
          <w:rFonts w:cs="Times New Roman"/>
        </w:rPr>
        <w:t xml:space="preserve">, a director with higher degree centrality has relatively high local influence because of his/her access to more resources. The higher a director’s betweenness centrality, the more likely transferred information must pass through this director before it reaches other directors </w:t>
      </w:r>
      <w:r w:rsidRPr="004E7E5A">
        <w:rPr>
          <w:rFonts w:cs="Times New Roman"/>
        </w:rPr>
        <w:fldChar w:fldCharType="begin"/>
      </w:r>
      <w:r w:rsidR="00317C6A" w:rsidRPr="004E7E5A">
        <w:rPr>
          <w:rFonts w:cs="Times New Roman"/>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cs="Times New Roman"/>
        </w:rPr>
        <w:fldChar w:fldCharType="separate"/>
      </w:r>
      <w:r w:rsidRPr="004E7E5A">
        <w:rPr>
          <w:rFonts w:cs="Times New Roman"/>
          <w:noProof/>
        </w:rPr>
        <w:t>(Omer et al. 2019)</w:t>
      </w:r>
      <w:r w:rsidRPr="004E7E5A">
        <w:rPr>
          <w:rFonts w:cs="Times New Roman"/>
        </w:rPr>
        <w:fldChar w:fldCharType="end"/>
      </w:r>
      <w:r w:rsidRPr="004E7E5A">
        <w:rPr>
          <w:rFonts w:cs="Times New Roman"/>
        </w:rPr>
        <w:t xml:space="preserve">. A higher closeness centrality indicates better interactions among directors without </w:t>
      </w:r>
      <w:r w:rsidRPr="004E7E5A">
        <w:rPr>
          <w:rFonts w:cs="Times New Roman"/>
        </w:rPr>
        <w:lastRenderedPageBreak/>
        <w:t xml:space="preserve">going through many intermediaries </w:t>
      </w:r>
      <w:r w:rsidRPr="004E7E5A">
        <w:rPr>
          <w:rFonts w:cs="Times New Roman"/>
        </w:rPr>
        <w:fldChar w:fldCharType="begin">
          <w:fldData xml:space="preserve">PEVuZE5vdGU+PENpdGU+PEF1dGhvcj5MYXJja2VyPC9BdXRob3I+PFllYXI+MjAxMzwvWWVhcj48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PEVuZE5vdGU+PENpdGU+PEF1dGhvcj5MYXJja2VyPC9BdXRob3I+PFllYXI+MjAxMzwvWWVhcj48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(Larcker et al. 2013; Homroy and Slechten 2017; Omer et al. 2019)</w:t>
      </w:r>
      <w:r w:rsidRPr="004E7E5A">
        <w:rPr>
          <w:rFonts w:cs="Times New Roman"/>
        </w:rPr>
        <w:fldChar w:fldCharType="end"/>
      </w:r>
      <w:r w:rsidRPr="004E7E5A">
        <w:rPr>
          <w:rFonts w:cs="Times New Roman"/>
        </w:rPr>
        <w:t xml:space="preserve">. Therefore, directors with higher network centrality are considered to have better access to the resources transferred in the network. </w:t>
      </w:r>
    </w:p>
    <w:p w14:paraId="62BDDE50" w14:textId="77777777" w:rsidR="00746786" w:rsidRPr="004E7E5A" w:rsidRDefault="00746786" w:rsidP="00746786">
      <w:pPr>
        <w:pStyle w:val="4"/>
        <w:spacing w:before="0" w:after="0" w:line="480" w:lineRule="auto"/>
        <w:jc w:val="left"/>
        <w:rPr>
          <w:color w:val="000000" w:themeColor="text1"/>
        </w:rPr>
      </w:pPr>
      <w:r w:rsidRPr="004E7E5A">
        <w:rPr>
          <w:color w:val="000000" w:themeColor="text1"/>
        </w:rPr>
        <w:t xml:space="preserve">Empirical Models </w:t>
      </w:r>
    </w:p>
    <w:p w14:paraId="290687D8"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t>B</w:t>
      </w:r>
      <w:r w:rsidRPr="004E7E5A">
        <w:rPr>
          <w:rFonts w:hint="eastAsia"/>
          <w:i/>
          <w:iCs/>
          <w:color w:val="000000" w:themeColor="text1"/>
        </w:rPr>
        <w:t>aseline</w:t>
      </w:r>
      <w:r w:rsidRPr="004E7E5A">
        <w:rPr>
          <w:i/>
          <w:iCs/>
          <w:color w:val="000000" w:themeColor="text1"/>
        </w:rPr>
        <w:t xml:space="preserve"> M</w:t>
      </w:r>
      <w:r w:rsidRPr="004E7E5A">
        <w:rPr>
          <w:rFonts w:hint="eastAsia"/>
          <w:i/>
          <w:iCs/>
          <w:color w:val="000000" w:themeColor="text1"/>
        </w:rPr>
        <w:t>odel</w:t>
      </w:r>
    </w:p>
    <w:p w14:paraId="7B37CB25" w14:textId="4BAD68FE" w:rsidR="00746786" w:rsidRPr="004E7E5A" w:rsidRDefault="00746786" w:rsidP="006957F5">
      <w:pPr>
        <w:pStyle w:val="a7"/>
        <w:spacing w:line="480" w:lineRule="auto"/>
        <w:ind w:firstLine="480"/>
        <w:rPr>
          <w:rFonts w:cs="Times New Roman"/>
        </w:rPr>
      </w:pPr>
      <w:r w:rsidRPr="004E7E5A">
        <w:rPr>
          <w:rFonts w:cs="Times New Roman"/>
        </w:rPr>
        <w:t xml:space="preserve">We use the baseline model below to test the relationship between directors’ network and CSR disclosure quality </w:t>
      </w:r>
      <w:r w:rsidRPr="004E7E5A">
        <w:rPr>
          <w:rFonts w:cs="Times New Roman"/>
        </w:rPr>
        <w:fldChar w:fldCharType="begin"/>
      </w:r>
      <w:r w:rsidR="00317C6A" w:rsidRPr="004E7E5A">
        <w:rPr>
          <w:rFonts w:cs="Times New Roman"/>
        </w:rPr>
        <w:instrText xml:space="preserve"> ADDIN EN.CITE &lt;EndNote&gt;&lt;Cite&gt;&lt;Author&gt;Larcker&lt;/Author&gt;&lt;Year&gt;2013&lt;/Year&gt;&lt;RecNum&gt;801&lt;/RecNum&gt;&lt;DisplayText&gt;(Larcker et al. 2013; Park and Vrettos 2015)&lt;/DisplayText&gt;&lt;record&gt;&lt;rec-number&gt;801&lt;/rec-number&gt;&lt;foreign-keys&gt;&lt;key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Cite&gt;&lt;Author&gt;Park&lt;/Author&gt;&lt;Year&gt;2015&lt;/Year&gt;&lt;RecNum&gt;230&lt;/RecNum&gt;&lt;record&gt;&lt;rec-number&gt;230&lt;/rec-number&gt;&lt;foreign-keys&gt;&lt;key app="EN" db-id="trr00pfsbzzex0ezwf6v5swd9fpfpwfa90xp" timestamp="1581079687" guid="39d6ea8f-7603-4581-973c-74b3385bad5d"&gt;230&lt;/key&gt;&lt;/foreign-keys&gt;&lt;ref-type name="Journal Article"&gt;17&lt;/ref-type&gt;&lt;contributors&gt;&lt;authors&gt;&lt;author&gt;Park, Hyungshin&lt;/author&gt;&lt;author&gt;Vrettos, Dimitris&lt;/author&gt;&lt;/authors&gt;&lt;/contributors&gt;&lt;titles&gt;&lt;title&gt;The moderating effect of relative performance evaluation on the risk incentive properties of executives’ equity portfolios&lt;/title&gt;&lt;secondary-title&gt;Journal of Accounting Research&lt;/secondary-title&gt;&lt;/titles&gt;&lt;periodical&gt;&lt;full-title&gt;Journal of Accounting Research&lt;/full-title&gt;&lt;/periodical&gt;&lt;pages&gt;1055-1108&lt;/pages&gt;&lt;volume&gt;53&lt;/volume&gt;&lt;number&gt;5&lt;/number&gt;&lt;section&gt;1055&lt;/section&gt;&lt;dates&gt;&lt;year&gt;2015&lt;/year&gt;&lt;/dates&gt;&lt;isbn&gt;00218456&lt;/isbn&gt;&lt;urls&gt;&lt;/urls&gt;&lt;electronic-resource-num&gt;10.1111/1475-679x.12092&lt;/electronic-resource-num&gt;&lt;/record&gt;&lt;/Cite&gt;&lt;/EndNote&gt;</w:instrText>
      </w:r>
      <w:r w:rsidRPr="004E7E5A">
        <w:rPr>
          <w:rFonts w:cs="Times New Roman"/>
        </w:rPr>
        <w:fldChar w:fldCharType="separate"/>
      </w:r>
      <w:r w:rsidRPr="004E7E5A">
        <w:rPr>
          <w:rFonts w:cs="Times New Roman"/>
          <w:noProof/>
        </w:rPr>
        <w:t>(Larcker et al. 2013; Park and Vrettos 2015)</w:t>
      </w:r>
      <w:r w:rsidRPr="004E7E5A">
        <w:rPr>
          <w:rFonts w:cs="Times New Roman"/>
        </w:rPr>
        <w:fldChar w:fldCharType="end"/>
      </w:r>
      <w:r w:rsidRPr="004E7E5A">
        <w:rPr>
          <w:rFonts w:cs="Times New Roman"/>
        </w:rPr>
        <w:t>.</w:t>
      </w:r>
      <w:r w:rsidRPr="004E7E5A">
        <w:rPr>
          <w:rStyle w:val="af4"/>
          <w:rFonts w:cs="Times New Roman"/>
        </w:rPr>
        <w:footnoteReference w:id="9"/>
      </w:r>
      <w:r w:rsidRPr="004E7E5A">
        <w:rPr>
          <w:rFonts w:cs="Times New Roman"/>
        </w:rPr>
        <w:t xml:space="preserve"> </w:t>
      </w:r>
    </w:p>
    <w:p w14:paraId="73016177" w14:textId="77777777" w:rsidR="00F311C1" w:rsidRPr="004E7E5A" w:rsidRDefault="00F311C1" w:rsidP="00F311C1">
      <w:pPr>
        <w:spacing w:line="480" w:lineRule="auto"/>
        <w:ind w:left="840" w:hangingChars="350" w:hanging="840"/>
        <w:rPr>
          <w:rFonts w:ascii="Times New Roman" w:eastAsia="宋体" w:hAnsi="Times New Roman" w:cs="Times New Roman"/>
          <w:iCs/>
          <w:color w:val="000000" w:themeColor="text1"/>
          <w:kern w:val="0"/>
          <w:sz w:val="24"/>
          <w:szCs w:val="24"/>
        </w:rPr>
      </w:pPr>
      <m:oMath>
        <m:r>
          <w:rPr>
            <w:rFonts w:ascii="Cambria Math" w:eastAsia="宋体" w:hAnsi="Cambria Math" w:cs="Times New Roman"/>
            <w:color w:val="000000" w:themeColor="text1"/>
            <w:sz w:val="24"/>
            <w:szCs w:val="24"/>
          </w:rPr>
          <m:t>Csr =</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0</m:t>
            </m:r>
          </m:sub>
        </m:sSub>
        <m:r>
          <w:rPr>
            <w:rFonts w:ascii="Cambria Math" w:eastAsia="宋体" w:hAnsi="Cambria Math" w:cs="Times New Roman"/>
            <w:color w:val="000000" w:themeColor="text1"/>
            <w:sz w:val="24"/>
            <w:szCs w:val="24"/>
          </w:rPr>
          <m: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m:t>
            </m:r>
          </m:sub>
        </m:sSub>
        <m:r>
          <w:rPr>
            <w:rFonts w:ascii="Cambria Math" w:eastAsia="宋体" w:hAnsi="Cambria Math" w:cs="Times New Roman"/>
            <w:color w:val="000000" w:themeColor="text1"/>
            <w:sz w:val="24"/>
            <w:szCs w:val="24"/>
          </w:rPr>
          <m:t>Score+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2</m:t>
            </m:r>
          </m:sub>
        </m:sSub>
        <m:r>
          <w:rPr>
            <w:rFonts w:ascii="Cambria Math" w:eastAsia="宋体" w:hAnsi="Cambria Math" w:cs="Times New Roman"/>
            <w:color w:val="000000" w:themeColor="text1"/>
            <w:sz w:val="24"/>
            <w:szCs w:val="24"/>
          </w:rPr>
          <m:t>Inddirector+</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3</m:t>
            </m:r>
          </m:sub>
        </m:sSub>
        <m:r>
          <w:rPr>
            <w:rFonts w:ascii="Cambria Math" w:eastAsia="宋体" w:hAnsi="Cambria Math" w:cs="Times New Roman"/>
            <w:color w:val="000000" w:themeColor="text1"/>
            <w:sz w:val="24"/>
            <w:szCs w:val="24"/>
          </w:rPr>
          <m:t>Board size</m:t>
        </m:r>
        <m:r>
          <w:rPr>
            <w:rFonts w:ascii="Cambria Math" w:eastAsia="宋体" w:hAnsi="Cambria Math" w:cs="Times New Roman"/>
            <w:color w:val="000000" w:themeColor="text1"/>
            <w:kern w:val="0"/>
            <w:sz w:val="24"/>
            <w:szCs w:val="24"/>
          </w:rPr>
          <m: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4</m:t>
            </m:r>
          </m:sub>
        </m:sSub>
        <m:r>
          <w:rPr>
            <w:rFonts w:ascii="Cambria Math" w:eastAsia="宋体" w:hAnsi="Cambria Math" w:cs="Times New Roman"/>
            <w:color w:val="000000" w:themeColor="text1"/>
            <w:kern w:val="0"/>
            <w:sz w:val="24"/>
            <w:szCs w:val="24"/>
          </w:rPr>
          <m:t>Female+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5</m:t>
            </m:r>
          </m:sub>
        </m:sSub>
        <m:r>
          <w:rPr>
            <w:rFonts w:ascii="Cambria Math" w:eastAsia="宋体" w:hAnsi="Cambria Math" w:cs="Times New Roman"/>
            <w:color w:val="000000" w:themeColor="text1"/>
            <w:kern w:val="0"/>
            <w:sz w:val="24"/>
            <w:szCs w:val="24"/>
          </w:rPr>
          <m:t>Director age+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6</m:t>
            </m:r>
          </m:sub>
        </m:sSub>
        <m:r>
          <w:rPr>
            <w:rFonts w:ascii="Cambria Math" w:eastAsia="宋体" w:hAnsi="Cambria Math" w:cs="Times New Roman"/>
            <w:color w:val="000000" w:themeColor="text1"/>
            <w:kern w:val="0"/>
            <w:sz w:val="24"/>
            <w:szCs w:val="24"/>
          </w:rPr>
          <m:t xml:space="preserve">Location+ </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7</m:t>
            </m:r>
          </m:sub>
        </m:sSub>
        <m:r>
          <w:rPr>
            <w:rFonts w:ascii="Cambria Math" w:eastAsia="宋体" w:hAnsi="Cambria Math" w:cs="Times New Roman"/>
            <w:color w:val="000000" w:themeColor="text1"/>
            <w:kern w:val="0"/>
            <w:sz w:val="24"/>
            <w:szCs w:val="24"/>
          </w:rPr>
          <m:t>Duality+</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8</m:t>
            </m:r>
          </m:sub>
        </m:sSub>
        <m:r>
          <w:rPr>
            <w:rFonts w:ascii="Cambria Math" w:eastAsia="宋体" w:hAnsi="Cambria Math" w:cs="Times New Roman"/>
            <w:color w:val="000000" w:themeColor="text1"/>
            <w:kern w:val="0"/>
            <w:sz w:val="24"/>
            <w:szCs w:val="24"/>
          </w:rPr>
          <m:t>Compensation+</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9</m:t>
            </m:r>
          </m:sub>
        </m:sSub>
        <m:r>
          <w:rPr>
            <w:rFonts w:ascii="Cambria Math" w:eastAsia="宋体" w:hAnsi="Cambria Math" w:cs="Times New Roman"/>
            <w:color w:val="000000" w:themeColor="text1"/>
            <w:kern w:val="0"/>
            <w:sz w:val="24"/>
            <w:szCs w:val="24"/>
          </w:rPr>
          <m:t>Dirshare+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10</m:t>
            </m:r>
          </m:sub>
        </m:sSub>
        <m:r>
          <w:rPr>
            <w:rFonts w:ascii="Cambria Math" w:eastAsia="宋体" w:hAnsi="Cambria Math" w:cs="Times New Roman"/>
            <w:color w:val="000000" w:themeColor="text1"/>
            <w:kern w:val="0"/>
            <w:sz w:val="24"/>
            <w:szCs w:val="24"/>
          </w:rPr>
          <m:t>Firm size+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11</m:t>
            </m:r>
          </m:sub>
        </m:sSub>
        <m:r>
          <w:rPr>
            <w:rFonts w:ascii="Cambria Math" w:eastAsia="宋体" w:hAnsi="Cambria Math" w:cs="Times New Roman"/>
            <w:color w:val="000000" w:themeColor="text1"/>
            <w:kern w:val="0"/>
            <w:sz w:val="24"/>
            <w:szCs w:val="24"/>
          </w:rPr>
          <m:t>Roa+</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12</m:t>
            </m:r>
          </m:sub>
        </m:sSub>
        <m:r>
          <w:rPr>
            <w:rFonts w:ascii="Cambria Math" w:eastAsia="宋体" w:hAnsi="Cambria Math" w:cs="Times New Roman"/>
            <w:color w:val="000000" w:themeColor="text1"/>
            <w:kern w:val="0"/>
            <w:sz w:val="24"/>
            <w:szCs w:val="24"/>
          </w:rPr>
          <m:t>Lev+</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13</m:t>
            </m:r>
          </m:sub>
        </m:sSub>
        <m:r>
          <w:rPr>
            <w:rFonts w:ascii="Cambria Math" w:eastAsia="宋体" w:hAnsi="Cambria Math" w:cs="Times New Roman"/>
            <w:color w:val="000000" w:themeColor="text1"/>
            <w:kern w:val="0"/>
            <w:sz w:val="24"/>
            <w:szCs w:val="24"/>
          </w:rPr>
          <m:t>Correlation+</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14</m:t>
            </m:r>
          </m:sub>
        </m:sSub>
        <m:r>
          <w:rPr>
            <w:rFonts w:ascii="Cambria Math" w:eastAsia="宋体" w:hAnsi="Cambria Math" w:cs="Times New Roman"/>
            <w:color w:val="000000" w:themeColor="text1"/>
            <w:kern w:val="0"/>
            <w:sz w:val="24"/>
            <w:szCs w:val="24"/>
          </w:rPr>
          <m:t>Fixasset+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15</m:t>
            </m:r>
          </m:sub>
        </m:sSub>
        <m:r>
          <w:rPr>
            <w:rFonts w:ascii="Cambria Math" w:eastAsia="宋体" w:hAnsi="Cambria Math" w:cs="Times New Roman"/>
            <w:color w:val="000000" w:themeColor="text1"/>
            <w:kern w:val="0"/>
            <w:sz w:val="24"/>
            <w:szCs w:val="24"/>
          </w:rPr>
          <m:t>Share+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16</m:t>
            </m:r>
          </m:sub>
        </m:sSub>
        <m:r>
          <w:rPr>
            <w:rFonts w:ascii="Cambria Math" w:eastAsia="宋体" w:hAnsi="Cambria Math" w:cs="Times New Roman"/>
            <w:color w:val="000000" w:themeColor="text1"/>
            <w:kern w:val="0"/>
            <w:sz w:val="24"/>
            <w:szCs w:val="24"/>
          </w:rPr>
          <m:t>Soe+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17</m:t>
            </m:r>
          </m:sub>
        </m:sSub>
        <m:r>
          <w:rPr>
            <w:rFonts w:ascii="Cambria Math" w:eastAsia="宋体" w:hAnsi="Cambria Math" w:cs="Times New Roman"/>
            <w:color w:val="000000" w:themeColor="text1"/>
            <w:kern w:val="0"/>
            <w:sz w:val="24"/>
            <w:szCs w:val="24"/>
          </w:rPr>
          <m:t>Firm age+Industry and Year Fixed Effects+ε</m:t>
        </m:r>
      </m:oMath>
      <w:r w:rsidRPr="004E7E5A">
        <w:rPr>
          <w:rFonts w:ascii="Times New Roman" w:eastAsia="宋体" w:hAnsi="Times New Roman" w:cs="Times New Roman"/>
          <w:i/>
          <w:color w:val="000000" w:themeColor="text1"/>
          <w:sz w:val="24"/>
          <w:szCs w:val="24"/>
        </w:rPr>
        <w:t xml:space="preserve">                  </w:t>
      </w:r>
      <w:r w:rsidRPr="004E7E5A">
        <w:rPr>
          <w:rFonts w:ascii="Times New Roman" w:eastAsia="宋体" w:hAnsi="Times New Roman" w:cs="Times New Roman"/>
          <w:iCs/>
          <w:color w:val="000000" w:themeColor="text1"/>
          <w:sz w:val="24"/>
          <w:szCs w:val="24"/>
        </w:rPr>
        <w:t xml:space="preserve"> (1)</w:t>
      </w:r>
    </w:p>
    <w:p w14:paraId="4F94E213" w14:textId="231816BD" w:rsidR="00746786" w:rsidRPr="004E7E5A" w:rsidRDefault="00746786" w:rsidP="00746786">
      <w:pPr>
        <w:pStyle w:val="a7"/>
        <w:spacing w:line="480" w:lineRule="auto"/>
        <w:ind w:firstLine="480"/>
        <w:rPr>
          <w:rFonts w:cs="Times New Roman"/>
        </w:rPr>
      </w:pPr>
      <w:r w:rsidRPr="004E7E5A">
        <w:rPr>
          <w:rFonts w:cs="Times New Roman"/>
        </w:rPr>
        <w:t xml:space="preserve">Equation (1) is used to test hypothesis 1. As shown in Table 1, </w:t>
      </w:r>
      <w:proofErr w:type="spellStart"/>
      <w:r w:rsidRPr="004E7E5A">
        <w:rPr>
          <w:rFonts w:cs="Times New Roman"/>
          <w:i/>
          <w:iCs/>
        </w:rPr>
        <w:t>Csr</w:t>
      </w:r>
      <w:proofErr w:type="spellEnd"/>
      <w:r w:rsidRPr="004E7E5A">
        <w:rPr>
          <w:rFonts w:cs="Times New Roman"/>
        </w:rPr>
        <w:t xml:space="preserve"> represents the quality of CSR disclosure quality. </w:t>
      </w:r>
      <w:r w:rsidRPr="004E7E5A">
        <w:rPr>
          <w:rFonts w:cs="Times New Roman"/>
          <w:i/>
          <w:iCs/>
        </w:rPr>
        <w:t>Score</w:t>
      </w:r>
      <w:r w:rsidRPr="004E7E5A">
        <w:rPr>
          <w:rFonts w:cs="Times New Roman"/>
        </w:rPr>
        <w:t xml:space="preserve"> is a measure of the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rPr>
        <w:t>Score_mean</w:t>
      </w:r>
      <w:proofErr w:type="spellEnd"/>
      <w:r w:rsidRPr="004E7E5A">
        <w:rPr>
          <w:rFonts w:cs="Times New Roman"/>
          <w:i/>
          <w:iCs/>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rPr>
        <w:t>Score_min</w:t>
      </w:r>
      <w:proofErr w:type="spellEnd"/>
      <w:r w:rsidRPr="004E7E5A">
        <w:rPr>
          <w:rFonts w:cs="Times New Roman"/>
        </w:rPr>
        <w:t xml:space="preserve">). Hypothesis 1 is supported if the regression coefficient </w:t>
      </w:r>
      <w:r w:rsidRPr="004E7E5A">
        <w:rPr>
          <w:rFonts w:cs="Times New Roman"/>
          <w:i/>
          <w:iCs/>
        </w:rPr>
        <w:t>β</w:t>
      </w:r>
      <w:r w:rsidRPr="004E7E5A">
        <w:rPr>
          <w:rFonts w:cs="Times New Roman"/>
          <w:i/>
          <w:iCs/>
          <w:vertAlign w:val="subscript"/>
        </w:rPr>
        <w:t>1</w:t>
      </w:r>
      <w:r w:rsidRPr="004E7E5A">
        <w:rPr>
          <w:rFonts w:cs="Times New Roman"/>
        </w:rPr>
        <w:t xml:space="preserve"> is significantly positive, indicating a positive impact of directors’ network centrality on CSR disclosure quality. We include a number of director-level </w:t>
      </w:r>
      <w:r w:rsidRPr="004E7E5A">
        <w:rPr>
          <w:rFonts w:cs="Times New Roman" w:hint="eastAsia"/>
        </w:rPr>
        <w:t>and</w:t>
      </w:r>
      <w:r w:rsidRPr="004E7E5A">
        <w:rPr>
          <w:rFonts w:cs="Times New Roman"/>
        </w:rPr>
        <w:t xml:space="preserve"> firm-level control variables in our analyses. In line with </w:t>
      </w:r>
      <w:r w:rsidRPr="004E7E5A">
        <w:rPr>
          <w:rFonts w:cs="Times New Roman"/>
          <w:noProof/>
        </w:rPr>
        <w:t xml:space="preserve">Katmon et al. (2017), </w:t>
      </w:r>
      <w:r w:rsidRPr="004E7E5A">
        <w:rPr>
          <w:rFonts w:cs="Times New Roman"/>
        </w:rPr>
        <w:t xml:space="preserve">we also control for industry types because industry plays an important role in CSR disclosure. Certain industries disclose CSR information to promote their competitive products and build confidence among their investors, while others disclose CSR information because they are exposed to environmental </w:t>
      </w:r>
      <w:r w:rsidRPr="004E7E5A">
        <w:rPr>
          <w:rFonts w:cs="Times New Roman"/>
        </w:rPr>
        <w:lastRenderedPageBreak/>
        <w:t xml:space="preserve">issues </w:t>
      </w:r>
      <w:r w:rsidRPr="004E7E5A">
        <w:rPr>
          <w:rFonts w:cs="Times New Roman"/>
        </w:rPr>
        <w:fldChar w:fldCharType="begin"/>
      </w:r>
      <w:r w:rsidR="001A1175" w:rsidRPr="004E7E5A">
        <w:rPr>
          <w:rFonts w:cs="Times New Roman"/>
        </w:rPr>
        <w:instrText xml:space="preserve"> ADDIN EN.CITE &lt;EndNote&gt;&lt;Cite&gt;&lt;Author&gt;Katmon&lt;/Author&gt;&lt;Year&gt;2017&lt;/Year&gt;&lt;RecNum&gt;114&lt;/RecNum&gt;&lt;DisplayText&gt;(Katmon et al. 2017)&lt;/DisplayText&gt;&lt;record&gt;&lt;rec-number&gt;114&lt;/rec-number&gt;&lt;foreign-keys&gt;&lt;key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(Katmon et al. 2017)</w:t>
      </w:r>
      <w:r w:rsidRPr="004E7E5A">
        <w:rPr>
          <w:rFonts w:cs="Times New Roman"/>
        </w:rPr>
        <w:fldChar w:fldCharType="end"/>
      </w:r>
      <w:r w:rsidRPr="004E7E5A">
        <w:rPr>
          <w:rFonts w:cs="Times New Roman"/>
        </w:rPr>
        <w:t>. We adopt the standards of the Chin</w:t>
      </w:r>
      <w:r w:rsidRPr="004E7E5A">
        <w:rPr>
          <w:rFonts w:cs="Times New Roman" w:hint="eastAsia"/>
        </w:rPr>
        <w:t>a</w:t>
      </w:r>
      <w:r w:rsidRPr="004E7E5A">
        <w:rPr>
          <w:rFonts w:cs="Times New Roman"/>
        </w:rPr>
        <w:t xml:space="preserve"> Securities Regulatory Commission in 2012 for industry classification. Similar to prior research </w:t>
      </w:r>
      <w:r w:rsidRPr="004E7E5A">
        <w:rPr>
          <w:rFonts w:cs="Times New Roman"/>
        </w:rPr>
        <w:fldChar w:fldCharType="begin">
          <w:fldData xml:space="preserve">PEVuZE5vdGU+PENpdGU+PEF1dGhvcj5MaWFvPC9BdXRob3I+PFllYXI+MjAxNjwvWWVhcj48UmVj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PEVuZE5vdGU+PENpdGU+PEF1dGhvcj5MaWFvPC9BdXRob3I+PFllYXI+MjAxNjwvWWVhcj48UmVj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(Liao et al. 2016; Katmon et al. 2017)</w:t>
      </w:r>
      <w:r w:rsidRPr="004E7E5A">
        <w:rPr>
          <w:rFonts w:cs="Times New Roman"/>
        </w:rPr>
        <w:fldChar w:fldCharType="end"/>
      </w:r>
      <w:r w:rsidRPr="004E7E5A">
        <w:rPr>
          <w:rFonts w:cs="Times New Roman"/>
        </w:rPr>
        <w:t>, year effects are also controlled in the model. Detailed definitions for all the variables are provided in Appendix A.</w:t>
      </w:r>
    </w:p>
    <w:p w14:paraId="1DB1C3D4" w14:textId="77777777" w:rsidR="00746786" w:rsidRPr="004E7E5A" w:rsidRDefault="00746786" w:rsidP="00746786">
      <w:pPr>
        <w:pStyle w:val="a7"/>
        <w:spacing w:line="480" w:lineRule="auto"/>
        <w:ind w:firstLineChars="0" w:firstLine="0"/>
        <w:jc w:val="center"/>
        <w:rPr>
          <w:rFonts w:cs="Times New Roman"/>
        </w:rPr>
      </w:pPr>
      <w:r w:rsidRPr="004E7E5A">
        <w:rPr>
          <w:rFonts w:cs="Times New Roman"/>
        </w:rPr>
        <w:t>[Insert Table 1 here]</w:t>
      </w:r>
    </w:p>
    <w:p w14:paraId="47B25616" w14:textId="77777777" w:rsidR="00746786" w:rsidRPr="004E7E5A" w:rsidRDefault="00746786" w:rsidP="00746786">
      <w:pPr>
        <w:pStyle w:val="4"/>
        <w:spacing w:before="0" w:after="0" w:line="480" w:lineRule="auto"/>
        <w:rPr>
          <w:i/>
          <w:iCs/>
          <w:color w:val="000000" w:themeColor="text1"/>
        </w:rPr>
      </w:pPr>
      <w:r w:rsidRPr="004E7E5A">
        <w:rPr>
          <w:i/>
          <w:iCs/>
          <w:color w:val="000000" w:themeColor="text1"/>
        </w:rPr>
        <w:t xml:space="preserve">Model to Test </w:t>
      </w:r>
      <w:r w:rsidRPr="004E7E5A">
        <w:rPr>
          <w:rFonts w:hint="eastAsia"/>
          <w:i/>
          <w:iCs/>
          <w:color w:val="000000" w:themeColor="text1"/>
        </w:rPr>
        <w:t>the</w:t>
      </w:r>
      <w:r w:rsidRPr="004E7E5A">
        <w:rPr>
          <w:i/>
          <w:iCs/>
          <w:color w:val="000000" w:themeColor="text1"/>
        </w:rPr>
        <w:t xml:space="preserve"> M</w:t>
      </w:r>
      <w:r w:rsidRPr="004E7E5A">
        <w:rPr>
          <w:rFonts w:hint="eastAsia"/>
          <w:i/>
          <w:iCs/>
          <w:color w:val="000000" w:themeColor="text1"/>
        </w:rPr>
        <w:t>oderating</w:t>
      </w:r>
      <w:r w:rsidRPr="004E7E5A">
        <w:rPr>
          <w:i/>
          <w:iCs/>
          <w:color w:val="000000" w:themeColor="text1"/>
        </w:rPr>
        <w:t xml:space="preserve"> E</w:t>
      </w:r>
      <w:r w:rsidRPr="004E7E5A">
        <w:rPr>
          <w:rFonts w:hint="eastAsia"/>
          <w:i/>
          <w:iCs/>
          <w:color w:val="000000" w:themeColor="text1"/>
        </w:rPr>
        <w:t>ffect</w:t>
      </w:r>
      <w:r w:rsidRPr="004E7E5A">
        <w:rPr>
          <w:i/>
          <w:iCs/>
          <w:color w:val="000000" w:themeColor="text1"/>
        </w:rPr>
        <w:t xml:space="preserve"> </w:t>
      </w:r>
      <w:r w:rsidRPr="004E7E5A">
        <w:rPr>
          <w:rFonts w:hint="eastAsia"/>
          <w:i/>
          <w:iCs/>
          <w:color w:val="000000" w:themeColor="text1"/>
        </w:rPr>
        <w:t>of</w:t>
      </w:r>
      <w:r w:rsidRPr="004E7E5A">
        <w:rPr>
          <w:i/>
          <w:iCs/>
          <w:color w:val="000000" w:themeColor="text1"/>
        </w:rPr>
        <w:t xml:space="preserve"> Marketing Strategy</w:t>
      </w:r>
    </w:p>
    <w:p w14:paraId="2C054115" w14:textId="77777777" w:rsidR="00DA5D56" w:rsidRPr="004E7E5A" w:rsidRDefault="00DA5D56" w:rsidP="00DA5D56">
      <w:pPr>
        <w:pStyle w:val="a7"/>
        <w:spacing w:afterLines="50" w:after="156" w:line="480" w:lineRule="auto"/>
        <w:ind w:firstLine="480"/>
        <w:rPr>
          <w:rFonts w:cs="Times New Roman"/>
        </w:rPr>
      </w:pPr>
      <w:r w:rsidRPr="004E7E5A">
        <w:rPr>
          <w:rFonts w:cs="Times New Roman"/>
        </w:rPr>
        <w:t>We rely on the model below to test the moderating effect of marketing strategy on the relationship between directors’ network and CSR disclosure quality:</w:t>
      </w:r>
    </w:p>
    <w:p w14:paraId="18040CA8" w14:textId="6E664888" w:rsidR="008B25E4" w:rsidRPr="004E7E5A" w:rsidRDefault="00026A98" w:rsidP="00E21991">
      <w:pPr>
        <w:adjustRightInd w:val="0"/>
        <w:snapToGrid w:val="0"/>
        <w:spacing w:line="480" w:lineRule="auto"/>
        <w:rPr>
          <w:rFonts w:ascii="Times New Roman" w:eastAsia="宋体" w:hAnsi="Times New Roman" w:cs="Times New Roman"/>
          <w:color w:val="000000" w:themeColor="text1"/>
          <w:kern w:val="0"/>
          <w:sz w:val="24"/>
          <w:szCs w:val="24"/>
        </w:rPr>
      </w:pPr>
      <m:oMathPara>
        <m:oMathParaPr>
          <m:jc m:val="left"/>
        </m:oMathParaPr>
        <m:oMath>
          <m:r>
            <w:rPr>
              <w:rFonts w:ascii="Cambria Math" w:eastAsia="宋体" w:hAnsi="Cambria Math" w:cs="Times New Roman"/>
              <w:color w:val="000000" w:themeColor="text1"/>
              <w:sz w:val="24"/>
              <w:szCs w:val="24"/>
            </w:rPr>
            <m:t>Csr =</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0</m:t>
              </m:r>
            </m:sub>
          </m:sSub>
          <m:r>
            <w:rPr>
              <w:rFonts w:ascii="Cambria Math" w:eastAsia="宋体" w:hAnsi="Cambria Math" w:cs="Times New Roman"/>
              <w:color w:val="000000" w:themeColor="text1"/>
              <w:sz w:val="24"/>
              <w:szCs w:val="24"/>
            </w:rPr>
            <m: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m:t>
              </m:r>
            </m:sub>
          </m:sSub>
          <m:r>
            <w:rPr>
              <w:rFonts w:ascii="Cambria Math" w:eastAsia="宋体" w:hAnsi="Cambria Math" w:cs="Times New Roman"/>
              <w:color w:val="000000" w:themeColor="text1"/>
              <w:sz w:val="24"/>
              <w:szCs w:val="24"/>
            </w:rPr>
            <m:t>Score+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2</m:t>
              </m:r>
            </m:sub>
          </m:sSub>
          <m:r>
            <w:rPr>
              <w:rFonts w:ascii="Cambria Math" w:eastAsia="宋体" w:hAnsi="Cambria Math" w:cs="Times New Roman"/>
              <w:color w:val="000000" w:themeColor="text1"/>
              <w:sz w:val="24"/>
              <w:szCs w:val="24"/>
            </w:rPr>
            <m:t>Advertising+</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3</m:t>
              </m:r>
            </m:sub>
          </m:sSub>
          <m:r>
            <w:rPr>
              <w:rFonts w:ascii="Cambria Math" w:eastAsia="宋体" w:hAnsi="Cambria Math" w:cs="Times New Roman"/>
              <w:color w:val="000000" w:themeColor="text1"/>
              <w:sz w:val="24"/>
              <w:szCs w:val="24"/>
            </w:rPr>
            <m:t>Score×Advertising+</m:t>
          </m:r>
          <m:r>
            <w:rPr>
              <w:rFonts w:ascii="Cambria Math" w:eastAsia="宋体" w:hAnsi="Cambria Math" w:cs="Times New Roman"/>
              <w:color w:val="000000" w:themeColor="text1"/>
              <w:kern w:val="0"/>
              <w:sz w:val="24"/>
              <w:szCs w:val="24"/>
            </w:rPr>
            <m:t>Control Variables</m:t>
          </m:r>
        </m:oMath>
      </m:oMathPara>
    </w:p>
    <w:p w14:paraId="516B76E2" w14:textId="6AF9B0C0" w:rsidR="00026A98" w:rsidRPr="004E7E5A" w:rsidRDefault="00026A98" w:rsidP="00E21991">
      <w:pPr>
        <w:adjustRightInd w:val="0"/>
        <w:snapToGrid w:val="0"/>
        <w:spacing w:line="480" w:lineRule="auto"/>
        <w:jc w:val="right"/>
        <w:rPr>
          <w:rFonts w:ascii="Times New Roman" w:eastAsia="宋体" w:hAnsi="Times New Roman" w:cs="Times New Roman"/>
          <w:iCs/>
          <w:color w:val="000000" w:themeColor="text1"/>
          <w:sz w:val="24"/>
          <w:szCs w:val="24"/>
        </w:rPr>
      </w:pPr>
      <m:oMath>
        <m:r>
          <w:rPr>
            <w:rFonts w:ascii="Cambria Math" w:eastAsia="宋体" w:hAnsi="Cambria Math" w:cs="Times New Roman"/>
            <w:color w:val="000000" w:themeColor="text1"/>
            <w:kern w:val="0"/>
            <w:sz w:val="24"/>
            <w:szCs w:val="24"/>
          </w:rPr>
          <m:t>+Industry and Year Fixed Effects+ε</m:t>
        </m:r>
      </m:oMath>
      <w:r w:rsidRPr="004E7E5A">
        <w:rPr>
          <w:rFonts w:ascii="Times New Roman" w:eastAsia="宋体" w:hAnsi="Times New Roman" w:cs="Times New Roman"/>
          <w:i/>
          <w:color w:val="000000" w:themeColor="text1"/>
          <w:sz w:val="24"/>
          <w:szCs w:val="24"/>
        </w:rPr>
        <w:t xml:space="preserve">    </w:t>
      </w:r>
      <w:r w:rsidR="00E21991" w:rsidRPr="004E7E5A">
        <w:rPr>
          <w:rFonts w:ascii="Times New Roman" w:eastAsia="宋体" w:hAnsi="Times New Roman" w:cs="Times New Roman"/>
          <w:i/>
          <w:color w:val="000000" w:themeColor="text1"/>
          <w:sz w:val="24"/>
          <w:szCs w:val="24"/>
        </w:rPr>
        <w:t xml:space="preserve">            </w:t>
      </w:r>
      <w:r w:rsidRPr="004E7E5A">
        <w:rPr>
          <w:rFonts w:ascii="Times New Roman" w:eastAsia="宋体" w:hAnsi="Times New Roman" w:cs="Times New Roman"/>
          <w:i/>
          <w:color w:val="000000" w:themeColor="text1"/>
          <w:sz w:val="24"/>
          <w:szCs w:val="24"/>
        </w:rPr>
        <w:t xml:space="preserve">              </w:t>
      </w:r>
      <w:r w:rsidRPr="004E7E5A">
        <w:rPr>
          <w:rFonts w:ascii="Times New Roman" w:eastAsia="宋体" w:hAnsi="Times New Roman" w:cs="Times New Roman"/>
          <w:iCs/>
          <w:color w:val="000000" w:themeColor="text1"/>
          <w:sz w:val="24"/>
          <w:szCs w:val="24"/>
        </w:rPr>
        <w:t xml:space="preserve"> (</w:t>
      </w:r>
      <w:r w:rsidR="00E21991" w:rsidRPr="004E7E5A">
        <w:rPr>
          <w:rFonts w:ascii="Times New Roman" w:eastAsia="宋体" w:hAnsi="Times New Roman" w:cs="Times New Roman"/>
          <w:iCs/>
          <w:color w:val="000000" w:themeColor="text1"/>
          <w:sz w:val="24"/>
          <w:szCs w:val="24"/>
        </w:rPr>
        <w:t>2</w:t>
      </w:r>
      <w:r w:rsidRPr="004E7E5A">
        <w:rPr>
          <w:rFonts w:ascii="Times New Roman" w:eastAsia="宋体" w:hAnsi="Times New Roman" w:cs="Times New Roman"/>
          <w:iCs/>
          <w:color w:val="000000" w:themeColor="text1"/>
          <w:sz w:val="24"/>
          <w:szCs w:val="24"/>
        </w:rPr>
        <w:t>)</w:t>
      </w:r>
    </w:p>
    <w:p w14:paraId="606DDD7B" w14:textId="40C34A7F" w:rsidR="00D6720E" w:rsidRPr="004E7E5A" w:rsidRDefault="00D6720E" w:rsidP="00D6720E">
      <w:pPr>
        <w:pStyle w:val="a7"/>
        <w:spacing w:line="480" w:lineRule="auto"/>
        <w:ind w:firstLine="480"/>
        <w:rPr>
          <w:rFonts w:cs="Times New Roman"/>
        </w:rPr>
      </w:pPr>
      <w:r w:rsidRPr="004E7E5A">
        <w:rPr>
          <w:rFonts w:cs="Times New Roman"/>
        </w:rPr>
        <w:t xml:space="preserve">Equation (2) is used to test hypothesis 2. Similar to </w:t>
      </w:r>
      <w:proofErr w:type="spellStart"/>
      <w:r w:rsidRPr="004E7E5A">
        <w:rPr>
          <w:rFonts w:cs="Times New Roman"/>
        </w:rPr>
        <w:t>Servaes</w:t>
      </w:r>
      <w:proofErr w:type="spellEnd"/>
      <w:r w:rsidRPr="004E7E5A">
        <w:rPr>
          <w:rFonts w:cs="Times New Roman"/>
        </w:rPr>
        <w:t xml:space="preserve"> and Tamayo (2013), we use advertising expenditures (</w:t>
      </w:r>
      <w:r w:rsidRPr="004E7E5A">
        <w:rPr>
          <w:rFonts w:cs="Times New Roman"/>
          <w:i/>
          <w:iCs/>
        </w:rPr>
        <w:t>Advertising</w:t>
      </w:r>
      <w:r w:rsidRPr="004E7E5A">
        <w:rPr>
          <w:rFonts w:cs="Times New Roman"/>
        </w:rPr>
        <w:t xml:space="preserve">) as a proxy for marketing strategy. </w:t>
      </w:r>
      <w:r w:rsidRPr="004E7E5A">
        <w:rPr>
          <w:rFonts w:cs="Times New Roman"/>
          <w:i/>
          <w:iCs/>
        </w:rPr>
        <w:t xml:space="preserve">Advertising </w:t>
      </w:r>
      <w:r w:rsidRPr="004E7E5A">
        <w:rPr>
          <w:rFonts w:cs="Times New Roman"/>
        </w:rPr>
        <w:t xml:space="preserve">is calculated by advertising expenditures divided by sales </w:t>
      </w:r>
      <w:r w:rsidRPr="004E7E5A">
        <w:rPr>
          <w:rFonts w:cs="Times New Roman"/>
        </w:rPr>
        <w:fldChar w:fldCharType="begin"/>
      </w:r>
      <w:r w:rsidR="00317C6A" w:rsidRPr="004E7E5A">
        <w:rPr>
          <w:rFonts w:cs="Times New Roman"/>
        </w:rPr>
        <w:instrText xml:space="preserve"> ADDIN EN.CITE &lt;EndNote&gt;&lt;Cite&gt;&lt;Author&gt;Servaes&lt;/Author&gt;&lt;Year&gt;2013&lt;/Year&gt;&lt;RecNum&gt;2089&lt;/RecNum&gt;&lt;DisplayText&gt;(Servaes and Tamayo 2013)&lt;/DisplayText&gt;&lt;record&gt;&lt;rec-number&gt;2089&lt;/rec-number&gt;&lt;foreign-keys&gt;&lt;key app="EN" db-id="trr00pfsbzzex0ezwf6v5swd9fpfpwfa90xp" timestamp="1629466430" guid="5ba03db8-8af3-4bed-97d1-10d56735ef5b"&gt;2089&lt;/key&gt;&lt;/foreign-keys&gt;&lt;ref-type name="Journal Article"&gt;17&lt;/ref-type&gt;&lt;contributors&gt;&lt;authors&gt;&lt;author&gt;Servaes, H.&lt;/author&gt;&lt;author&gt;Tamayo, A.&lt;/author&gt;&lt;/authors&gt;&lt;/contributors&gt;&lt;titles&gt;&lt;title&gt;The impact of corporate social responsibility on firm value: The role of customer awareness&lt;/title&gt;&lt;secondary-title&gt;Management Science&lt;/secondary-title&gt;&lt;/titles&gt;&lt;periodical&gt;&lt;full-title&gt;Management Science&lt;/full-title&gt;&lt;/periodical&gt;&lt;pages&gt;1045-1061&lt;/pages&gt;&lt;volume&gt;59&lt;/volume&gt;&lt;number&gt;5&lt;/number&gt;&lt;dates&gt;&lt;year&gt;2013&lt;/year&gt;&lt;/dates&gt;&lt;urls&gt;&lt;/urls&gt;&lt;/record&gt;&lt;/Cite&gt;&lt;/EndNote&gt;</w:instrText>
      </w:r>
      <w:r w:rsidRPr="004E7E5A">
        <w:rPr>
          <w:rFonts w:cs="Times New Roman"/>
        </w:rPr>
        <w:fldChar w:fldCharType="separate"/>
      </w:r>
      <w:r w:rsidRPr="004E7E5A">
        <w:rPr>
          <w:rFonts w:cs="Times New Roman"/>
          <w:noProof/>
        </w:rPr>
        <w:t>(Servaes and Tamayo 2013)</w:t>
      </w:r>
      <w:r w:rsidRPr="004E7E5A">
        <w:rPr>
          <w:rFonts w:cs="Times New Roman"/>
        </w:rPr>
        <w:fldChar w:fldCharType="end"/>
      </w:r>
      <w:r w:rsidRPr="004E7E5A">
        <w:rPr>
          <w:rFonts w:cs="Times New Roman"/>
        </w:rPr>
        <w:t>. 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i/>
          <w:iCs/>
        </w:rPr>
        <w:t>Advertising</w:t>
      </w:r>
      <w:r w:rsidRPr="004E7E5A">
        <w:rPr>
          <w:rFonts w:cs="Times New Roman"/>
        </w:rPr>
        <w:t xml:space="preserve">) to Equation (2) to test the moderating role of marketing strategy </w:t>
      </w:r>
      <w:r w:rsidRPr="004E7E5A">
        <w:rPr>
          <w:rFonts w:cs="Times New Roman"/>
        </w:rPr>
        <w:fldChar w:fldCharType="begin"/>
      </w:r>
      <w:r w:rsidR="00317C6A" w:rsidRPr="004E7E5A">
        <w:rPr>
          <w:rFonts w:cs="Times New Roman"/>
        </w:rPr>
        <w:instrText xml:space="preserve"> ADDIN EN.CITE &lt;EndNote&gt;&lt;Cite&gt;&lt;Author&gt;Servaes&lt;/Author&gt;&lt;Year&gt;2013&lt;/Year&gt;&lt;RecNum&gt;2089&lt;/RecNum&gt;&lt;DisplayText&gt;(Servaes and Tamayo 2013)&lt;/DisplayText&gt;&lt;record&gt;&lt;rec-number&gt;2089&lt;/rec-number&gt;&lt;foreign-keys&gt;&lt;key app="EN" db-id="trr00pfsbzzex0ezwf6v5swd9fpfpwfa90xp" timestamp="1629466430" guid="5ba03db8-8af3-4bed-97d1-10d56735ef5b"&gt;2089&lt;/key&gt;&lt;/foreign-keys&gt;&lt;ref-type name="Journal Article"&gt;17&lt;/ref-type&gt;&lt;contributors&gt;&lt;authors&gt;&lt;author&gt;Servaes, H.&lt;/author&gt;&lt;author&gt;Tamayo, A.&lt;/author&gt;&lt;/authors&gt;&lt;/contributors&gt;&lt;titles&gt;&lt;title&gt;The impact of corporate social responsibility on firm value: The role of customer awareness&lt;/title&gt;&lt;secondary-title&gt;Management Science&lt;/secondary-title&gt;&lt;/titles&gt;&lt;periodical&gt;&lt;full-title&gt;Management Science&lt;/full-title&gt;&lt;/periodical&gt;&lt;pages&gt;1045-1061&lt;/pages&gt;&lt;volume&gt;59&lt;/volume&gt;&lt;number&gt;5&lt;/number&gt;&lt;dates&gt;&lt;year&gt;2013&lt;/year&gt;&lt;/dates&gt;&lt;urls&gt;&lt;/urls&gt;&lt;/record&gt;&lt;/Cite&gt;&lt;/EndNote&gt;</w:instrText>
      </w:r>
      <w:r w:rsidRPr="004E7E5A">
        <w:rPr>
          <w:rFonts w:cs="Times New Roman"/>
        </w:rPr>
        <w:fldChar w:fldCharType="separate"/>
      </w:r>
      <w:r w:rsidRPr="004E7E5A">
        <w:rPr>
          <w:rFonts w:cs="Times New Roman"/>
          <w:noProof/>
        </w:rPr>
        <w:t>(Servaes and Tamayo 2013)</w:t>
      </w:r>
      <w:r w:rsidRPr="004E7E5A">
        <w:rPr>
          <w:rFonts w:cs="Times New Roman"/>
        </w:rPr>
        <w:fldChar w:fldCharType="end"/>
      </w:r>
      <w:r w:rsidRPr="004E7E5A">
        <w:rPr>
          <w:rFonts w:cs="Times New Roman"/>
        </w:rPr>
        <w:t>. A negative and significant coefficient on the interaction term (</w:t>
      </w:r>
      <w:r w:rsidRPr="004E7E5A">
        <w:rPr>
          <w:rFonts w:cs="Times New Roman"/>
          <w:i/>
          <w:iCs/>
        </w:rPr>
        <w:t>Score</w:t>
      </w:r>
      <w:r w:rsidRPr="004E7E5A">
        <w:rPr>
          <w:rFonts w:cs="Times New Roman"/>
        </w:rPr>
        <w:t xml:space="preserve"> × </w:t>
      </w:r>
      <w:r w:rsidRPr="004E7E5A">
        <w:rPr>
          <w:rFonts w:cs="Times New Roman"/>
          <w:i/>
          <w:iCs/>
        </w:rPr>
        <w:t>Advertising</w:t>
      </w:r>
      <w:r w:rsidRPr="004E7E5A">
        <w:rPr>
          <w:rFonts w:cs="Times New Roman"/>
        </w:rPr>
        <w:t>) will support hypothesis 2, indicating that the positive association between directors’ network centrality and CSR disclosure quality is stronger when a firm spends less in advertising. We include the same control variables as in Equation (1).</w:t>
      </w:r>
    </w:p>
    <w:p w14:paraId="40E6CC16" w14:textId="77777777" w:rsidR="00502F25" w:rsidRPr="004E7E5A" w:rsidRDefault="00502F25" w:rsidP="00502F25">
      <w:pPr>
        <w:pStyle w:val="4"/>
        <w:spacing w:before="0" w:after="0" w:line="480" w:lineRule="auto"/>
        <w:rPr>
          <w:i/>
          <w:iCs/>
          <w:color w:val="000000" w:themeColor="text1"/>
        </w:rPr>
      </w:pPr>
      <w:r w:rsidRPr="004E7E5A">
        <w:rPr>
          <w:i/>
          <w:iCs/>
          <w:color w:val="000000" w:themeColor="text1"/>
        </w:rPr>
        <w:t xml:space="preserve">Model to Test </w:t>
      </w:r>
      <w:r w:rsidRPr="004E7E5A">
        <w:rPr>
          <w:rFonts w:hint="eastAsia"/>
          <w:i/>
          <w:iCs/>
          <w:color w:val="000000" w:themeColor="text1"/>
        </w:rPr>
        <w:t>the</w:t>
      </w:r>
      <w:r w:rsidRPr="004E7E5A">
        <w:rPr>
          <w:i/>
          <w:iCs/>
          <w:color w:val="000000" w:themeColor="text1"/>
        </w:rPr>
        <w:t xml:space="preserve"> M</w:t>
      </w:r>
      <w:r w:rsidRPr="004E7E5A">
        <w:rPr>
          <w:rFonts w:hint="eastAsia"/>
          <w:i/>
          <w:iCs/>
          <w:color w:val="000000" w:themeColor="text1"/>
        </w:rPr>
        <w:t>oderating</w:t>
      </w:r>
      <w:r w:rsidRPr="004E7E5A">
        <w:rPr>
          <w:i/>
          <w:iCs/>
          <w:color w:val="000000" w:themeColor="text1"/>
        </w:rPr>
        <w:t xml:space="preserve"> E</w:t>
      </w:r>
      <w:r w:rsidRPr="004E7E5A">
        <w:rPr>
          <w:rFonts w:hint="eastAsia"/>
          <w:i/>
          <w:iCs/>
          <w:color w:val="000000" w:themeColor="text1"/>
        </w:rPr>
        <w:t>ffect</w:t>
      </w:r>
      <w:r w:rsidRPr="004E7E5A">
        <w:rPr>
          <w:i/>
          <w:iCs/>
          <w:color w:val="000000" w:themeColor="text1"/>
        </w:rPr>
        <w:t xml:space="preserve"> </w:t>
      </w:r>
      <w:r w:rsidRPr="004E7E5A">
        <w:rPr>
          <w:rFonts w:hint="eastAsia"/>
          <w:i/>
          <w:iCs/>
          <w:color w:val="000000" w:themeColor="text1"/>
        </w:rPr>
        <w:t>of</w:t>
      </w:r>
      <w:r w:rsidRPr="004E7E5A">
        <w:rPr>
          <w:i/>
          <w:iCs/>
          <w:color w:val="000000" w:themeColor="text1"/>
        </w:rPr>
        <w:t xml:space="preserve"> Analysts’ Attention</w:t>
      </w:r>
    </w:p>
    <w:p w14:paraId="1862FC56" w14:textId="77777777" w:rsidR="00DF47C0" w:rsidRPr="004E7E5A" w:rsidRDefault="00DF47C0" w:rsidP="00DF47C0">
      <w:pPr>
        <w:pStyle w:val="a7"/>
        <w:spacing w:afterLines="50" w:after="156" w:line="480" w:lineRule="auto"/>
        <w:ind w:firstLine="480"/>
        <w:rPr>
          <w:rFonts w:cs="Times New Roman"/>
        </w:rPr>
      </w:pPr>
      <w:r w:rsidRPr="004E7E5A">
        <w:rPr>
          <w:rFonts w:cs="Times New Roman"/>
        </w:rPr>
        <w:t xml:space="preserve">We </w:t>
      </w:r>
      <w:proofErr w:type="spellStart"/>
      <w:r w:rsidRPr="004E7E5A">
        <w:rPr>
          <w:rFonts w:cs="Times New Roman"/>
        </w:rPr>
        <w:t>utilise</w:t>
      </w:r>
      <w:proofErr w:type="spellEnd"/>
      <w:r w:rsidRPr="004E7E5A">
        <w:rPr>
          <w:rFonts w:cs="Times New Roman"/>
        </w:rPr>
        <w:t xml:space="preserve"> the model below to test the moderating effect of analysts’ attention on the relationship between directors’ network and CSR disclosure quality:</w:t>
      </w:r>
    </w:p>
    <w:p w14:paraId="5C247C1D" w14:textId="5D0D8E81" w:rsidR="00D570DF" w:rsidRPr="004E7E5A" w:rsidRDefault="00FF0C6A" w:rsidP="00D570DF">
      <w:pPr>
        <w:adjustRightInd w:val="0"/>
        <w:snapToGrid w:val="0"/>
        <w:spacing w:line="480" w:lineRule="auto"/>
        <w:rPr>
          <w:rFonts w:ascii="Times New Roman" w:eastAsia="宋体" w:hAnsi="Times New Roman" w:cs="Times New Roman"/>
          <w:color w:val="000000" w:themeColor="text1"/>
          <w:kern w:val="0"/>
          <w:sz w:val="24"/>
          <w:szCs w:val="24"/>
        </w:rPr>
      </w:pPr>
      <m:oMath>
        <m:r>
          <w:rPr>
            <w:rFonts w:ascii="Cambria Math" w:eastAsia="宋体" w:hAnsi="Cambria Math" w:cs="Times New Roman"/>
            <w:color w:val="000000" w:themeColor="text1"/>
            <w:sz w:val="24"/>
            <w:szCs w:val="24"/>
          </w:rPr>
          <w:lastRenderedPageBreak/>
          <m:t xml:space="preserve"> Csr =</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0</m:t>
            </m:r>
          </m:sub>
        </m:sSub>
        <m:r>
          <w:rPr>
            <w:rFonts w:ascii="Cambria Math" w:eastAsia="宋体" w:hAnsi="Cambria Math" w:cs="Times New Roman"/>
            <w:color w:val="000000" w:themeColor="text1"/>
            <w:sz w:val="24"/>
            <w:szCs w:val="24"/>
          </w:rPr>
          <m: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m:t>
            </m:r>
          </m:sub>
        </m:sSub>
        <m:r>
          <w:rPr>
            <w:rFonts w:ascii="Cambria Math" w:eastAsia="宋体" w:hAnsi="Cambria Math" w:cs="Times New Roman"/>
            <w:color w:val="000000" w:themeColor="text1"/>
            <w:sz w:val="24"/>
            <w:szCs w:val="24"/>
          </w:rPr>
          <m:t>Score+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2</m:t>
            </m:r>
          </m:sub>
        </m:sSub>
        <m:r>
          <w:rPr>
            <w:rFonts w:ascii="Cambria Math" w:eastAsia="宋体" w:hAnsi="Cambria Math" w:cs="Times New Roman"/>
            <w:color w:val="000000" w:themeColor="text1"/>
            <w:sz w:val="24"/>
            <w:szCs w:val="24"/>
          </w:rPr>
          <m:t>Analyst+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3</m:t>
            </m:r>
          </m:sub>
        </m:sSub>
        <m:r>
          <w:rPr>
            <w:rFonts w:ascii="Cambria Math" w:eastAsia="宋体" w:hAnsi="Cambria Math" w:cs="Times New Roman"/>
            <w:color w:val="000000" w:themeColor="text1"/>
            <w:sz w:val="24"/>
            <w:szCs w:val="24"/>
          </w:rPr>
          <m:t>Score×Analyst+</m:t>
        </m:r>
        <m:r>
          <w:rPr>
            <w:rFonts w:ascii="Cambria Math" w:eastAsia="宋体" w:hAnsi="Cambria Math" w:cs="Times New Roman"/>
            <w:color w:val="000000" w:themeColor="text1"/>
            <w:kern w:val="0"/>
            <w:sz w:val="24"/>
            <w:szCs w:val="24"/>
          </w:rPr>
          <m:t>Control Variables</m:t>
        </m:r>
      </m:oMath>
      <w:r w:rsidR="00D570DF" w:rsidRPr="004E7E5A">
        <w:rPr>
          <w:rFonts w:ascii="Times New Roman" w:eastAsia="宋体" w:hAnsi="Times New Roman" w:cs="Times New Roman"/>
          <w:color w:val="000000" w:themeColor="text1"/>
          <w:kern w:val="0"/>
          <w:sz w:val="24"/>
          <w:szCs w:val="24"/>
        </w:rPr>
        <w:t xml:space="preserve"> </w:t>
      </w:r>
    </w:p>
    <w:p w14:paraId="7EBA3BD3" w14:textId="714DFDA1" w:rsidR="00D570DF" w:rsidRPr="004E7E5A" w:rsidRDefault="00D570DF" w:rsidP="00D570DF">
      <w:pPr>
        <w:adjustRightInd w:val="0"/>
        <w:snapToGrid w:val="0"/>
        <w:spacing w:line="480" w:lineRule="auto"/>
        <w:jc w:val="right"/>
        <w:rPr>
          <w:rFonts w:ascii="Times New Roman" w:eastAsia="宋体" w:hAnsi="Times New Roman" w:cs="Times New Roman"/>
          <w:iCs/>
          <w:color w:val="000000" w:themeColor="text1"/>
          <w:sz w:val="24"/>
          <w:szCs w:val="24"/>
        </w:rPr>
      </w:pPr>
      <m:oMath>
        <m:r>
          <w:rPr>
            <w:rFonts w:ascii="Cambria Math" w:eastAsia="宋体" w:hAnsi="Cambria Math" w:cs="Times New Roman"/>
            <w:color w:val="000000" w:themeColor="text1"/>
            <w:kern w:val="0"/>
            <w:sz w:val="24"/>
            <w:szCs w:val="24"/>
          </w:rPr>
          <m:t>+Industry and Year Fixed Effects+ε</m:t>
        </m:r>
      </m:oMath>
      <w:r w:rsidRPr="004E7E5A">
        <w:rPr>
          <w:rFonts w:ascii="Times New Roman" w:eastAsia="宋体" w:hAnsi="Times New Roman" w:cs="Times New Roman"/>
          <w:i/>
          <w:color w:val="000000" w:themeColor="text1"/>
          <w:sz w:val="24"/>
          <w:szCs w:val="24"/>
        </w:rPr>
        <w:t xml:space="preserve">                              </w:t>
      </w:r>
      <w:r w:rsidRPr="004E7E5A">
        <w:rPr>
          <w:rFonts w:ascii="Times New Roman" w:eastAsia="宋体" w:hAnsi="Times New Roman" w:cs="Times New Roman"/>
          <w:iCs/>
          <w:color w:val="000000" w:themeColor="text1"/>
          <w:sz w:val="24"/>
          <w:szCs w:val="24"/>
        </w:rPr>
        <w:t xml:space="preserve"> (3)</w:t>
      </w:r>
    </w:p>
    <w:p w14:paraId="367FD874" w14:textId="55D6CA71" w:rsidR="00D6720E" w:rsidRPr="004E7E5A" w:rsidRDefault="00D6720E" w:rsidP="00D6720E">
      <w:pPr>
        <w:pStyle w:val="a7"/>
        <w:spacing w:line="480" w:lineRule="auto"/>
        <w:ind w:firstLine="480"/>
        <w:rPr>
          <w:rFonts w:cs="Times New Roman"/>
        </w:rPr>
      </w:pPr>
      <w:r w:rsidRPr="004E7E5A">
        <w:rPr>
          <w:rFonts w:cs="Times New Roman"/>
        </w:rPr>
        <w:t xml:space="preserve">Equation (3) is used to test hypothesis 3. Following the literature </w:t>
      </w:r>
      <w:r w:rsidRPr="004E7E5A">
        <w:rPr>
          <w:rFonts w:cs="Times New Roman"/>
        </w:rPr>
        <w:fldChar w:fldCharType="begin"/>
      </w:r>
      <w:r w:rsidR="006F6C86" w:rsidRPr="004E7E5A">
        <w:rPr>
          <w:rFonts w:cs="Times New Roman"/>
        </w:rPr>
        <w:instrText xml:space="preserve"> ADDIN EN.CITE &lt;EndNote&gt;&lt;Cite&gt;&lt;Author&gt;Chen&lt;/Author&gt;&lt;Year&gt;2011&lt;/Year&gt;&lt;RecNum&gt;2092&lt;/RecNum&gt;&lt;DisplayText&gt;(Chen et al. 2011; Ding et al. 2021)&lt;/DisplayText&gt;&lt;record&gt;&lt;rec-number&gt;2092&lt;/rec-number&gt;&lt;foreign-keys&gt;&lt;key app="EN" db-id="trr00pfsbzzex0ezwf6v5swd9fpfpwfa90xp" timestamp="1629554300" guid="33319abb-6738-43c8-bcbf-622dcc9aca93"&gt;2092&lt;/key&gt;&lt;/foreign-keys&gt;&lt;ref-type name="Journal Article"&gt;17&lt;/ref-type&gt;&lt;contributors&gt;&lt;authors&gt;&lt;author&gt;Chen, Shu Ping &lt;/author&gt;&lt;author&gt;Matsumoto, Dawn &lt;/author&gt;&lt;author&gt;Rajgopal, Shiva &lt;/author&gt;&lt;/authors&gt;&lt;/contributors&gt;&lt;titles&gt;&lt;title&gt;Is silence golden? An empirical analysis of firms that stop giving quarterly earnings guidance&lt;/title&gt;&lt;secondary-title&gt;Journal of Accounting &amp;amp; Economics&lt;/secondary-title&gt;&lt;/titles&gt;&lt;periodical&gt;&lt;full-title&gt;Journal of Accounting &amp;amp; Economics&lt;/full-title&gt;&lt;/periodical&gt;&lt;pages&gt;134-150&lt;/pages&gt;&lt;volume&gt;51&lt;/volume&gt;&lt;number&gt;1&lt;/number&gt;&lt;dates&gt;&lt;year&gt;2011&lt;/year&gt;&lt;/dates&gt;&lt;urls&gt;&lt;/urls&gt;&lt;/record&gt;&lt;/Cite&gt;&lt;Cite&gt;&lt;Author&gt;Ding&lt;/Author&gt;&lt;Year&gt;2021&lt;/Year&gt;&lt;RecNum&gt;2020&lt;/RecNum&gt;&lt;record&gt;&lt;rec-number&gt;2020&lt;/rec-number&gt;&lt;foreign-keys&gt;&lt;key app="EN" db-id="trr00pfsbzzex0ezwf6v5swd9fpfpwfa90xp" timestamp="1627289792" guid="b00706dc-5243-4d75-80ce-c24f17c93ead"&gt;2020&lt;/key&gt;&lt;/foreign-keys&gt;&lt;ref-type name="Journal Article"&gt;17&lt;/ref-type&gt;&lt;contributors&gt;&lt;authors&gt;&lt;author&gt;Rong Ding&lt;/author&gt;&lt;author&gt;Sushil Sainani&lt;/author&gt;&lt;author&gt;Ziyang (John) Zhang&lt;/author&gt;&lt;/authors&gt;&lt;/contributors&gt;&lt;titles&gt;&lt;title&gt;Protection of trade secrets and corporate tax avoidance: Evidence from the inevitable disclosure doctrine&lt;/title&gt;&lt;secondary-title&gt;Journal of Business Research&lt;/secondary-title&gt;&lt;/titles&gt;&lt;periodical&gt;&lt;full-title&gt;Journal of Business Research&lt;/full-title&gt;&lt;/periodical&gt;&lt;pages&gt;221-232&lt;/pages&gt;&lt;volume&gt;132&lt;/volume&gt;&lt;number&gt;5&lt;/number&gt;&lt;dates&gt;&lt;year&gt;2021&lt;/year&gt;&lt;/dates&gt;&lt;urls&gt;&lt;/urls&gt;&lt;/record&gt;&lt;/Cite&gt;&lt;/EndNote&gt;</w:instrText>
      </w:r>
      <w:r w:rsidRPr="004E7E5A">
        <w:rPr>
          <w:rFonts w:cs="Times New Roman"/>
        </w:rPr>
        <w:fldChar w:fldCharType="separate"/>
      </w:r>
      <w:r w:rsidR="004922F5" w:rsidRPr="004E7E5A">
        <w:rPr>
          <w:rFonts w:cs="Times New Roman"/>
          <w:noProof/>
        </w:rPr>
        <w:t>(Chen et al. 2011; Ding et al. 2021)</w:t>
      </w:r>
      <w:r w:rsidRPr="004E7E5A">
        <w:rPr>
          <w:rFonts w:cs="Times New Roman"/>
        </w:rPr>
        <w:fldChar w:fldCharType="end"/>
      </w:r>
      <w:r w:rsidRPr="004E7E5A">
        <w:rPr>
          <w:rFonts w:cs="Times New Roman"/>
        </w:rPr>
        <w:t>, we use analyst coverage (</w:t>
      </w:r>
      <w:r w:rsidRPr="004E7E5A">
        <w:rPr>
          <w:rFonts w:cs="Times New Roman"/>
          <w:i/>
          <w:iCs/>
        </w:rPr>
        <w:t>Analyst</w:t>
      </w:r>
      <w:r w:rsidRPr="004E7E5A">
        <w:rPr>
          <w:rFonts w:cs="Times New Roman"/>
        </w:rPr>
        <w:t xml:space="preserve">) as the proxy of analysts’ attention, with the assumption that firms followed by more analysts attract more analysts’ attention. We use the total number of analysts following a firm in a given year to measure </w:t>
      </w:r>
      <w:r w:rsidRPr="004E7E5A">
        <w:rPr>
          <w:rFonts w:cs="Times New Roman"/>
          <w:i/>
          <w:iCs/>
        </w:rPr>
        <w:t>Analyst</w:t>
      </w:r>
      <w:r w:rsidRPr="004E7E5A">
        <w:rPr>
          <w:rFonts w:cs="Times New Roman"/>
        </w:rPr>
        <w:t>. 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i/>
          <w:iCs/>
        </w:rPr>
        <w:t>Analyst</w:t>
      </w:r>
      <w:r w:rsidRPr="004E7E5A">
        <w:rPr>
          <w:rFonts w:cs="Times New Roman"/>
        </w:rPr>
        <w:t xml:space="preserve">) to Equation (3) to test the moderating role of analysts’ attention. Hypothesis 3 is supported if the coefficient on the interaction term </w:t>
      </w:r>
      <w:r w:rsidRPr="004E7E5A">
        <w:rPr>
          <w:rFonts w:cs="Times New Roman"/>
          <w:i/>
          <w:iCs/>
        </w:rPr>
        <w:t>β</w:t>
      </w:r>
      <w:r w:rsidRPr="004E7E5A">
        <w:rPr>
          <w:rFonts w:cs="Times New Roman"/>
          <w:i/>
          <w:iCs/>
          <w:vertAlign w:val="subscript"/>
        </w:rPr>
        <w:t xml:space="preserve">3 </w:t>
      </w:r>
      <w:r w:rsidRPr="004E7E5A">
        <w:rPr>
          <w:rFonts w:cs="Times New Roman"/>
        </w:rPr>
        <w:t xml:space="preserve">is significantly </w:t>
      </w:r>
      <w:r w:rsidRPr="004E7E5A">
        <w:rPr>
          <w:rFonts w:cs="Times New Roman" w:hint="eastAsia"/>
        </w:rPr>
        <w:t>nega</w:t>
      </w:r>
      <w:r w:rsidRPr="004E7E5A">
        <w:rPr>
          <w:rFonts w:cs="Times New Roman"/>
        </w:rPr>
        <w:t>tive. We include the same control variables as in Equation (1).</w:t>
      </w:r>
      <w:r w:rsidRPr="004E7E5A">
        <w:rPr>
          <w:rFonts w:cs="Times New Roman"/>
          <w:i/>
          <w:iCs/>
        </w:rPr>
        <w:t xml:space="preserve"> </w:t>
      </w:r>
    </w:p>
    <w:p w14:paraId="72F3EBD1" w14:textId="77777777" w:rsidR="00502F25" w:rsidRPr="004E7E5A" w:rsidRDefault="00502F25" w:rsidP="00502F25">
      <w:pPr>
        <w:pStyle w:val="4"/>
        <w:spacing w:before="0" w:after="0" w:line="480" w:lineRule="auto"/>
        <w:rPr>
          <w:i/>
          <w:iCs/>
          <w:color w:val="000000" w:themeColor="text1"/>
        </w:rPr>
      </w:pPr>
      <w:r w:rsidRPr="004E7E5A">
        <w:rPr>
          <w:i/>
          <w:iCs/>
          <w:color w:val="000000" w:themeColor="text1"/>
        </w:rPr>
        <w:t>Model to Test the M</w:t>
      </w:r>
      <w:r w:rsidRPr="004E7E5A">
        <w:rPr>
          <w:rFonts w:hint="eastAsia"/>
          <w:i/>
          <w:iCs/>
          <w:color w:val="000000" w:themeColor="text1"/>
        </w:rPr>
        <w:t>oderating</w:t>
      </w:r>
      <w:r w:rsidRPr="004E7E5A">
        <w:rPr>
          <w:i/>
          <w:iCs/>
          <w:color w:val="000000" w:themeColor="text1"/>
        </w:rPr>
        <w:t xml:space="preserve"> E</w:t>
      </w:r>
      <w:r w:rsidRPr="004E7E5A">
        <w:rPr>
          <w:rFonts w:hint="eastAsia"/>
          <w:i/>
          <w:iCs/>
          <w:color w:val="000000" w:themeColor="text1"/>
        </w:rPr>
        <w:t>ffect</w:t>
      </w:r>
      <w:r w:rsidRPr="004E7E5A">
        <w:rPr>
          <w:i/>
          <w:iCs/>
          <w:color w:val="000000" w:themeColor="text1"/>
        </w:rPr>
        <w:t xml:space="preserve"> </w:t>
      </w:r>
      <w:r w:rsidRPr="004E7E5A">
        <w:rPr>
          <w:rFonts w:hint="eastAsia"/>
          <w:i/>
          <w:iCs/>
          <w:color w:val="000000" w:themeColor="text1"/>
        </w:rPr>
        <w:t>of</w:t>
      </w:r>
      <w:r w:rsidRPr="004E7E5A">
        <w:rPr>
          <w:i/>
          <w:iCs/>
          <w:color w:val="000000" w:themeColor="text1"/>
        </w:rPr>
        <w:t xml:space="preserve"> Auditors</w:t>
      </w:r>
    </w:p>
    <w:p w14:paraId="70FFCA58" w14:textId="77777777" w:rsidR="005547BF" w:rsidRPr="004E7E5A" w:rsidRDefault="005547BF" w:rsidP="005547BF">
      <w:pPr>
        <w:pStyle w:val="a7"/>
        <w:spacing w:afterLines="50" w:after="156" w:line="480" w:lineRule="auto"/>
        <w:ind w:firstLine="480"/>
        <w:rPr>
          <w:rFonts w:cs="Times New Roman"/>
        </w:rPr>
      </w:pPr>
      <w:r w:rsidRPr="004E7E5A">
        <w:rPr>
          <w:rFonts w:cs="Times New Roman"/>
        </w:rPr>
        <w:t>We use the model below to test the moderating effect of auditors on the relationship between directors’ network and CSR disclosure quality:</w:t>
      </w:r>
    </w:p>
    <w:p w14:paraId="1D415110" w14:textId="66385137" w:rsidR="00D570DF" w:rsidRPr="004E7E5A" w:rsidRDefault="00D570DF" w:rsidP="008E3F76">
      <w:pPr>
        <w:adjustRightInd w:val="0"/>
        <w:snapToGrid w:val="0"/>
        <w:spacing w:line="480" w:lineRule="auto"/>
        <w:ind w:left="720" w:hangingChars="300" w:hanging="720"/>
        <w:rPr>
          <w:rFonts w:ascii="Times New Roman" w:eastAsia="宋体" w:hAnsi="Times New Roman" w:cs="Times New Roman"/>
          <w:color w:val="000000" w:themeColor="text1"/>
          <w:kern w:val="0"/>
          <w:sz w:val="24"/>
          <w:szCs w:val="24"/>
        </w:rPr>
      </w:pPr>
      <m:oMath>
        <m:r>
          <w:rPr>
            <w:rFonts w:ascii="Cambria Math" w:eastAsia="宋体" w:hAnsi="Cambria Math" w:cs="Times New Roman"/>
            <w:color w:val="000000" w:themeColor="text1"/>
            <w:sz w:val="24"/>
            <w:szCs w:val="24"/>
          </w:rPr>
          <m:t>Csr =</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0</m:t>
            </m:r>
          </m:sub>
        </m:sSub>
        <m:r>
          <w:rPr>
            <w:rFonts w:ascii="Cambria Math" w:eastAsia="宋体" w:hAnsi="Cambria Math" w:cs="Times New Roman"/>
            <w:color w:val="000000" w:themeColor="text1"/>
            <w:sz w:val="24"/>
            <w:szCs w:val="24"/>
          </w:rPr>
          <m: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m:t>
            </m:r>
          </m:sub>
        </m:sSub>
        <m:r>
          <w:rPr>
            <w:rFonts w:ascii="Cambria Math" w:eastAsia="宋体" w:hAnsi="Cambria Math" w:cs="Times New Roman"/>
            <w:color w:val="000000" w:themeColor="text1"/>
            <w:sz w:val="24"/>
            <w:szCs w:val="24"/>
          </w:rPr>
          <m:t>Score+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2</m:t>
            </m:r>
          </m:sub>
        </m:sSub>
        <m:r>
          <w:rPr>
            <w:rFonts w:ascii="Cambria Math" w:eastAsia="宋体" w:hAnsi="Cambria Math" w:cs="Times New Roman"/>
            <w:color w:val="000000" w:themeColor="text1"/>
            <w:sz w:val="24"/>
            <w:szCs w:val="24"/>
          </w:rPr>
          <m:t>CSR assurance+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3</m:t>
            </m:r>
          </m:sub>
        </m:sSub>
        <m:r>
          <w:rPr>
            <w:rFonts w:ascii="Cambria Math" w:eastAsia="宋体" w:hAnsi="Cambria Math" w:cs="Times New Roman"/>
            <w:color w:val="000000" w:themeColor="text1"/>
            <w:sz w:val="24"/>
            <w:szCs w:val="24"/>
          </w:rPr>
          <m:t>Score×CSR assurance+</m:t>
        </m:r>
        <m:r>
          <w:rPr>
            <w:rFonts w:ascii="Cambria Math" w:eastAsia="宋体" w:hAnsi="Cambria Math" w:cs="Times New Roman"/>
            <w:color w:val="000000" w:themeColor="text1"/>
            <w:kern w:val="0"/>
            <w:sz w:val="24"/>
            <w:szCs w:val="24"/>
          </w:rPr>
          <m:t xml:space="preserve">Control Variables+Industry and Year Fixed Effects+ε  </m:t>
        </m:r>
      </m:oMath>
      <w:r w:rsidRPr="004E7E5A">
        <w:rPr>
          <w:rFonts w:ascii="Times New Roman" w:eastAsia="宋体" w:hAnsi="Times New Roman" w:cs="Times New Roman"/>
          <w:i/>
          <w:color w:val="000000" w:themeColor="text1"/>
          <w:sz w:val="24"/>
          <w:szCs w:val="24"/>
        </w:rPr>
        <w:t xml:space="preserve">       </w:t>
      </w:r>
      <w:r w:rsidRPr="004E7E5A">
        <w:rPr>
          <w:rFonts w:ascii="Times New Roman" w:eastAsia="宋体" w:hAnsi="Times New Roman" w:cs="Times New Roman"/>
          <w:iCs/>
          <w:color w:val="000000" w:themeColor="text1"/>
          <w:sz w:val="24"/>
          <w:szCs w:val="24"/>
        </w:rPr>
        <w:t xml:space="preserve">  </w:t>
      </w:r>
      <w:r w:rsidR="008E3F76" w:rsidRPr="004E7E5A">
        <w:rPr>
          <w:rFonts w:ascii="Times New Roman" w:eastAsia="宋体" w:hAnsi="Times New Roman" w:cs="Times New Roman"/>
          <w:iCs/>
          <w:color w:val="000000" w:themeColor="text1"/>
          <w:sz w:val="24"/>
          <w:szCs w:val="24"/>
        </w:rPr>
        <w:t xml:space="preserve">   </w:t>
      </w:r>
      <w:r w:rsidRPr="004E7E5A">
        <w:rPr>
          <w:rFonts w:ascii="Times New Roman" w:eastAsia="宋体" w:hAnsi="Times New Roman" w:cs="Times New Roman"/>
          <w:iCs/>
          <w:color w:val="000000" w:themeColor="text1"/>
          <w:sz w:val="24"/>
          <w:szCs w:val="24"/>
        </w:rPr>
        <w:t xml:space="preserve">  </w:t>
      </w:r>
      <w:r w:rsidR="008E3F76" w:rsidRPr="004E7E5A">
        <w:rPr>
          <w:rFonts w:ascii="Times New Roman" w:eastAsia="宋体" w:hAnsi="Times New Roman" w:cs="Times New Roman"/>
          <w:iCs/>
          <w:color w:val="000000" w:themeColor="text1"/>
          <w:sz w:val="24"/>
          <w:szCs w:val="24"/>
        </w:rPr>
        <w:t>(4)</w:t>
      </w:r>
      <w:r w:rsidRPr="004E7E5A">
        <w:rPr>
          <w:rFonts w:ascii="Times New Roman" w:eastAsia="宋体" w:hAnsi="Times New Roman" w:cs="Times New Roman"/>
          <w:iCs/>
          <w:color w:val="000000" w:themeColor="text1"/>
          <w:sz w:val="24"/>
          <w:szCs w:val="24"/>
        </w:rPr>
        <w:t xml:space="preserve">  </w:t>
      </w:r>
      <w:r w:rsidRPr="004E7E5A">
        <w:rPr>
          <w:rFonts w:ascii="Times New Roman" w:eastAsia="宋体" w:hAnsi="Times New Roman" w:cs="Times New Roman"/>
          <w:i/>
          <w:color w:val="000000" w:themeColor="text1"/>
          <w:sz w:val="24"/>
          <w:szCs w:val="24"/>
        </w:rPr>
        <w:t xml:space="preserve">           </w:t>
      </w:r>
    </w:p>
    <w:p w14:paraId="64AAACA8" w14:textId="45A9E991" w:rsidR="005547BF" w:rsidRPr="004E7E5A" w:rsidRDefault="005547BF" w:rsidP="005547BF">
      <w:pPr>
        <w:pStyle w:val="a7"/>
        <w:spacing w:line="480" w:lineRule="auto"/>
        <w:ind w:firstLine="480"/>
        <w:rPr>
          <w:rFonts w:cs="Times New Roman"/>
        </w:rPr>
      </w:pPr>
      <w:r w:rsidRPr="004E7E5A">
        <w:rPr>
          <w:rFonts w:cs="Times New Roman"/>
        </w:rPr>
        <w:t xml:space="preserve">Equation (4) is used to test hypothesis 4. Following prior literature </w:t>
      </w:r>
      <w:r w:rsidRPr="004E7E5A">
        <w:rPr>
          <w:rFonts w:cs="Times New Roman"/>
        </w:rPr>
        <w:fldChar w:fldCharType="begin"/>
      </w:r>
      <w:r w:rsidR="00317C6A" w:rsidRPr="004E7E5A">
        <w:rPr>
          <w:rFonts w:cs="Times New Roman"/>
        </w:rPr>
        <w:instrText xml:space="preserve"> ADDIN EN.CITE &lt;EndNote&gt;&lt;Cite&gt;&lt;Author&gt;Simnett&lt;/Author&gt;&lt;Year&gt;2009&lt;/Year&gt;&lt;RecNum&gt;2062&lt;/RecNum&gt;&lt;DisplayText&gt;(Simnett et al. 2009; Liao et al. 2016)&lt;/DisplayText&gt;&lt;record&gt;&lt;rec-number&gt;2062&lt;/rec-number&gt;&lt;foreign-keys&gt;&lt;key app="EN" db-id="trr00pfsbzzex0ezwf6v5swd9fpfpwfa90xp" timestamp="1627809955" guid="4dc6f8bf-0de1-4269-8813-55d1a3db074b"&gt;2062&lt;/key&gt;&lt;/foreign-keys&gt;&lt;ref-type name="Journal Article"&gt;17&lt;/ref-type&gt;&lt;contributors&gt;&lt;authors&gt;&lt;author&gt;Simnett, R.&lt;/author&gt;&lt;author&gt;Vanstraelen, A.&lt;/author&gt;&lt;author&gt;Chua, W. F.&lt;/author&gt;&lt;/authors&gt;&lt;/contributors&gt;&lt;titles&gt;&lt;title&gt;Assurance on sustainability reports: An international comparison&lt;/title&gt;&lt;secondary-title&gt;The Accounting Review&lt;/secondary-title&gt;&lt;/titles&gt;&lt;periodical&gt;&lt;full-title&gt;The Accounting Review&lt;/full-title&gt;&lt;/periodical&gt;&lt;pages&gt;937-967&lt;/pages&gt;&lt;volume&gt;84&lt;/volume&gt;&lt;number&gt;3&lt;/number&gt;&lt;dates&gt;&lt;year&gt;2009&lt;/year&gt;&lt;/dates&gt;&lt;urls&gt;&lt;/urls&gt;&lt;/record&gt;&lt;/Cite&gt;&lt;Cite&gt;&lt;Author&gt;Liao&lt;/Author&gt;&lt;Year&gt;2016&lt;/Year&gt;&lt;RecNum&gt;318&lt;/RecNum&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rPr>
        <w:fldChar w:fldCharType="separate"/>
      </w:r>
      <w:r w:rsidRPr="004E7E5A">
        <w:rPr>
          <w:rFonts w:cs="Times New Roman"/>
          <w:noProof/>
        </w:rPr>
        <w:t>(Simnett et al. 2009; Liao et al. 2016)</w:t>
      </w:r>
      <w:r w:rsidRPr="004E7E5A">
        <w:rPr>
          <w:rFonts w:cs="Times New Roman"/>
        </w:rPr>
        <w:fldChar w:fldCharType="end"/>
      </w:r>
      <w:r w:rsidRPr="004E7E5A">
        <w:rPr>
          <w:rFonts w:cs="Times New Roman"/>
        </w:rPr>
        <w:t>, we use assurance over CSR reports (</w:t>
      </w:r>
      <w:r w:rsidRPr="004E7E5A">
        <w:rPr>
          <w:rFonts w:cs="Times New Roman" w:hint="eastAsia"/>
          <w:i/>
          <w:iCs/>
        </w:rPr>
        <w:t>CSR</w:t>
      </w:r>
      <w:r w:rsidRPr="004E7E5A">
        <w:rPr>
          <w:rFonts w:cs="Times New Roman"/>
          <w:i/>
          <w:iCs/>
        </w:rPr>
        <w:t xml:space="preserve"> assurance</w:t>
      </w:r>
      <w:r w:rsidRPr="004E7E5A">
        <w:rPr>
          <w:rFonts w:cs="Times New Roman"/>
        </w:rPr>
        <w:t xml:space="preserve">) as the proxy of auditors. </w:t>
      </w:r>
      <w:r w:rsidRPr="004E7E5A">
        <w:rPr>
          <w:rFonts w:cs="Times New Roman" w:hint="eastAsia"/>
          <w:i/>
          <w:iCs/>
        </w:rPr>
        <w:t>CSR</w:t>
      </w:r>
      <w:r w:rsidRPr="004E7E5A">
        <w:rPr>
          <w:rFonts w:cs="Times New Roman"/>
          <w:i/>
          <w:iCs/>
        </w:rPr>
        <w:t xml:space="preserve"> assurance</w:t>
      </w:r>
      <w:r w:rsidRPr="004E7E5A">
        <w:rPr>
          <w:rFonts w:cs="Times New Roman"/>
        </w:rPr>
        <w:t xml:space="preserve"> is a dummy variable equal to 1 if the CSR report is assured, and zero otherwise </w:t>
      </w:r>
      <w:r w:rsidRPr="004E7E5A">
        <w:rPr>
          <w:rFonts w:cs="Times New Roman"/>
        </w:rPr>
        <w:fldChar w:fldCharType="begin"/>
      </w:r>
      <w:r w:rsidR="001A1175" w:rsidRPr="004E7E5A">
        <w:rPr>
          <w:rFonts w:cs="Times New Roman"/>
        </w:rPr>
        <w:instrText xml:space="preserve"> ADDIN EN.CITE &lt;EndNote&gt;&lt;Cite&gt;&lt;Author&gt;Liao&lt;/Author&gt;&lt;Year&gt;2016&lt;/Year&gt;&lt;RecNum&gt;318&lt;/RecNum&gt;&lt;DisplayText&gt;(Liao et al. 2016)&lt;/DisplayText&gt;&lt;record&gt;&lt;rec-number&gt;318&lt;/rec-number&gt;&lt;foreign-keys&gt;&lt;key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rPr>
        <w:fldChar w:fldCharType="separate"/>
      </w:r>
      <w:r w:rsidRPr="004E7E5A">
        <w:rPr>
          <w:rFonts w:cs="Times New Roman"/>
          <w:noProof/>
        </w:rPr>
        <w:t>(Liao et al. 2016)</w:t>
      </w:r>
      <w:r w:rsidRPr="004E7E5A">
        <w:rPr>
          <w:rFonts w:cs="Times New Roman"/>
        </w:rPr>
        <w:fldChar w:fldCharType="end"/>
      </w:r>
      <w:r w:rsidRPr="004E7E5A">
        <w:rPr>
          <w:rFonts w:cs="Times New Roman"/>
        </w:rPr>
        <w:t>. 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hint="eastAsia"/>
          <w:i/>
          <w:iCs/>
        </w:rPr>
        <w:t>CSR</w:t>
      </w:r>
      <w:r w:rsidRPr="004E7E5A">
        <w:rPr>
          <w:rFonts w:cs="Times New Roman"/>
          <w:i/>
          <w:iCs/>
        </w:rPr>
        <w:t xml:space="preserve"> assurance</w:t>
      </w:r>
      <w:r w:rsidRPr="004E7E5A">
        <w:rPr>
          <w:rFonts w:cs="Times New Roman"/>
        </w:rPr>
        <w:t xml:space="preserve">) to Equation (4) to test the moderating role of auditors. A </w:t>
      </w:r>
      <w:r w:rsidRPr="004E7E5A">
        <w:rPr>
          <w:rFonts w:cs="Times New Roman" w:hint="eastAsia"/>
        </w:rPr>
        <w:t>nega</w:t>
      </w:r>
      <w:r w:rsidRPr="004E7E5A">
        <w:rPr>
          <w:rFonts w:cs="Times New Roman"/>
        </w:rPr>
        <w:t xml:space="preserve">tive and significant coefficient on the interaction term of </w:t>
      </w:r>
      <w:r w:rsidRPr="004E7E5A">
        <w:rPr>
          <w:rFonts w:cs="Times New Roman"/>
          <w:i/>
          <w:iCs/>
        </w:rPr>
        <w:t>Score</w:t>
      </w:r>
      <w:r w:rsidRPr="004E7E5A">
        <w:rPr>
          <w:rFonts w:cs="Times New Roman"/>
        </w:rPr>
        <w:t xml:space="preserve"> × </w:t>
      </w:r>
      <w:r w:rsidRPr="004E7E5A">
        <w:rPr>
          <w:rFonts w:cs="Times New Roman"/>
          <w:i/>
          <w:iCs/>
        </w:rPr>
        <w:t>CSR assurance</w:t>
      </w:r>
      <w:r w:rsidRPr="004E7E5A">
        <w:rPr>
          <w:rFonts w:cs="Times New Roman"/>
        </w:rPr>
        <w:t xml:space="preserve"> will support hypothesis 4. We include the same control variables as in Equation (1).</w:t>
      </w:r>
    </w:p>
    <w:p w14:paraId="28341A49" w14:textId="77777777" w:rsidR="00DF47C0" w:rsidRPr="004E7E5A" w:rsidRDefault="00DF47C0" w:rsidP="00DF47C0">
      <w:pPr>
        <w:pStyle w:val="4"/>
        <w:spacing w:before="0" w:after="0" w:line="480" w:lineRule="auto"/>
        <w:rPr>
          <w:i/>
          <w:iCs/>
          <w:color w:val="000000" w:themeColor="text1"/>
        </w:rPr>
      </w:pPr>
      <w:r w:rsidRPr="004E7E5A">
        <w:rPr>
          <w:i/>
          <w:iCs/>
          <w:color w:val="000000" w:themeColor="text1"/>
        </w:rPr>
        <w:lastRenderedPageBreak/>
        <w:t>Model to Test the M</w:t>
      </w:r>
      <w:r w:rsidRPr="004E7E5A">
        <w:rPr>
          <w:rFonts w:hint="eastAsia"/>
          <w:i/>
          <w:iCs/>
          <w:color w:val="000000" w:themeColor="text1"/>
        </w:rPr>
        <w:t>oderating</w:t>
      </w:r>
      <w:r w:rsidRPr="004E7E5A">
        <w:rPr>
          <w:i/>
          <w:iCs/>
          <w:color w:val="000000" w:themeColor="text1"/>
        </w:rPr>
        <w:t xml:space="preserve"> E</w:t>
      </w:r>
      <w:r w:rsidRPr="004E7E5A">
        <w:rPr>
          <w:rFonts w:hint="eastAsia"/>
          <w:i/>
          <w:iCs/>
          <w:color w:val="000000" w:themeColor="text1"/>
        </w:rPr>
        <w:t>ffect</w:t>
      </w:r>
      <w:r w:rsidRPr="004E7E5A">
        <w:rPr>
          <w:i/>
          <w:iCs/>
          <w:color w:val="000000" w:themeColor="text1"/>
        </w:rPr>
        <w:t xml:space="preserve"> </w:t>
      </w:r>
      <w:r w:rsidRPr="004E7E5A">
        <w:rPr>
          <w:rFonts w:hint="eastAsia"/>
          <w:i/>
          <w:iCs/>
          <w:color w:val="000000" w:themeColor="text1"/>
        </w:rPr>
        <w:t>of</w:t>
      </w:r>
      <w:r w:rsidRPr="004E7E5A">
        <w:rPr>
          <w:i/>
          <w:iCs/>
          <w:color w:val="000000" w:themeColor="text1"/>
        </w:rPr>
        <w:t xml:space="preserve"> External Punishment Pressure</w:t>
      </w:r>
    </w:p>
    <w:p w14:paraId="71E12F51" w14:textId="77777777" w:rsidR="00DF47C0" w:rsidRPr="004E7E5A" w:rsidRDefault="00DF47C0" w:rsidP="00DF47C0">
      <w:pPr>
        <w:pStyle w:val="a7"/>
        <w:spacing w:afterLines="50" w:after="156" w:line="480" w:lineRule="auto"/>
        <w:ind w:firstLine="480"/>
        <w:rPr>
          <w:rFonts w:cs="Times New Roman"/>
        </w:rPr>
      </w:pPr>
      <w:r w:rsidRPr="004E7E5A">
        <w:rPr>
          <w:rFonts w:cs="Times New Roman"/>
        </w:rPr>
        <w:t xml:space="preserve">We </w:t>
      </w:r>
      <w:proofErr w:type="spellStart"/>
      <w:r w:rsidRPr="004E7E5A">
        <w:rPr>
          <w:rFonts w:cs="Times New Roman"/>
        </w:rPr>
        <w:t>utilise</w:t>
      </w:r>
      <w:proofErr w:type="spellEnd"/>
      <w:r w:rsidRPr="004E7E5A">
        <w:rPr>
          <w:rFonts w:cs="Times New Roman"/>
        </w:rPr>
        <w:t xml:space="preserve"> the model below to test the moderating effect of external punishment pressure on the relationship between directors’ network and CSR disclosure quality:</w:t>
      </w:r>
    </w:p>
    <w:p w14:paraId="5061F3E5" w14:textId="52B2733D" w:rsidR="00D570DF" w:rsidRPr="004E7E5A" w:rsidRDefault="00D570DF" w:rsidP="00D570DF">
      <w:pPr>
        <w:adjustRightInd w:val="0"/>
        <w:snapToGrid w:val="0"/>
        <w:spacing w:line="480" w:lineRule="auto"/>
        <w:rPr>
          <w:rFonts w:ascii="Times New Roman" w:eastAsia="宋体" w:hAnsi="Times New Roman" w:cs="Times New Roman"/>
          <w:color w:val="000000" w:themeColor="text1"/>
          <w:kern w:val="0"/>
          <w:sz w:val="24"/>
          <w:szCs w:val="24"/>
        </w:rPr>
      </w:pPr>
      <m:oMath>
        <m:r>
          <w:rPr>
            <w:rFonts w:ascii="Cambria Math" w:eastAsia="宋体" w:hAnsi="Cambria Math" w:cs="Times New Roman"/>
            <w:color w:val="000000" w:themeColor="text1"/>
            <w:sz w:val="24"/>
            <w:szCs w:val="24"/>
          </w:rPr>
          <m:t>Csr =</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0</m:t>
            </m:r>
          </m:sub>
        </m:sSub>
        <m:r>
          <w:rPr>
            <w:rFonts w:ascii="Cambria Math" w:eastAsia="宋体" w:hAnsi="Cambria Math" w:cs="Times New Roman"/>
            <w:color w:val="000000" w:themeColor="text1"/>
            <w:sz w:val="24"/>
            <w:szCs w:val="24"/>
          </w:rPr>
          <m: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m:t>
            </m:r>
          </m:sub>
        </m:sSub>
        <m:r>
          <w:rPr>
            <w:rFonts w:ascii="Cambria Math" w:eastAsia="宋体" w:hAnsi="Cambria Math" w:cs="Times New Roman"/>
            <w:color w:val="000000" w:themeColor="text1"/>
            <w:sz w:val="24"/>
            <w:szCs w:val="24"/>
          </w:rPr>
          <m:t>Score+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2</m:t>
            </m:r>
          </m:sub>
        </m:sSub>
        <m:r>
          <w:rPr>
            <w:rFonts w:ascii="Cambria Math" w:eastAsia="宋体" w:hAnsi="Cambria Math" w:cs="Times New Roman"/>
            <w:color w:val="000000" w:themeColor="text1"/>
            <w:sz w:val="24"/>
            <w:szCs w:val="24"/>
          </w:rPr>
          <m:t>Punish+</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3</m:t>
            </m:r>
          </m:sub>
        </m:sSub>
        <m:r>
          <w:rPr>
            <w:rFonts w:ascii="Cambria Math" w:eastAsia="宋体" w:hAnsi="Cambria Math" w:cs="Times New Roman"/>
            <w:color w:val="000000" w:themeColor="text1"/>
            <w:sz w:val="24"/>
            <w:szCs w:val="24"/>
          </w:rPr>
          <m:t>Score×Punish+</m:t>
        </m:r>
        <m:r>
          <w:rPr>
            <w:rFonts w:ascii="Cambria Math" w:eastAsia="宋体" w:hAnsi="Cambria Math" w:cs="Times New Roman"/>
            <w:color w:val="000000" w:themeColor="text1"/>
            <w:kern w:val="0"/>
            <w:sz w:val="24"/>
            <w:szCs w:val="24"/>
          </w:rPr>
          <m:t>Control Variables</m:t>
        </m:r>
      </m:oMath>
      <w:r w:rsidR="00955D5C" w:rsidRPr="004E7E5A">
        <w:rPr>
          <w:rFonts w:ascii="Times New Roman" w:eastAsia="宋体" w:hAnsi="Times New Roman" w:cs="Times New Roman"/>
          <w:color w:val="000000" w:themeColor="text1"/>
          <w:kern w:val="0"/>
          <w:sz w:val="24"/>
          <w:szCs w:val="24"/>
        </w:rPr>
        <w:t xml:space="preserve"> </w:t>
      </w:r>
    </w:p>
    <w:p w14:paraId="58D679D2" w14:textId="42B43E68" w:rsidR="00D570DF" w:rsidRPr="004E7E5A" w:rsidRDefault="00D570DF" w:rsidP="00D570DF">
      <w:pPr>
        <w:adjustRightInd w:val="0"/>
        <w:snapToGrid w:val="0"/>
        <w:spacing w:line="480" w:lineRule="auto"/>
        <w:jc w:val="right"/>
        <w:rPr>
          <w:rFonts w:ascii="Times New Roman" w:eastAsia="宋体" w:hAnsi="Times New Roman" w:cs="Times New Roman"/>
          <w:iCs/>
          <w:color w:val="000000" w:themeColor="text1"/>
          <w:sz w:val="24"/>
          <w:szCs w:val="24"/>
        </w:rPr>
      </w:pPr>
      <m:oMath>
        <m:r>
          <w:rPr>
            <w:rFonts w:ascii="Cambria Math" w:eastAsia="宋体" w:hAnsi="Cambria Math" w:cs="Times New Roman"/>
            <w:color w:val="000000" w:themeColor="text1"/>
            <w:kern w:val="0"/>
            <w:sz w:val="24"/>
            <w:szCs w:val="24"/>
          </w:rPr>
          <m:t>+Industry and Year Fixed Effects+ε</m:t>
        </m:r>
      </m:oMath>
      <w:r w:rsidRPr="004E7E5A">
        <w:rPr>
          <w:rFonts w:ascii="Times New Roman" w:eastAsia="宋体" w:hAnsi="Times New Roman" w:cs="Times New Roman"/>
          <w:i/>
          <w:color w:val="000000" w:themeColor="text1"/>
          <w:sz w:val="24"/>
          <w:szCs w:val="24"/>
        </w:rPr>
        <w:t xml:space="preserve">                              </w:t>
      </w:r>
      <w:r w:rsidRPr="004E7E5A">
        <w:rPr>
          <w:rFonts w:ascii="Times New Roman" w:eastAsia="宋体" w:hAnsi="Times New Roman" w:cs="Times New Roman"/>
          <w:iCs/>
          <w:color w:val="000000" w:themeColor="text1"/>
          <w:sz w:val="24"/>
          <w:szCs w:val="24"/>
        </w:rPr>
        <w:t xml:space="preserve"> (5)</w:t>
      </w:r>
    </w:p>
    <w:p w14:paraId="0914B049" w14:textId="78164E13" w:rsidR="00502F25" w:rsidRPr="004E7E5A" w:rsidRDefault="00555FD9" w:rsidP="00502F25">
      <w:pPr>
        <w:pStyle w:val="a7"/>
        <w:spacing w:line="480" w:lineRule="auto"/>
        <w:ind w:firstLine="480"/>
        <w:rPr>
          <w:rFonts w:cs="Times New Roman"/>
        </w:rPr>
      </w:pPr>
      <w:r w:rsidRPr="004E7E5A">
        <w:rPr>
          <w:rFonts w:cs="Times New Roman"/>
        </w:rPr>
        <w:t xml:space="preserve">Equation (5) is used to test hypothesis 5. Following prior literature </w:t>
      </w:r>
      <w:r w:rsidRPr="004E7E5A">
        <w:rPr>
          <w:rFonts w:cs="Times New Roman"/>
        </w:rPr>
        <w:fldChar w:fldCharType="begin"/>
      </w:r>
      <w:r w:rsidR="006F6C86" w:rsidRPr="004E7E5A">
        <w:rPr>
          <w:rFonts w:cs="Times New Roman"/>
        </w:rPr>
        <w:instrText xml:space="preserve"> ADDIN EN.CITE &lt;EndNote&gt;&lt;Cite&gt;&lt;Author&gt;Xia&lt;/Author&gt;&lt;Year&gt;2019&lt;/Year&gt;&lt;RecNum&gt;2038&lt;/RecNum&gt;&lt;DisplayText&gt;(Xia et al. 2019)&lt;/DisplayText&gt;&lt;record&gt;&lt;rec-number&gt;2038&lt;/rec-number&gt;&lt;foreign-keys&gt;&lt;key app="EN" db-id="trr00pfsbzzex0ezwf6v5swd9fpfpwfa90xp" timestamp="1627454795" guid="72eb9cb4-42b0-46ae-9aca-c1d1dfe92af6"&gt;2038&lt;/key&gt;&lt;/foreign-keys&gt;&lt;ref-type name="Journal Article"&gt;17&lt;/ref-type&gt;&lt;contributors&gt;&lt;authors&gt;&lt;author&gt;Xia, Xue&lt;/author&gt;&lt;author&gt;Teng, Fei&lt;/author&gt;&lt;author&gt;Gu, Xiaolong&lt;/author&gt;&lt;/authors&gt;&lt;/contributors&gt;&lt;titles&gt;&lt;title&gt;Reputation repair and corporate donations: An investigation of responses to regulatory penalties&lt;/title&gt;&lt;secondary-title&gt;China Journal of Accounting Research&lt;/secondary-title&gt;&lt;/titles&gt;&lt;periodical&gt;&lt;full-title&gt;China Journal of Accounting Research&lt;/full-title&gt;&lt;/periodical&gt;&lt;pages&gt;293-313&lt;/pages&gt;&lt;volume&gt;12&lt;/volume&gt;&lt;number&gt;3&lt;/number&gt;&lt;keywords&gt;&lt;keyword&gt;Regulatory penalty&lt;/keyword&gt;&lt;keyword&gt;Donation&lt;/keyword&gt;&lt;keyword&gt;Reputation repair&lt;/keyword&gt;&lt;/keywords&gt;&lt;dates&gt;&lt;year&gt;2019&lt;/year&gt;&lt;pub-dates&gt;&lt;date&gt;2019/09/01/&lt;/date&gt;&lt;/pub-dates&gt;&lt;/dates&gt;&lt;isbn&gt;1755-3091&lt;/isbn&gt;&lt;urls&gt;&lt;related-urls&gt;&lt;url&gt;https://www.sciencedirect.com/science/article/pii/S1755309118302508&lt;/url&gt;&lt;/related-urls&gt;&lt;/urls&gt;&lt;electronic-resource-num&gt;https://doi.org/10.1016/j.cjar.2019.06.001&lt;/electronic-resource-num&gt;&lt;/record&gt;&lt;/Cite&gt;&lt;/EndNote&gt;</w:instrText>
      </w:r>
      <w:r w:rsidRPr="004E7E5A">
        <w:rPr>
          <w:rFonts w:cs="Times New Roman"/>
        </w:rPr>
        <w:fldChar w:fldCharType="separate"/>
      </w:r>
      <w:r w:rsidRPr="004E7E5A">
        <w:rPr>
          <w:rFonts w:cs="Times New Roman"/>
          <w:noProof/>
        </w:rPr>
        <w:t>(Xia et al. 2019)</w:t>
      </w:r>
      <w:r w:rsidRPr="004E7E5A">
        <w:rPr>
          <w:rFonts w:cs="Times New Roman"/>
        </w:rPr>
        <w:fldChar w:fldCharType="end"/>
      </w:r>
      <w:r w:rsidRPr="004E7E5A">
        <w:rPr>
          <w:rFonts w:cs="Times New Roman"/>
        </w:rPr>
        <w:t xml:space="preserve">, and due to the lack of formal regulations on CSR in China, we use </w:t>
      </w:r>
      <w:r w:rsidRPr="004E7E5A">
        <w:rPr>
          <w:rFonts w:cs="Times New Roman"/>
          <w:shd w:val="clear" w:color="auto" w:fill="FFFFFF"/>
        </w:rPr>
        <w:t>environmental regulatory penalty (</w:t>
      </w:r>
      <w:r w:rsidRPr="004E7E5A">
        <w:rPr>
          <w:rFonts w:cs="Times New Roman"/>
          <w:i/>
          <w:iCs/>
          <w:shd w:val="clear" w:color="auto" w:fill="FFFFFF"/>
        </w:rPr>
        <w:t>Punish</w:t>
      </w:r>
      <w:r w:rsidRPr="004E7E5A">
        <w:rPr>
          <w:rFonts w:cs="Times New Roman"/>
          <w:shd w:val="clear" w:color="auto" w:fill="FFFFFF"/>
        </w:rPr>
        <w:t>)</w:t>
      </w:r>
      <w:r w:rsidRPr="004E7E5A">
        <w:rPr>
          <w:rFonts w:cs="Times New Roman"/>
        </w:rPr>
        <w:t xml:space="preserve"> as a proxy for external punishment pressure. </w:t>
      </w:r>
      <w:r w:rsidRPr="004E7E5A">
        <w:rPr>
          <w:rFonts w:cs="Times New Roman"/>
          <w:i/>
          <w:iCs/>
          <w:shd w:val="clear" w:color="auto" w:fill="FFFFFF"/>
        </w:rPr>
        <w:t>Punish</w:t>
      </w:r>
      <w:r w:rsidRPr="004E7E5A">
        <w:rPr>
          <w:rFonts w:eastAsia="Times New Roman" w:cs="Times New Roman"/>
          <w:szCs w:val="24"/>
          <w:lang w:eastAsia="en-GB"/>
        </w:rPr>
        <w:t xml:space="preserve"> is an indicator variable equal to 1 if </w:t>
      </w:r>
      <w:r w:rsidRPr="004E7E5A">
        <w:rPr>
          <w:rFonts w:cs="Times New Roman"/>
          <w:szCs w:val="24"/>
        </w:rPr>
        <w:t>there is statement about environmental regulatory penalty with respect to environmental protection in the annual report of the listed firm</w:t>
      </w:r>
      <w:r w:rsidRPr="004E7E5A">
        <w:rPr>
          <w:rFonts w:eastAsia="Times New Roman" w:cs="Times New Roman"/>
          <w:szCs w:val="24"/>
          <w:lang w:eastAsia="en-GB"/>
        </w:rPr>
        <w:t>, and 0 otherwise</w:t>
      </w:r>
      <w:r w:rsidRPr="004E7E5A">
        <w:rPr>
          <w:rFonts w:cs="Times New Roman"/>
          <w:szCs w:val="24"/>
        </w:rPr>
        <w:t xml:space="preserve">. </w:t>
      </w:r>
      <w:r w:rsidRPr="004E7E5A">
        <w:rPr>
          <w:rFonts w:cs="Times New Roman"/>
        </w:rPr>
        <w:t xml:space="preserve">Environmental </w:t>
      </w:r>
      <w:r w:rsidRPr="004E7E5A">
        <w:rPr>
          <w:rFonts w:cs="Times New Roman"/>
          <w:shd w:val="clear" w:color="auto" w:fill="FFFFFF"/>
        </w:rPr>
        <w:t xml:space="preserve">regulatory penalty refers to penalties received from the government environmental protection department for violating </w:t>
      </w:r>
      <w:r w:rsidRPr="004E7E5A">
        <w:rPr>
          <w:rFonts w:cs="Times New Roman"/>
        </w:rPr>
        <w:t xml:space="preserve">environmental protection laws, rules and regulations by polluting the environment, such as the breaches of littering industrial solid wastes, emitting toxic gases, polluting water resource. Environmental </w:t>
      </w:r>
      <w:r w:rsidRPr="004E7E5A">
        <w:rPr>
          <w:rFonts w:cs="Times New Roman"/>
          <w:shd w:val="clear" w:color="auto" w:fill="FFFFFF"/>
        </w:rPr>
        <w:t>regulatory penalty</w:t>
      </w:r>
      <w:r w:rsidRPr="004E7E5A">
        <w:rPr>
          <w:rFonts w:cs="Times New Roman"/>
        </w:rPr>
        <w:t xml:space="preserve"> includes warning, fines, stop production, close the firm, revoking licenses, confiscate illegal income, etc. 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i/>
          <w:iCs/>
        </w:rPr>
        <w:t>Punish</w:t>
      </w:r>
      <w:r w:rsidRPr="004E7E5A">
        <w:rPr>
          <w:rFonts w:cs="Times New Roman"/>
        </w:rPr>
        <w:t xml:space="preserve">) to Equation (5) to test the moderating role of external punishment pressure. A positive and significant coefficient on the interaction term of </w:t>
      </w:r>
      <w:r w:rsidRPr="004E7E5A">
        <w:rPr>
          <w:rFonts w:cs="Times New Roman"/>
          <w:i/>
          <w:iCs/>
        </w:rPr>
        <w:t>Score</w:t>
      </w:r>
      <w:r w:rsidRPr="004E7E5A">
        <w:rPr>
          <w:rFonts w:cs="Times New Roman"/>
        </w:rPr>
        <w:t xml:space="preserve"> × </w:t>
      </w:r>
      <w:r w:rsidRPr="004E7E5A">
        <w:rPr>
          <w:rFonts w:cs="Times New Roman"/>
          <w:i/>
          <w:iCs/>
          <w:shd w:val="clear" w:color="auto" w:fill="FFFFFF"/>
        </w:rPr>
        <w:t>Punish</w:t>
      </w:r>
      <w:r w:rsidRPr="004E7E5A">
        <w:rPr>
          <w:rFonts w:cs="Times New Roman"/>
        </w:rPr>
        <w:t xml:space="preserve"> will support hypothesis 5. We include the same control variables as in Equation (1).</w:t>
      </w:r>
    </w:p>
    <w:p w14:paraId="79BBA23A" w14:textId="77777777" w:rsidR="00502F25" w:rsidRPr="004E7E5A" w:rsidRDefault="00502F25" w:rsidP="00502F25">
      <w:pPr>
        <w:pStyle w:val="4"/>
        <w:spacing w:before="0" w:after="0" w:line="480" w:lineRule="auto"/>
        <w:rPr>
          <w:i/>
          <w:iCs/>
          <w:color w:val="000000" w:themeColor="text1"/>
        </w:rPr>
      </w:pPr>
      <w:r w:rsidRPr="004E7E5A">
        <w:rPr>
          <w:i/>
          <w:iCs/>
          <w:color w:val="000000" w:themeColor="text1"/>
        </w:rPr>
        <w:t>Model to Test the M</w:t>
      </w:r>
      <w:r w:rsidRPr="004E7E5A">
        <w:rPr>
          <w:rFonts w:hint="eastAsia"/>
          <w:i/>
          <w:iCs/>
          <w:color w:val="000000" w:themeColor="text1"/>
        </w:rPr>
        <w:t>oderating</w:t>
      </w:r>
      <w:r w:rsidRPr="004E7E5A">
        <w:rPr>
          <w:i/>
          <w:iCs/>
          <w:color w:val="000000" w:themeColor="text1"/>
        </w:rPr>
        <w:t xml:space="preserve"> E</w:t>
      </w:r>
      <w:r w:rsidRPr="004E7E5A">
        <w:rPr>
          <w:rFonts w:hint="eastAsia"/>
          <w:i/>
          <w:iCs/>
          <w:color w:val="000000" w:themeColor="text1"/>
        </w:rPr>
        <w:t>ffect</w:t>
      </w:r>
      <w:r w:rsidRPr="004E7E5A">
        <w:rPr>
          <w:i/>
          <w:iCs/>
          <w:color w:val="000000" w:themeColor="text1"/>
        </w:rPr>
        <w:t xml:space="preserve"> </w:t>
      </w:r>
      <w:r w:rsidRPr="004E7E5A">
        <w:rPr>
          <w:rFonts w:hint="eastAsia"/>
          <w:i/>
          <w:iCs/>
          <w:color w:val="000000" w:themeColor="text1"/>
        </w:rPr>
        <w:t>of</w:t>
      </w:r>
      <w:r w:rsidRPr="004E7E5A">
        <w:rPr>
          <w:i/>
          <w:iCs/>
          <w:color w:val="000000" w:themeColor="text1"/>
        </w:rPr>
        <w:t xml:space="preserve"> Financial Constraints</w:t>
      </w:r>
    </w:p>
    <w:p w14:paraId="43E10D70" w14:textId="77777777" w:rsidR="00555FD9" w:rsidRPr="004E7E5A" w:rsidRDefault="00555FD9" w:rsidP="00555FD9">
      <w:pPr>
        <w:pStyle w:val="a7"/>
        <w:spacing w:afterLines="50" w:after="156" w:line="480" w:lineRule="auto"/>
        <w:ind w:firstLine="480"/>
        <w:rPr>
          <w:rFonts w:cs="Times New Roman"/>
        </w:rPr>
      </w:pPr>
      <w:r w:rsidRPr="004E7E5A">
        <w:rPr>
          <w:rFonts w:cs="Times New Roman"/>
        </w:rPr>
        <w:t>We rely on the model below to test the moderating effect of financial constraints on the relationship between directors’ network and CSR disclosure quality:</w:t>
      </w:r>
    </w:p>
    <w:p w14:paraId="70F701C8" w14:textId="346FD949" w:rsidR="00D570DF" w:rsidRPr="004E7E5A" w:rsidRDefault="00D570DF" w:rsidP="00D570DF">
      <w:pPr>
        <w:adjustRightInd w:val="0"/>
        <w:snapToGrid w:val="0"/>
        <w:spacing w:line="480" w:lineRule="auto"/>
        <w:rPr>
          <w:rFonts w:ascii="Times New Roman" w:eastAsia="宋体" w:hAnsi="Times New Roman" w:cs="Times New Roman"/>
          <w:color w:val="000000" w:themeColor="text1"/>
          <w:kern w:val="0"/>
          <w:sz w:val="24"/>
          <w:szCs w:val="24"/>
        </w:rPr>
      </w:pPr>
      <m:oMath>
        <m:r>
          <w:rPr>
            <w:rFonts w:ascii="Cambria Math" w:eastAsia="宋体" w:hAnsi="Cambria Math" w:cs="Times New Roman"/>
            <w:color w:val="000000" w:themeColor="text1"/>
            <w:sz w:val="24"/>
            <w:szCs w:val="24"/>
          </w:rPr>
          <w:lastRenderedPageBreak/>
          <m:t>Csr =</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0</m:t>
            </m:r>
          </m:sub>
        </m:sSub>
        <m:r>
          <w:rPr>
            <w:rFonts w:ascii="Cambria Math" w:eastAsia="宋体" w:hAnsi="Cambria Math" w:cs="Times New Roman"/>
            <w:color w:val="000000" w:themeColor="text1"/>
            <w:sz w:val="24"/>
            <w:szCs w:val="24"/>
          </w:rPr>
          <m:t>+</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1</m:t>
            </m:r>
          </m:sub>
        </m:sSub>
        <m:r>
          <w:rPr>
            <w:rFonts w:ascii="Cambria Math" w:eastAsia="宋体" w:hAnsi="Cambria Math" w:cs="Times New Roman"/>
            <w:color w:val="000000" w:themeColor="text1"/>
            <w:sz w:val="24"/>
            <w:szCs w:val="24"/>
          </w:rPr>
          <m:t>Score+</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2</m:t>
            </m:r>
          </m:sub>
        </m:sSub>
        <m:r>
          <w:rPr>
            <w:rFonts w:ascii="Cambria Math" w:eastAsia="宋体" w:hAnsi="Cambria Math" w:cs="Times New Roman"/>
            <w:color w:val="000000" w:themeColor="text1"/>
            <w:sz w:val="24"/>
            <w:szCs w:val="24"/>
          </w:rPr>
          <m:t>FC index+</m:t>
        </m:r>
        <m:sSub>
          <m:sSubPr>
            <m:ctrlPr>
              <w:rPr>
                <w:rFonts w:ascii="Cambria Math" w:eastAsia="宋体" w:hAnsi="Cambria Math" w:cs="Times New Roman"/>
                <w:i/>
                <w:color w:val="000000" w:themeColor="text1"/>
                <w:sz w:val="24"/>
                <w:szCs w:val="24"/>
              </w:rPr>
            </m:ctrlPr>
          </m:sSubPr>
          <m:e>
            <m:r>
              <w:rPr>
                <w:rFonts w:ascii="Cambria Math" w:eastAsia="宋体" w:hAnsi="Cambria Math" w:cs="Times New Roman"/>
                <w:color w:val="000000" w:themeColor="text1"/>
                <w:sz w:val="24"/>
                <w:szCs w:val="24"/>
              </w:rPr>
              <m:t>β</m:t>
            </m:r>
          </m:e>
          <m:sub>
            <m:r>
              <w:rPr>
                <w:rFonts w:ascii="Cambria Math" w:eastAsia="宋体" w:hAnsi="Cambria Math" w:cs="Times New Roman"/>
                <w:color w:val="000000" w:themeColor="text1"/>
                <w:sz w:val="24"/>
                <w:szCs w:val="24"/>
              </w:rPr>
              <m:t>3</m:t>
            </m:r>
          </m:sub>
        </m:sSub>
        <m:r>
          <w:rPr>
            <w:rFonts w:ascii="Cambria Math" w:eastAsia="宋体" w:hAnsi="Cambria Math" w:cs="Times New Roman"/>
            <w:color w:val="000000" w:themeColor="text1"/>
            <w:sz w:val="24"/>
            <w:szCs w:val="24"/>
          </w:rPr>
          <m:t>Score×FC index+</m:t>
        </m:r>
        <m:r>
          <w:rPr>
            <w:rFonts w:ascii="Cambria Math" w:eastAsia="宋体" w:hAnsi="Cambria Math" w:cs="Times New Roman"/>
            <w:color w:val="000000" w:themeColor="text1"/>
            <w:kern w:val="0"/>
            <w:sz w:val="24"/>
            <w:szCs w:val="24"/>
          </w:rPr>
          <m:t>Control Variables</m:t>
        </m:r>
      </m:oMath>
      <w:r w:rsidR="00322D45" w:rsidRPr="004E7E5A">
        <w:rPr>
          <w:rFonts w:ascii="Times New Roman" w:eastAsia="宋体" w:hAnsi="Times New Roman" w:cs="Times New Roman"/>
          <w:color w:val="000000" w:themeColor="text1"/>
          <w:kern w:val="0"/>
          <w:sz w:val="24"/>
          <w:szCs w:val="24"/>
        </w:rPr>
        <w:t xml:space="preserve"> </w:t>
      </w:r>
    </w:p>
    <w:p w14:paraId="4F0C4AD8" w14:textId="77777777" w:rsidR="00D570DF" w:rsidRPr="004E7E5A" w:rsidRDefault="00D570DF" w:rsidP="00D570DF">
      <w:pPr>
        <w:adjustRightInd w:val="0"/>
        <w:snapToGrid w:val="0"/>
        <w:spacing w:line="480" w:lineRule="auto"/>
        <w:jc w:val="right"/>
        <w:rPr>
          <w:rFonts w:ascii="Times New Roman" w:eastAsia="宋体" w:hAnsi="Times New Roman" w:cs="Times New Roman"/>
          <w:iCs/>
          <w:color w:val="000000" w:themeColor="text1"/>
          <w:kern w:val="0"/>
          <w:sz w:val="24"/>
          <w:szCs w:val="24"/>
        </w:rPr>
      </w:pPr>
      <m:oMath>
        <m:r>
          <w:rPr>
            <w:rFonts w:ascii="Cambria Math" w:eastAsia="宋体" w:hAnsi="Cambria Math" w:cs="Times New Roman"/>
            <w:color w:val="000000" w:themeColor="text1"/>
            <w:kern w:val="0"/>
            <w:sz w:val="24"/>
            <w:szCs w:val="24"/>
          </w:rPr>
          <m:t>+Industry and Year Fixed Effects+ε</m:t>
        </m:r>
      </m:oMath>
      <w:r w:rsidRPr="004E7E5A">
        <w:rPr>
          <w:rFonts w:ascii="Times New Roman" w:eastAsia="宋体" w:hAnsi="Times New Roman" w:cs="Times New Roman"/>
          <w:i/>
          <w:color w:val="000000" w:themeColor="text1"/>
          <w:sz w:val="24"/>
          <w:szCs w:val="24"/>
        </w:rPr>
        <w:t xml:space="preserve">                              </w:t>
      </w:r>
      <w:r w:rsidRPr="004E7E5A">
        <w:rPr>
          <w:rFonts w:ascii="Times New Roman" w:eastAsia="宋体" w:hAnsi="Times New Roman" w:cs="Times New Roman"/>
          <w:iCs/>
          <w:color w:val="000000" w:themeColor="text1"/>
          <w:sz w:val="24"/>
          <w:szCs w:val="24"/>
        </w:rPr>
        <w:t xml:space="preserve"> (6)</w:t>
      </w:r>
    </w:p>
    <w:p w14:paraId="5595D36D" w14:textId="7921619A" w:rsidR="00555FD9" w:rsidRPr="004E7E5A" w:rsidRDefault="00555FD9" w:rsidP="00555FD9">
      <w:pPr>
        <w:pStyle w:val="a7"/>
        <w:spacing w:line="480" w:lineRule="auto"/>
        <w:ind w:firstLine="480"/>
        <w:rPr>
          <w:rFonts w:cs="Times New Roman"/>
        </w:rPr>
      </w:pPr>
      <w:r w:rsidRPr="004E7E5A">
        <w:rPr>
          <w:rFonts w:cs="Times New Roman"/>
        </w:rPr>
        <w:t xml:space="preserve">Equation (6) is used to test hypothesis 4. Since financial constraints can impose restrictions when firms making significant investments in CSR </w:t>
      </w:r>
      <w:r w:rsidRPr="004E7E5A">
        <w:rPr>
          <w:rFonts w:cs="Times New Roman"/>
        </w:rPr>
        <w:fldChar w:fldCharType="begin"/>
      </w:r>
      <w:r w:rsidR="006F6C86" w:rsidRPr="004E7E5A">
        <w:rPr>
          <w:rFonts w:cs="Times New Roman"/>
        </w:rPr>
        <w:instrText xml:space="preserve"> ADDIN EN.CITE &lt;EndNote&gt;&lt;Cite&gt;&lt;Author&gt;Campello&lt;/Author&gt;&lt;Year&gt;2010&lt;/Year&gt;&lt;RecNum&gt;2242&lt;/RecNum&gt;&lt;DisplayText&gt;(Campello et al. 2010; Torugsa et al. 2012)&lt;/DisplayText&gt;&lt;record&gt;&lt;rec-number&gt;2242&lt;/rec-number&gt;&lt;foreign-keys&gt;&lt;key app="EN" db-id="trr00pfsbzzex0ezwf6v5swd9fpfpwfa90xp" timestamp="1638348602" guid="c7360236-f08e-4300-8d22-8b0ec6633fff"&gt;2242&lt;/key&gt;&lt;/foreign-keys&gt;&lt;ref-type name="Journal Article"&gt;17&lt;/ref-type&gt;&lt;contributors&gt;&lt;authors&gt;&lt;author&gt;Campello, Murillo&lt;/author&gt;&lt;author&gt;Graham, John R&lt;/author&gt;&lt;author&gt;Harvey, Campbell R&lt;/author&gt;&lt;/authors&gt;&lt;/contributors&gt;&lt;titles&gt;&lt;title&gt;The real effects of financial constraints: Evidence from a financial crisis&lt;/title&gt;&lt;secondary-title&gt;Journal of financial Economics&lt;/secondary-title&gt;&lt;/titles&gt;&lt;periodical&gt;&lt;full-title&gt;Journal of Financial Economics&lt;/full-title&gt;&lt;/periodical&gt;&lt;pages&gt;470-487&lt;/pages&gt;&lt;volume&gt;97&lt;/volume&gt;&lt;number&gt;3&lt;/number&gt;&lt;dates&gt;&lt;year&gt;2010&lt;/year&gt;&lt;/dates&gt;&lt;isbn&gt;0304-405X&lt;/isbn&gt;&lt;urls&gt;&lt;/urls&gt;&lt;/record&gt;&lt;/Cite&gt;&lt;Cite&gt;&lt;Author&gt;Torugsa&lt;/Author&gt;&lt;Year&gt;2012&lt;/Year&gt;&lt;RecNum&gt;2248&lt;/RecNum&gt;&lt;record&gt;&lt;rec-number&gt;2248&lt;/rec-number&gt;&lt;foreign-keys&gt;&lt;key app="EN" db-id="trr00pfsbzzex0ezwf6v5swd9fpfpwfa90xp" timestamp="1638368570" guid="0403132d-f903-48de-9165-b535528099f1"&gt;2248&lt;/key&gt;&lt;/foreign-keys&gt;&lt;ref-type name="Journal Article"&gt;17&lt;/ref-type&gt;&lt;contributors&gt;&lt;authors&gt;&lt;author&gt;Torugsa, Nuttaneeya Ann&lt;/author&gt;&lt;author&gt;O’Donohue, Wayne&lt;/author&gt;&lt;author&gt;Hecker, Rob&lt;/author&gt;&lt;/authors&gt;&lt;/contributors&gt;&lt;titles&gt;&lt;title&gt;Capabilities, proactive CSR and financial performance in SMEs: Empirical evidence from an Australian manufacturing industry sector&lt;/title&gt;&lt;secondary-title&gt;Journal of business ethics&lt;/secondary-title&gt;&lt;/titles&gt;&lt;periodical&gt;&lt;full-title&gt;Journal of Business Ethics&lt;/full-title&gt;&lt;/periodical&gt;&lt;pages&gt;483-500&lt;/pages&gt;&lt;volume&gt;109&lt;/volume&gt;&lt;number&gt;4&lt;/number&gt;&lt;dates&gt;&lt;year&gt;2012&lt;/year&gt;&lt;/dates&gt;&lt;isbn&gt;1573-0697&lt;/isbn&gt;&lt;urls&gt;&lt;/urls&gt;&lt;/record&gt;&lt;/Cite&gt;&lt;/EndNote&gt;</w:instrText>
      </w:r>
      <w:r w:rsidRPr="004E7E5A">
        <w:rPr>
          <w:rFonts w:cs="Times New Roman"/>
        </w:rPr>
        <w:fldChar w:fldCharType="separate"/>
      </w:r>
      <w:r w:rsidRPr="004E7E5A">
        <w:rPr>
          <w:rFonts w:cs="Times New Roman"/>
          <w:noProof/>
        </w:rPr>
        <w:t>(Campello et al. 2010; Torugsa et al. 2012)</w:t>
      </w:r>
      <w:r w:rsidRPr="004E7E5A">
        <w:rPr>
          <w:rFonts w:cs="Times New Roman"/>
        </w:rPr>
        <w:fldChar w:fldCharType="end"/>
      </w:r>
      <w:r w:rsidRPr="004E7E5A">
        <w:rPr>
          <w:rFonts w:cs="Times New Roman"/>
        </w:rPr>
        <w:t>, financial constraints may influence directors’ decisions on CSR investments. We expect that directors’ decisions on CSR are limited by financial constraints.</w:t>
      </w:r>
      <w:r w:rsidRPr="004E7E5A">
        <w:rPr>
          <w:rFonts w:cs="Times New Roman" w:hint="eastAsia"/>
        </w:rPr>
        <w:t xml:space="preserve"> </w:t>
      </w:r>
      <w:r w:rsidRPr="004E7E5A">
        <w:rPr>
          <w:rFonts w:cs="Times New Roman"/>
        </w:rPr>
        <w:t xml:space="preserve">Following prior literature </w:t>
      </w:r>
      <w:r w:rsidRPr="004E7E5A">
        <w:rPr>
          <w:szCs w:val="24"/>
        </w:rPr>
        <w:fldChar w:fldCharType="begin">
          <w:fldData xml:space="preserve">PEVuZE5vdGU+PENpdGU+PEF1dGhvcj5LYXBsYW48L0F1dGhvcj48WWVhcj4xOTk3PC9ZZWFyPjxS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</w:fldData>
        </w:fldChar>
      </w:r>
      <w:r w:rsidR="001A1175" w:rsidRPr="004E7E5A">
        <w:rPr>
          <w:szCs w:val="24"/>
        </w:rPr>
        <w:instrText xml:space="preserve"> ADDIN EN.CITE </w:instrText>
      </w:r>
      <w:r w:rsidR="001A1175" w:rsidRPr="004E7E5A">
        <w:rPr>
          <w:szCs w:val="24"/>
        </w:rPr>
        <w:fldChar w:fldCharType="begin">
          <w:fldData xml:space="preserve">PEVuZE5vdGU+PENpdGU+PEF1dGhvcj5LYXBsYW48L0F1dGhvcj48WWVhcj4xOTk3PC9ZZWFyPjxS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</w:fldData>
        </w:fldChar>
      </w:r>
      <w:r w:rsidR="001A1175" w:rsidRPr="004E7E5A">
        <w:rPr>
          <w:szCs w:val="24"/>
        </w:rPr>
        <w:instrText xml:space="preserve"> ADDIN EN.CITE.DATA </w:instrText>
      </w:r>
      <w:r w:rsidR="001A1175" w:rsidRPr="004E7E5A">
        <w:rPr>
          <w:szCs w:val="24"/>
        </w:rPr>
      </w:r>
      <w:r w:rsidR="001A1175" w:rsidRPr="004E7E5A">
        <w:rPr>
          <w:szCs w:val="24"/>
        </w:rPr>
        <w:fldChar w:fldCharType="end"/>
      </w:r>
      <w:r w:rsidRPr="004E7E5A">
        <w:rPr>
          <w:szCs w:val="24"/>
        </w:rPr>
      </w:r>
      <w:r w:rsidRPr="004E7E5A">
        <w:rPr>
          <w:szCs w:val="24"/>
        </w:rPr>
        <w:fldChar w:fldCharType="separate"/>
      </w:r>
      <w:r w:rsidRPr="004E7E5A">
        <w:rPr>
          <w:noProof/>
          <w:szCs w:val="24"/>
        </w:rPr>
        <w:t>(Kaplan and Zingales 1997; Almeida et al. 2004; Hadlock and Pierce 2010)</w:t>
      </w:r>
      <w:r w:rsidRPr="004E7E5A">
        <w:rPr>
          <w:szCs w:val="24"/>
        </w:rPr>
        <w:fldChar w:fldCharType="end"/>
      </w:r>
      <w:r w:rsidRPr="004E7E5A">
        <w:rPr>
          <w:rFonts w:cs="Times New Roman"/>
        </w:rPr>
        <w:t xml:space="preserve">, we use </w:t>
      </w:r>
      <w:r w:rsidRPr="004E7E5A">
        <w:rPr>
          <w:rFonts w:cs="Times New Roman"/>
          <w:i/>
          <w:iCs/>
        </w:rPr>
        <w:t xml:space="preserve">FC index </w:t>
      </w:r>
      <w:r w:rsidRPr="004E7E5A">
        <w:rPr>
          <w:rFonts w:cs="Times New Roman"/>
        </w:rPr>
        <w:t>to measure financial constraints.</w:t>
      </w:r>
      <w:r w:rsidRPr="004E7E5A">
        <w:rPr>
          <w:rStyle w:val="af4"/>
          <w:rFonts w:cs="Times New Roman"/>
        </w:rPr>
        <w:footnoteReference w:id="10"/>
      </w:r>
      <w:r w:rsidRPr="004E7E5A">
        <w:rPr>
          <w:rFonts w:cs="Times New Roman"/>
        </w:rPr>
        <w:t xml:space="preserve"> Details for </w:t>
      </w:r>
      <w:r w:rsidRPr="004E7E5A">
        <w:rPr>
          <w:rFonts w:cs="Times New Roman"/>
          <w:i/>
          <w:iCs/>
        </w:rPr>
        <w:t>FC index</w:t>
      </w:r>
      <w:r w:rsidRPr="004E7E5A">
        <w:rPr>
          <w:rFonts w:cs="Times New Roman"/>
        </w:rPr>
        <w:t xml:space="preserve"> is provided in Appendix A. 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i/>
          <w:iCs/>
        </w:rPr>
        <w:t>FC index</w:t>
      </w:r>
      <w:r w:rsidRPr="004E7E5A">
        <w:rPr>
          <w:rFonts w:cs="Times New Roman"/>
        </w:rPr>
        <w:t xml:space="preserve">) to Equation (6) to test the moderating role of financial constraints. Given that firms with higher </w:t>
      </w:r>
      <w:r w:rsidRPr="004E7E5A">
        <w:rPr>
          <w:rFonts w:cs="Times New Roman"/>
          <w:i/>
          <w:iCs/>
          <w:szCs w:val="24"/>
        </w:rPr>
        <w:t>FC index</w:t>
      </w:r>
      <w:r w:rsidRPr="004E7E5A">
        <w:rPr>
          <w:rFonts w:cs="Times New Roman"/>
        </w:rPr>
        <w:t xml:space="preserve"> are financially constrained </w:t>
      </w:r>
      <w:r w:rsidRPr="004E7E5A">
        <w:rPr>
          <w:rFonts w:cs="Times New Roman"/>
        </w:rPr>
        <w:fldChar w:fldCharType="begin"/>
      </w:r>
      <w:r w:rsidR="001A1175" w:rsidRPr="004E7E5A">
        <w:rPr>
          <w:rFonts w:cs="Times New Roman"/>
        </w:rPr>
        <w:instrText xml:space="preserve"> ADDIN EN.CITE &lt;EndNote&gt;&lt;Cite&gt;&lt;Author&gt;Hadlock&lt;/Author&gt;&lt;Year&gt;2010&lt;/Year&gt;&lt;RecNum&gt;1761&lt;/RecNum&gt;&lt;DisplayText&gt;(Hadlock and Pierce 2010)&lt;/DisplayText&gt;&lt;record&gt;&lt;rec-number&gt;1761&lt;/rec-number&gt;&lt;foreign-keys&gt;&lt;key app="EN" db-id="trr00pfsbzzex0ezwf6v5swd9fpfpwfa90xp" timestamp="1591694805" guid="a764e6b5-f35f-4fdf-b7dc-75bc6d7fef4a"&gt;1761&lt;/key&gt;&lt;/foreign-keys&gt;&lt;ref-type name="Journal Article"&gt;17&lt;/ref-type&gt;&lt;contributors&gt;&lt;authors&gt;&lt;author&gt;Hadlock, Charles J.&lt;/author&gt;&lt;author&gt;Pierce, Joshua R.&lt;/author&gt;&lt;/authors&gt;&lt;/contributors&gt;&lt;titles&gt;&lt;title&gt;New evidence on measuring financial constraints: Moving beyond the KZ index&lt;/title&gt;&lt;secondary-title&gt;Review of Financial Studies&lt;/secondary-title&gt;&lt;/titles&gt;&lt;periodical&gt;&lt;full-title&gt;Review of Financial Studies&lt;/full-title&gt;&lt;/periodical&gt;&lt;pages&gt;1909-1940&lt;/pages&gt;&lt;volume&gt;23&lt;/volume&gt;&lt;number&gt;5&lt;/number&gt;&lt;section&gt;1909&lt;/section&gt;&lt;dates&gt;&lt;year&gt;2010&lt;/year&gt;&lt;/dates&gt;&lt;isbn&gt;0893-9454&amp;#xD;1465-7368&lt;/isbn&gt;&lt;urls&gt;&lt;/urls&gt;&lt;electronic-resource-num&gt;10.1093/rfs/hhq009&lt;/electronic-resource-num&gt;&lt;/record&gt;&lt;/Cite&gt;&lt;/EndNote&gt;</w:instrText>
      </w:r>
      <w:r w:rsidRPr="004E7E5A">
        <w:rPr>
          <w:rFonts w:cs="Times New Roman"/>
        </w:rPr>
        <w:fldChar w:fldCharType="separate"/>
      </w:r>
      <w:r w:rsidRPr="004E7E5A">
        <w:rPr>
          <w:rFonts w:cs="Times New Roman"/>
          <w:noProof/>
        </w:rPr>
        <w:t>(Hadlock and Pierce 2010)</w:t>
      </w:r>
      <w:r w:rsidRPr="004E7E5A">
        <w:rPr>
          <w:rFonts w:cs="Times New Roman"/>
        </w:rPr>
        <w:fldChar w:fldCharType="end"/>
      </w:r>
      <w:r w:rsidRPr="004E7E5A">
        <w:rPr>
          <w:rFonts w:cs="Times New Roman"/>
        </w:rPr>
        <w:t xml:space="preserve">, a negative and significant coefficient on the interaction term of </w:t>
      </w:r>
      <w:r w:rsidRPr="004E7E5A">
        <w:rPr>
          <w:rFonts w:cs="Times New Roman"/>
          <w:i/>
          <w:iCs/>
        </w:rPr>
        <w:t>Score</w:t>
      </w:r>
      <w:r w:rsidRPr="004E7E5A">
        <w:rPr>
          <w:rFonts w:cs="Times New Roman"/>
        </w:rPr>
        <w:t xml:space="preserve"> × </w:t>
      </w:r>
      <w:r w:rsidRPr="004E7E5A">
        <w:rPr>
          <w:rFonts w:cs="Times New Roman"/>
          <w:i/>
          <w:iCs/>
        </w:rPr>
        <w:t>FC index</w:t>
      </w:r>
      <w:r w:rsidRPr="004E7E5A">
        <w:rPr>
          <w:rFonts w:cs="Times New Roman"/>
        </w:rPr>
        <w:t xml:space="preserve"> will support hypothesis 6. We include the same control variables as in Equation (1).</w:t>
      </w:r>
    </w:p>
    <w:p w14:paraId="3C31717E" w14:textId="77777777" w:rsidR="00E72A9B" w:rsidRPr="004E7E5A" w:rsidRDefault="00E72A9B" w:rsidP="00E72A9B">
      <w:pPr>
        <w:pStyle w:val="4"/>
        <w:spacing w:before="0" w:after="0" w:line="480" w:lineRule="auto"/>
        <w:jc w:val="left"/>
        <w:rPr>
          <w:color w:val="000000" w:themeColor="text1"/>
        </w:rPr>
      </w:pPr>
      <w:r w:rsidRPr="004E7E5A">
        <w:rPr>
          <w:color w:val="000000" w:themeColor="text1"/>
        </w:rPr>
        <w:t>Endogeneity of Directors’ Network and CSR Disclosure Quality</w:t>
      </w:r>
    </w:p>
    <w:p w14:paraId="4FDBC6F7" w14:textId="370DF119" w:rsidR="00E72A9B" w:rsidRPr="004E7E5A" w:rsidRDefault="00E72A9B" w:rsidP="00E72A9B">
      <w:pPr>
        <w:pStyle w:val="a7"/>
        <w:spacing w:line="480" w:lineRule="auto"/>
        <w:ind w:firstLine="480"/>
        <w:rPr>
          <w:rFonts w:cs="Times New Roman"/>
        </w:rPr>
      </w:pPr>
      <w:r w:rsidRPr="004E7E5A">
        <w:rPr>
          <w:rFonts w:cs="Times New Roman"/>
        </w:rPr>
        <w:t xml:space="preserve">As other research on board of directors, this study is not exempt from the potential endogeneity problems </w:t>
      </w:r>
      <w:r w:rsidRPr="004E7E5A">
        <w:rPr>
          <w:rFonts w:cs="Times New Roman"/>
        </w:rPr>
        <w:fldChar w:fldCharType="begin">
          <w:fldData xml:space="preserve">PEVuZE5vdGU+PENpdGU+PEF1dGhvcj5IZXJtYWxpbjwvQXV0aG9yPjxZZWFyPjIwMDM8L1llYXI+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==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PEVuZE5vdGU+PENpdGU+PEF1dGhvcj5IZXJtYWxpbjwvQXV0aG9yPjxZZWFyPjIwMDM8L1llYXI+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==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(Hermalin and Weisbach 2003; Chakravarty and Rutherford 2017)</w:t>
      </w:r>
      <w:r w:rsidRPr="004E7E5A">
        <w:rPr>
          <w:rFonts w:cs="Times New Roman"/>
        </w:rPr>
        <w:fldChar w:fldCharType="end"/>
      </w:r>
      <w:r w:rsidRPr="004E7E5A">
        <w:rPr>
          <w:rFonts w:cs="Times New Roman"/>
        </w:rPr>
        <w:t xml:space="preserve">. Specifically, logical arguments can be construed that businesses with high CSR disclosure quality may attract board members with a high network centrality, therefore, it is hard to conclude whether CSR disclosure quality depends on the directors’ network centrality or the network is influenced by the quality of CSR information. </w:t>
      </w:r>
    </w:p>
    <w:p w14:paraId="3D6CC38D" w14:textId="668B6918" w:rsidR="00E72A9B" w:rsidRPr="004E7E5A" w:rsidRDefault="00E72A9B" w:rsidP="00E72A9B">
      <w:pPr>
        <w:pStyle w:val="a7"/>
        <w:spacing w:line="480" w:lineRule="auto"/>
        <w:ind w:firstLine="480"/>
        <w:rPr>
          <w:rFonts w:cs="Times New Roman"/>
        </w:rPr>
      </w:pPr>
      <w:r w:rsidRPr="004E7E5A">
        <w:rPr>
          <w:rFonts w:cs="Times New Roman"/>
        </w:rPr>
        <w:t xml:space="preserve">The </w:t>
      </w:r>
      <w:r w:rsidRPr="004E7E5A">
        <w:rPr>
          <w:rFonts w:cs="Times New Roman"/>
          <w:lang w:bidi="ar"/>
        </w:rPr>
        <w:t>two-stage least squares (2SLS)</w:t>
      </w:r>
      <w:r w:rsidRPr="004E7E5A">
        <w:rPr>
          <w:rFonts w:cs="Times New Roman"/>
        </w:rPr>
        <w:t xml:space="preserve"> is one of the most potent and versatile tools available </w:t>
      </w:r>
      <w:r w:rsidRPr="004E7E5A">
        <w:rPr>
          <w:rFonts w:cs="Times New Roman"/>
        </w:rPr>
        <w:lastRenderedPageBreak/>
        <w:t xml:space="preserve">to alleviate endogeneity </w:t>
      </w:r>
      <w:r w:rsidRPr="004E7E5A">
        <w:rPr>
          <w:rFonts w:cs="Times New Roman"/>
          <w:lang w:eastAsia="en-US" w:bidi="ar"/>
        </w:rPr>
        <w:fldChar w:fldCharType="begin">
          <w:fldData xml:space="preserve">PEVuZE5vdGU+PENpdGU+PEF1dGhvcj5WaWxsaWVyczwvQXV0aG9yPjxZZWFyPjIwMTE8L1llYXI+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</w:fldData>
        </w:fldChar>
      </w:r>
      <w:r w:rsidR="00317C6A" w:rsidRPr="004E7E5A">
        <w:rPr>
          <w:rFonts w:cs="Times New Roman"/>
          <w:lang w:eastAsia="en-US" w:bidi="ar"/>
        </w:rPr>
        <w:instrText xml:space="preserve"> ADDIN EN.CITE </w:instrText>
      </w:r>
      <w:r w:rsidR="00317C6A" w:rsidRPr="004E7E5A">
        <w:rPr>
          <w:rFonts w:cs="Times New Roman"/>
          <w:lang w:eastAsia="en-US" w:bidi="ar"/>
        </w:rPr>
        <w:fldChar w:fldCharType="begin">
          <w:fldData xml:space="preserve">PEVuZE5vdGU+PENpdGU+PEF1dGhvcj5WaWxsaWVyczwvQXV0aG9yPjxZZWFyPjIwMTE8L1llYXI+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</w:fldData>
        </w:fldChar>
      </w:r>
      <w:r w:rsidR="00317C6A" w:rsidRPr="004E7E5A">
        <w:rPr>
          <w:rFonts w:cs="Times New Roman"/>
          <w:lang w:eastAsia="en-US" w:bidi="ar"/>
        </w:rPr>
        <w:instrText xml:space="preserve"> ADDIN EN.CITE.DATA </w:instrText>
      </w:r>
      <w:r w:rsidR="00317C6A" w:rsidRPr="004E7E5A">
        <w:rPr>
          <w:rFonts w:cs="Times New Roman"/>
          <w:lang w:eastAsia="en-US" w:bidi="ar"/>
        </w:rPr>
      </w:r>
      <w:r w:rsidR="00317C6A" w:rsidRPr="004E7E5A">
        <w:rPr>
          <w:rFonts w:cs="Times New Roman"/>
          <w:lang w:eastAsia="en-US" w:bidi="ar"/>
        </w:rPr>
        <w:fldChar w:fldCharType="end"/>
      </w:r>
      <w:r w:rsidRPr="004E7E5A">
        <w:rPr>
          <w:rFonts w:cs="Times New Roman"/>
          <w:lang w:eastAsia="en-US" w:bidi="ar"/>
        </w:rPr>
      </w:r>
      <w:r w:rsidRPr="004E7E5A">
        <w:rPr>
          <w:rFonts w:cs="Times New Roman"/>
          <w:lang w:eastAsia="en-US" w:bidi="ar"/>
        </w:rPr>
        <w:fldChar w:fldCharType="separate"/>
      </w:r>
      <w:r w:rsidRPr="004E7E5A">
        <w:rPr>
          <w:rFonts w:cs="Times New Roman"/>
          <w:noProof/>
          <w:lang w:eastAsia="en-US" w:bidi="ar"/>
        </w:rPr>
        <w:t>(Villiers et al. 2011; Park and Vrettos 2015; Chakravarty and Rutherford 2017)</w:t>
      </w:r>
      <w:r w:rsidRPr="004E7E5A">
        <w:rPr>
          <w:rFonts w:cs="Times New Roman"/>
          <w:lang w:eastAsia="en-US" w:bidi="ar"/>
        </w:rPr>
        <w:fldChar w:fldCharType="end"/>
      </w:r>
      <w:r w:rsidRPr="004E7E5A">
        <w:rPr>
          <w:rFonts w:cs="Times New Roman"/>
        </w:rPr>
        <w:t xml:space="preserve">. We estimate Equations (1)-(6) using </w:t>
      </w:r>
      <w:r w:rsidRPr="004E7E5A">
        <w:rPr>
          <w:rFonts w:cs="Times New Roman"/>
          <w:lang w:bidi="ar"/>
        </w:rPr>
        <w:t xml:space="preserve">2SLS to </w:t>
      </w:r>
      <w:r w:rsidRPr="004E7E5A">
        <w:rPr>
          <w:rFonts w:cs="Times New Roman"/>
        </w:rPr>
        <w:t xml:space="preserve">address this endogeneity issue </w:t>
      </w:r>
      <w:r w:rsidRPr="004E7E5A">
        <w:rPr>
          <w:rFonts w:cs="Times New Roman"/>
          <w:lang w:eastAsia="en-US" w:bidi="ar"/>
        </w:rPr>
        <w:fldChar w:fldCharType="begin"/>
      </w:r>
      <w:r w:rsidR="00317C6A" w:rsidRPr="004E7E5A">
        <w:rPr>
          <w:rFonts w:cs="Times New Roman"/>
          <w:lang w:eastAsia="en-US" w:bidi="ar"/>
        </w:rPr>
        <w:instrText xml:space="preserve"> ADDIN EN.CITE &lt;EndNote&gt;&lt;Cite&gt;&lt;Author&gt;Park&lt;/Author&gt;&lt;Year&gt;2015&lt;/Year&gt;&lt;RecNum&gt;230&lt;/RecNum&gt;&lt;DisplayText&gt;(Park and Vrettos 2015)&lt;/DisplayText&gt;&lt;record&gt;&lt;rec-number&gt;230&lt;/rec-number&gt;&lt;foreign-keys&gt;&lt;key app="EN" db-id="trr00pfsbzzex0ezwf6v5swd9fpfpwfa90xp" timestamp="1581079687" guid="39d6ea8f-7603-4581-973c-74b3385bad5d"&gt;230&lt;/key&gt;&lt;/foreign-keys&gt;&lt;ref-type name="Journal Article"&gt;17&lt;/ref-type&gt;&lt;contributors&gt;&lt;authors&gt;&lt;author&gt;Park, Hyungshin&lt;/author&gt;&lt;author&gt;Vrettos, Dimitris&lt;/author&gt;&lt;/authors&gt;&lt;/contributors&gt;&lt;titles&gt;&lt;title&gt;The moderating effect of relative performance evaluation on the risk incentive properties of executives’ equity portfolios&lt;/title&gt;&lt;secondary-title&gt;Journal of Accounting Research&lt;/secondary-title&gt;&lt;/titles&gt;&lt;periodical&gt;&lt;full-title&gt;Journal of Accounting Research&lt;/full-title&gt;&lt;/periodical&gt;&lt;pages&gt;1055-1108&lt;/pages&gt;&lt;volume&gt;53&lt;/volume&gt;&lt;number&gt;5&lt;/number&gt;&lt;section&gt;1055&lt;/section&gt;&lt;dates&gt;&lt;year&gt;2015&lt;/year&gt;&lt;/dates&gt;&lt;isbn&gt;00218456&lt;/isbn&gt;&lt;urls&gt;&lt;/urls&gt;&lt;electronic-resource-num&gt;10.1111/1475-679x.12092&lt;/electronic-resource-num&gt;&lt;/record&gt;&lt;/Cite&gt;&lt;/EndNote&gt;</w:instrText>
      </w:r>
      <w:r w:rsidRPr="004E7E5A">
        <w:rPr>
          <w:rFonts w:cs="Times New Roman"/>
          <w:lang w:eastAsia="en-US" w:bidi="ar"/>
        </w:rPr>
        <w:fldChar w:fldCharType="separate"/>
      </w:r>
      <w:r w:rsidRPr="004E7E5A">
        <w:rPr>
          <w:rFonts w:cs="Times New Roman"/>
          <w:noProof/>
          <w:lang w:eastAsia="en-US" w:bidi="ar"/>
        </w:rPr>
        <w:t>(Park and Vrettos 2015)</w:t>
      </w:r>
      <w:r w:rsidRPr="004E7E5A">
        <w:rPr>
          <w:rFonts w:cs="Times New Roman"/>
          <w:lang w:eastAsia="en-US" w:bidi="ar"/>
        </w:rPr>
        <w:fldChar w:fldCharType="end"/>
      </w:r>
      <w:r w:rsidRPr="004E7E5A">
        <w:rPr>
          <w:rFonts w:cs="Times New Roman"/>
          <w:lang w:eastAsia="en-US" w:bidi="ar"/>
        </w:rPr>
        <w:t xml:space="preserve">. </w:t>
      </w:r>
      <w:r w:rsidRPr="004E7E5A">
        <w:rPr>
          <w:rFonts w:cs="Times New Roman"/>
        </w:rPr>
        <w:t xml:space="preserve">The instrument for our endogenous variable is drawn from prior studies </w:t>
      </w:r>
      <w:r w:rsidRPr="004E7E5A">
        <w:rPr>
          <w:rFonts w:cs="Times New Roman"/>
        </w:rPr>
        <w:fldChar w:fldCharType="begin">
          <w:fldData xml:space="preserve">PEVuZE5vdGU+PENpdGU+PEF1dGhvcj5LbnlhemV2YTwvQXV0aG9yPjxZZWFyPjIwMTM8L1llYXI+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PEVuZE5vdGU+PENpdGU+PEF1dGhvcj5LbnlhemV2YTwvQXV0aG9yPjxZZWFyPjIwMTM8L1llYXI+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(Knyazeva et al. 2013; Alam et al. 2014; Chakravarty and Rutherford 2017)</w:t>
      </w:r>
      <w:r w:rsidRPr="004E7E5A">
        <w:rPr>
          <w:rFonts w:cs="Times New Roman"/>
        </w:rPr>
        <w:fldChar w:fldCharType="end"/>
      </w:r>
      <w:r w:rsidRPr="004E7E5A">
        <w:rPr>
          <w:rFonts w:cs="Times New Roman"/>
        </w:rPr>
        <w:t>. We use the annual passenger throughput of the airport near the location of the listed company (</w:t>
      </w:r>
      <w:r w:rsidRPr="004E7E5A">
        <w:rPr>
          <w:rFonts w:cs="Times New Roman"/>
          <w:i/>
          <w:iCs/>
          <w:szCs w:val="24"/>
        </w:rPr>
        <w:t>Director convenience</w:t>
      </w:r>
      <w:r w:rsidRPr="004E7E5A">
        <w:rPr>
          <w:rFonts w:cs="Times New Roman"/>
        </w:rPr>
        <w:t xml:space="preserve">) as an instrument for the directors’ network centrality. Directors’ travel convenience is a measure of the cost to a potential director in terms of time and effort required to travel to attend board meetings </w:t>
      </w:r>
      <w:r w:rsidRPr="004E7E5A">
        <w:rPr>
          <w:rFonts w:cs="Times New Roman"/>
        </w:rPr>
        <w:fldChar w:fldCharType="begin"/>
      </w:r>
      <w:r w:rsidR="001A1175" w:rsidRPr="004E7E5A">
        <w:rPr>
          <w:rFonts w:cs="Times New Roman"/>
        </w:rPr>
        <w:instrText xml:space="preserve"> ADDIN EN.CITE &lt;EndNote&gt;&lt;Cite&gt;&lt;Author&gt;Alam&lt;/Author&gt;&lt;Year&gt;2014&lt;/Year&gt;&lt;RecNum&gt;2066&lt;/RecNum&gt;&lt;DisplayText&gt;(Alam et al. 2014; Chakravarty and Rutherford 2017)&lt;/DisplayText&gt;&lt;record&gt;&lt;rec-number&gt;2066&lt;/rec-number&gt;&lt;foreign-keys&gt;&lt;key app="EN" db-id="trr00pfsbzzex0ezwf6v5swd9fpfpwfa90xp" timestamp="1627910831" guid="c1fd2146-b2ed-4e27-9961-b25a86faa246"&gt;2066&lt;/key&gt;&lt;/foreign-keys&gt;&lt;ref-type name="Journal Article"&gt;17&lt;/ref-type&gt;&lt;contributors&gt;&lt;authors&gt;&lt;author&gt;Zinat S. Alam&lt;/author&gt;&lt;author&gt;Mark A. Chen&lt;/author&gt;&lt;author&gt;Conrad S. Ciccotello&lt;/author&gt;&lt;author&gt;Harley E. Ryan&lt;/author&gt;&lt;/authors&gt;&lt;/contributors&gt;&lt;titles&gt;&lt;title&gt;Does the location of directors matter? Information acquisition and board decisions&lt;/title&gt;&lt;secondary-title&gt;Journal of Financial &amp;amp; Quantitative Analysis&lt;/secondary-title&gt;&lt;/titles&gt;&lt;periodical&gt;&lt;full-title&gt;Journal of Financial &amp;amp; Quantitative Analysis&lt;/full-title&gt;&lt;/periodical&gt;&lt;pages&gt;131-164&lt;/pages&gt;&lt;volume&gt;49&lt;/volume&gt;&lt;number&gt;1&lt;/number&gt;&lt;dates&gt;&lt;year&gt;2014&lt;/year&gt;&lt;/dates&gt;&lt;urls&gt;&lt;/urls&gt;&lt;/record&gt;&lt;/Cite&gt;&lt;Cite&gt;&lt;Author&gt;Chakravarty&lt;/Author&gt;&lt;Year&gt;2017&lt;/Year&gt;&lt;RecNum&gt;1982&lt;/RecNum&gt;&lt;record&gt;&lt;rec-number&gt;1982&lt;/rec-number&gt;&lt;foreign-keys&gt;&lt;key app="EN" db-id="trr00pfsbzzex0ezwf6v5swd9fpfpwfa90xp" timestamp="1625885139" guid="c98443ac-f67f-497b-8700-77d6ac091f6a"&gt;1982&lt;/key&gt;&lt;/foreign-keys&gt;&lt;ref-type name="Journal Article"&gt;17&lt;/ref-type&gt;&lt;contributors&gt;&lt;authors&gt;&lt;author&gt;Chakravarty, S.&lt;/author&gt;&lt;author&gt;Rutherford, L. G.&lt;/author&gt;&lt;/authors&gt;&lt;/contributors&gt;&lt;titles&gt;&lt;title&gt;Do busy directors influence the cost of debt? An examination through the lens of takeover vulnerability&lt;/title&gt;&lt;secondary-title&gt;Journal of Corporate Finance&lt;/secondary-title&gt;&lt;/titles&gt;&lt;periodical&gt;&lt;full-title&gt;Journal of Corporate Finance&lt;/full-title&gt;&lt;/periodical&gt;&lt;pages&gt;429-443&lt;/pages&gt;&lt;volume&gt;43&lt;/volume&gt;&lt;dates&gt;&lt;year&gt;2017&lt;/year&gt;&lt;/dates&gt;&lt;urls&gt;&lt;/urls&gt;&lt;electronic-resource-num&gt;doi:10.1016/j.jcorpfin.2017.02.001.&lt;/electronic-resource-num&gt;&lt;/record&gt;&lt;/Cite&gt;&lt;/EndNote&gt;</w:instrText>
      </w:r>
      <w:r w:rsidRPr="004E7E5A">
        <w:rPr>
          <w:rFonts w:cs="Times New Roman"/>
        </w:rPr>
        <w:fldChar w:fldCharType="separate"/>
      </w:r>
      <w:r w:rsidRPr="004E7E5A">
        <w:rPr>
          <w:rFonts w:cs="Times New Roman"/>
          <w:noProof/>
        </w:rPr>
        <w:t>(Alam et al. 2014; Chakravarty and Rutherford 2017)</w:t>
      </w:r>
      <w:r w:rsidRPr="004E7E5A">
        <w:rPr>
          <w:rFonts w:cs="Times New Roman"/>
        </w:rPr>
        <w:fldChar w:fldCharType="end"/>
      </w:r>
      <w:r w:rsidRPr="004E7E5A">
        <w:rPr>
          <w:rFonts w:cs="Times New Roman"/>
        </w:rPr>
        <w:t>. The higher the throughput of the airport, the more convenient the director can travel to attend board meetings, which enables the company to hire directors with higher network centrality. The passenger throughput of the airport is expected to have a positive impact on directors’ network centrality.</w:t>
      </w:r>
    </w:p>
    <w:p w14:paraId="1096DF8D" w14:textId="554ADF1B" w:rsidR="00E72A9B" w:rsidRPr="004E7E5A" w:rsidRDefault="00E72A9B" w:rsidP="00E72A9B">
      <w:pPr>
        <w:pStyle w:val="a7"/>
        <w:spacing w:line="480" w:lineRule="auto"/>
        <w:ind w:firstLine="480"/>
        <w:rPr>
          <w:rFonts w:cs="Times New Roman"/>
        </w:rPr>
      </w:pPr>
      <w:r w:rsidRPr="004E7E5A">
        <w:rPr>
          <w:rFonts w:cs="Times New Roman"/>
        </w:rPr>
        <w:t xml:space="preserve">A valid instrument should be correlated with directors’ network centrality, but should not directly affect CSR disclosure quality. Prior research documented that a firm’s travel convenience is positively correlated with the hiring of directors </w:t>
      </w:r>
      <w:r w:rsidRPr="004E7E5A">
        <w:rPr>
          <w:rFonts w:cs="Times New Roman"/>
        </w:rPr>
        <w:fldChar w:fldCharType="begin"/>
      </w:r>
      <w:r w:rsidR="001A1175" w:rsidRPr="004E7E5A">
        <w:rPr>
          <w:rFonts w:cs="Times New Roman"/>
        </w:rPr>
        <w:instrText xml:space="preserve"> ADDIN EN.CITE &lt;EndNote&gt;&lt;Cite&gt;&lt;Author&gt;Alam&lt;/Author&gt;&lt;Year&gt;2014&lt;/Year&gt;&lt;RecNum&gt;2066&lt;/RecNum&gt;&lt;DisplayText&gt;(Alam et al. 2014; Chakravarty and Rutherford 2017)&lt;/DisplayText&gt;&lt;record&gt;&lt;rec-number&gt;2066&lt;/rec-number&gt;&lt;foreign-keys&gt;&lt;key app="EN" db-id="trr00pfsbzzex0ezwf6v5swd9fpfpwfa90xp" timestamp="1627910831" guid="c1fd2146-b2ed-4e27-9961-b25a86faa246"&gt;2066&lt;/key&gt;&lt;/foreign-keys&gt;&lt;ref-type name="Journal Article"&gt;17&lt;/ref-type&gt;&lt;contributors&gt;&lt;authors&gt;&lt;author&gt;Zinat S. Alam&lt;/author&gt;&lt;author&gt;Mark A. Chen&lt;/author&gt;&lt;author&gt;Conrad S. Ciccotello&lt;/author&gt;&lt;author&gt;Harley E. Ryan&lt;/author&gt;&lt;/authors&gt;&lt;/contributors&gt;&lt;titles&gt;&lt;title&gt;Does the location of directors matter? Information acquisition and board decisions&lt;/title&gt;&lt;secondary-title&gt;Journal of Financial &amp;amp; Quantitative Analysis&lt;/secondary-title&gt;&lt;/titles&gt;&lt;periodical&gt;&lt;full-title&gt;Journal of Financial &amp;amp; Quantitative Analysis&lt;/full-title&gt;&lt;/periodical&gt;&lt;pages&gt;131-164&lt;/pages&gt;&lt;volume&gt;49&lt;/volume&gt;&lt;number&gt;1&lt;/number&gt;&lt;dates&gt;&lt;year&gt;2014&lt;/year&gt;&lt;/dates&gt;&lt;urls&gt;&lt;/urls&gt;&lt;/record&gt;&lt;/Cite&gt;&lt;Cite&gt;&lt;Author&gt;Chakravarty&lt;/Author&gt;&lt;Year&gt;2017&lt;/Year&gt;&lt;RecNum&gt;1982&lt;/RecNum&gt;&lt;record&gt;&lt;rec-number&gt;1982&lt;/rec-number&gt;&lt;foreign-keys&gt;&lt;key app="EN" db-id="trr00pfsbzzex0ezwf6v5swd9fpfpwfa90xp" timestamp="1625885139" guid="c98443ac-f67f-497b-8700-77d6ac091f6a"&gt;1982&lt;/key&gt;&lt;/foreign-keys&gt;&lt;ref-type name="Journal Article"&gt;17&lt;/ref-type&gt;&lt;contributors&gt;&lt;authors&gt;&lt;author&gt;Chakravarty, S.&lt;/author&gt;&lt;author&gt;Rutherford, L. G.&lt;/author&gt;&lt;/authors&gt;&lt;/contributors&gt;&lt;titles&gt;&lt;title&gt;Do busy directors influence the cost of debt? An examination through the lens of takeover vulnerability&lt;/title&gt;&lt;secondary-title&gt;Journal of Corporate Finance&lt;/secondary-title&gt;&lt;/titles&gt;&lt;periodical&gt;&lt;full-title&gt;Journal of Corporate Finance&lt;/full-title&gt;&lt;/periodical&gt;&lt;pages&gt;429-443&lt;/pages&gt;&lt;volume&gt;43&lt;/volume&gt;&lt;dates&gt;&lt;year&gt;2017&lt;/year&gt;&lt;/dates&gt;&lt;urls&gt;&lt;/urls&gt;&lt;electronic-resource-num&gt;doi:10.1016/j.jcorpfin.2017.02.001.&lt;/electronic-resource-num&gt;&lt;/record&gt;&lt;/Cite&gt;&lt;/EndNote&gt;</w:instrText>
      </w:r>
      <w:r w:rsidRPr="004E7E5A">
        <w:rPr>
          <w:rFonts w:cs="Times New Roman"/>
        </w:rPr>
        <w:fldChar w:fldCharType="separate"/>
      </w:r>
      <w:r w:rsidRPr="004E7E5A">
        <w:rPr>
          <w:rFonts w:cs="Times New Roman"/>
          <w:noProof/>
        </w:rPr>
        <w:t>(Alam et al. 2014; Chakravarty and Rutherford 2017)</w:t>
      </w:r>
      <w:r w:rsidRPr="004E7E5A">
        <w:rPr>
          <w:rFonts w:cs="Times New Roman"/>
        </w:rPr>
        <w:fldChar w:fldCharType="end"/>
      </w:r>
      <w:r w:rsidRPr="004E7E5A">
        <w:rPr>
          <w:rFonts w:cs="Times New Roman"/>
        </w:rPr>
        <w:t>. But we do not observe and prior research documenting that a firm’s travel convenience will influence the CSR disclosure policy. Therefore, the variable of directors’ travel convenience may be a plausibly exogenous determinant of directors’ network.</w:t>
      </w:r>
    </w:p>
    <w:p w14:paraId="070AEA36" w14:textId="72CE384B" w:rsidR="00E72A9B" w:rsidRPr="004E7E5A" w:rsidRDefault="00E72A9B" w:rsidP="00E72A9B">
      <w:pPr>
        <w:pStyle w:val="a7"/>
        <w:spacing w:line="480" w:lineRule="auto"/>
        <w:ind w:firstLine="480"/>
        <w:rPr>
          <w:rFonts w:cs="Times New Roman"/>
        </w:rPr>
      </w:pPr>
      <w:r w:rsidRPr="004E7E5A">
        <w:rPr>
          <w:rFonts w:cs="Times New Roman"/>
        </w:rPr>
        <w:t xml:space="preserve">Following prior research </w:t>
      </w:r>
      <w:r w:rsidRPr="004E7E5A">
        <w:rPr>
          <w:rFonts w:cs="Times New Roman"/>
          <w:lang w:eastAsia="en-US" w:bidi="ar"/>
        </w:rPr>
        <w:fldChar w:fldCharType="begin">
          <w:fldData xml:space="preserve">PEVuZE5vdGU+PENpdGU+PEF1dGhvcj5Xb29sZHJpZGdlPC9BdXRob3I+PFllYXI+MjAwMjwvWWVh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</w:fldData>
        </w:fldChar>
      </w:r>
      <w:r w:rsidR="00317C6A" w:rsidRPr="004E7E5A">
        <w:rPr>
          <w:rFonts w:cs="Times New Roman"/>
          <w:lang w:eastAsia="en-US" w:bidi="ar"/>
        </w:rPr>
        <w:instrText xml:space="preserve"> ADDIN EN.CITE </w:instrText>
      </w:r>
      <w:r w:rsidR="00317C6A" w:rsidRPr="004E7E5A">
        <w:rPr>
          <w:rFonts w:cs="Times New Roman"/>
          <w:lang w:eastAsia="en-US" w:bidi="ar"/>
        </w:rPr>
        <w:fldChar w:fldCharType="begin">
          <w:fldData xml:space="preserve">PEVuZE5vdGU+PENpdGU+PEF1dGhvcj5Xb29sZHJpZGdlPC9BdXRob3I+PFllYXI+MjAwMjwvWWVh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</w:fldData>
        </w:fldChar>
      </w:r>
      <w:r w:rsidR="00317C6A" w:rsidRPr="004E7E5A">
        <w:rPr>
          <w:rFonts w:cs="Times New Roman"/>
          <w:lang w:eastAsia="en-US" w:bidi="ar"/>
        </w:rPr>
        <w:instrText xml:space="preserve"> ADDIN EN.CITE.DATA </w:instrText>
      </w:r>
      <w:r w:rsidR="00317C6A" w:rsidRPr="004E7E5A">
        <w:rPr>
          <w:rFonts w:cs="Times New Roman"/>
          <w:lang w:eastAsia="en-US" w:bidi="ar"/>
        </w:rPr>
      </w:r>
      <w:r w:rsidR="00317C6A" w:rsidRPr="004E7E5A">
        <w:rPr>
          <w:rFonts w:cs="Times New Roman"/>
          <w:lang w:eastAsia="en-US" w:bidi="ar"/>
        </w:rPr>
        <w:fldChar w:fldCharType="end"/>
      </w:r>
      <w:r w:rsidRPr="004E7E5A">
        <w:rPr>
          <w:rFonts w:cs="Times New Roman"/>
          <w:lang w:eastAsia="en-US" w:bidi="ar"/>
        </w:rPr>
      </w:r>
      <w:r w:rsidRPr="004E7E5A">
        <w:rPr>
          <w:rFonts w:cs="Times New Roman"/>
          <w:lang w:eastAsia="en-US" w:bidi="ar"/>
        </w:rPr>
        <w:fldChar w:fldCharType="separate"/>
      </w:r>
      <w:r w:rsidRPr="004E7E5A">
        <w:rPr>
          <w:rFonts w:cs="Times New Roman"/>
          <w:noProof/>
          <w:lang w:eastAsia="en-US" w:bidi="ar"/>
        </w:rPr>
        <w:t>(Wooldridge 2002; Park and Vrettos 2015; Katmon et al. 2017)</w:t>
      </w:r>
      <w:r w:rsidRPr="004E7E5A">
        <w:rPr>
          <w:rFonts w:cs="Times New Roman"/>
          <w:lang w:eastAsia="en-US" w:bidi="ar"/>
        </w:rPr>
        <w:fldChar w:fldCharType="end"/>
      </w:r>
      <w:r w:rsidRPr="004E7E5A">
        <w:rPr>
          <w:rFonts w:cs="Times New Roman"/>
        </w:rPr>
        <w:t xml:space="preserve">, we add the variable </w:t>
      </w:r>
      <w:r w:rsidRPr="004E7E5A">
        <w:rPr>
          <w:rFonts w:cs="Times New Roman"/>
          <w:i/>
          <w:iCs/>
          <w:szCs w:val="24"/>
        </w:rPr>
        <w:t>Director convenience</w:t>
      </w:r>
      <w:r w:rsidRPr="004E7E5A">
        <w:rPr>
          <w:rFonts w:cs="Times New Roman"/>
        </w:rPr>
        <w:t xml:space="preserve"> as an instrument in the 2SLS model while estimating Equations (1)-(6). We interact the instrument (</w:t>
      </w:r>
      <w:r w:rsidRPr="004E7E5A">
        <w:rPr>
          <w:rFonts w:cs="Times New Roman"/>
          <w:i/>
          <w:iCs/>
          <w:szCs w:val="24"/>
        </w:rPr>
        <w:t>Director convenience</w:t>
      </w:r>
      <w:r w:rsidRPr="004E7E5A">
        <w:rPr>
          <w:rFonts w:cs="Times New Roman"/>
        </w:rPr>
        <w:t>) with the moderating variables (</w:t>
      </w:r>
      <w:r w:rsidRPr="004E7E5A">
        <w:rPr>
          <w:rFonts w:cs="Times New Roman"/>
          <w:i/>
          <w:iCs/>
        </w:rPr>
        <w:t xml:space="preserve">Advertising, Analyst, Big4, </w:t>
      </w:r>
      <w:r w:rsidRPr="004E7E5A">
        <w:rPr>
          <w:rFonts w:cs="Times New Roman"/>
          <w:i/>
          <w:iCs/>
          <w:shd w:val="clear" w:color="auto" w:fill="FFFFFF"/>
        </w:rPr>
        <w:t>Punish and</w:t>
      </w:r>
      <w:r w:rsidRPr="004E7E5A">
        <w:rPr>
          <w:rFonts w:cs="Times New Roman"/>
          <w:i/>
          <w:iCs/>
        </w:rPr>
        <w:t xml:space="preserve"> FC index</w:t>
      </w:r>
      <w:r w:rsidRPr="004E7E5A">
        <w:rPr>
          <w:rFonts w:cs="Times New Roman"/>
        </w:rPr>
        <w:t xml:space="preserve">) and then add the interaction terms </w:t>
      </w:r>
      <w:r w:rsidRPr="004E7E5A">
        <w:rPr>
          <w:rFonts w:cs="Times New Roman"/>
        </w:rPr>
        <w:lastRenderedPageBreak/>
        <w:t>to the list of instruments in the 2SLS models while estimating equations (2)-(6). Therefore, the 2SLS model of equation (1) has one instrument (</w:t>
      </w:r>
      <w:r w:rsidRPr="004E7E5A">
        <w:rPr>
          <w:rFonts w:cs="Times New Roman"/>
          <w:i/>
          <w:iCs/>
          <w:szCs w:val="24"/>
        </w:rPr>
        <w:t>Director convenience</w:t>
      </w:r>
      <w:r w:rsidRPr="004E7E5A">
        <w:rPr>
          <w:rFonts w:cs="Times New Roman"/>
        </w:rPr>
        <w:t>), while the 2SLS models of equations (2)-(6) have two instruments (one original instruments and the interactions of the original instrument with the moderating variables). In the first stage of regression, we treat the endogenous variable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as a dependent variable, while other variables and instrumental variable (</w:t>
      </w:r>
      <w:r w:rsidRPr="004E7E5A">
        <w:rPr>
          <w:rFonts w:cs="Times New Roman"/>
          <w:i/>
          <w:iCs/>
          <w:szCs w:val="24"/>
        </w:rPr>
        <w:t>Director convenience</w:t>
      </w:r>
      <w:r w:rsidRPr="004E7E5A">
        <w:rPr>
          <w:rFonts w:cs="Times New Roman"/>
        </w:rPr>
        <w:t xml:space="preserve">) as independent variables. After that, we generate the “fitted value” of the endogenous variable, and in the second-stage regression, we replace our endogenous variable with its fitted value that was derived from the first-stage regression </w:t>
      </w:r>
      <w:r w:rsidRPr="004E7E5A">
        <w:rPr>
          <w:rFonts w:cs="Times New Roman"/>
        </w:rPr>
        <w:fldChar w:fldCharType="begin"/>
      </w:r>
      <w:r w:rsidR="001A1175" w:rsidRPr="004E7E5A">
        <w:rPr>
          <w:rFonts w:cs="Times New Roman"/>
        </w:rPr>
        <w:instrText xml:space="preserve"> ADDIN EN.CITE &lt;EndNote&gt;&lt;Cite&gt;&lt;Author&gt;Katmon&lt;/Author&gt;&lt;Year&gt;2017&lt;/Year&gt;&lt;RecNum&gt;114&lt;/RecNum&gt;&lt;DisplayText&gt;(Katmon et al. 2017)&lt;/DisplayText&gt;&lt;record&gt;&lt;rec-number&gt;114&lt;/rec-number&gt;&lt;foreign-keys&gt;&lt;key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(Katmon et al. 2017)</w:t>
      </w:r>
      <w:r w:rsidRPr="004E7E5A">
        <w:rPr>
          <w:rFonts w:cs="Times New Roman"/>
        </w:rPr>
        <w:fldChar w:fldCharType="end"/>
      </w:r>
      <w:r w:rsidRPr="004E7E5A">
        <w:rPr>
          <w:rFonts w:cs="Times New Roman"/>
        </w:rPr>
        <w:t xml:space="preserve">. </w:t>
      </w:r>
    </w:p>
    <w:p w14:paraId="48C7BFC1" w14:textId="77777777" w:rsidR="00E72A9B" w:rsidRPr="004E7E5A" w:rsidRDefault="00E72A9B" w:rsidP="00E72A9B">
      <w:pPr>
        <w:pStyle w:val="a5"/>
        <w:rPr>
          <w:rFonts w:ascii="Times New Roman" w:hAnsi="Times New Roman" w:cs="Times New Roman"/>
          <w:color w:val="000000" w:themeColor="text1"/>
          <w:szCs w:val="28"/>
        </w:rPr>
      </w:pPr>
      <w:bookmarkStart w:id="0" w:name="_Toc53856544"/>
      <w:r w:rsidRPr="004E7E5A">
        <w:rPr>
          <w:rFonts w:ascii="Times New Roman" w:hAnsi="Times New Roman" w:cs="Times New Roman"/>
          <w:color w:val="000000" w:themeColor="text1"/>
          <w:szCs w:val="28"/>
        </w:rPr>
        <w:t>Empirical Results</w:t>
      </w:r>
    </w:p>
    <w:p w14:paraId="32143A69" w14:textId="77777777" w:rsidR="00E72A9B" w:rsidRPr="004E7E5A" w:rsidRDefault="00E72A9B" w:rsidP="00E72A9B">
      <w:pPr>
        <w:pStyle w:val="a9"/>
        <w:rPr>
          <w:iCs w:val="0"/>
          <w:sz w:val="24"/>
          <w:szCs w:val="24"/>
        </w:rPr>
      </w:pPr>
      <w:r w:rsidRPr="004E7E5A">
        <w:rPr>
          <w:iCs w:val="0"/>
          <w:sz w:val="24"/>
          <w:szCs w:val="24"/>
        </w:rPr>
        <w:t xml:space="preserve">Descriptive Statistics </w:t>
      </w:r>
    </w:p>
    <w:p w14:paraId="4D11AC2E" w14:textId="77777777" w:rsidR="00E72A9B" w:rsidRPr="004E7E5A" w:rsidRDefault="00E72A9B" w:rsidP="00E72A9B">
      <w:pPr>
        <w:pStyle w:val="a7"/>
        <w:spacing w:line="480" w:lineRule="auto"/>
        <w:ind w:firstLine="480"/>
        <w:rPr>
          <w:rFonts w:cs="Times New Roman"/>
        </w:rPr>
      </w:pPr>
      <w:r w:rsidRPr="004E7E5A">
        <w:rPr>
          <w:rFonts w:cs="Times New Roman"/>
        </w:rPr>
        <w:t>Table 2 provides descriptive statistics. The mean value of CSR disclosure quality (</w:t>
      </w:r>
      <w:proofErr w:type="spellStart"/>
      <w:r w:rsidRPr="004E7E5A">
        <w:rPr>
          <w:rFonts w:cs="Times New Roman"/>
          <w:i/>
          <w:iCs/>
        </w:rPr>
        <w:t>Csr</w:t>
      </w:r>
      <w:proofErr w:type="spellEnd"/>
      <w:r w:rsidRPr="004E7E5A">
        <w:rPr>
          <w:rFonts w:cs="Times New Roman"/>
        </w:rPr>
        <w:t xml:space="preserve">) is </w:t>
      </w:r>
      <w:r w:rsidRPr="004E7E5A">
        <w:rPr>
          <w:rFonts w:cs="Times New Roman"/>
          <w:szCs w:val="24"/>
        </w:rPr>
        <w:t>40.31,</w:t>
      </w:r>
      <w:r w:rsidRPr="004E7E5A">
        <w:rPr>
          <w:rFonts w:cs="Times New Roman"/>
        </w:rPr>
        <w:t xml:space="preserve"> with a variance of </w:t>
      </w:r>
      <w:r w:rsidRPr="004E7E5A">
        <w:rPr>
          <w:rFonts w:cs="Times New Roman"/>
          <w:szCs w:val="24"/>
        </w:rPr>
        <w:t>11.52,</w:t>
      </w:r>
      <w:r w:rsidRPr="004E7E5A">
        <w:rPr>
          <w:rFonts w:cs="Times New Roman"/>
        </w:rPr>
        <w:t xml:space="preserve"> which indicates that there is substantial difference in CSR disclosure quality across firms.</w:t>
      </w:r>
    </w:p>
    <w:p w14:paraId="3A0738FA" w14:textId="095FDEC4" w:rsidR="00E72A9B" w:rsidRPr="004E7E5A" w:rsidRDefault="00E72A9B" w:rsidP="00E72A9B">
      <w:pPr>
        <w:pStyle w:val="a7"/>
        <w:spacing w:line="480" w:lineRule="auto"/>
        <w:ind w:firstLine="480"/>
        <w:rPr>
          <w:rFonts w:cs="Times New Roman"/>
        </w:rPr>
      </w:pPr>
      <w:r w:rsidRPr="004E7E5A">
        <w:rPr>
          <w:rFonts w:cs="Times New Roman"/>
        </w:rPr>
        <w:t>The average of the proportion of independent directors (</w:t>
      </w:r>
      <w:proofErr w:type="spellStart"/>
      <w:r w:rsidRPr="004E7E5A">
        <w:rPr>
          <w:rFonts w:cs="Times New Roman"/>
          <w:i/>
          <w:iCs/>
        </w:rPr>
        <w:t>Inddirector</w:t>
      </w:r>
      <w:proofErr w:type="spellEnd"/>
      <w:r w:rsidRPr="004E7E5A">
        <w:rPr>
          <w:rFonts w:cs="Times New Roman"/>
        </w:rPr>
        <w:t xml:space="preserve">) is 37.5%. The variance of the proportion of independent director is 0.055, which indicates that the proportion of independent directors between firms is similar. This is consistent with the research conducted by Liao et al. (2016) based on Chinese firms. There are significant differences between the proportion of independent directors in China and in some developed countries. </w:t>
      </w:r>
      <w:proofErr w:type="spellStart"/>
      <w:r w:rsidRPr="004E7E5A">
        <w:rPr>
          <w:rFonts w:cs="Times New Roman"/>
        </w:rPr>
        <w:t>Beji</w:t>
      </w:r>
      <w:proofErr w:type="spellEnd"/>
      <w:r w:rsidRPr="004E7E5A">
        <w:rPr>
          <w:rFonts w:cs="Times New Roman"/>
        </w:rPr>
        <w:t xml:space="preserve"> et al. (2020) report 52.5% of independent directors with a sample of 120 French listed companies between the year 2003 and 2016, and the variance is 21.4%. In a sample of UK listed companies covering the period 2002-2010, about 52.0 % of the board members of an average firm are independent, </w:t>
      </w:r>
      <w:r w:rsidRPr="004E7E5A">
        <w:rPr>
          <w:rFonts w:cs="Times New Roman"/>
        </w:rPr>
        <w:lastRenderedPageBreak/>
        <w:t xml:space="preserve">and the variance is 14.0% (Shaukat et al. 2016). In a sample from the USA, during the period of 2007-2011, 58.0 % of the board members are independent (Macaulay et al. 2017). The proportion of independent directors used to be a very important </w:t>
      </w:r>
      <w:proofErr w:type="spellStart"/>
      <w:r w:rsidRPr="004E7E5A">
        <w:rPr>
          <w:rFonts w:cs="Times New Roman"/>
        </w:rPr>
        <w:t>virable</w:t>
      </w:r>
      <w:proofErr w:type="spellEnd"/>
      <w:r w:rsidRPr="004E7E5A">
        <w:rPr>
          <w:rFonts w:cs="Times New Roman"/>
        </w:rPr>
        <w:t xml:space="preserve"> to measure the independence of boards in China, however, according to a regulation issued by Chinese government, the proportion of independent directors should not be lower than 1/3 after the year 2003. This regulation makes the proportion of independent directors converge </w:t>
      </w:r>
      <w:r w:rsidRPr="004E7E5A">
        <w:rPr>
          <w:rFonts w:cs="Times New Roman"/>
        </w:rPr>
        <w:fldChar w:fldCharType="begin"/>
      </w:r>
      <w:r w:rsidR="006F6C86" w:rsidRPr="004E7E5A">
        <w:rPr>
          <w:rFonts w:cs="Times New Roman"/>
        </w:rPr>
        <w:instrText xml:space="preserve"> ADDIN EN.CITE &lt;EndNote&gt;&lt;Cite&gt;&lt;Author&gt;Jiang&lt;/Author&gt;&lt;Year&gt;2015&lt;/Year&gt;&lt;RecNum&gt;1793&lt;/RecNum&gt;&lt;DisplayText&gt;(Jiang and Kim 2015)&lt;/DisplayText&gt;&lt;record&gt;&lt;rec-number&gt;1793&lt;/rec-number&gt;&lt;foreign-keys&gt;&lt;key app="EN" db-id="trr00pfsbzzex0ezwf6v5swd9fpfpwfa90xp" timestamp="1595384884" guid="16671cf2-d904-48cb-bde2-0df4717436cf"&gt;1793&lt;/key&gt;&lt;/foreign-keys&gt;&lt;ref-type name="Journal Article"&gt;17&lt;/ref-type&gt;&lt;contributors&gt;&lt;authors&gt;&lt;author&gt;Jiang, Fuxiu&lt;/author&gt;&lt;author&gt;Kim, Kenneth A.&lt;/author&gt;&lt;/authors&gt;&lt;/contributors&gt;&lt;titles&gt;&lt;title&gt;Corporate governance in China: A modern perspective&lt;/title&gt;&lt;secondary-title&gt;Journal of Corporate Finance&lt;/secondary-title&gt;&lt;/titles&gt;&lt;periodical&gt;&lt;full-title&gt;Journal of Corporate Finance&lt;/full-title&gt;&lt;/periodical&gt;&lt;pages&gt;190-216&lt;/pages&gt;&lt;volume&gt;32&lt;/volume&gt;&lt;section&gt;190&lt;/section&gt;&lt;dates&gt;&lt;year&gt;2015&lt;/year&gt;&lt;/dates&gt;&lt;isbn&gt;09291199&lt;/isbn&gt;&lt;urls&gt;&lt;/urls&gt;&lt;electronic-resource-num&gt;10.1016/j.jcorpfin.2014.10.010&lt;/electronic-resource-num&gt;&lt;/record&gt;&lt;/Cite&gt;&lt;/EndNote&gt;</w:instrText>
      </w:r>
      <w:r w:rsidRPr="004E7E5A">
        <w:rPr>
          <w:rFonts w:cs="Times New Roman"/>
        </w:rPr>
        <w:fldChar w:fldCharType="separate"/>
      </w:r>
      <w:r w:rsidRPr="004E7E5A">
        <w:rPr>
          <w:rFonts w:cs="Times New Roman"/>
          <w:noProof/>
        </w:rPr>
        <w:t>(Jiang and Kim 2015)</w:t>
      </w:r>
      <w:r w:rsidRPr="004E7E5A">
        <w:rPr>
          <w:rFonts w:cs="Times New Roman"/>
        </w:rPr>
        <w:fldChar w:fldCharType="end"/>
      </w:r>
      <w:r w:rsidRPr="004E7E5A">
        <w:rPr>
          <w:rFonts w:cs="Times New Roman"/>
        </w:rPr>
        <w:t xml:space="preserve">. </w:t>
      </w:r>
    </w:p>
    <w:p w14:paraId="4221A79C" w14:textId="77777777" w:rsidR="00E72A9B" w:rsidRPr="004E7E5A" w:rsidRDefault="00E72A9B" w:rsidP="00E72A9B">
      <w:pPr>
        <w:pStyle w:val="a7"/>
        <w:spacing w:line="480" w:lineRule="auto"/>
        <w:ind w:firstLine="480"/>
        <w:rPr>
          <w:rFonts w:cs="Times New Roman"/>
        </w:rPr>
      </w:pPr>
      <w:r w:rsidRPr="004E7E5A">
        <w:rPr>
          <w:rFonts w:cs="Times New Roman"/>
        </w:rPr>
        <w:t>Boards have around 9 members on average (</w:t>
      </w:r>
      <w:r w:rsidRPr="004E7E5A">
        <w:rPr>
          <w:rFonts w:cs="Times New Roman"/>
          <w:i/>
          <w:iCs/>
        </w:rPr>
        <w:t>Board size</w:t>
      </w:r>
      <w:r w:rsidRPr="004E7E5A">
        <w:rPr>
          <w:rFonts w:cs="Times New Roman"/>
        </w:rPr>
        <w:t xml:space="preserve">). This is consistent with the research conducted by Liao et al. (2016), which report 9 board members on average by examining 2054 firm-years observations of Chinese listed firms from 2008 to 2012. </w:t>
      </w:r>
      <w:proofErr w:type="spellStart"/>
      <w:r w:rsidRPr="004E7E5A">
        <w:rPr>
          <w:rFonts w:cs="Times New Roman"/>
        </w:rPr>
        <w:t>Beji</w:t>
      </w:r>
      <w:proofErr w:type="spellEnd"/>
      <w:r w:rsidRPr="004E7E5A">
        <w:rPr>
          <w:rFonts w:cs="Times New Roman"/>
        </w:rPr>
        <w:t xml:space="preserve"> et al. (2020) report a board size of 13 members with a sample of 120 French listed companies between the year 2003 and 2016, which is much higher than observed in our sample.</w:t>
      </w:r>
    </w:p>
    <w:p w14:paraId="2027EEE1" w14:textId="77777777" w:rsidR="00E72A9B" w:rsidRPr="004E7E5A" w:rsidRDefault="00E72A9B" w:rsidP="00E72A9B">
      <w:pPr>
        <w:pStyle w:val="a7"/>
        <w:spacing w:line="480" w:lineRule="auto"/>
        <w:ind w:firstLine="480"/>
        <w:rPr>
          <w:rFonts w:cs="Times New Roman"/>
          <w:shd w:val="clear" w:color="auto" w:fill="FFFFFF"/>
        </w:rPr>
      </w:pPr>
      <w:r w:rsidRPr="004E7E5A">
        <w:rPr>
          <w:rFonts w:cs="Times New Roman"/>
          <w:shd w:val="clear" w:color="auto" w:fill="FFFFFF"/>
        </w:rPr>
        <w:t>The average percentage of female board members is only 11.9% (</w:t>
      </w:r>
      <w:r w:rsidRPr="004E7E5A">
        <w:rPr>
          <w:rFonts w:cs="Times New Roman"/>
          <w:i/>
          <w:iCs/>
          <w:shd w:val="clear" w:color="auto" w:fill="FFFFFF"/>
        </w:rPr>
        <w:t>Female</w:t>
      </w:r>
      <w:r w:rsidRPr="004E7E5A">
        <w:rPr>
          <w:rFonts w:cs="Times New Roman"/>
          <w:shd w:val="clear" w:color="auto" w:fill="FFFFFF"/>
        </w:rPr>
        <w:t xml:space="preserve">), which is consistent with </w:t>
      </w:r>
      <w:r w:rsidRPr="004E7E5A">
        <w:rPr>
          <w:rFonts w:cs="Times New Roman"/>
        </w:rPr>
        <w:t>the research conducted by Liao et al. (2016) based on Chinese firms.</w:t>
      </w:r>
      <w:r w:rsidRPr="004E7E5A">
        <w:rPr>
          <w:rFonts w:cs="Times New Roman"/>
          <w:shd w:val="clear" w:color="auto" w:fill="FFFFFF"/>
        </w:rPr>
        <w:t xml:space="preserve"> The average percentage of female is much lower in </w:t>
      </w:r>
      <w:r w:rsidRPr="004E7E5A">
        <w:rPr>
          <w:rFonts w:cs="Times New Roman"/>
        </w:rPr>
        <w:t>this research</w:t>
      </w:r>
      <w:r w:rsidRPr="004E7E5A">
        <w:rPr>
          <w:rFonts w:cs="Times New Roman"/>
          <w:shd w:val="clear" w:color="auto" w:fill="FFFFFF"/>
        </w:rPr>
        <w:t xml:space="preserve"> than that in some developed countries. According to a sample of 120 French listed companies between the year 2003 and 2016, 22.2% firm directors are female (</w:t>
      </w:r>
      <w:proofErr w:type="spellStart"/>
      <w:r w:rsidRPr="004E7E5A">
        <w:rPr>
          <w:rFonts w:cs="Times New Roman"/>
          <w:shd w:val="clear" w:color="auto" w:fill="FFFFFF"/>
        </w:rPr>
        <w:t>Beji</w:t>
      </w:r>
      <w:proofErr w:type="spellEnd"/>
      <w:r w:rsidRPr="004E7E5A">
        <w:rPr>
          <w:rFonts w:cs="Times New Roman"/>
          <w:shd w:val="clear" w:color="auto" w:fill="FFFFFF"/>
        </w:rPr>
        <w:t xml:space="preserve"> et al. 2020). Using a sample of 1348 small and medium enterprises from Luxembourg, </w:t>
      </w:r>
      <w:proofErr w:type="spellStart"/>
      <w:r w:rsidRPr="004E7E5A">
        <w:rPr>
          <w:rFonts w:cs="Times New Roman"/>
          <w:shd w:val="clear" w:color="auto" w:fill="FFFFFF"/>
        </w:rPr>
        <w:t>Bocquest</w:t>
      </w:r>
      <w:proofErr w:type="spellEnd"/>
      <w:r w:rsidRPr="004E7E5A">
        <w:rPr>
          <w:rFonts w:cs="Times New Roman"/>
          <w:shd w:val="clear" w:color="auto" w:fill="FFFFFF"/>
        </w:rPr>
        <w:t xml:space="preserve"> et al. (2019) show that 28.7% firm directors are female. One possible reason for the different percentage of female board members may be that some developed countries have passed laws mandating that firms add more female directors on boards (</w:t>
      </w:r>
      <w:proofErr w:type="spellStart"/>
      <w:r w:rsidRPr="004E7E5A">
        <w:rPr>
          <w:rFonts w:cs="Times New Roman"/>
          <w:shd w:val="clear" w:color="auto" w:fill="FFFFFF"/>
        </w:rPr>
        <w:t>Katmon</w:t>
      </w:r>
      <w:proofErr w:type="spellEnd"/>
      <w:r w:rsidRPr="004E7E5A">
        <w:rPr>
          <w:rFonts w:cs="Times New Roman"/>
          <w:shd w:val="clear" w:color="auto" w:fill="FFFFFF"/>
        </w:rPr>
        <w:t xml:space="preserve"> et al., 2017).</w:t>
      </w:r>
      <w:r w:rsidRPr="004E7E5A">
        <w:rPr>
          <w:rStyle w:val="af4"/>
          <w:rFonts w:cs="Times New Roman"/>
          <w:shd w:val="clear" w:color="auto" w:fill="FFFFFF"/>
        </w:rPr>
        <w:footnoteReference w:id="11"/>
      </w:r>
      <w:r w:rsidRPr="004E7E5A">
        <w:rPr>
          <w:rFonts w:cs="Times New Roman"/>
          <w:shd w:val="clear" w:color="auto" w:fill="FFFFFF"/>
        </w:rPr>
        <w:t xml:space="preserve"> There is no such law in China.</w:t>
      </w:r>
    </w:p>
    <w:p w14:paraId="3703F419" w14:textId="77777777" w:rsidR="00E72A9B" w:rsidRPr="004E7E5A" w:rsidRDefault="00E72A9B" w:rsidP="00E72A9B">
      <w:pPr>
        <w:pStyle w:val="a7"/>
        <w:spacing w:line="480" w:lineRule="auto"/>
        <w:ind w:firstLine="480"/>
        <w:rPr>
          <w:rFonts w:cs="Times New Roman"/>
        </w:rPr>
      </w:pPr>
      <w:r w:rsidRPr="004E7E5A">
        <w:rPr>
          <w:rFonts w:cs="Times New Roman"/>
        </w:rPr>
        <w:lastRenderedPageBreak/>
        <w:t>Table 2 shows that 18.5% of firms displaying CEO-chair structure (</w:t>
      </w:r>
      <w:r w:rsidRPr="004E7E5A">
        <w:rPr>
          <w:rFonts w:cs="Times New Roman"/>
          <w:i/>
          <w:iCs/>
        </w:rPr>
        <w:t>Duality</w:t>
      </w:r>
      <w:r w:rsidRPr="004E7E5A">
        <w:rPr>
          <w:rFonts w:cs="Times New Roman"/>
        </w:rPr>
        <w:t xml:space="preserve">). The proportion of CEO duality is close to the research conclusion conducted by Liao et al. (2016) in Chinese setting. This is different from that in some developed countries. The research conducted by </w:t>
      </w:r>
      <w:proofErr w:type="spellStart"/>
      <w:r w:rsidRPr="004E7E5A">
        <w:rPr>
          <w:rFonts w:cs="Times New Roman"/>
        </w:rPr>
        <w:t>Beji</w:t>
      </w:r>
      <w:proofErr w:type="spellEnd"/>
      <w:r w:rsidRPr="004E7E5A">
        <w:rPr>
          <w:rFonts w:cs="Times New Roman"/>
        </w:rPr>
        <w:t xml:space="preserve"> et al. (2020) report 33.6% of duality with a sample of 120 French listed companies between the year 2003 and 2016. With a sample from the USA, during the period of 2007-2011, 64.0% of firms displaying CEO-chair structure (Macaulay et al. 2017). However, Shaukat et al. (2016) report 4.0% of duality with a sample of UK listed companies, covering the period 2002-2010.</w:t>
      </w:r>
    </w:p>
    <w:p w14:paraId="2DB82C10" w14:textId="2D662214" w:rsidR="00E72A9B" w:rsidRPr="004E7E5A" w:rsidRDefault="00E72A9B" w:rsidP="00E72A9B">
      <w:pPr>
        <w:pStyle w:val="a7"/>
        <w:spacing w:line="480" w:lineRule="auto"/>
        <w:ind w:firstLine="480"/>
        <w:rPr>
          <w:rFonts w:cs="Times New Roman"/>
        </w:rPr>
      </w:pPr>
      <w:r w:rsidRPr="004E7E5A">
        <w:rPr>
          <w:rFonts w:cs="Times New Roman"/>
        </w:rPr>
        <w:t>Regarding other control variables, the mean of</w:t>
      </w:r>
      <w:r w:rsidRPr="004E7E5A">
        <w:rPr>
          <w:rFonts w:cs="Times New Roman"/>
          <w:i/>
          <w:iCs/>
        </w:rPr>
        <w:t xml:space="preserve"> </w:t>
      </w:r>
      <w:proofErr w:type="spellStart"/>
      <w:r w:rsidRPr="004E7E5A">
        <w:rPr>
          <w:rFonts w:cs="Times New Roman"/>
          <w:i/>
          <w:iCs/>
        </w:rPr>
        <w:t>Roa</w:t>
      </w:r>
      <w:proofErr w:type="spellEnd"/>
      <w:r w:rsidRPr="004E7E5A">
        <w:rPr>
          <w:rFonts w:cs="Times New Roman"/>
        </w:rPr>
        <w:t xml:space="preserve"> is 4.2%, and this is similar to the research conducted by </w:t>
      </w:r>
      <w:proofErr w:type="spellStart"/>
      <w:r w:rsidRPr="004E7E5A">
        <w:rPr>
          <w:rFonts w:cs="Times New Roman"/>
        </w:rPr>
        <w:t>Beji</w:t>
      </w:r>
      <w:proofErr w:type="spellEnd"/>
      <w:r w:rsidRPr="004E7E5A">
        <w:rPr>
          <w:rFonts w:cs="Times New Roman"/>
        </w:rPr>
        <w:t xml:space="preserve"> et al. (2020) with a sample of 120 French listed companies, which reports a return on assets of 3.9%. The average mean of </w:t>
      </w:r>
      <w:r w:rsidRPr="004E7E5A">
        <w:rPr>
          <w:rFonts w:cs="Times New Roman"/>
          <w:i/>
          <w:iCs/>
        </w:rPr>
        <w:t>Lev</w:t>
      </w:r>
      <w:r w:rsidRPr="004E7E5A">
        <w:rPr>
          <w:rFonts w:cs="Times New Roman"/>
        </w:rPr>
        <w:t xml:space="preserve"> is 48.4%. We also observe that 58.6 % of firms are state owned (</w:t>
      </w:r>
      <w:proofErr w:type="spellStart"/>
      <w:r w:rsidRPr="004E7E5A">
        <w:rPr>
          <w:rFonts w:cs="Times New Roman"/>
          <w:i/>
          <w:iCs/>
        </w:rPr>
        <w:t>Soe</w:t>
      </w:r>
      <w:proofErr w:type="spellEnd"/>
      <w:r w:rsidRPr="004E7E5A">
        <w:rPr>
          <w:rFonts w:cs="Times New Roman"/>
        </w:rPr>
        <w:t>). In total, 2.0% of CSR reports are assured (</w:t>
      </w:r>
      <w:r w:rsidRPr="004E7E5A">
        <w:rPr>
          <w:rFonts w:cs="Times New Roman" w:hint="eastAsia"/>
          <w:i/>
          <w:iCs/>
        </w:rPr>
        <w:t>CSR</w:t>
      </w:r>
      <w:r w:rsidRPr="004E7E5A">
        <w:rPr>
          <w:rFonts w:cs="Times New Roman"/>
          <w:i/>
          <w:iCs/>
        </w:rPr>
        <w:t xml:space="preserve"> assurance</w:t>
      </w:r>
      <w:r w:rsidRPr="004E7E5A">
        <w:rPr>
          <w:rFonts w:cs="Times New Roman"/>
        </w:rPr>
        <w:t xml:space="preserve">) in the firms issuing CSR report. The total ratio of CSR reports assured is still lower than that in developed countries </w:t>
      </w:r>
      <w:r w:rsidRPr="004E7E5A">
        <w:rPr>
          <w:rFonts w:cs="Times New Roman"/>
        </w:rPr>
        <w:fldChar w:fldCharType="begin"/>
      </w:r>
      <w:r w:rsidR="001A1175" w:rsidRPr="004E7E5A">
        <w:rPr>
          <w:rFonts w:cs="Times New Roman"/>
        </w:rPr>
        <w:instrText xml:space="preserve"> ADDIN EN.CITE &lt;EndNote&gt;&lt;Cite&gt;&lt;Author&gt;Liao&lt;/Author&gt;&lt;Year&gt;2016&lt;/Year&gt;&lt;RecNum&gt;318&lt;/RecNum&gt;&lt;DisplayText&gt;(Liao et al. 2016)&lt;/DisplayText&gt;&lt;record&gt;&lt;rec-number&gt;318&lt;/rec-number&gt;&lt;foreign-keys&gt;&lt;key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rPr>
        <w:fldChar w:fldCharType="separate"/>
      </w:r>
      <w:r w:rsidRPr="004E7E5A">
        <w:rPr>
          <w:rFonts w:cs="Times New Roman"/>
          <w:noProof/>
        </w:rPr>
        <w:t>(Liao et al. 2016)</w:t>
      </w:r>
      <w:r w:rsidRPr="004E7E5A">
        <w:rPr>
          <w:rFonts w:cs="Times New Roman"/>
        </w:rPr>
        <w:fldChar w:fldCharType="end"/>
      </w:r>
      <w:r w:rsidRPr="004E7E5A">
        <w:rPr>
          <w:rFonts w:cs="Times New Roman"/>
        </w:rPr>
        <w:t>. Finally, 74.2 % of firms are politically connected (</w:t>
      </w:r>
      <w:r w:rsidRPr="004E7E5A">
        <w:rPr>
          <w:rFonts w:cs="Times New Roman"/>
          <w:i/>
          <w:iCs/>
          <w:szCs w:val="24"/>
        </w:rPr>
        <w:t>Political connections</w:t>
      </w:r>
      <w:r w:rsidRPr="004E7E5A">
        <w:rPr>
          <w:rFonts w:cs="Times New Roman"/>
        </w:rPr>
        <w:t>).</w:t>
      </w:r>
    </w:p>
    <w:p w14:paraId="0D7F3882"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2 here]</w:t>
      </w:r>
    </w:p>
    <w:p w14:paraId="64A78CC5" w14:textId="77777777" w:rsidR="00E72A9B" w:rsidRPr="004E7E5A" w:rsidRDefault="00E72A9B" w:rsidP="00E72A9B">
      <w:pPr>
        <w:pStyle w:val="a7"/>
        <w:spacing w:line="480" w:lineRule="auto"/>
        <w:ind w:firstLine="480"/>
        <w:rPr>
          <w:rFonts w:cs="Times New Roman"/>
        </w:rPr>
      </w:pPr>
      <w:r w:rsidRPr="004E7E5A">
        <w:rPr>
          <w:rFonts w:cs="Times New Roman"/>
        </w:rPr>
        <w:t>Table 3 reports the pairwise correlation. All the coefficient values fell below 0.50 where the highest coefficient (0.49) is between directors’ ownership (</w:t>
      </w:r>
      <w:proofErr w:type="spellStart"/>
      <w:r w:rsidRPr="004E7E5A">
        <w:rPr>
          <w:rFonts w:cs="Times New Roman"/>
          <w:i/>
          <w:iCs/>
        </w:rPr>
        <w:t>Dirshare</w:t>
      </w:r>
      <w:proofErr w:type="spellEnd"/>
      <w:r w:rsidRPr="004E7E5A">
        <w:rPr>
          <w:rFonts w:cs="Times New Roman"/>
        </w:rPr>
        <w:t>) and the nature of firms’ ownership (</w:t>
      </w:r>
      <w:proofErr w:type="spellStart"/>
      <w:r w:rsidRPr="004E7E5A">
        <w:rPr>
          <w:rFonts w:cs="Times New Roman"/>
          <w:i/>
          <w:iCs/>
        </w:rPr>
        <w:t>Soe</w:t>
      </w:r>
      <w:proofErr w:type="spellEnd"/>
      <w:r w:rsidRPr="004E7E5A">
        <w:rPr>
          <w:rFonts w:cs="Times New Roman"/>
        </w:rPr>
        <w:t xml:space="preserve">). We also calculate the value of variance expansion factor and the maximum of variance expansion factor is 2.89, which indicates that there is no serious multicollinearity </w:t>
      </w:r>
      <w:r w:rsidRPr="004E7E5A">
        <w:rPr>
          <w:rFonts w:cs="Times New Roman"/>
        </w:rPr>
        <w:lastRenderedPageBreak/>
        <w:t>concern.</w:t>
      </w:r>
    </w:p>
    <w:p w14:paraId="0AD04E97"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3 here]</w:t>
      </w:r>
    </w:p>
    <w:p w14:paraId="7463B558" w14:textId="77777777" w:rsidR="00E72A9B" w:rsidRPr="004E7E5A" w:rsidRDefault="00E72A9B" w:rsidP="00E72A9B">
      <w:pPr>
        <w:pStyle w:val="a9"/>
        <w:rPr>
          <w:iCs w:val="0"/>
          <w:sz w:val="24"/>
          <w:szCs w:val="24"/>
        </w:rPr>
      </w:pPr>
      <w:r w:rsidRPr="004E7E5A">
        <w:rPr>
          <w:iCs w:val="0"/>
          <w:sz w:val="24"/>
          <w:szCs w:val="24"/>
        </w:rPr>
        <w:t>Main Regression Results</w:t>
      </w:r>
      <w:bookmarkEnd w:id="0"/>
    </w:p>
    <w:p w14:paraId="3030DD8B" w14:textId="3CDAC81A" w:rsidR="00E72A9B" w:rsidRPr="004E7E5A" w:rsidRDefault="00E72A9B" w:rsidP="00E72A9B">
      <w:pPr>
        <w:pStyle w:val="a7"/>
        <w:spacing w:line="480" w:lineRule="auto"/>
        <w:ind w:firstLine="480"/>
        <w:rPr>
          <w:rFonts w:cs="Times New Roman"/>
        </w:rPr>
      </w:pPr>
      <w:r w:rsidRPr="004E7E5A">
        <w:rPr>
          <w:rFonts w:cs="Times New Roman"/>
        </w:rPr>
        <w:t xml:space="preserve">We first conduct our main regression analysis using Equation (1). Consistent with </w:t>
      </w:r>
      <w:proofErr w:type="spellStart"/>
      <w:r w:rsidRPr="004E7E5A">
        <w:rPr>
          <w:rFonts w:cs="Times New Roman"/>
        </w:rPr>
        <w:t>Katmon</w:t>
      </w:r>
      <w:proofErr w:type="spellEnd"/>
      <w:r w:rsidRPr="004E7E5A">
        <w:rPr>
          <w:rFonts w:cs="Times New Roman"/>
          <w:noProof/>
        </w:rPr>
        <w:t xml:space="preserve"> et al. </w:t>
      </w:r>
      <w:r w:rsidRPr="004E7E5A">
        <w:rPr>
          <w:rFonts w:cs="Times New Roman"/>
        </w:rPr>
        <w:t xml:space="preserve">(2017), we perform Durbin and Wu-Hausman tests </w:t>
      </w:r>
      <w:r w:rsidRPr="004E7E5A">
        <w:rPr>
          <w:rFonts w:cs="Times New Roman"/>
        </w:rPr>
        <w:fldChar w:fldCharType="begin"/>
      </w:r>
      <w:r w:rsidR="001A1175" w:rsidRPr="004E7E5A">
        <w:rPr>
          <w:rFonts w:cs="Times New Roman"/>
        </w:rPr>
        <w:instrText xml:space="preserve"> ADDIN EN.CITE &lt;EndNote&gt;&lt;Cite&gt;&lt;Author&gt;Hausman&lt;/Author&gt;&lt;Year&gt;1978&lt;/Year&gt;&lt;RecNum&gt;2127&lt;/RecNum&gt;&lt;DisplayText&gt;(Hausman 1978)&lt;/DisplayText&gt;&lt;record&gt;&lt;rec-number&gt;2127&lt;/rec-number&gt;&lt;foreign-keys&gt;&lt;key app="EN" db-id="trr00pfsbzzex0ezwf6v5swd9fpfpwfa90xp" timestamp="1631525675" guid="efc1f948-7696-42d6-ad69-69dfd48f87e4"&gt;2127&lt;/key&gt;&lt;/foreign-keys&gt;&lt;ref-type name="Journal Article"&gt;17&lt;/ref-type&gt;&lt;contributors&gt;&lt;authors&gt;&lt;author&gt;Hausman, J. A.&lt;/author&gt;&lt;/authors&gt;&lt;/contributors&gt;&lt;titles&gt;&lt;title&gt;Specification tests in econometrics&lt;/title&gt;&lt;secondary-title&gt;Econometrica&lt;/secondary-title&gt;&lt;/titles&gt;&lt;periodical&gt;&lt;full-title&gt;Econometrica&lt;/full-title&gt;&lt;/periodical&gt;&lt;pages&gt;1251-1271&lt;/pages&gt;&lt;volume&gt;46&lt;/volume&gt;&lt;number&gt;6&lt;/number&gt;&lt;dates&gt;&lt;year&gt;1978&lt;/year&gt;&lt;/dates&gt;&lt;urls&gt;&lt;/urls&gt;&lt;/record&gt;&lt;/Cite&gt;&lt;/EndNote&gt;</w:instrText>
      </w:r>
      <w:r w:rsidRPr="004E7E5A">
        <w:rPr>
          <w:rFonts w:cs="Times New Roman"/>
        </w:rPr>
        <w:fldChar w:fldCharType="separate"/>
      </w:r>
      <w:r w:rsidRPr="004E7E5A">
        <w:rPr>
          <w:rFonts w:cs="Times New Roman"/>
          <w:noProof/>
        </w:rPr>
        <w:t>(Hausman 1978)</w:t>
      </w:r>
      <w:r w:rsidRPr="004E7E5A">
        <w:rPr>
          <w:rFonts w:cs="Times New Roman"/>
        </w:rPr>
        <w:fldChar w:fldCharType="end"/>
      </w:r>
      <w:r w:rsidRPr="004E7E5A">
        <w:rPr>
          <w:rFonts w:cs="Times New Roman"/>
        </w:rPr>
        <w:t xml:space="preserve"> to detect the presence of endogeneity. Our Durbin and Wu-Hausman tests reported below denote that network centrality measured by </w:t>
      </w:r>
      <w:proofErr w:type="spellStart"/>
      <w:r w:rsidRPr="004E7E5A">
        <w:rPr>
          <w:rFonts w:cs="Times New Roman"/>
          <w:i/>
          <w:iCs/>
        </w:rPr>
        <w:t>Score_max</w:t>
      </w:r>
      <w:proofErr w:type="spellEnd"/>
      <w:r w:rsidRPr="004E7E5A">
        <w:rPr>
          <w:rFonts w:cs="Times New Roman"/>
        </w:rPr>
        <w:t xml:space="preserve"> (Durbin = 10.760, p value = 0.001; Wu-Hausman = 10.540, p value = 0.001), </w:t>
      </w:r>
      <w:proofErr w:type="spellStart"/>
      <w:r w:rsidRPr="004E7E5A">
        <w:rPr>
          <w:rFonts w:cs="Times New Roman"/>
          <w:i/>
          <w:iCs/>
          <w:szCs w:val="24"/>
        </w:rPr>
        <w:t>Score_mean</w:t>
      </w:r>
      <w:proofErr w:type="spellEnd"/>
      <w:r w:rsidRPr="004E7E5A">
        <w:rPr>
          <w:rFonts w:cs="Times New Roman"/>
        </w:rPr>
        <w:t xml:space="preserve"> (Durbin = 9.626, p value = 0.002; Wu-Hausman = 9.427, p value = 0.002), </w:t>
      </w:r>
      <w:proofErr w:type="spellStart"/>
      <w:r w:rsidRPr="004E7E5A">
        <w:rPr>
          <w:rFonts w:cs="Times New Roman"/>
          <w:i/>
          <w:iCs/>
        </w:rPr>
        <w:t>Score_med</w:t>
      </w:r>
      <w:proofErr w:type="spellEnd"/>
      <w:r w:rsidRPr="004E7E5A">
        <w:rPr>
          <w:rFonts w:cs="Times New Roman"/>
        </w:rPr>
        <w:t xml:space="preserve"> (Durbin = 9.280, p value = 0.002; Wu-Hausman = 9.088, p value = 0.003) and </w:t>
      </w:r>
      <w:proofErr w:type="spellStart"/>
      <w:r w:rsidRPr="004E7E5A">
        <w:rPr>
          <w:rFonts w:cs="Times New Roman"/>
          <w:i/>
          <w:iCs/>
          <w:szCs w:val="24"/>
        </w:rPr>
        <w:t>Score_min</w:t>
      </w:r>
      <w:proofErr w:type="spellEnd"/>
      <w:r w:rsidRPr="004E7E5A">
        <w:rPr>
          <w:rFonts w:cs="Times New Roman"/>
        </w:rPr>
        <w:t xml:space="preserve"> (Durbin = 8.876, p value = 0.003; Wu-Hausman = 8.691, p value = 0.003) is subject to endogeneity bias.</w:t>
      </w:r>
    </w:p>
    <w:p w14:paraId="5DAFD89D" w14:textId="519B47F0" w:rsidR="00E72A9B" w:rsidRPr="004E7E5A" w:rsidRDefault="00E72A9B" w:rsidP="00E72A9B">
      <w:pPr>
        <w:pStyle w:val="a7"/>
        <w:spacing w:line="480" w:lineRule="auto"/>
        <w:ind w:firstLine="480"/>
        <w:rPr>
          <w:rFonts w:cs="Times New Roman"/>
          <w:szCs w:val="24"/>
        </w:rPr>
      </w:pPr>
      <w:r w:rsidRPr="004E7E5A">
        <w:rPr>
          <w:rFonts w:cs="Times New Roman"/>
        </w:rPr>
        <w:t xml:space="preserve">The results of the first-stage regression of Equation (1) are presented in Table 4. The </w:t>
      </w:r>
      <w:r w:rsidRPr="004E7E5A">
        <w:rPr>
          <w:rFonts w:cs="Times New Roman"/>
          <w:szCs w:val="20"/>
        </w:rPr>
        <w:t>dependent</w:t>
      </w:r>
      <w:r w:rsidRPr="004E7E5A">
        <w:rPr>
          <w:rFonts w:cs="Times New Roman"/>
        </w:rPr>
        <w:t xml:space="preserve"> variables in Columns (1) to (4) are network centrality measured by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respectively. The in</w:t>
      </w:r>
      <w:r w:rsidRPr="004E7E5A">
        <w:rPr>
          <w:rFonts w:cs="Times New Roman"/>
          <w:szCs w:val="20"/>
        </w:rPr>
        <w:t>dependent</w:t>
      </w:r>
      <w:r w:rsidRPr="004E7E5A">
        <w:rPr>
          <w:rFonts w:cs="Times New Roman"/>
        </w:rPr>
        <w:t xml:space="preserve"> variable is instrumental variable (</w:t>
      </w:r>
      <w:r w:rsidRPr="004E7E5A">
        <w:rPr>
          <w:rFonts w:cs="Times New Roman"/>
          <w:i/>
          <w:iCs/>
          <w:szCs w:val="24"/>
        </w:rPr>
        <w:t>Director convenience</w:t>
      </w:r>
      <w:r w:rsidRPr="004E7E5A">
        <w:rPr>
          <w:rFonts w:cs="Times New Roman"/>
          <w:szCs w:val="24"/>
        </w:rPr>
        <w:t>)</w:t>
      </w:r>
      <w:r w:rsidRPr="004E7E5A">
        <w:rPr>
          <w:rFonts w:cs="Times New Roman"/>
        </w:rPr>
        <w:t xml:space="preserve">. In the first-stage regressions, our instrumental variable </w:t>
      </w:r>
      <w:r w:rsidRPr="004E7E5A">
        <w:rPr>
          <w:rFonts w:cs="Times New Roman"/>
          <w:i/>
          <w:iCs/>
          <w:szCs w:val="24"/>
        </w:rPr>
        <w:t>Director convenience</w:t>
      </w:r>
      <w:r w:rsidRPr="004E7E5A">
        <w:rPr>
          <w:rFonts w:cs="Times New Roman"/>
        </w:rPr>
        <w:t xml:space="preserve"> has significantly positive influence on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rPr>
        <w:t>Score_mean</w:t>
      </w:r>
      <w:proofErr w:type="spellEnd"/>
      <w:r w:rsidRPr="004E7E5A">
        <w:rPr>
          <w:rFonts w:cs="Times New Roman"/>
          <w:i/>
          <w:iCs/>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rPr>
        <w:t>Score_min</w:t>
      </w:r>
      <w:proofErr w:type="spellEnd"/>
      <w:r w:rsidRPr="004E7E5A">
        <w:rPr>
          <w:rFonts w:cs="Times New Roman"/>
        </w:rPr>
        <w:t xml:space="preserve">). The directions of these associations are consistent with those in prior literature </w:t>
      </w:r>
      <w:r w:rsidRPr="004E7E5A">
        <w:rPr>
          <w:rFonts w:cs="Times New Roman"/>
          <w:szCs w:val="24"/>
        </w:rPr>
        <w:fldChar w:fldCharType="begin"/>
      </w:r>
      <w:r w:rsidR="001A1175" w:rsidRPr="004E7E5A">
        <w:rPr>
          <w:rFonts w:cs="Times New Roman"/>
          <w:szCs w:val="24"/>
        </w:rPr>
        <w:instrText xml:space="preserve"> ADDIN EN.CITE &lt;EndNote&gt;&lt;Cite&gt;&lt;Author&gt;Alam&lt;/Author&gt;&lt;Year&gt;2014&lt;/Year&gt;&lt;RecNum&gt;2066&lt;/RecNum&gt;&lt;DisplayText&gt;(Alam et al. 2014; Chakravarty and Rutherford 2017)&lt;/DisplayText&gt;&lt;record&gt;&lt;rec-number&gt;2066&lt;/rec-number&gt;&lt;foreign-keys&gt;&lt;key app="EN" db-id="trr00pfsbzzex0ezwf6v5swd9fpfpwfa90xp" timestamp="1627910831" guid="c1fd2146-b2ed-4e27-9961-b25a86faa246"&gt;2066&lt;/key&gt;&lt;/foreign-keys&gt;&lt;ref-type name="Journal Article"&gt;17&lt;/ref-type&gt;&lt;contributors&gt;&lt;authors&gt;&lt;author&gt;Zinat S. Alam&lt;/author&gt;&lt;author&gt;Mark A. Chen&lt;/author&gt;&lt;author&gt;Conrad S. Ciccotello&lt;/author&gt;&lt;author&gt;Harley E. Ryan&lt;/author&gt;&lt;/authors&gt;&lt;/contributors&gt;&lt;titles&gt;&lt;title&gt;Does the location of directors matter? Information acquisition and board decisions&lt;/title&gt;&lt;secondary-title&gt;Journal of Financial &amp;amp; Quantitative Analysis&lt;/secondary-title&gt;&lt;/titles&gt;&lt;periodical&gt;&lt;full-title&gt;Journal of Financial &amp;amp; Quantitative Analysis&lt;/full-title&gt;&lt;/periodical&gt;&lt;pages&gt;131-164&lt;/pages&gt;&lt;volume&gt;49&lt;/volume&gt;&lt;number&gt;1&lt;/number&gt;&lt;dates&gt;&lt;year&gt;2014&lt;/year&gt;&lt;/dates&gt;&lt;urls&gt;&lt;/urls&gt;&lt;/record&gt;&lt;/Cite&gt;&lt;Cite&gt;&lt;Author&gt;Chakravarty&lt;/Author&gt;&lt;Year&gt;2017&lt;/Year&gt;&lt;RecNum&gt;1982&lt;/RecNum&gt;&lt;record&gt;&lt;rec-number&gt;1982&lt;/rec-number&gt;&lt;foreign-keys&gt;&lt;key app="EN" db-id="trr00pfsbzzex0ezwf6v5swd9fpfpwfa90xp" timestamp="1625885139" guid="c98443ac-f67f-497b-8700-77d6ac091f6a"&gt;1982&lt;/key&gt;&lt;/foreign-keys&gt;&lt;ref-type name="Journal Article"&gt;17&lt;/ref-type&gt;&lt;contributors&gt;&lt;authors&gt;&lt;author&gt;Chakravarty, S.&lt;/author&gt;&lt;author&gt;Rutherford, L. G.&lt;/author&gt;&lt;/authors&gt;&lt;/contributors&gt;&lt;titles&gt;&lt;title&gt;Do busy directors influence the cost of debt? An examination through the lens of takeover vulnerability&lt;/title&gt;&lt;secondary-title&gt;Journal of Corporate Finance&lt;/secondary-title&gt;&lt;/titles&gt;&lt;periodical&gt;&lt;full-title&gt;Journal of Corporate Finance&lt;/full-title&gt;&lt;/periodical&gt;&lt;pages&gt;429-443&lt;/pages&gt;&lt;volume&gt;43&lt;/volume&gt;&lt;dates&gt;&lt;year&gt;2017&lt;/year&gt;&lt;/dates&gt;&lt;urls&gt;&lt;/urls&gt;&lt;electronic-resource-num&gt;doi:10.1016/j.jcorpfin.2017.02.001.&lt;/electronic-resource-num&gt;&lt;/record&gt;&lt;/Cite&gt;&lt;/EndNote&gt;</w:instrText>
      </w:r>
      <w:r w:rsidRPr="004E7E5A">
        <w:rPr>
          <w:rFonts w:cs="Times New Roman"/>
          <w:szCs w:val="24"/>
        </w:rPr>
        <w:fldChar w:fldCharType="separate"/>
      </w:r>
      <w:r w:rsidRPr="004E7E5A">
        <w:rPr>
          <w:rFonts w:cs="Times New Roman"/>
          <w:noProof/>
          <w:szCs w:val="24"/>
        </w:rPr>
        <w:t>(Alam et al. 2014; Chakravarty and Rutherford 2017)</w:t>
      </w:r>
      <w:r w:rsidRPr="004E7E5A">
        <w:rPr>
          <w:rFonts w:cs="Times New Roman"/>
          <w:szCs w:val="24"/>
        </w:rPr>
        <w:fldChar w:fldCharType="end"/>
      </w:r>
      <w:r w:rsidRPr="004E7E5A">
        <w:rPr>
          <w:rFonts w:cs="Times New Roman"/>
          <w:szCs w:val="24"/>
        </w:rPr>
        <w:t xml:space="preserve">. </w:t>
      </w:r>
    </w:p>
    <w:p w14:paraId="3E15E4F0"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4 here]</w:t>
      </w:r>
    </w:p>
    <w:p w14:paraId="68FCA639" w14:textId="20ED7EA5" w:rsidR="00E72A9B" w:rsidRPr="004E7E5A" w:rsidRDefault="00E72A9B" w:rsidP="00E72A9B">
      <w:pPr>
        <w:pStyle w:val="a7"/>
        <w:spacing w:line="480" w:lineRule="auto"/>
        <w:ind w:firstLine="480"/>
        <w:rPr>
          <w:rFonts w:cs="Times New Roman"/>
        </w:rPr>
      </w:pPr>
      <w:r w:rsidRPr="004E7E5A">
        <w:rPr>
          <w:rFonts w:cs="Times New Roman"/>
        </w:rPr>
        <w:t xml:space="preserve">The results of the second-stage regression of Equation (1) are presented in table 5. The </w:t>
      </w:r>
      <w:r w:rsidRPr="004E7E5A">
        <w:rPr>
          <w:rFonts w:cs="Times New Roman"/>
          <w:szCs w:val="20"/>
        </w:rPr>
        <w:t>dependent</w:t>
      </w:r>
      <w:r w:rsidRPr="004E7E5A">
        <w:rPr>
          <w:rFonts w:cs="Times New Roman"/>
        </w:rPr>
        <w:t xml:space="preserve"> variable is CSR disclosure quality (</w:t>
      </w:r>
      <w:proofErr w:type="spellStart"/>
      <w:r w:rsidRPr="004E7E5A">
        <w:rPr>
          <w:rFonts w:cs="Times New Roman"/>
          <w:i/>
          <w:iCs/>
        </w:rPr>
        <w:t>Csr</w:t>
      </w:r>
      <w:proofErr w:type="spellEnd"/>
      <w:r w:rsidRPr="004E7E5A">
        <w:rPr>
          <w:rFonts w:cs="Times New Roman"/>
        </w:rPr>
        <w:t>). The in</w:t>
      </w:r>
      <w:r w:rsidRPr="004E7E5A">
        <w:rPr>
          <w:rFonts w:cs="Times New Roman"/>
          <w:szCs w:val="20"/>
        </w:rPr>
        <w:t>dependent</w:t>
      </w:r>
      <w:r w:rsidRPr="004E7E5A">
        <w:rPr>
          <w:rFonts w:cs="Times New Roman"/>
        </w:rPr>
        <w:t xml:space="preserve"> variables in Columns (1) to (4) are network centrality measured by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xml:space="preserve">, </w:t>
      </w:r>
      <w:r w:rsidRPr="004E7E5A">
        <w:rPr>
          <w:rFonts w:cs="Times New Roman"/>
        </w:rPr>
        <w:lastRenderedPageBreak/>
        <w:t>respectively. The results show that the coefficients of network centrality</w:t>
      </w:r>
      <w:r w:rsidRPr="004E7E5A">
        <w:rPr>
          <w:rFonts w:cs="Times New Roman"/>
          <w:i/>
          <w:iCs/>
        </w:rPr>
        <w:t xml:space="preserve"> </w:t>
      </w:r>
      <w:r w:rsidRPr="004E7E5A">
        <w:rPr>
          <w:rFonts w:cs="Times New Roman"/>
        </w:rPr>
        <w:t>(</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rPr>
        <w:t>Score_mean</w:t>
      </w:r>
      <w:proofErr w:type="spellEnd"/>
      <w:r w:rsidRPr="004E7E5A">
        <w:rPr>
          <w:rFonts w:cs="Times New Roman"/>
          <w:i/>
          <w:iCs/>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rPr>
        <w:t>Score_min</w:t>
      </w:r>
      <w:proofErr w:type="spellEnd"/>
      <w:r w:rsidRPr="004E7E5A">
        <w:rPr>
          <w:rFonts w:cs="Times New Roman"/>
        </w:rPr>
        <w:t xml:space="preserve">) are all positive and significant at 1%. The results support hypothesis 1 and suggests a positive role of directors’ network in enhancing CSR disclosure quality. This result is in line with a number of studies highlighting the positive association between the directors’ network and the quality of corporate governance </w:t>
      </w:r>
      <w:r w:rsidRPr="004E7E5A">
        <w:rPr>
          <w:rFonts w:cs="Times New Roman"/>
        </w:rPr>
        <w:fldChar w:fldCharType="begin">
          <w:fldData xml:space="preserve">PEVuZE5vdGU+PENpdGU+PEF1dGhvcj5Ib21yb3k8L0F1dGhvcj48WWVhcj4yMDE3PC9ZZWFyPjxS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PEVuZE5vdGU+PENpdGU+PEF1dGhvcj5Ib21yb3k8L0F1dGhvcj48WWVhcj4yMDE3PC9ZZWFyPjxS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(Homroy and Slechten 2017; Macaulay et al. 2017; Omer et al. 2019; Chang and Wu 2020)</w:t>
      </w:r>
      <w:r w:rsidRPr="004E7E5A">
        <w:rPr>
          <w:rFonts w:cs="Times New Roman"/>
        </w:rPr>
        <w:fldChar w:fldCharType="end"/>
      </w:r>
      <w:r w:rsidRPr="004E7E5A">
        <w:rPr>
          <w:rFonts w:cs="Times New Roman"/>
        </w:rPr>
        <w:t xml:space="preserve">. According to the resource-based view, one explanation could be that well-connected directors possess the necessary skills, knowledge, expertise, and desire to perform their duties and to improve CSR disclosure quality of the firm </w:t>
      </w:r>
      <w:r w:rsidRPr="004E7E5A">
        <w:rPr>
          <w:rFonts w:cs="Times New Roman"/>
        </w:rPr>
        <w:fldChar w:fldCharType="begin"/>
      </w:r>
      <w:r w:rsidR="001A1175" w:rsidRPr="004E7E5A">
        <w:rPr>
          <w:rFonts w:cs="Times New Roman"/>
        </w:rPr>
        <w:instrText xml:space="preserve"> ADDIN EN.CITE &lt;EndNote&gt;&lt;Cite&gt;&lt;Author&gt;Larcker&lt;/Author&gt;&lt;Year&gt;2013&lt;/Year&gt;&lt;RecNum&gt;801&lt;/RecNum&gt;&lt;DisplayText&gt;(Larcker et al. 2013; Beji et al. 2020)&lt;/DisplayText&gt;&lt;record&gt;&lt;rec-number&gt;801&lt;/rec-number&gt;&lt;foreign-keys&gt;&lt;key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Cite&gt;&lt;Author&gt;Beji&lt;/Author&gt;&lt;Year&gt;2020&lt;/Year&gt;&lt;RecNum&gt;1933&lt;/RecNum&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Ethics&lt;/full-title&gt;&lt;/periodical&gt;&lt;pages&gt;1-23&lt;/pages&gt;&lt;number&gt;6&lt;/number&gt;&lt;dates&gt;&lt;year&gt;2020&lt;/year&gt;&lt;/dates&gt;&lt;urls&gt;&lt;/urls&gt;&lt;/record&gt;&lt;/Cite&gt;&lt;/EndNote&gt;</w:instrText>
      </w:r>
      <w:r w:rsidRPr="004E7E5A">
        <w:rPr>
          <w:rFonts w:cs="Times New Roman"/>
        </w:rPr>
        <w:fldChar w:fldCharType="separate"/>
      </w:r>
      <w:r w:rsidRPr="004E7E5A">
        <w:rPr>
          <w:rFonts w:cs="Times New Roman"/>
          <w:noProof/>
        </w:rPr>
        <w:t>(Larcker et al. 2013; Beji et al. 2020)</w:t>
      </w:r>
      <w:r w:rsidRPr="004E7E5A">
        <w:rPr>
          <w:rFonts w:cs="Times New Roman"/>
        </w:rPr>
        <w:fldChar w:fldCharType="end"/>
      </w:r>
      <w:r w:rsidRPr="004E7E5A">
        <w:rPr>
          <w:rFonts w:cs="Times New Roman"/>
        </w:rPr>
        <w:t xml:space="preserve">. </w:t>
      </w:r>
    </w:p>
    <w:p w14:paraId="3F81CD25" w14:textId="7117CA31" w:rsidR="00E72A9B" w:rsidRPr="004E7E5A" w:rsidRDefault="00E72A9B" w:rsidP="00E72A9B">
      <w:pPr>
        <w:pStyle w:val="a7"/>
        <w:spacing w:line="480" w:lineRule="auto"/>
        <w:ind w:firstLine="480"/>
        <w:rPr>
          <w:rFonts w:cs="Times New Roman"/>
        </w:rPr>
      </w:pPr>
      <w:r w:rsidRPr="004E7E5A">
        <w:rPr>
          <w:rFonts w:cs="Times New Roman"/>
        </w:rPr>
        <w:t>With regard to control variables, geographic consistency between independent director and firm (</w:t>
      </w:r>
      <w:r w:rsidRPr="004E7E5A">
        <w:rPr>
          <w:rFonts w:cs="Times New Roman"/>
          <w:i/>
          <w:iCs/>
          <w:szCs w:val="24"/>
        </w:rPr>
        <w:t>Location</w:t>
      </w:r>
      <w:r w:rsidRPr="004E7E5A">
        <w:rPr>
          <w:rFonts w:cs="Times New Roman"/>
        </w:rPr>
        <w:t>), Directors’ ownership (</w:t>
      </w:r>
      <w:proofErr w:type="spellStart"/>
      <w:r w:rsidRPr="004E7E5A">
        <w:rPr>
          <w:rFonts w:cs="Times New Roman"/>
          <w:i/>
          <w:iCs/>
        </w:rPr>
        <w:t>Dirshare</w:t>
      </w:r>
      <w:proofErr w:type="spellEnd"/>
      <w:r w:rsidRPr="004E7E5A">
        <w:rPr>
          <w:rFonts w:cs="Times New Roman"/>
        </w:rPr>
        <w:t>), firm size (</w:t>
      </w:r>
      <w:r w:rsidRPr="004E7E5A">
        <w:rPr>
          <w:rFonts w:cs="Times New Roman"/>
          <w:i/>
          <w:iCs/>
          <w:szCs w:val="24"/>
        </w:rPr>
        <w:t>Firm size</w:t>
      </w:r>
      <w:r w:rsidRPr="004E7E5A">
        <w:rPr>
          <w:rFonts w:cs="Times New Roman"/>
        </w:rPr>
        <w:t>), leverage (</w:t>
      </w:r>
      <w:r w:rsidRPr="004E7E5A">
        <w:rPr>
          <w:rFonts w:cs="Times New Roman"/>
          <w:i/>
          <w:iCs/>
        </w:rPr>
        <w:t>Lev</w:t>
      </w:r>
      <w:r w:rsidRPr="004E7E5A">
        <w:rPr>
          <w:rFonts w:cs="Times New Roman"/>
        </w:rPr>
        <w:t xml:space="preserve">), </w:t>
      </w:r>
      <w:r w:rsidRPr="004E7E5A">
        <w:rPr>
          <w:rFonts w:cs="Times New Roman"/>
          <w:szCs w:val="20"/>
        </w:rPr>
        <w:t>the top ten majority shareholding ratio</w:t>
      </w:r>
      <w:r w:rsidRPr="004E7E5A">
        <w:rPr>
          <w:rFonts w:cs="Times New Roman"/>
        </w:rPr>
        <w:t xml:space="preserve"> (</w:t>
      </w:r>
      <w:r w:rsidRPr="004E7E5A">
        <w:rPr>
          <w:rFonts w:cs="Times New Roman"/>
          <w:i/>
          <w:iCs/>
        </w:rPr>
        <w:t>Share</w:t>
      </w:r>
      <w:r w:rsidRPr="004E7E5A">
        <w:rPr>
          <w:rFonts w:cs="Times New Roman"/>
        </w:rPr>
        <w:t xml:space="preserve">) and other indicators are significantly correlated with the quality of CSR disclosure quality. </w:t>
      </w:r>
      <w:r w:rsidRPr="004E7E5A">
        <w:rPr>
          <w:rFonts w:cs="Times New Roman"/>
          <w:shd w:val="clear" w:color="auto" w:fill="FFFFFF"/>
        </w:rPr>
        <w:t xml:space="preserve">However, </w:t>
      </w:r>
      <w:r w:rsidRPr="004E7E5A">
        <w:rPr>
          <w:rFonts w:cs="Times New Roman"/>
        </w:rPr>
        <w:t xml:space="preserve">ROA </w:t>
      </w:r>
      <w:r w:rsidR="00E12D2F">
        <w:rPr>
          <w:rFonts w:cs="Times New Roman"/>
        </w:rPr>
        <w:fldChar w:fldCharType="begin"/>
      </w:r>
      <w:r w:rsidR="00E12D2F">
        <w:rPr>
          <w:rFonts w:cs="Times New Roman"/>
        </w:rPr>
        <w:instrText xml:space="preserve"> ADDIN EN.CITE &lt;EndNote&gt;&lt;Cite ExcludeYear="1"&gt;&lt;Author&gt;Broadstock&lt;/Author&gt;&lt;Year&gt;2022&lt;/Year&gt;&lt;RecNum&gt;2390&lt;/RecNum&gt;&lt;DisplayText&gt;(Broadstock et al.)&lt;/DisplayText&gt;&lt;record&gt;&lt;rec-number&gt;2390&lt;/rec-number&gt;&lt;foreign-keys&gt;&lt;key app="EN" db-id="trr00pfsbzzex0ezwf6v5swd9fpfpwfa90xp" timestamp="1643170137" guid="858f4e7c-c5d8-485b-b018-1f1d674a49f4"&gt;2390&lt;/key&gt;&lt;/foreign-keys&gt;&lt;ref-type name="Journal Article"&gt;17&lt;/ref-type&gt;&lt;contributors&gt;&lt;authors&gt;&lt;author&gt;Broadstock, David C&lt;/author&gt;&lt;author&gt;Chen, Xiaoqi&lt;/author&gt;&lt;author&gt;Cheng, CS Agnes&lt;/author&gt;&lt;author&gt;Huang, Wenli&lt;/author&gt;&lt;author&gt;Ma, Yujing&lt;/author&gt;&lt;/authors&gt;&lt;/contributors&gt;&lt;titles&gt;&lt;title&gt;Do Corporate Site Visits Constrain Real Earnings Management?&lt;/title&gt;&lt;secondary-title&gt;Journal of Accounting, Auditing &amp;amp; Finance&lt;/secondary-title&gt;&lt;/titles&gt;&lt;periodical&gt;&lt;full-title&gt;Journal of Accounting, Auditing &amp;amp; Finance&lt;/full-title&gt;&lt;/periodical&gt;&lt;pages&gt;1-24&lt;/pages&gt;&lt;dates&gt;&lt;year&gt;2022&lt;/year&gt;&lt;/dates&gt;&lt;isbn&gt;0148-558X&lt;/isbn&gt;&lt;urls&gt;&lt;/urls&gt;&lt;/record&gt;&lt;/Cite&gt;&lt;/EndNote&gt;</w:instrText>
      </w:r>
      <w:r w:rsidR="00E12D2F">
        <w:rPr>
          <w:rFonts w:cs="Times New Roman"/>
        </w:rPr>
        <w:fldChar w:fldCharType="separate"/>
      </w:r>
      <w:r w:rsidR="00E12D2F">
        <w:rPr>
          <w:rFonts w:cs="Times New Roman"/>
          <w:noProof/>
        </w:rPr>
        <w:t>(Broadstock et al.)</w:t>
      </w:r>
      <w:r w:rsidR="00E12D2F">
        <w:rPr>
          <w:rFonts w:cs="Times New Roman"/>
        </w:rPr>
        <w:fldChar w:fldCharType="end"/>
      </w:r>
      <w:r w:rsidRPr="004E7E5A">
        <w:rPr>
          <w:rFonts w:cs="Times New Roman"/>
        </w:rPr>
        <w:t xml:space="preserve"> is statistically insignificant for the CSR disclosure quality. One explanation is that profitable companies may be tempted to increase their financial performance at the expense of their CSR performance </w:t>
      </w:r>
      <w:r w:rsidRPr="004E7E5A">
        <w:rPr>
          <w:rFonts w:cs="Times New Roman"/>
        </w:rPr>
        <w:fldChar w:fldCharType="begin"/>
      </w:r>
      <w:r w:rsidR="001A1175" w:rsidRPr="004E7E5A">
        <w:rPr>
          <w:rFonts w:cs="Times New Roman"/>
        </w:rPr>
        <w:instrText xml:space="preserve"> ADDIN EN.CITE &lt;EndNote&gt;&lt;Cite&gt;&lt;Author&gt;Beji&lt;/Author&gt;&lt;Year&gt;2020&lt;/Year&gt;&lt;RecNum&gt;1933&lt;/RecNum&gt;&lt;DisplayText&gt;(Beji et al. 2020)&lt;/DisplayText&gt;&lt;record&gt;&lt;rec-number&gt;1933&lt;/rec-number&gt;&lt;foreign-keys&gt;&lt;key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Ethics&lt;/full-title&gt;&lt;/periodical&gt;&lt;pages&gt;1-23&lt;/pages&gt;&lt;number&gt;6&lt;/number&gt;&lt;dates&gt;&lt;year&gt;2020&lt;/year&gt;&lt;/dates&gt;&lt;urls&gt;&lt;/urls&gt;&lt;/record&gt;&lt;/Cite&gt;&lt;/EndNote&gt;</w:instrText>
      </w:r>
      <w:r w:rsidRPr="004E7E5A">
        <w:rPr>
          <w:rFonts w:cs="Times New Roman"/>
        </w:rPr>
        <w:fldChar w:fldCharType="separate"/>
      </w:r>
      <w:r w:rsidRPr="004E7E5A">
        <w:rPr>
          <w:rFonts w:cs="Times New Roman"/>
          <w:noProof/>
        </w:rPr>
        <w:t>(Beji et al. 2020)</w:t>
      </w:r>
      <w:r w:rsidRPr="004E7E5A">
        <w:rPr>
          <w:rFonts w:cs="Times New Roman"/>
        </w:rPr>
        <w:fldChar w:fldCharType="end"/>
      </w:r>
      <w:r w:rsidRPr="004E7E5A">
        <w:rPr>
          <w:rFonts w:cs="Times New Roman"/>
        </w:rPr>
        <w:t xml:space="preserve">. </w:t>
      </w:r>
    </w:p>
    <w:p w14:paraId="71A7E89E" w14:textId="22C79396" w:rsidR="00E72A9B" w:rsidRPr="004E7E5A" w:rsidRDefault="00E72A9B" w:rsidP="00E72A9B">
      <w:pPr>
        <w:pStyle w:val="a7"/>
        <w:spacing w:line="480" w:lineRule="auto"/>
        <w:ind w:firstLine="480"/>
        <w:rPr>
          <w:rFonts w:cs="Times New Roman"/>
        </w:rPr>
      </w:pPr>
      <w:r w:rsidRPr="004E7E5A">
        <w:rPr>
          <w:rFonts w:cs="Times New Roman"/>
          <w:shd w:val="clear" w:color="auto" w:fill="FFFFFF"/>
        </w:rPr>
        <w:t>The</w:t>
      </w:r>
      <w:r w:rsidRPr="004E7E5A">
        <w:rPr>
          <w:rFonts w:cs="Times New Roman"/>
        </w:rPr>
        <w:t>re is</w:t>
      </w:r>
      <w:r w:rsidRPr="004E7E5A">
        <w:rPr>
          <w:rFonts w:cs="Times New Roman"/>
          <w:shd w:val="clear" w:color="auto" w:fill="FFFFFF"/>
        </w:rPr>
        <w:t xml:space="preserve"> </w:t>
      </w:r>
      <w:r w:rsidRPr="004E7E5A">
        <w:rPr>
          <w:rFonts w:cs="Times New Roman"/>
        </w:rPr>
        <w:t>no significant association between the percentage of independent directors (</w:t>
      </w:r>
      <w:proofErr w:type="spellStart"/>
      <w:r w:rsidRPr="004E7E5A">
        <w:rPr>
          <w:rFonts w:cs="Times New Roman"/>
          <w:i/>
          <w:iCs/>
          <w:szCs w:val="24"/>
        </w:rPr>
        <w:t>Inddirector</w:t>
      </w:r>
      <w:proofErr w:type="spellEnd"/>
      <w:r w:rsidRPr="004E7E5A">
        <w:rPr>
          <w:rFonts w:cs="Times New Roman"/>
        </w:rPr>
        <w:t>) and CSR disclosure quality (</w:t>
      </w:r>
      <w:proofErr w:type="spellStart"/>
      <w:r w:rsidRPr="004E7E5A">
        <w:rPr>
          <w:rFonts w:cs="Times New Roman"/>
          <w:i/>
          <w:iCs/>
        </w:rPr>
        <w:t>Csr</w:t>
      </w:r>
      <w:proofErr w:type="spellEnd"/>
      <w:r w:rsidRPr="004E7E5A">
        <w:rPr>
          <w:rFonts w:cs="Times New Roman"/>
        </w:rPr>
        <w:t xml:space="preserve">), which is not consistent with some prior studies </w:t>
      </w:r>
      <w:r w:rsidRPr="004E7E5A">
        <w:rPr>
          <w:rFonts w:cs="Times New Roman"/>
        </w:rPr>
        <w:fldChar w:fldCharType="begin">
          <w:fldData xml:space="preserve">PEVuZE5vdGU+PENpdGU+PEF1dGhvcj5IYXJqb3RvPC9BdXRob3I+PFllYXI+MjAxMTwvWWVhcj48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PEVuZE5vdGU+PENpdGU+PEF1dGhvcj5IYXJqb3RvPC9BdXRob3I+PFllYXI+MjAxMTwvWWVhcj48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006F6C86" w:rsidRPr="004E7E5A">
        <w:rPr>
          <w:rFonts w:cs="Times New Roman"/>
          <w:noProof/>
        </w:rPr>
        <w:t>(Harjoto and Jo 2011; Villiers et al. 2011; Shaukat et al. 2015; Beji et al. 2020)</w:t>
      </w:r>
      <w:r w:rsidRPr="004E7E5A">
        <w:rPr>
          <w:rFonts w:cs="Times New Roman"/>
        </w:rPr>
        <w:fldChar w:fldCharType="end"/>
      </w:r>
      <w:r w:rsidRPr="004E7E5A">
        <w:rPr>
          <w:rFonts w:cs="Times New Roman"/>
        </w:rPr>
        <w:t xml:space="preserve">. In line with Liao et al. (2016), this result further proves that the proportion of independent directors </w:t>
      </w:r>
      <w:proofErr w:type="spellStart"/>
      <w:r w:rsidRPr="004E7E5A">
        <w:rPr>
          <w:rFonts w:cs="Times New Roman"/>
        </w:rPr>
        <w:t>can not</w:t>
      </w:r>
      <w:proofErr w:type="spellEnd"/>
      <w:r w:rsidRPr="004E7E5A">
        <w:rPr>
          <w:rFonts w:cs="Times New Roman"/>
        </w:rPr>
        <w:t xml:space="preserve"> be used as an indicator to measure the independence of the directors in China due to its little variation. Before 2001, Chinese listed firms could decide freely whether to hire an independent </w:t>
      </w:r>
      <w:r w:rsidRPr="004E7E5A">
        <w:rPr>
          <w:rFonts w:cs="Times New Roman"/>
        </w:rPr>
        <w:lastRenderedPageBreak/>
        <w:t xml:space="preserve">director or not. On August 16, 2001, the China Securities Regulatory Commission (CSRC) issued the “Guidelines for Introducing Independent Directors to the Board of Directors of Listed Companies” (hereafter, the Guidelines). The Guidelines require that “by June 30, 2002, at least two members of the board of directors shall be independent directors”, and “by June 30, 2003, at least one third of board shall be independent directors”. </w:t>
      </w:r>
      <w:r w:rsidRPr="004E7E5A">
        <w:rPr>
          <w:rFonts w:cs="Times New Roman" w:hint="eastAsia"/>
        </w:rPr>
        <w:t>M</w:t>
      </w:r>
      <w:r w:rsidRPr="004E7E5A">
        <w:rPr>
          <w:rFonts w:cs="Times New Roman"/>
        </w:rPr>
        <w:t xml:space="preserve">ost firms keep the proportion of independent directors near the level required by the Guidelines, which makes the proportion of independent directors converge </w:t>
      </w:r>
      <w:r w:rsidRPr="004E7E5A">
        <w:rPr>
          <w:rFonts w:cs="Times New Roman"/>
        </w:rPr>
        <w:fldChar w:fldCharType="begin"/>
      </w:r>
      <w:r w:rsidR="006F6C86" w:rsidRPr="004E7E5A">
        <w:rPr>
          <w:rFonts w:cs="Times New Roman"/>
        </w:rPr>
        <w:instrText xml:space="preserve"> ADDIN EN.CITE &lt;EndNote&gt;&lt;Cite&gt;&lt;Author&gt;Jiang&lt;/Author&gt;&lt;Year&gt;2015&lt;/Year&gt;&lt;RecNum&gt;1793&lt;/RecNum&gt;&lt;DisplayText&gt;(Jiang and Kim 2015)&lt;/DisplayText&gt;&lt;record&gt;&lt;rec-number&gt;1793&lt;/rec-number&gt;&lt;foreign-keys&gt;&lt;key app="EN" db-id="trr00pfsbzzex0ezwf6v5swd9fpfpwfa90xp" timestamp="1595384884" guid="16671cf2-d904-48cb-bde2-0df4717436cf"&gt;1793&lt;/key&gt;&lt;/foreign-keys&gt;&lt;ref-type name="Journal Article"&gt;17&lt;/ref-type&gt;&lt;contributors&gt;&lt;authors&gt;&lt;author&gt;Jiang, Fuxiu&lt;/author&gt;&lt;author&gt;Kim, Kenneth A.&lt;/author&gt;&lt;/authors&gt;&lt;/contributors&gt;&lt;titles&gt;&lt;title&gt;Corporate governance in China: A modern perspective&lt;/title&gt;&lt;secondary-title&gt;Journal of Corporate Finance&lt;/secondary-title&gt;&lt;/titles&gt;&lt;periodical&gt;&lt;full-title&gt;Journal of Corporate Finance&lt;/full-title&gt;&lt;/periodical&gt;&lt;pages&gt;190-216&lt;/pages&gt;&lt;volume&gt;32&lt;/volume&gt;&lt;section&gt;190&lt;/section&gt;&lt;dates&gt;&lt;year&gt;2015&lt;/year&gt;&lt;/dates&gt;&lt;isbn&gt;09291199&lt;/isbn&gt;&lt;urls&gt;&lt;/urls&gt;&lt;electronic-resource-num&gt;10.1016/j.jcorpfin.2014.10.010&lt;/electronic-resource-num&gt;&lt;/record&gt;&lt;/Cite&gt;&lt;/EndNote&gt;</w:instrText>
      </w:r>
      <w:r w:rsidRPr="004E7E5A">
        <w:rPr>
          <w:rFonts w:cs="Times New Roman"/>
        </w:rPr>
        <w:fldChar w:fldCharType="separate"/>
      </w:r>
      <w:r w:rsidRPr="004E7E5A">
        <w:rPr>
          <w:rFonts w:cs="Times New Roman"/>
          <w:noProof/>
        </w:rPr>
        <w:t>(Jiang and Kim 2015)</w:t>
      </w:r>
      <w:r w:rsidRPr="004E7E5A">
        <w:rPr>
          <w:rFonts w:cs="Times New Roman"/>
        </w:rPr>
        <w:fldChar w:fldCharType="end"/>
      </w:r>
      <w:r w:rsidRPr="004E7E5A">
        <w:rPr>
          <w:rFonts w:cs="Times New Roman"/>
        </w:rPr>
        <w:t>.</w:t>
      </w:r>
      <w:r w:rsidRPr="004E7E5A">
        <w:rPr>
          <w:rStyle w:val="af4"/>
          <w:rFonts w:cs="Times New Roman"/>
        </w:rPr>
        <w:footnoteReference w:id="12"/>
      </w:r>
    </w:p>
    <w:p w14:paraId="5193EFFB" w14:textId="5CC6F0EC" w:rsidR="00E72A9B" w:rsidRPr="004E7E5A" w:rsidRDefault="00E72A9B" w:rsidP="00E72A9B">
      <w:pPr>
        <w:pStyle w:val="a7"/>
        <w:spacing w:line="480" w:lineRule="auto"/>
        <w:ind w:firstLine="480"/>
        <w:rPr>
          <w:rFonts w:cs="Times New Roman"/>
        </w:rPr>
      </w:pPr>
      <w:r w:rsidRPr="004E7E5A">
        <w:rPr>
          <w:rFonts w:cs="Times New Roman"/>
        </w:rPr>
        <w:t>Table 5 shows a non-significant association between female directors (</w:t>
      </w:r>
      <w:r w:rsidRPr="004E7E5A">
        <w:rPr>
          <w:rFonts w:cs="Times New Roman"/>
          <w:i/>
          <w:iCs/>
        </w:rPr>
        <w:t>Female</w:t>
      </w:r>
      <w:r w:rsidRPr="004E7E5A">
        <w:rPr>
          <w:rFonts w:cs="Times New Roman"/>
        </w:rPr>
        <w:t xml:space="preserve">) and the quality of CSR disclosure which is not consistent with many studies on the positive effect of female directors on social performance </w:t>
      </w:r>
      <w:r w:rsidRPr="004E7E5A">
        <w:rPr>
          <w:rFonts w:cs="Times New Roman"/>
        </w:rPr>
        <w:fldChar w:fldCharType="begin">
          <w:fldData xml:space="preserve">PEVuZE5vdGU+PENpdGU+PEF1dGhvcj5LYXRtb248L0F1dGhvcj48WWVhcj4yMDE3PC9ZZWFyPjxS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PEVuZE5vdGU+PENpdGU+PEF1dGhvcj5LYXRtb248L0F1dGhvcj48WWVhcj4yMDE3PC9ZZWFyPjxS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(Katmon et al. 2017; Macaulay et al. 2017; Beji et al. 2020)</w:t>
      </w:r>
      <w:r w:rsidRPr="004E7E5A">
        <w:rPr>
          <w:rFonts w:cs="Times New Roman"/>
        </w:rPr>
        <w:fldChar w:fldCharType="end"/>
      </w:r>
      <w:r w:rsidRPr="004E7E5A">
        <w:rPr>
          <w:rFonts w:cs="Times New Roman"/>
        </w:rPr>
        <w:t xml:space="preserve">. </w:t>
      </w:r>
      <w:r w:rsidRPr="004E7E5A">
        <w:rPr>
          <w:rFonts w:cs="Times New Roman"/>
          <w:shd w:val="clear" w:color="auto" w:fill="FFFFFF"/>
        </w:rPr>
        <w:t>As we can see in Table 2, the mean percentage of female board members in China is much lower than that in some developed countries. One explanation could be that low percentage of female board members contributes less to the ethical decision-making process</w:t>
      </w:r>
      <w:r w:rsidRPr="004E7E5A">
        <w:rPr>
          <w:rFonts w:cs="Times New Roman"/>
          <w:noProof/>
        </w:rPr>
        <w:t xml:space="preserve"> (Liao et al. 2016)</w:t>
      </w:r>
      <w:r w:rsidRPr="004E7E5A">
        <w:rPr>
          <w:rFonts w:cs="Times New Roman"/>
          <w:shd w:val="clear" w:color="auto" w:fill="FFFFFF"/>
        </w:rPr>
        <w:t>.</w:t>
      </w:r>
      <w:r w:rsidRPr="004E7E5A">
        <w:rPr>
          <w:rFonts w:cs="Times New Roman"/>
        </w:rPr>
        <w:t xml:space="preserve"> The critical mass theory on board gender diversity suggests that “one is a token, two is a presence, and three is a voice”</w:t>
      </w:r>
      <w:r w:rsidRPr="004E7E5A">
        <w:rPr>
          <w:rFonts w:cs="Times New Roman"/>
          <w:szCs w:val="24"/>
        </w:rPr>
        <w:t xml:space="preserve"> </w:t>
      </w:r>
      <w:r w:rsidRPr="004E7E5A">
        <w:rPr>
          <w:rFonts w:cs="Times New Roman"/>
        </w:rPr>
        <w:fldChar w:fldCharType="begin"/>
      </w:r>
      <w:r w:rsidR="001A1175" w:rsidRPr="004E7E5A">
        <w:rPr>
          <w:rFonts w:cs="Times New Roman"/>
        </w:rPr>
        <w:instrText xml:space="preserve"> ADDIN EN.CITE &lt;EndNote&gt;&lt;Cite&gt;&lt;Author&gt;Kristie&lt;/Author&gt;&lt;Year&gt;2011&lt;/Year&gt;&lt;RecNum&gt;1998&lt;/RecNum&gt;&lt;DisplayText&gt;(Kristie 2011; Liao et al. 2016)&lt;/DisplayText&gt;&lt;record&gt;&lt;rec-number&gt;1998&lt;/rec-number&gt;&lt;foreign-keys&gt;&lt;key app="EN" db-id="trr00pfsbzzex0ezwf6v5swd9fpfpwfa90xp" timestamp="1626409572" guid="3e6eecf6-296c-42b8-b48a-f0ee7cdb82bc"&gt;1998&lt;/key&gt;&lt;/foreign-keys&gt;&lt;ref-type name="Journal Article"&gt;17&lt;/ref-type&gt;&lt;contributors&gt;&lt;authors&gt;&lt;author&gt;Kristie, J.&lt;/author&gt;&lt;/authors&gt;&lt;/contributors&gt;&lt;titles&gt;&lt;title&gt;The power of three&lt;/title&gt;&lt;secondary-title&gt;Director Boards&lt;/secondary-title&gt;&lt;/titles&gt;&lt;periodical&gt;&lt;full-title&gt;Director Boards&lt;/full-title&gt;&lt;/periodical&gt;&lt;pages&gt;22-32&lt;/pages&gt;&lt;volume&gt;35&lt;/volume&gt;&lt;number&gt;5&lt;/number&gt;&lt;dates&gt;&lt;year&gt;2011&lt;/year&gt;&lt;/dates&gt;&lt;urls&gt;&lt;/urls&gt;&lt;/record&gt;&lt;/Cite&gt;&lt;Cite&gt;&lt;Author&gt;Liao&lt;/Author&gt;&lt;Year&gt;2016&lt;/Year&gt;&lt;RecNum&gt;318&lt;/RecNum&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rPr>
        <w:fldChar w:fldCharType="separate"/>
      </w:r>
      <w:r w:rsidRPr="004E7E5A">
        <w:rPr>
          <w:rFonts w:cs="Times New Roman"/>
          <w:noProof/>
        </w:rPr>
        <w:t>(Kristie 2011; Liao et al. 2016)</w:t>
      </w:r>
      <w:r w:rsidRPr="004E7E5A">
        <w:rPr>
          <w:rFonts w:cs="Times New Roman"/>
        </w:rPr>
        <w:fldChar w:fldCharType="end"/>
      </w:r>
      <w:r w:rsidRPr="004E7E5A">
        <w:rPr>
          <w:rFonts w:cs="Times New Roman"/>
        </w:rPr>
        <w:t xml:space="preserve">, which indicates that </w:t>
      </w:r>
      <w:r w:rsidRPr="004E7E5A">
        <w:rPr>
          <w:rFonts w:cs="Times New Roman"/>
          <w:shd w:val="clear" w:color="auto" w:fill="FFFFFF"/>
        </w:rPr>
        <w:t>a low percent of female directors’ influence on the board decisions may be rather limited.</w:t>
      </w:r>
      <w:r w:rsidRPr="004E7E5A">
        <w:rPr>
          <w:rFonts w:cs="Times New Roman"/>
        </w:rPr>
        <w:t xml:space="preserve"> </w:t>
      </w:r>
    </w:p>
    <w:p w14:paraId="336A5051"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5 here]</w:t>
      </w:r>
    </w:p>
    <w:p w14:paraId="10980EFE" w14:textId="56BD7915" w:rsidR="00E72A9B" w:rsidRPr="004E7E5A" w:rsidRDefault="00E72A9B" w:rsidP="00E72A9B">
      <w:pPr>
        <w:pStyle w:val="a7"/>
        <w:spacing w:line="480" w:lineRule="auto"/>
        <w:ind w:firstLine="480"/>
        <w:rPr>
          <w:rFonts w:cs="Times New Roman"/>
        </w:rPr>
      </w:pPr>
      <w:r w:rsidRPr="004E7E5A">
        <w:rPr>
          <w:rFonts w:cs="Times New Roman"/>
        </w:rPr>
        <w:t xml:space="preserve">We acknowledge that a strong and valid instrumental variable is important to cater for the endogeneity issue, hence we perform several post-estimation tests to analyze the strength of our instrumental variables </w:t>
      </w:r>
      <w:r w:rsidRPr="004E7E5A">
        <w:rPr>
          <w:rFonts w:cs="Times New Roman"/>
        </w:rPr>
        <w:fldChar w:fldCharType="begin"/>
      </w:r>
      <w:r w:rsidR="001A1175" w:rsidRPr="004E7E5A">
        <w:rPr>
          <w:rFonts w:cs="Times New Roman"/>
        </w:rPr>
        <w:instrText xml:space="preserve"> ADDIN EN.CITE &lt;EndNote&gt;&lt;Cite&gt;&lt;Author&gt;Katmon&lt;/Author&gt;&lt;Year&gt;2017&lt;/Year&gt;&lt;RecNum&gt;114&lt;/RecNum&gt;&lt;DisplayText&gt;(Katmon et al. 2017)&lt;/DisplayText&gt;&lt;record&gt;&lt;rec-number&gt;114&lt;/rec-number&gt;&lt;foreign-keys&gt;&lt;key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(Katmon et al. 2017)</w:t>
      </w:r>
      <w:r w:rsidRPr="004E7E5A">
        <w:rPr>
          <w:rFonts w:cs="Times New Roman"/>
        </w:rPr>
        <w:fldChar w:fldCharType="end"/>
      </w:r>
      <w:r w:rsidRPr="004E7E5A">
        <w:rPr>
          <w:rFonts w:cs="Times New Roman"/>
        </w:rPr>
        <w:t xml:space="preserve">. First, we check the F-statistics for the first-stage regression. </w:t>
      </w:r>
      <w:r w:rsidRPr="004E7E5A">
        <w:rPr>
          <w:rFonts w:cs="Times New Roman"/>
          <w:szCs w:val="24"/>
        </w:rPr>
        <w:t xml:space="preserve">The F-statistics of the first-stage regressions with the dependent variables of </w:t>
      </w:r>
      <w:proofErr w:type="spellStart"/>
      <w:r w:rsidRPr="004E7E5A">
        <w:rPr>
          <w:rFonts w:cs="Times New Roman"/>
          <w:i/>
          <w:iCs/>
        </w:rPr>
        <w:lastRenderedPageBreak/>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szCs w:val="24"/>
        </w:rPr>
        <w:t xml:space="preserve"> are 15.892, 19.763, 35.110 and 35.570, respectively,</w:t>
      </w:r>
      <w:r w:rsidRPr="004E7E5A">
        <w:rPr>
          <w:rFonts w:cs="Times New Roman"/>
        </w:rPr>
        <w:t xml:space="preserve"> which are higher than the cutoff point of 10 suggested by prior research </w:t>
      </w:r>
      <w:r w:rsidRPr="004E7E5A">
        <w:rPr>
          <w:rFonts w:cs="Times New Roman"/>
        </w:rPr>
        <w:fldChar w:fldCharType="begin"/>
      </w:r>
      <w:r w:rsidR="00317C6A" w:rsidRPr="004E7E5A">
        <w:rPr>
          <w:rFonts w:cs="Times New Roman"/>
        </w:rPr>
        <w:instrText xml:space="preserve"> ADDIN EN.CITE &lt;EndNote&gt;&lt;Cite&gt;&lt;Author&gt;Staiger&lt;/Author&gt;&lt;Year&gt;1997&lt;/Year&gt;&lt;RecNum&gt;2128&lt;/RecNum&gt;&lt;DisplayText&gt;(Staiger and Stock 1997)&lt;/DisplayText&gt;&lt;record&gt;&lt;rec-number&gt;2128&lt;/rec-number&gt;&lt;foreign-keys&gt;&lt;key app="EN" db-id="trr00pfsbzzex0ezwf6v5swd9fpfpwfa90xp" timestamp="1631535826" guid="fc4b9440-494b-4ce8-871f-732c2e56c6ce"&gt;2128&lt;/key&gt;&lt;/foreign-keys&gt;&lt;ref-type name="Journal Article"&gt;17&lt;/ref-type&gt;&lt;contributors&gt;&lt;authors&gt;&lt;author&gt;Staiger, D.&lt;/author&gt;&lt;author&gt;Stock, J. H.&lt;/author&gt;&lt;/authors&gt;&lt;/contributors&gt;&lt;titles&gt;&lt;title&gt;Instrumental variables regression with weak instruments&lt;/title&gt;&lt;secondary-title&gt;Econometrica&lt;/secondary-title&gt;&lt;/titles&gt;&lt;periodical&gt;&lt;full-title&gt;Econometrica&lt;/full-title&gt;&lt;/periodical&gt;&lt;pages&gt;557-586&lt;/pages&gt;&lt;volume&gt;65&lt;/volume&gt;&lt;number&gt;3&lt;/number&gt;&lt;dates&gt;&lt;year&gt;1997&lt;/year&gt;&lt;/dates&gt;&lt;urls&gt;&lt;/urls&gt;&lt;/record&gt;&lt;/Cite&gt;&lt;/EndNote&gt;</w:instrText>
      </w:r>
      <w:r w:rsidRPr="004E7E5A">
        <w:rPr>
          <w:rFonts w:cs="Times New Roman"/>
        </w:rPr>
        <w:fldChar w:fldCharType="separate"/>
      </w:r>
      <w:r w:rsidRPr="004E7E5A">
        <w:rPr>
          <w:rFonts w:cs="Times New Roman"/>
          <w:noProof/>
        </w:rPr>
        <w:t>(Staiger and Stock 1997)</w:t>
      </w:r>
      <w:r w:rsidRPr="004E7E5A">
        <w:rPr>
          <w:rFonts w:cs="Times New Roman"/>
        </w:rPr>
        <w:fldChar w:fldCharType="end"/>
      </w:r>
      <w:r w:rsidRPr="004E7E5A">
        <w:rPr>
          <w:rFonts w:cs="Times New Roman"/>
        </w:rPr>
        <w:t xml:space="preserve">. Second, we check the t-statistics for the instrumental variable in the first-stage regression. We find that the t-statistics for the instrumental variable are </w:t>
      </w:r>
      <w:r w:rsidRPr="004E7E5A">
        <w:rPr>
          <w:rFonts w:cs="Times New Roman"/>
          <w:szCs w:val="24"/>
        </w:rPr>
        <w:t>6.13</w:t>
      </w:r>
      <w:r w:rsidRPr="004E7E5A">
        <w:rPr>
          <w:rFonts w:cs="Times New Roman"/>
        </w:rPr>
        <w:t xml:space="preserve"> in Column (1), </w:t>
      </w:r>
      <w:r w:rsidRPr="004E7E5A">
        <w:rPr>
          <w:rFonts w:cs="Times New Roman"/>
          <w:szCs w:val="24"/>
        </w:rPr>
        <w:t>7.34</w:t>
      </w:r>
      <w:r w:rsidRPr="004E7E5A">
        <w:rPr>
          <w:rFonts w:cs="Times New Roman"/>
        </w:rPr>
        <w:t xml:space="preserve"> in Column (2),</w:t>
      </w:r>
      <w:r w:rsidRPr="004E7E5A">
        <w:rPr>
          <w:rFonts w:cs="Times New Roman"/>
          <w:szCs w:val="24"/>
        </w:rPr>
        <w:t xml:space="preserve"> 7.38</w:t>
      </w:r>
      <w:r w:rsidRPr="004E7E5A">
        <w:rPr>
          <w:rFonts w:cs="Times New Roman"/>
        </w:rPr>
        <w:t xml:space="preserve"> in Column (3) and </w:t>
      </w:r>
      <w:r w:rsidRPr="004E7E5A">
        <w:rPr>
          <w:rFonts w:cs="Times New Roman"/>
          <w:szCs w:val="24"/>
        </w:rPr>
        <w:t>7.31</w:t>
      </w:r>
      <w:r w:rsidRPr="004E7E5A">
        <w:rPr>
          <w:rFonts w:cs="Times New Roman"/>
        </w:rPr>
        <w:t xml:space="preserve"> in Column (4), which are higher than the cutoff point of 3 suggested by prior research </w:t>
      </w:r>
      <w:r w:rsidRPr="004E7E5A">
        <w:rPr>
          <w:rFonts w:cs="Times New Roman"/>
        </w:rPr>
        <w:fldChar w:fldCharType="begin"/>
      </w:r>
      <w:r w:rsidR="001A1175" w:rsidRPr="004E7E5A">
        <w:rPr>
          <w:rFonts w:cs="Times New Roman"/>
        </w:rPr>
        <w:instrText xml:space="preserve"> ADDIN EN.CITE &lt;EndNote&gt;&lt;Cite&gt;&lt;Author&gt;Adkins&lt;/Author&gt;&lt;Year&gt;2008&lt;/Year&gt;&lt;RecNum&gt;2129&lt;/RecNum&gt;&lt;DisplayText&gt;(Adkins and Hill 2008)&lt;/DisplayText&gt;&lt;record&gt;&lt;rec-number&gt;2129&lt;/rec-number&gt;&lt;foreign-keys&gt;&lt;key app="EN" db-id="trr00pfsbzzex0ezwf6v5swd9fpfpwfa90xp" timestamp="1631536474" guid="56749385-0dbf-4d07-8607-0323b21ed569"&gt;2129&lt;/key&gt;&lt;/foreign-keys&gt;&lt;ref-type name="Book"&gt;6&lt;/ref-type&gt;&lt;contributors&gt;&lt;authors&gt;&lt;author&gt;Adkins, L. C.&lt;/author&gt;&lt;author&gt;Hill, R. C.&lt;/author&gt;&lt;/authors&gt;&lt;/contributors&gt;&lt;titles&gt;&lt;title&gt;Using stata for principles of econometrics (3rd edition)&lt;/title&gt;&lt;/titles&gt;&lt;dates&gt;&lt;year&gt;2008&lt;/year&gt;&lt;/dates&gt;&lt;pub-location&gt;New York&lt;/pub-location&gt;&lt;publisher&gt;Wiley&lt;/publisher&gt;&lt;urls&gt;&lt;/urls&gt;&lt;/record&gt;&lt;/Cite&gt;&lt;/EndNote&gt;</w:instrText>
      </w:r>
      <w:r w:rsidRPr="004E7E5A">
        <w:rPr>
          <w:rFonts w:cs="Times New Roman"/>
        </w:rPr>
        <w:fldChar w:fldCharType="separate"/>
      </w:r>
      <w:r w:rsidRPr="004E7E5A">
        <w:rPr>
          <w:rFonts w:cs="Times New Roman"/>
          <w:noProof/>
        </w:rPr>
        <w:t>(Adkins and Hill 2008)</w:t>
      </w:r>
      <w:r w:rsidRPr="004E7E5A">
        <w:rPr>
          <w:rFonts w:cs="Times New Roman"/>
        </w:rPr>
        <w:fldChar w:fldCharType="end"/>
      </w:r>
      <w:r w:rsidRPr="004E7E5A">
        <w:rPr>
          <w:rFonts w:cs="Times New Roman"/>
        </w:rPr>
        <w:t xml:space="preserve">. Thus, we conclude that the instrumental variable is valid, reliable and sufficiently strong to mitigate the endogeneity bias in our 2SLS regressions </w:t>
      </w:r>
      <w:r w:rsidRPr="004E7E5A">
        <w:rPr>
          <w:rFonts w:cs="Times New Roman"/>
        </w:rPr>
        <w:fldChar w:fldCharType="begin"/>
      </w:r>
      <w:r w:rsidR="001A1175" w:rsidRPr="004E7E5A">
        <w:rPr>
          <w:rFonts w:cs="Times New Roman"/>
        </w:rPr>
        <w:instrText xml:space="preserve"> ADDIN EN.CITE &lt;EndNote&gt;&lt;Cite&gt;&lt;Author&gt;Katmon&lt;/Author&gt;&lt;Year&gt;2017&lt;/Year&gt;&lt;RecNum&gt;114&lt;/RecNum&gt;&lt;DisplayText&gt;(Katmon et al. 2017)&lt;/DisplayText&gt;&lt;record&gt;&lt;rec-number&gt;114&lt;/rec-number&gt;&lt;foreign-keys&gt;&lt;key app="EN" db-id="trr00pfsbzzex0ezwf6v5swd9fpfpwfa90xp" timestamp="1580912156" guid="a452de88-d228-43c6-a947-a08abaf03177"&gt;114&lt;/key&gt;&lt;/foreign-keys&gt;&lt;ref-type name="Journal Article"&gt;17&lt;/ref-type&gt;&lt;contributors&gt;&lt;authors&gt;&lt;author&gt;Katmon, Nooraisah&lt;/author&gt;&lt;author&gt;Mohamad, Zam Zuriyati&lt;/author&gt;&lt;author&gt;Norwani, Norlia Mat&lt;/author&gt;&lt;author&gt;Farooque, Omar Al&lt;/author&gt;&lt;/authors&gt;&lt;/contributors&gt;&lt;titles&gt;&lt;title&gt;Comprehensive board diversity and quality of corporate social responsibility disclosure: Evidence from an emerging market&lt;/title&gt;&lt;secondary-title&gt;Journal of Business Ethics&lt;/secondary-title&gt;&lt;/titles&gt;&lt;periodical&gt;&lt;full-title&gt;Journal of Business Ethics&lt;/full-title&gt;&lt;/periodical&gt;&lt;pages&gt;447-481&lt;/pages&gt;&lt;volume&gt;157&lt;/volume&gt;&lt;number&gt;2&lt;/number&gt;&lt;section&gt;447&lt;/section&gt;&lt;dates&gt;&lt;year&gt;2017&lt;/year&gt;&lt;/dates&gt;&lt;isbn&gt;0167-4544&amp;#xD;1573-0697&lt;/isbn&gt;&lt;urls&gt;&lt;/urls&gt;&lt;electronic-resource-num&gt;10.1007/s10551-017-3672-6&lt;/electronic-resource-num&gt;&lt;/record&gt;&lt;/Cite&gt;&lt;/EndNote&gt;</w:instrText>
      </w:r>
      <w:r w:rsidRPr="004E7E5A">
        <w:rPr>
          <w:rFonts w:cs="Times New Roman"/>
        </w:rPr>
        <w:fldChar w:fldCharType="separate"/>
      </w:r>
      <w:r w:rsidRPr="004E7E5A">
        <w:rPr>
          <w:rFonts w:cs="Times New Roman"/>
          <w:noProof/>
        </w:rPr>
        <w:t>(Katmon et al. 2017)</w:t>
      </w:r>
      <w:r w:rsidRPr="004E7E5A">
        <w:rPr>
          <w:rFonts w:cs="Times New Roman"/>
        </w:rPr>
        <w:fldChar w:fldCharType="end"/>
      </w:r>
      <w:r w:rsidRPr="004E7E5A">
        <w:rPr>
          <w:rFonts w:cs="Times New Roman"/>
        </w:rPr>
        <w:t>.</w:t>
      </w:r>
    </w:p>
    <w:p w14:paraId="3483D867" w14:textId="77777777" w:rsidR="00E72A9B" w:rsidRPr="004E7E5A" w:rsidRDefault="00E72A9B" w:rsidP="00E72A9B">
      <w:pPr>
        <w:pStyle w:val="a9"/>
        <w:rPr>
          <w:iCs w:val="0"/>
          <w:sz w:val="24"/>
          <w:szCs w:val="24"/>
        </w:rPr>
      </w:pPr>
      <w:r w:rsidRPr="004E7E5A">
        <w:rPr>
          <w:iCs w:val="0"/>
          <w:sz w:val="24"/>
          <w:szCs w:val="24"/>
        </w:rPr>
        <w:t>Results of Testing H2</w:t>
      </w:r>
    </w:p>
    <w:p w14:paraId="4111AEC0" w14:textId="123EA350" w:rsidR="00E72A9B" w:rsidRPr="004E7E5A" w:rsidRDefault="00E72A9B" w:rsidP="00E72A9B">
      <w:pPr>
        <w:pStyle w:val="a7"/>
        <w:spacing w:line="480" w:lineRule="auto"/>
        <w:ind w:firstLine="480"/>
        <w:rPr>
          <w:rFonts w:cs="Times New Roman"/>
        </w:rPr>
      </w:pPr>
      <w:r w:rsidRPr="004E7E5A">
        <w:rPr>
          <w:rFonts w:cs="Times New Roman"/>
        </w:rPr>
        <w:t xml:space="preserve">We test whether the impact of directors’ network on CSR disclosure quality differs in firms with different marketing strategy in this section. Similar to </w:t>
      </w:r>
      <w:proofErr w:type="spellStart"/>
      <w:r w:rsidRPr="004E7E5A">
        <w:rPr>
          <w:rFonts w:cs="Times New Roman"/>
        </w:rPr>
        <w:t>Servaes</w:t>
      </w:r>
      <w:proofErr w:type="spellEnd"/>
      <w:r w:rsidRPr="004E7E5A">
        <w:rPr>
          <w:rFonts w:cs="Times New Roman"/>
        </w:rPr>
        <w:t xml:space="preserve"> and Tamayo (2013), we use advertising expenditures (</w:t>
      </w:r>
      <w:r w:rsidRPr="004E7E5A">
        <w:rPr>
          <w:rFonts w:cs="Times New Roman"/>
          <w:i/>
          <w:iCs/>
        </w:rPr>
        <w:t>Advertising</w:t>
      </w:r>
      <w:r w:rsidRPr="004E7E5A">
        <w:rPr>
          <w:rFonts w:cs="Times New Roman"/>
        </w:rPr>
        <w:t>) as a proxy for marketing strategy. Due to data availability, the sample size drops to 2621 in this test because of 1365 (34.24% of the total sample) missing observations in advertising expenditures. 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i/>
          <w:iCs/>
        </w:rPr>
        <w:t>Advertising</w:t>
      </w:r>
      <w:r w:rsidRPr="004E7E5A">
        <w:rPr>
          <w:rFonts w:cs="Times New Roman"/>
        </w:rPr>
        <w:t xml:space="preserve">) to Equation (2) to test the moderating role of marketing strategy </w:t>
      </w:r>
      <w:r w:rsidRPr="004E7E5A">
        <w:rPr>
          <w:rFonts w:cs="Times New Roman"/>
        </w:rPr>
        <w:fldChar w:fldCharType="begin"/>
      </w:r>
      <w:r w:rsidR="00317C6A" w:rsidRPr="004E7E5A">
        <w:rPr>
          <w:rFonts w:cs="Times New Roman"/>
        </w:rPr>
        <w:instrText xml:space="preserve"> ADDIN EN.CITE &lt;EndNote&gt;&lt;Cite&gt;&lt;Author&gt;Servaes&lt;/Author&gt;&lt;Year&gt;2013&lt;/Year&gt;&lt;RecNum&gt;2089&lt;/RecNum&gt;&lt;DisplayText&gt;(Servaes and Tamayo 2013)&lt;/DisplayText&gt;&lt;record&gt;&lt;rec-number&gt;2089&lt;/rec-number&gt;&lt;foreign-keys&gt;&lt;key app="EN" db-id="trr00pfsbzzex0ezwf6v5swd9fpfpwfa90xp" timestamp="1629466430" guid="5ba03db8-8af3-4bed-97d1-10d56735ef5b"&gt;2089&lt;/key&gt;&lt;/foreign-keys&gt;&lt;ref-type name="Journal Article"&gt;17&lt;/ref-type&gt;&lt;contributors&gt;&lt;authors&gt;&lt;author&gt;Servaes, H.&lt;/author&gt;&lt;author&gt;Tamayo, A.&lt;/author&gt;&lt;/authors&gt;&lt;/contributors&gt;&lt;titles&gt;&lt;title&gt;The impact of corporate social responsibility on firm value: The role of customer awareness&lt;/title&gt;&lt;secondary-title&gt;Management Science&lt;/secondary-title&gt;&lt;/titles&gt;&lt;periodical&gt;&lt;full-title&gt;Management Science&lt;/full-title&gt;&lt;/periodical&gt;&lt;pages&gt;1045-1061&lt;/pages&gt;&lt;volume&gt;59&lt;/volume&gt;&lt;number&gt;5&lt;/number&gt;&lt;dates&gt;&lt;year&gt;2013&lt;/year&gt;&lt;/dates&gt;&lt;urls&gt;&lt;/urls&gt;&lt;/record&gt;&lt;/Cite&gt;&lt;/EndNote&gt;</w:instrText>
      </w:r>
      <w:r w:rsidRPr="004E7E5A">
        <w:rPr>
          <w:rFonts w:cs="Times New Roman"/>
        </w:rPr>
        <w:fldChar w:fldCharType="separate"/>
      </w:r>
      <w:r w:rsidRPr="004E7E5A">
        <w:rPr>
          <w:rFonts w:cs="Times New Roman"/>
          <w:noProof/>
        </w:rPr>
        <w:t>(Servaes and Tamayo 2013)</w:t>
      </w:r>
      <w:r w:rsidRPr="004E7E5A">
        <w:rPr>
          <w:rFonts w:cs="Times New Roman"/>
        </w:rPr>
        <w:fldChar w:fldCharType="end"/>
      </w:r>
      <w:r w:rsidRPr="004E7E5A">
        <w:rPr>
          <w:rFonts w:cs="Times New Roman"/>
        </w:rPr>
        <w:t xml:space="preserve">. We add the variable </w:t>
      </w:r>
      <w:r w:rsidRPr="004E7E5A">
        <w:rPr>
          <w:rFonts w:cs="Times New Roman"/>
          <w:i/>
          <w:iCs/>
          <w:szCs w:val="24"/>
        </w:rPr>
        <w:t>Director convenience</w:t>
      </w:r>
      <w:r w:rsidRPr="004E7E5A">
        <w:rPr>
          <w:rFonts w:cs="Times New Roman"/>
        </w:rPr>
        <w:t xml:space="preserve"> as an instrument for network centrality (</w:t>
      </w:r>
      <w:r w:rsidRPr="004E7E5A">
        <w:rPr>
          <w:rFonts w:cs="Times New Roman"/>
          <w:i/>
          <w:iCs/>
        </w:rPr>
        <w:t>Score</w:t>
      </w:r>
      <w:r w:rsidRPr="004E7E5A">
        <w:rPr>
          <w:rFonts w:cs="Times New Roman"/>
        </w:rPr>
        <w:t>) in the 2SLS model while estimating Equations (2). We interact the instrument (</w:t>
      </w:r>
      <w:r w:rsidRPr="004E7E5A">
        <w:rPr>
          <w:rFonts w:cs="Times New Roman"/>
          <w:i/>
          <w:iCs/>
          <w:szCs w:val="24"/>
        </w:rPr>
        <w:t>Director convenience</w:t>
      </w:r>
      <w:r w:rsidRPr="004E7E5A">
        <w:rPr>
          <w:rFonts w:cs="Times New Roman"/>
        </w:rPr>
        <w:t>) with the moderating variable (</w:t>
      </w:r>
      <w:r w:rsidRPr="004E7E5A">
        <w:rPr>
          <w:rFonts w:cs="Times New Roman"/>
          <w:i/>
          <w:iCs/>
        </w:rPr>
        <w:t>Advertising</w:t>
      </w:r>
      <w:r w:rsidRPr="004E7E5A">
        <w:rPr>
          <w:rFonts w:cs="Times New Roman"/>
        </w:rPr>
        <w:t>) and then add the interaction term to the list of instruments in the 2SLS model while estimating Equations (2). We expect that the effect of directors’ network on CSR disclosure quality is more pronounced in the firms with less advertising expenditure. A negative and significant coefficient on the interaction term (</w:t>
      </w:r>
      <w:r w:rsidRPr="004E7E5A">
        <w:rPr>
          <w:rFonts w:cs="Times New Roman"/>
          <w:i/>
          <w:iCs/>
        </w:rPr>
        <w:t>Score</w:t>
      </w:r>
      <w:r w:rsidRPr="004E7E5A">
        <w:rPr>
          <w:rFonts w:cs="Times New Roman"/>
        </w:rPr>
        <w:t xml:space="preserve"> × </w:t>
      </w:r>
      <w:r w:rsidRPr="004E7E5A">
        <w:rPr>
          <w:rFonts w:cs="Times New Roman"/>
          <w:i/>
          <w:iCs/>
        </w:rPr>
        <w:t>Advertising</w:t>
      </w:r>
      <w:r w:rsidRPr="004E7E5A">
        <w:rPr>
          <w:rFonts w:cs="Times New Roman"/>
        </w:rPr>
        <w:t xml:space="preserve">) will support </w:t>
      </w:r>
      <w:r w:rsidRPr="004E7E5A">
        <w:rPr>
          <w:rFonts w:cs="Times New Roman"/>
        </w:rPr>
        <w:lastRenderedPageBreak/>
        <w:t>hypothesis 2.</w:t>
      </w:r>
    </w:p>
    <w:p w14:paraId="5E69D297" w14:textId="0E225922" w:rsidR="00E72A9B" w:rsidRPr="004E7E5A" w:rsidRDefault="00E72A9B" w:rsidP="00E72A9B">
      <w:pPr>
        <w:pStyle w:val="a7"/>
        <w:spacing w:line="480" w:lineRule="auto"/>
        <w:ind w:firstLine="480"/>
        <w:rPr>
          <w:rFonts w:cs="Times New Roman"/>
        </w:rPr>
      </w:pPr>
      <w:r w:rsidRPr="004E7E5A">
        <w:rPr>
          <w:rFonts w:cs="Times New Roman"/>
        </w:rPr>
        <w:t>Table 6 presents the second-stage regression results of estimating Equation (2).</w:t>
      </w:r>
      <w:r w:rsidRPr="004E7E5A">
        <w:rPr>
          <w:rStyle w:val="af4"/>
          <w:rFonts w:cs="Times New Roman"/>
        </w:rPr>
        <w:footnoteReference w:id="13"/>
      </w:r>
      <w:r w:rsidRPr="004E7E5A">
        <w:rPr>
          <w:rFonts w:cs="Times New Roman"/>
        </w:rPr>
        <w:t xml:space="preserve"> Columns (1) to (4) report the regression results for the 2SLS model using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xml:space="preserve">) as the key independent variable. It can be seen that the regression coefficients on the interaction terms of </w:t>
      </w:r>
      <w:proofErr w:type="spellStart"/>
      <w:r w:rsidRPr="004E7E5A">
        <w:rPr>
          <w:rFonts w:cs="Times New Roman"/>
          <w:i/>
          <w:iCs/>
        </w:rPr>
        <w:t>Score_max</w:t>
      </w:r>
      <w:proofErr w:type="spellEnd"/>
      <w:r w:rsidRPr="004E7E5A">
        <w:rPr>
          <w:rFonts w:cs="Times New Roman"/>
          <w:i/>
          <w:iCs/>
        </w:rPr>
        <w:t xml:space="preserve"> × Advertising,</w:t>
      </w:r>
      <w:r w:rsidRPr="004E7E5A">
        <w:rPr>
          <w:rFonts w:cs="Times New Roman"/>
        </w:rPr>
        <w:t xml:space="preserve"> </w:t>
      </w:r>
      <w:proofErr w:type="spellStart"/>
      <w:r w:rsidRPr="004E7E5A">
        <w:rPr>
          <w:rFonts w:cs="Times New Roman"/>
          <w:i/>
          <w:iCs/>
        </w:rPr>
        <w:t>Score_mean</w:t>
      </w:r>
      <w:proofErr w:type="spellEnd"/>
      <w:r w:rsidRPr="004E7E5A">
        <w:rPr>
          <w:rFonts w:cs="Times New Roman"/>
          <w:i/>
          <w:iCs/>
        </w:rPr>
        <w:t xml:space="preserve"> × Advertising,</w:t>
      </w:r>
      <w:r w:rsidRPr="004E7E5A">
        <w:rPr>
          <w:rFonts w:cs="Times New Roman"/>
        </w:rPr>
        <w:t xml:space="preserve"> </w:t>
      </w:r>
      <w:proofErr w:type="spellStart"/>
      <w:r w:rsidRPr="004E7E5A">
        <w:rPr>
          <w:rFonts w:cs="Times New Roman"/>
          <w:i/>
          <w:iCs/>
        </w:rPr>
        <w:t>Score_med</w:t>
      </w:r>
      <w:proofErr w:type="spellEnd"/>
      <w:r w:rsidRPr="004E7E5A">
        <w:rPr>
          <w:rFonts w:cs="Times New Roman"/>
          <w:i/>
          <w:iCs/>
        </w:rPr>
        <w:t xml:space="preserve"> × Advertising </w:t>
      </w:r>
      <w:r w:rsidRPr="004E7E5A">
        <w:rPr>
          <w:rFonts w:cs="Times New Roman"/>
        </w:rPr>
        <w:t xml:space="preserve">and </w:t>
      </w:r>
      <w:proofErr w:type="spellStart"/>
      <w:r w:rsidRPr="004E7E5A">
        <w:rPr>
          <w:rFonts w:cs="Times New Roman"/>
          <w:i/>
          <w:iCs/>
        </w:rPr>
        <w:t>Score_min</w:t>
      </w:r>
      <w:proofErr w:type="spellEnd"/>
      <w:r w:rsidRPr="004E7E5A">
        <w:rPr>
          <w:rFonts w:cs="Times New Roman"/>
          <w:i/>
          <w:iCs/>
        </w:rPr>
        <w:t xml:space="preserve"> × Advertising</w:t>
      </w:r>
      <w:r w:rsidRPr="004E7E5A">
        <w:rPr>
          <w:rFonts w:cs="Times New Roman"/>
        </w:rPr>
        <w:t xml:space="preserve"> are negative and significant at the 5% or 10% level. The results support the argument that directors’ network may improve CSR disclosure quality, and such a positive impact is found to be stronger among firms with less advertising expenditure. Hypothesis 2 is supported. This result is </w:t>
      </w:r>
      <w:r w:rsidRPr="004E7E5A">
        <w:rPr>
          <w:rFonts w:cs="Times New Roman" w:hint="eastAsia"/>
        </w:rPr>
        <w:t>in</w:t>
      </w:r>
      <w:r w:rsidRPr="004E7E5A">
        <w:rPr>
          <w:rFonts w:cs="Times New Roman"/>
        </w:rPr>
        <w:t xml:space="preserve"> line with the literature that advertising may create public awareness among buyers about the company </w:t>
      </w:r>
      <w:r w:rsidRPr="004E7E5A">
        <w:rPr>
          <w:rFonts w:cs="Times New Roman"/>
        </w:rPr>
        <w:fldChar w:fldCharType="begin"/>
      </w:r>
      <w:r w:rsidR="00317C6A" w:rsidRPr="004E7E5A">
        <w:rPr>
          <w:rFonts w:cs="Times New Roman"/>
        </w:rPr>
        <w:instrText xml:space="preserve"> ADDIN EN.CITE &lt;EndNote&gt;&lt;Cite&gt;&lt;Author&gt;Servaes&lt;/Author&gt;&lt;Year&gt;2013&lt;/Year&gt;&lt;RecNum&gt;2089&lt;/RecNum&gt;&lt;DisplayText&gt;(Servaes and Tamayo 2013)&lt;/DisplayText&gt;&lt;record&gt;&lt;rec-number&gt;2089&lt;/rec-number&gt;&lt;foreign-keys&gt;&lt;key app="EN" db-id="trr00pfsbzzex0ezwf6v5swd9fpfpwfa90xp" timestamp="1629466430" guid="5ba03db8-8af3-4bed-97d1-10d56735ef5b"&gt;2089&lt;/key&gt;&lt;/foreign-keys&gt;&lt;ref-type name="Journal Article"&gt;17&lt;/ref-type&gt;&lt;contributors&gt;&lt;authors&gt;&lt;author&gt;Servaes, H.&lt;/author&gt;&lt;author&gt;Tamayo, A.&lt;/author&gt;&lt;/authors&gt;&lt;/contributors&gt;&lt;titles&gt;&lt;title&gt;The impact of corporate social responsibility on firm value: The role of customer awareness&lt;/title&gt;&lt;secondary-title&gt;Management Science&lt;/secondary-title&gt;&lt;/titles&gt;&lt;periodical&gt;&lt;full-title&gt;Management Science&lt;/full-title&gt;&lt;/periodical&gt;&lt;pages&gt;1045-1061&lt;/pages&gt;&lt;volume&gt;59&lt;/volume&gt;&lt;number&gt;5&lt;/number&gt;&lt;dates&gt;&lt;year&gt;2013&lt;/year&gt;&lt;/dates&gt;&lt;urls&gt;&lt;/urls&gt;&lt;/record&gt;&lt;/Cite&gt;&lt;/EndNote&gt;</w:instrText>
      </w:r>
      <w:r w:rsidRPr="004E7E5A">
        <w:rPr>
          <w:rFonts w:cs="Times New Roman"/>
        </w:rPr>
        <w:fldChar w:fldCharType="separate"/>
      </w:r>
      <w:r w:rsidRPr="004E7E5A">
        <w:rPr>
          <w:rFonts w:cs="Times New Roman"/>
          <w:noProof/>
        </w:rPr>
        <w:t>(Servaes and Tamayo 2013)</w:t>
      </w:r>
      <w:r w:rsidRPr="004E7E5A">
        <w:rPr>
          <w:rFonts w:cs="Times New Roman"/>
        </w:rPr>
        <w:fldChar w:fldCharType="end"/>
      </w:r>
      <w:r w:rsidRPr="004E7E5A">
        <w:rPr>
          <w:rFonts w:cs="Times New Roman"/>
        </w:rPr>
        <w:t xml:space="preserve">, and well networked directors value their status or acceptance in their networks </w:t>
      </w:r>
      <w:r w:rsidRPr="004E7E5A">
        <w:rPr>
          <w:rFonts w:cs="Times New Roman"/>
        </w:rPr>
        <w:fldChar w:fldCharType="begin">
          <w:fldData xml:space="preserve">PEVuZE5vdGU+PENpdGU+PEF1dGhvcj5Vc2VlbTwvQXV0aG9yPjxZZWFyPjE5ODQ8L1llYXI+PFJl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PEVuZE5vdGU+PENpdGU+PEF1dGhvcj5Vc2VlbTwvQXV0aG9yPjxZZWFyPjE5ODQ8L1llYXI+PFJl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(Useem 1984; Galaskiewicz 1985; Mizruchi 1996; Lu et al. 2016)</w:t>
      </w:r>
      <w:r w:rsidRPr="004E7E5A">
        <w:rPr>
          <w:rFonts w:cs="Times New Roman"/>
        </w:rPr>
        <w:fldChar w:fldCharType="end"/>
      </w:r>
      <w:r w:rsidRPr="004E7E5A">
        <w:rPr>
          <w:rFonts w:cs="Times New Roman"/>
        </w:rPr>
        <w:t>.</w:t>
      </w:r>
    </w:p>
    <w:p w14:paraId="1CC0D8B4"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6 here]</w:t>
      </w:r>
    </w:p>
    <w:p w14:paraId="2D462FCF" w14:textId="77777777" w:rsidR="00E72A9B" w:rsidRPr="004E7E5A" w:rsidRDefault="00E72A9B" w:rsidP="00E72A9B">
      <w:pPr>
        <w:pStyle w:val="a9"/>
        <w:rPr>
          <w:iCs w:val="0"/>
          <w:sz w:val="24"/>
          <w:szCs w:val="24"/>
        </w:rPr>
      </w:pPr>
      <w:r w:rsidRPr="004E7E5A">
        <w:rPr>
          <w:iCs w:val="0"/>
          <w:sz w:val="24"/>
          <w:szCs w:val="24"/>
        </w:rPr>
        <w:t>Results of Testing H3</w:t>
      </w:r>
    </w:p>
    <w:p w14:paraId="78A4D770" w14:textId="5583C2A0" w:rsidR="00E72A9B" w:rsidRPr="004E7E5A" w:rsidRDefault="00E72A9B" w:rsidP="00E72A9B">
      <w:pPr>
        <w:pStyle w:val="a7"/>
        <w:spacing w:line="480" w:lineRule="auto"/>
        <w:ind w:firstLine="480"/>
        <w:rPr>
          <w:rFonts w:cs="Times New Roman"/>
        </w:rPr>
      </w:pPr>
      <w:r w:rsidRPr="004E7E5A">
        <w:rPr>
          <w:rFonts w:cs="Times New Roman"/>
        </w:rPr>
        <w:t xml:space="preserve">In this section we </w:t>
      </w:r>
      <w:r w:rsidRPr="004E7E5A">
        <w:rPr>
          <w:rFonts w:cs="Times New Roman"/>
          <w:szCs w:val="24"/>
        </w:rPr>
        <w:t>test the impact of analysts’ attention on the relationship between directors’ network and CSR disclosure quality</w:t>
      </w:r>
      <w:r w:rsidRPr="004E7E5A">
        <w:rPr>
          <w:rFonts w:cs="Times New Roman"/>
        </w:rPr>
        <w:t xml:space="preserve">. Following the literature </w:t>
      </w:r>
      <w:r w:rsidRPr="004E7E5A">
        <w:rPr>
          <w:rFonts w:cs="Times New Roman"/>
        </w:rPr>
        <w:fldChar w:fldCharType="begin"/>
      </w:r>
      <w:r w:rsidR="006F6C86" w:rsidRPr="004E7E5A">
        <w:rPr>
          <w:rFonts w:cs="Times New Roman"/>
        </w:rPr>
        <w:instrText xml:space="preserve"> ADDIN EN.CITE &lt;EndNote&gt;&lt;Cite&gt;&lt;Author&gt;Chen&lt;/Author&gt;&lt;Year&gt;2011&lt;/Year&gt;&lt;RecNum&gt;2092&lt;/RecNum&gt;&lt;DisplayText&gt;(Chen et al. 2011; Ding et al. 2021)&lt;/DisplayText&gt;&lt;record&gt;&lt;rec-number&gt;2092&lt;/rec-number&gt;&lt;foreign-keys&gt;&lt;key app="EN" db-id="trr00pfsbzzex0ezwf6v5swd9fpfpwfa90xp" timestamp="1629554300" guid="33319abb-6738-43c8-bcbf-622dcc9aca93"&gt;2092&lt;/key&gt;&lt;/foreign-keys&gt;&lt;ref-type name="Journal Article"&gt;17&lt;/ref-type&gt;&lt;contributors&gt;&lt;authors&gt;&lt;author&gt;Chen, Shu Ping &lt;/author&gt;&lt;author&gt;Matsumoto, Dawn &lt;/author&gt;&lt;author&gt;Rajgopal, Shiva &lt;/author&gt;&lt;/authors&gt;&lt;/contributors&gt;&lt;titles&gt;&lt;title&gt;Is silence golden? An empirical analysis of firms that stop giving quarterly earnings guidance&lt;/title&gt;&lt;secondary-title&gt;Journal of Accounting &amp;amp; Economics&lt;/secondary-title&gt;&lt;/titles&gt;&lt;periodical&gt;&lt;full-title&gt;Journal of Accounting &amp;amp; Economics&lt;/full-title&gt;&lt;/periodical&gt;&lt;pages&gt;134-150&lt;/pages&gt;&lt;volume&gt;51&lt;/volume&gt;&lt;number&gt;1&lt;/number&gt;&lt;dates&gt;&lt;year&gt;2011&lt;/year&gt;&lt;/dates&gt;&lt;urls&gt;&lt;/urls&gt;&lt;/record&gt;&lt;/Cite&gt;&lt;Cite&gt;&lt;Author&gt;Ding&lt;/Author&gt;&lt;Year&gt;2021&lt;/Year&gt;&lt;RecNum&gt;2020&lt;/RecNum&gt;&lt;record&gt;&lt;rec-number&gt;2020&lt;/rec-number&gt;&lt;foreign-keys&gt;&lt;key app="EN" db-id="trr00pfsbzzex0ezwf6v5swd9fpfpwfa90xp" timestamp="1627289792" guid="b00706dc-5243-4d75-80ce-c24f17c93ead"&gt;2020&lt;/key&gt;&lt;/foreign-keys&gt;&lt;ref-type name="Journal Article"&gt;17&lt;/ref-type&gt;&lt;contributors&gt;&lt;authors&gt;&lt;author&gt;Rong Ding&lt;/author&gt;&lt;author&gt;Sushil Sainani&lt;/author&gt;&lt;author&gt;Ziyang (John) Zhang&lt;/author&gt;&lt;/authors&gt;&lt;/contributors&gt;&lt;titles&gt;&lt;title&gt;Protection of trade secrets and corporate tax avoidance: Evidence from the inevitable disclosure doctrine&lt;/title&gt;&lt;secondary-title&gt;Journal of Business Research&lt;/secondary-title&gt;&lt;/titles&gt;&lt;periodical&gt;&lt;full-title&gt;Journal of Business Research&lt;/full-title&gt;&lt;/periodical&gt;&lt;pages&gt;221-232&lt;/pages&gt;&lt;volume&gt;132&lt;/volume&gt;&lt;number&gt;5&lt;/number&gt;&lt;dates&gt;&lt;year&gt;2021&lt;/year&gt;&lt;/dates&gt;&lt;urls&gt;&lt;/urls&gt;&lt;/record&gt;&lt;/Cite&gt;&lt;/EndNote&gt;</w:instrText>
      </w:r>
      <w:r w:rsidRPr="004E7E5A">
        <w:rPr>
          <w:rFonts w:cs="Times New Roman"/>
        </w:rPr>
        <w:fldChar w:fldCharType="separate"/>
      </w:r>
      <w:r w:rsidR="004922F5" w:rsidRPr="004E7E5A">
        <w:rPr>
          <w:rFonts w:cs="Times New Roman"/>
          <w:noProof/>
        </w:rPr>
        <w:t>(Chen et al. 2011; Ding et al. 2021)</w:t>
      </w:r>
      <w:r w:rsidRPr="004E7E5A">
        <w:rPr>
          <w:rFonts w:cs="Times New Roman"/>
        </w:rPr>
        <w:fldChar w:fldCharType="end"/>
      </w:r>
      <w:r w:rsidRPr="004E7E5A">
        <w:rPr>
          <w:rFonts w:cs="Times New Roman"/>
        </w:rPr>
        <w:t>, we use analyst coverage (</w:t>
      </w:r>
      <w:r w:rsidRPr="004E7E5A">
        <w:rPr>
          <w:rFonts w:cs="Times New Roman"/>
          <w:i/>
          <w:iCs/>
        </w:rPr>
        <w:t>Analyst</w:t>
      </w:r>
      <w:r w:rsidRPr="004E7E5A">
        <w:rPr>
          <w:rFonts w:cs="Times New Roman"/>
        </w:rPr>
        <w:t xml:space="preserve">) as the proxy of analysts’ attention. Due to data availability, we get </w:t>
      </w:r>
      <w:r w:rsidRPr="004E7E5A">
        <w:rPr>
          <w:rFonts w:cs="Times New Roman"/>
          <w:szCs w:val="24"/>
        </w:rPr>
        <w:t>3496</w:t>
      </w:r>
      <w:r w:rsidRPr="004E7E5A">
        <w:rPr>
          <w:rFonts w:cs="Times New Roman"/>
        </w:rPr>
        <w:t xml:space="preserve"> sample observations for analyst coverage, and delete 500 (12.54% of the total sample) observations where analyst coverage data is missing. We add the interaction </w:t>
      </w:r>
      <w:r w:rsidRPr="004E7E5A">
        <w:rPr>
          <w:rFonts w:cs="Times New Roman"/>
        </w:rPr>
        <w:lastRenderedPageBreak/>
        <w:t>between our variable of interest (</w:t>
      </w:r>
      <w:r w:rsidRPr="004E7E5A">
        <w:rPr>
          <w:rFonts w:cs="Times New Roman"/>
          <w:i/>
          <w:iCs/>
        </w:rPr>
        <w:t>Score</w:t>
      </w:r>
      <w:r w:rsidRPr="004E7E5A">
        <w:rPr>
          <w:rFonts w:cs="Times New Roman"/>
        </w:rPr>
        <w:t>) and our moderating variable (</w:t>
      </w:r>
      <w:r w:rsidRPr="004E7E5A">
        <w:rPr>
          <w:rFonts w:cs="Times New Roman"/>
          <w:i/>
          <w:iCs/>
        </w:rPr>
        <w:t>Analyst</w:t>
      </w:r>
      <w:r w:rsidRPr="004E7E5A">
        <w:rPr>
          <w:rFonts w:cs="Times New Roman"/>
        </w:rPr>
        <w:t xml:space="preserve">) to Equation (3) to test the moderating role of </w:t>
      </w:r>
      <w:r w:rsidRPr="004E7E5A">
        <w:rPr>
          <w:rFonts w:cs="Times New Roman"/>
          <w:szCs w:val="24"/>
        </w:rPr>
        <w:t>analysts’ attention</w:t>
      </w:r>
      <w:r w:rsidRPr="004E7E5A">
        <w:rPr>
          <w:rFonts w:cs="Times New Roman"/>
        </w:rPr>
        <w:t xml:space="preserve">. We add the variable </w:t>
      </w:r>
      <w:r w:rsidRPr="004E7E5A">
        <w:rPr>
          <w:rFonts w:cs="Times New Roman"/>
          <w:i/>
          <w:iCs/>
          <w:szCs w:val="24"/>
        </w:rPr>
        <w:t>Director convenience</w:t>
      </w:r>
      <w:r w:rsidRPr="004E7E5A">
        <w:rPr>
          <w:rFonts w:cs="Times New Roman"/>
        </w:rPr>
        <w:t xml:space="preserve"> as an instrument for network centrality (</w:t>
      </w:r>
      <w:r w:rsidRPr="004E7E5A">
        <w:rPr>
          <w:rFonts w:cs="Times New Roman"/>
          <w:i/>
          <w:iCs/>
        </w:rPr>
        <w:t>Score</w:t>
      </w:r>
      <w:r w:rsidRPr="004E7E5A">
        <w:rPr>
          <w:rFonts w:cs="Times New Roman"/>
        </w:rPr>
        <w:t>) in the 2SLS model while estimating Equations (3). We interact the instrument (</w:t>
      </w:r>
      <w:r w:rsidRPr="004E7E5A">
        <w:rPr>
          <w:rFonts w:cs="Times New Roman"/>
          <w:i/>
          <w:iCs/>
          <w:szCs w:val="24"/>
        </w:rPr>
        <w:t>Director convenience</w:t>
      </w:r>
      <w:r w:rsidRPr="004E7E5A">
        <w:rPr>
          <w:rFonts w:cs="Times New Roman"/>
        </w:rPr>
        <w:t>) with the moderating variable (</w:t>
      </w:r>
      <w:r w:rsidRPr="004E7E5A">
        <w:rPr>
          <w:rFonts w:cs="Times New Roman"/>
          <w:i/>
          <w:iCs/>
        </w:rPr>
        <w:t>Analyst</w:t>
      </w:r>
      <w:r w:rsidRPr="004E7E5A">
        <w:rPr>
          <w:rFonts w:cs="Times New Roman"/>
        </w:rPr>
        <w:t xml:space="preserve">) and then add the interaction term to the list of instruments in the 2SLS model while estimating Equations (3). We expect the effect of directors’ network on CSR disclosure quality to be more pronounced in the firms </w:t>
      </w:r>
      <w:proofErr w:type="spellStart"/>
      <w:r w:rsidRPr="004E7E5A">
        <w:rPr>
          <w:rFonts w:cs="Times New Roman"/>
        </w:rPr>
        <w:t>characterised</w:t>
      </w:r>
      <w:proofErr w:type="spellEnd"/>
      <w:r w:rsidRPr="004E7E5A">
        <w:rPr>
          <w:rFonts w:cs="Times New Roman"/>
        </w:rPr>
        <w:t xml:space="preserve"> with lower analyst coverage. A </w:t>
      </w:r>
      <w:r w:rsidRPr="004E7E5A">
        <w:rPr>
          <w:rFonts w:cs="Times New Roman" w:hint="eastAsia"/>
        </w:rPr>
        <w:t>nega</w:t>
      </w:r>
      <w:r w:rsidRPr="004E7E5A">
        <w:rPr>
          <w:rFonts w:cs="Times New Roman"/>
        </w:rPr>
        <w:t>tive and significant coefficient on the interaction term (</w:t>
      </w:r>
      <w:r w:rsidRPr="004E7E5A">
        <w:rPr>
          <w:rFonts w:cs="Times New Roman"/>
          <w:i/>
          <w:iCs/>
        </w:rPr>
        <w:t>Score</w:t>
      </w:r>
      <w:r w:rsidRPr="004E7E5A">
        <w:rPr>
          <w:rFonts w:cs="Times New Roman"/>
        </w:rPr>
        <w:t xml:space="preserve"> × </w:t>
      </w:r>
      <w:r w:rsidRPr="004E7E5A">
        <w:rPr>
          <w:rFonts w:cs="Times New Roman"/>
          <w:i/>
          <w:iCs/>
        </w:rPr>
        <w:t>Analyst</w:t>
      </w:r>
      <w:r w:rsidRPr="004E7E5A">
        <w:rPr>
          <w:rFonts w:cs="Times New Roman"/>
        </w:rPr>
        <w:t>) will support hypothesis 3.</w:t>
      </w:r>
    </w:p>
    <w:p w14:paraId="66E9C937" w14:textId="424BDDB1" w:rsidR="00E72A9B" w:rsidRPr="004E7E5A" w:rsidRDefault="00E72A9B" w:rsidP="00E72A9B">
      <w:pPr>
        <w:pStyle w:val="a7"/>
        <w:spacing w:line="480" w:lineRule="auto"/>
        <w:ind w:firstLine="480"/>
        <w:rPr>
          <w:rFonts w:cs="Times New Roman"/>
        </w:rPr>
      </w:pPr>
      <w:r w:rsidRPr="004E7E5A">
        <w:rPr>
          <w:rFonts w:cs="Times New Roman"/>
        </w:rPr>
        <w:t>Table 7 presents the second-stage regression results of estimating Equation (3). Columns (1) to (4) report the regression results for the 2SLS model using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xml:space="preserve">) as the key independent variable. The regression coefficients on the interaction terms of </w:t>
      </w:r>
      <w:proofErr w:type="spellStart"/>
      <w:r w:rsidRPr="004E7E5A">
        <w:rPr>
          <w:rFonts w:cs="Times New Roman"/>
          <w:i/>
          <w:iCs/>
        </w:rPr>
        <w:t>Score_max</w:t>
      </w:r>
      <w:proofErr w:type="spellEnd"/>
      <w:r w:rsidRPr="004E7E5A">
        <w:rPr>
          <w:rFonts w:cs="Times New Roman"/>
          <w:i/>
          <w:iCs/>
        </w:rPr>
        <w:t xml:space="preserve"> × Analyst,</w:t>
      </w:r>
      <w:r w:rsidRPr="004E7E5A">
        <w:rPr>
          <w:rFonts w:cs="Times New Roman"/>
        </w:rPr>
        <w:t xml:space="preserve"> </w:t>
      </w:r>
      <w:proofErr w:type="spellStart"/>
      <w:r w:rsidRPr="004E7E5A">
        <w:rPr>
          <w:rFonts w:cs="Times New Roman"/>
          <w:i/>
          <w:iCs/>
        </w:rPr>
        <w:t>Score_mean</w:t>
      </w:r>
      <w:proofErr w:type="spellEnd"/>
      <w:r w:rsidRPr="004E7E5A">
        <w:rPr>
          <w:rFonts w:cs="Times New Roman"/>
          <w:i/>
          <w:iCs/>
        </w:rPr>
        <w:t xml:space="preserve"> × Analyst,</w:t>
      </w:r>
      <w:r w:rsidRPr="004E7E5A">
        <w:rPr>
          <w:rFonts w:cs="Times New Roman"/>
        </w:rPr>
        <w:t xml:space="preserve"> </w:t>
      </w:r>
      <w:proofErr w:type="spellStart"/>
      <w:r w:rsidRPr="004E7E5A">
        <w:rPr>
          <w:rFonts w:cs="Times New Roman"/>
          <w:i/>
          <w:iCs/>
        </w:rPr>
        <w:t>Score_med</w:t>
      </w:r>
      <w:proofErr w:type="spellEnd"/>
      <w:r w:rsidRPr="004E7E5A">
        <w:rPr>
          <w:rFonts w:cs="Times New Roman"/>
          <w:i/>
          <w:iCs/>
        </w:rPr>
        <w:t xml:space="preserve"> × Analyst </w:t>
      </w:r>
      <w:r w:rsidRPr="004E7E5A">
        <w:rPr>
          <w:rFonts w:cs="Times New Roman"/>
        </w:rPr>
        <w:t xml:space="preserve">and </w:t>
      </w:r>
      <w:proofErr w:type="spellStart"/>
      <w:r w:rsidRPr="004E7E5A">
        <w:rPr>
          <w:rFonts w:cs="Times New Roman"/>
          <w:i/>
          <w:iCs/>
        </w:rPr>
        <w:t>Score_min</w:t>
      </w:r>
      <w:proofErr w:type="spellEnd"/>
      <w:r w:rsidRPr="004E7E5A">
        <w:rPr>
          <w:rFonts w:cs="Times New Roman"/>
          <w:i/>
          <w:iCs/>
        </w:rPr>
        <w:t xml:space="preserve"> × Analyst</w:t>
      </w:r>
      <w:r w:rsidRPr="004E7E5A">
        <w:rPr>
          <w:rFonts w:cs="Times New Roman"/>
        </w:rPr>
        <w:t xml:space="preserve"> are </w:t>
      </w:r>
      <w:r w:rsidRPr="004E7E5A">
        <w:rPr>
          <w:rFonts w:cs="Times New Roman" w:hint="eastAsia"/>
        </w:rPr>
        <w:t>nega</w:t>
      </w:r>
      <w:r w:rsidRPr="004E7E5A">
        <w:rPr>
          <w:rFonts w:cs="Times New Roman"/>
        </w:rPr>
        <w:t>tive and significant at the 5% level. Hypothesis 3 is supported. The result is consistent with the argument that directors’ network may improve CSR disclosure quality, and such a positive impact is found to be more salient among firms with lower analysts’ attention. This result support that analysts c</w:t>
      </w:r>
      <w:r w:rsidRPr="004E7E5A">
        <w:rPr>
          <w:rFonts w:cs="Times New Roman" w:hint="eastAsia"/>
        </w:rPr>
        <w:t>an</w:t>
      </w:r>
      <w:r w:rsidRPr="004E7E5A">
        <w:rPr>
          <w:rFonts w:cs="Times New Roman"/>
        </w:rPr>
        <w:t xml:space="preserve"> attract investors’ attention and improve the recognition of firms among investors </w:t>
      </w:r>
      <w:r w:rsidRPr="004E7E5A">
        <w:rPr>
          <w:rFonts w:cs="Times New Roman"/>
        </w:rPr>
        <w:fldChar w:fldCharType="begin"/>
      </w:r>
      <w:r w:rsidR="006F6C86" w:rsidRPr="004E7E5A">
        <w:rPr>
          <w:rFonts w:cs="Times New Roman"/>
        </w:rPr>
        <w:instrText xml:space="preserve"> ADDIN EN.CITE &lt;EndNote&gt;&lt;Cite&gt;&lt;Author&gt;Merton&lt;/Author&gt;&lt;Year&gt;1987&lt;/Year&gt;&lt;RecNum&gt;2108&lt;/RecNum&gt;&lt;DisplayText&gt;(Merton 1987)&lt;/DisplayText&gt;&lt;record&gt;&lt;rec-number&gt;2108&lt;/rec-number&gt;&lt;foreign-keys&gt;&lt;key app="EN" db-id="trr00pfsbzzex0ezwf6v5swd9fpfpwfa90xp" timestamp="1630380024" guid="566e5080-78fb-4f5e-87a1-d5518ebbe4f1"&gt;2108&lt;/key&gt;&lt;/foreign-keys&gt;&lt;ref-type name="Journal Article"&gt;17&lt;/ref-type&gt;&lt;contributors&gt;&lt;authors&gt;&lt;author&gt;Merton, R.&lt;/author&gt;&lt;/authors&gt;&lt;/contributors&gt;&lt;titles&gt;&lt;title&gt;An equilibrium market model with incomplete information&lt;/title&gt;&lt;secondary-title&gt;The Journal of Finance&lt;/secondary-title&gt;&lt;/titles&gt;&lt;periodical&gt;&lt;full-title&gt;The Journal of Finance&lt;/full-title&gt;&lt;/periodical&gt;&lt;pages&gt;483-511&lt;/pages&gt;&lt;volume&gt;42&lt;/volume&gt;&lt;dates&gt;&lt;year&gt;1987&lt;/year&gt;&lt;/dates&gt;&lt;urls&gt;&lt;/urls&gt;&lt;/record&gt;&lt;/Cite&gt;&lt;/EndNote&gt;</w:instrText>
      </w:r>
      <w:r w:rsidRPr="004E7E5A">
        <w:rPr>
          <w:rFonts w:cs="Times New Roman"/>
        </w:rPr>
        <w:fldChar w:fldCharType="separate"/>
      </w:r>
      <w:r w:rsidRPr="004E7E5A">
        <w:rPr>
          <w:rFonts w:cs="Times New Roman"/>
          <w:noProof/>
        </w:rPr>
        <w:t>(Merton 1987)</w:t>
      </w:r>
      <w:r w:rsidRPr="004E7E5A">
        <w:rPr>
          <w:rFonts w:cs="Times New Roman"/>
        </w:rPr>
        <w:fldChar w:fldCharType="end"/>
      </w:r>
      <w:r w:rsidRPr="004E7E5A">
        <w:rPr>
          <w:rFonts w:cs="Times New Roman"/>
        </w:rPr>
        <w:t>.</w:t>
      </w:r>
    </w:p>
    <w:p w14:paraId="31D9219E"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7 here]</w:t>
      </w:r>
    </w:p>
    <w:p w14:paraId="71EB6DAE" w14:textId="77777777" w:rsidR="00E72A9B" w:rsidRPr="004E7E5A" w:rsidRDefault="00E72A9B" w:rsidP="00E72A9B">
      <w:pPr>
        <w:pStyle w:val="a9"/>
        <w:rPr>
          <w:iCs w:val="0"/>
          <w:sz w:val="24"/>
          <w:szCs w:val="24"/>
        </w:rPr>
      </w:pPr>
      <w:r w:rsidRPr="004E7E5A">
        <w:rPr>
          <w:iCs w:val="0"/>
          <w:sz w:val="24"/>
          <w:szCs w:val="24"/>
        </w:rPr>
        <w:t>Results of Testing H4</w:t>
      </w:r>
    </w:p>
    <w:p w14:paraId="6FDBB0C2" w14:textId="1733E4DA" w:rsidR="00E72A9B" w:rsidRPr="004E7E5A" w:rsidRDefault="00E72A9B" w:rsidP="00E72A9B">
      <w:pPr>
        <w:pStyle w:val="a7"/>
        <w:spacing w:line="480" w:lineRule="auto"/>
        <w:ind w:firstLine="480"/>
        <w:rPr>
          <w:rFonts w:cs="Times New Roman"/>
          <w:i/>
          <w:iCs/>
        </w:rPr>
      </w:pPr>
      <w:r w:rsidRPr="004E7E5A">
        <w:rPr>
          <w:rFonts w:cs="Times New Roman"/>
        </w:rPr>
        <w:t xml:space="preserve">In this section we test whether the impact of directors’ network on CSR disclosure quality differs in firms with different auditors. Similar to the literature </w:t>
      </w:r>
      <w:r w:rsidRPr="004E7E5A">
        <w:rPr>
          <w:rFonts w:cs="Times New Roman"/>
        </w:rPr>
        <w:fldChar w:fldCharType="begin"/>
      </w:r>
      <w:r w:rsidR="00317C6A" w:rsidRPr="004E7E5A">
        <w:rPr>
          <w:rFonts w:cs="Times New Roman"/>
        </w:rPr>
        <w:instrText xml:space="preserve"> ADDIN EN.CITE &lt;EndNote&gt;&lt;Cite&gt;&lt;Author&gt;Simnett&lt;/Author&gt;&lt;Year&gt;2009&lt;/Year&gt;&lt;RecNum&gt;2062&lt;/RecNum&gt;&lt;DisplayText&gt;(Simnett et al. 2009; Liao et al. 2016)&lt;/DisplayText&gt;&lt;record&gt;&lt;rec-number&gt;2062&lt;/rec-number&gt;&lt;foreign-keys&gt;&lt;key app="EN" db-id="trr00pfsbzzex0ezwf6v5swd9fpfpwfa90xp" timestamp="1627809955" guid="4dc6f8bf-0de1-4269-8813-55d1a3db074b"&gt;2062&lt;/key&gt;&lt;/foreign-keys&gt;&lt;ref-type name="Journal Article"&gt;17&lt;/ref-type&gt;&lt;contributors&gt;&lt;authors&gt;&lt;author&gt;Simnett, R.&lt;/author&gt;&lt;author&gt;Vanstraelen, A.&lt;/author&gt;&lt;author&gt;Chua, W. F.&lt;/author&gt;&lt;/authors&gt;&lt;/contributors&gt;&lt;titles&gt;&lt;title&gt;Assurance on sustainability reports: An international comparison&lt;/title&gt;&lt;secondary-title&gt;The Accounting Review&lt;/secondary-title&gt;&lt;/titles&gt;&lt;periodical&gt;&lt;full-title&gt;The Accounting Review&lt;/full-title&gt;&lt;/periodical&gt;&lt;pages&gt;937-967&lt;/pages&gt;&lt;volume&gt;84&lt;/volume&gt;&lt;number&gt;3&lt;/number&gt;&lt;dates&gt;&lt;year&gt;2009&lt;/year&gt;&lt;/dates&gt;&lt;urls&gt;&lt;/urls&gt;&lt;/record&gt;&lt;/Cite&gt;&lt;Cite&gt;&lt;Author&gt;Liao&lt;/Author&gt;&lt;Year&gt;2016&lt;/Year&gt;&lt;RecNum&gt;318&lt;/RecNum&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rPr>
        <w:fldChar w:fldCharType="separate"/>
      </w:r>
      <w:r w:rsidRPr="004E7E5A">
        <w:rPr>
          <w:rFonts w:cs="Times New Roman"/>
          <w:noProof/>
        </w:rPr>
        <w:t>(Simnett et al. 2009; Liao et al. 2016)</w:t>
      </w:r>
      <w:r w:rsidRPr="004E7E5A">
        <w:rPr>
          <w:rFonts w:cs="Times New Roman"/>
        </w:rPr>
        <w:fldChar w:fldCharType="end"/>
      </w:r>
      <w:r w:rsidRPr="004E7E5A">
        <w:rPr>
          <w:rFonts w:cs="Times New Roman"/>
        </w:rPr>
        <w:t xml:space="preserve">, we use assurance over CSR reports as the proxy of auditors. </w:t>
      </w:r>
      <w:r w:rsidR="00113A81" w:rsidRPr="004E7E5A">
        <w:rPr>
          <w:rFonts w:cs="Times New Roman"/>
        </w:rPr>
        <w:t xml:space="preserve">Due to data availability, the </w:t>
      </w:r>
      <w:r w:rsidR="00113A81" w:rsidRPr="004E7E5A">
        <w:rPr>
          <w:rFonts w:cs="Times New Roman"/>
        </w:rPr>
        <w:lastRenderedPageBreak/>
        <w:t xml:space="preserve">sample size drops to </w:t>
      </w:r>
      <w:r w:rsidR="00113A81" w:rsidRPr="004E7E5A">
        <w:rPr>
          <w:rFonts w:cs="Times New Roman"/>
          <w:szCs w:val="24"/>
        </w:rPr>
        <w:t>3956</w:t>
      </w:r>
      <w:r w:rsidR="00113A81" w:rsidRPr="004E7E5A">
        <w:rPr>
          <w:rFonts w:cs="Times New Roman"/>
        </w:rPr>
        <w:t xml:space="preserve"> in this test because of missing observations in </w:t>
      </w:r>
      <w:r w:rsidR="004E09CD" w:rsidRPr="004E7E5A">
        <w:rPr>
          <w:rFonts w:cs="Times New Roman"/>
        </w:rPr>
        <w:t>assurance over CSR reports</w:t>
      </w:r>
      <w:r w:rsidR="00113A81" w:rsidRPr="004E7E5A">
        <w:rPr>
          <w:rFonts w:cs="Times New Roman"/>
        </w:rPr>
        <w:t xml:space="preserve">. </w:t>
      </w:r>
      <w:r w:rsidRPr="004E7E5A">
        <w:rPr>
          <w:rFonts w:cs="Times New Roman"/>
        </w:rPr>
        <w:t>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hint="eastAsia"/>
          <w:i/>
          <w:iCs/>
        </w:rPr>
        <w:t>CSR</w:t>
      </w:r>
      <w:r w:rsidRPr="004E7E5A">
        <w:rPr>
          <w:rFonts w:cs="Times New Roman"/>
          <w:i/>
          <w:iCs/>
        </w:rPr>
        <w:t xml:space="preserve"> assurance</w:t>
      </w:r>
      <w:r w:rsidRPr="004E7E5A">
        <w:rPr>
          <w:rFonts w:cs="Times New Roman"/>
        </w:rPr>
        <w:t xml:space="preserve">) to Equation (4) to test the moderating role of auditors. We add the variable </w:t>
      </w:r>
      <w:r w:rsidRPr="004E7E5A">
        <w:rPr>
          <w:rFonts w:cs="Times New Roman"/>
          <w:i/>
          <w:iCs/>
          <w:szCs w:val="24"/>
        </w:rPr>
        <w:t>Director convenience</w:t>
      </w:r>
      <w:r w:rsidRPr="004E7E5A">
        <w:rPr>
          <w:rFonts w:cs="Times New Roman"/>
        </w:rPr>
        <w:t xml:space="preserve"> as an instrument for network centrality (</w:t>
      </w:r>
      <w:r w:rsidRPr="004E7E5A">
        <w:rPr>
          <w:rFonts w:cs="Times New Roman"/>
          <w:i/>
          <w:iCs/>
        </w:rPr>
        <w:t>Score</w:t>
      </w:r>
      <w:r w:rsidRPr="004E7E5A">
        <w:rPr>
          <w:rFonts w:cs="Times New Roman"/>
        </w:rPr>
        <w:t>) in the 2SLS model while estimating Equations (4). We interact the instrument (</w:t>
      </w:r>
      <w:r w:rsidRPr="004E7E5A">
        <w:rPr>
          <w:rFonts w:cs="Times New Roman"/>
          <w:i/>
          <w:iCs/>
          <w:szCs w:val="24"/>
        </w:rPr>
        <w:t>Director convenience</w:t>
      </w:r>
      <w:r w:rsidRPr="004E7E5A">
        <w:rPr>
          <w:rFonts w:cs="Times New Roman"/>
        </w:rPr>
        <w:t>) with the moderating variable (</w:t>
      </w:r>
      <w:r w:rsidRPr="004E7E5A">
        <w:rPr>
          <w:rFonts w:cs="Times New Roman" w:hint="eastAsia"/>
          <w:i/>
          <w:iCs/>
        </w:rPr>
        <w:t>CSR</w:t>
      </w:r>
      <w:r w:rsidRPr="004E7E5A">
        <w:rPr>
          <w:rFonts w:cs="Times New Roman"/>
          <w:i/>
          <w:iCs/>
        </w:rPr>
        <w:t xml:space="preserve"> assurance</w:t>
      </w:r>
      <w:r w:rsidRPr="004E7E5A">
        <w:rPr>
          <w:rFonts w:cs="Times New Roman"/>
        </w:rPr>
        <w:t xml:space="preserve">) and then add the interaction term to the list of instruments in the 2SLS model while estimating Equations (4). We expect the effect of directors’ network on CSR disclosure quality to be more pronounced when a firm’ CSR report is not assured. A </w:t>
      </w:r>
      <w:r w:rsidRPr="004E7E5A">
        <w:rPr>
          <w:rFonts w:cs="Times New Roman" w:hint="eastAsia"/>
        </w:rPr>
        <w:t>nega</w:t>
      </w:r>
      <w:r w:rsidRPr="004E7E5A">
        <w:rPr>
          <w:rFonts w:cs="Times New Roman"/>
        </w:rPr>
        <w:t>tive and significant coefficient on the interaction term (</w:t>
      </w:r>
      <w:r w:rsidRPr="004E7E5A">
        <w:rPr>
          <w:rFonts w:cs="Times New Roman"/>
          <w:i/>
          <w:iCs/>
        </w:rPr>
        <w:t>Score</w:t>
      </w:r>
      <w:r w:rsidRPr="004E7E5A">
        <w:rPr>
          <w:rFonts w:cs="Times New Roman"/>
        </w:rPr>
        <w:t xml:space="preserve"> × </w:t>
      </w:r>
      <w:r w:rsidRPr="004E7E5A">
        <w:rPr>
          <w:rFonts w:cs="Times New Roman" w:hint="eastAsia"/>
          <w:i/>
          <w:iCs/>
        </w:rPr>
        <w:t>CSR</w:t>
      </w:r>
      <w:r w:rsidRPr="004E7E5A">
        <w:rPr>
          <w:rFonts w:cs="Times New Roman"/>
          <w:i/>
          <w:iCs/>
        </w:rPr>
        <w:t xml:space="preserve"> assurance</w:t>
      </w:r>
      <w:r w:rsidRPr="004E7E5A">
        <w:rPr>
          <w:rFonts w:cs="Times New Roman"/>
        </w:rPr>
        <w:t>) will support hypothesis 4.</w:t>
      </w:r>
      <w:r w:rsidRPr="004E7E5A">
        <w:rPr>
          <w:rFonts w:cs="Times New Roman"/>
          <w:i/>
          <w:iCs/>
        </w:rPr>
        <w:t xml:space="preserve"> </w:t>
      </w:r>
    </w:p>
    <w:p w14:paraId="5A18E8C1" w14:textId="77777777" w:rsidR="00E72A9B" w:rsidRPr="004E7E5A" w:rsidRDefault="00E72A9B" w:rsidP="00E72A9B">
      <w:pPr>
        <w:pStyle w:val="a7"/>
        <w:spacing w:line="480" w:lineRule="auto"/>
        <w:ind w:firstLine="480"/>
        <w:rPr>
          <w:rFonts w:cs="Times New Roman"/>
        </w:rPr>
      </w:pPr>
      <w:r w:rsidRPr="004E7E5A">
        <w:rPr>
          <w:rFonts w:cs="Times New Roman"/>
        </w:rPr>
        <w:t>Table 8 presents the second-stage regression results of estimating Equation (4). Columns (1) to (4) report the regression results for the 2SLS model using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xml:space="preserve">) as the key independent variable. The coefficients on the interaction terms of </w:t>
      </w:r>
      <w:proofErr w:type="spellStart"/>
      <w:r w:rsidRPr="004E7E5A">
        <w:rPr>
          <w:rFonts w:cs="Times New Roman"/>
          <w:i/>
          <w:iCs/>
        </w:rPr>
        <w:t>Score_max</w:t>
      </w:r>
      <w:proofErr w:type="spellEnd"/>
      <w:r w:rsidRPr="004E7E5A">
        <w:rPr>
          <w:rFonts w:cs="Times New Roman"/>
          <w:i/>
          <w:iCs/>
        </w:rPr>
        <w:t xml:space="preserve"> × </w:t>
      </w:r>
      <w:r w:rsidRPr="004E7E5A">
        <w:rPr>
          <w:rFonts w:cs="Times New Roman" w:hint="eastAsia"/>
          <w:i/>
          <w:iCs/>
        </w:rPr>
        <w:t>CSR</w:t>
      </w:r>
      <w:r w:rsidRPr="004E7E5A">
        <w:rPr>
          <w:rFonts w:cs="Times New Roman"/>
          <w:i/>
          <w:iCs/>
        </w:rPr>
        <w:t xml:space="preserve"> assurance,</w:t>
      </w:r>
      <w:r w:rsidRPr="004E7E5A">
        <w:rPr>
          <w:rFonts w:cs="Times New Roman"/>
        </w:rPr>
        <w:t xml:space="preserve"> </w:t>
      </w:r>
      <w:proofErr w:type="spellStart"/>
      <w:r w:rsidRPr="004E7E5A">
        <w:rPr>
          <w:rFonts w:cs="Times New Roman"/>
          <w:i/>
          <w:iCs/>
        </w:rPr>
        <w:t>Score_mean</w:t>
      </w:r>
      <w:proofErr w:type="spellEnd"/>
      <w:r w:rsidRPr="004E7E5A">
        <w:rPr>
          <w:rFonts w:cs="Times New Roman"/>
          <w:i/>
          <w:iCs/>
        </w:rPr>
        <w:t xml:space="preserve"> × </w:t>
      </w:r>
      <w:r w:rsidRPr="004E7E5A">
        <w:rPr>
          <w:rFonts w:cs="Times New Roman" w:hint="eastAsia"/>
          <w:i/>
          <w:iCs/>
        </w:rPr>
        <w:t>CSR</w:t>
      </w:r>
      <w:r w:rsidRPr="004E7E5A">
        <w:rPr>
          <w:rFonts w:cs="Times New Roman"/>
          <w:i/>
          <w:iCs/>
        </w:rPr>
        <w:t xml:space="preserve"> assurance,</w:t>
      </w:r>
      <w:r w:rsidRPr="004E7E5A">
        <w:rPr>
          <w:rFonts w:cs="Times New Roman"/>
        </w:rPr>
        <w:t xml:space="preserve"> </w:t>
      </w:r>
      <w:proofErr w:type="spellStart"/>
      <w:r w:rsidRPr="004E7E5A">
        <w:rPr>
          <w:rFonts w:cs="Times New Roman"/>
          <w:i/>
          <w:iCs/>
        </w:rPr>
        <w:t>Score_med</w:t>
      </w:r>
      <w:proofErr w:type="spellEnd"/>
      <w:r w:rsidRPr="004E7E5A">
        <w:rPr>
          <w:rFonts w:cs="Times New Roman"/>
          <w:i/>
          <w:iCs/>
        </w:rPr>
        <w:t xml:space="preserve"> × </w:t>
      </w:r>
      <w:r w:rsidRPr="004E7E5A">
        <w:rPr>
          <w:rFonts w:cs="Times New Roman" w:hint="eastAsia"/>
          <w:i/>
          <w:iCs/>
        </w:rPr>
        <w:t>CSR</w:t>
      </w:r>
      <w:r w:rsidRPr="004E7E5A">
        <w:rPr>
          <w:rFonts w:cs="Times New Roman"/>
          <w:i/>
          <w:iCs/>
        </w:rPr>
        <w:t xml:space="preserve"> assurance </w:t>
      </w:r>
      <w:r w:rsidRPr="004E7E5A">
        <w:rPr>
          <w:rFonts w:cs="Times New Roman"/>
        </w:rPr>
        <w:t xml:space="preserve">and </w:t>
      </w:r>
      <w:proofErr w:type="spellStart"/>
      <w:r w:rsidRPr="004E7E5A">
        <w:rPr>
          <w:rFonts w:cs="Times New Roman"/>
          <w:i/>
          <w:iCs/>
        </w:rPr>
        <w:t>Score_min</w:t>
      </w:r>
      <w:proofErr w:type="spellEnd"/>
      <w:r w:rsidRPr="004E7E5A">
        <w:rPr>
          <w:rFonts w:cs="Times New Roman"/>
          <w:i/>
          <w:iCs/>
        </w:rPr>
        <w:t xml:space="preserve"> × </w:t>
      </w:r>
      <w:r w:rsidRPr="004E7E5A">
        <w:rPr>
          <w:rFonts w:cs="Times New Roman" w:hint="eastAsia"/>
          <w:i/>
          <w:iCs/>
        </w:rPr>
        <w:t>CSR</w:t>
      </w:r>
      <w:r w:rsidRPr="004E7E5A">
        <w:rPr>
          <w:rFonts w:cs="Times New Roman"/>
          <w:i/>
          <w:iCs/>
        </w:rPr>
        <w:t xml:space="preserve"> assurance</w:t>
      </w:r>
      <w:r w:rsidRPr="004E7E5A">
        <w:rPr>
          <w:rFonts w:cs="Times New Roman"/>
        </w:rPr>
        <w:t xml:space="preserve"> are significantly negative. This result supports the argument that the positive impact of directors’ network on CSR disclosure quality is stronger among firms whose CSR report is not assured. Hypothesis 4 is supported.</w:t>
      </w:r>
    </w:p>
    <w:p w14:paraId="08A60BB5"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8 here]</w:t>
      </w:r>
    </w:p>
    <w:p w14:paraId="651BDF31" w14:textId="77777777" w:rsidR="00E72A9B" w:rsidRPr="004E7E5A" w:rsidRDefault="00E72A9B" w:rsidP="00E72A9B">
      <w:pPr>
        <w:pStyle w:val="a9"/>
        <w:rPr>
          <w:iCs w:val="0"/>
          <w:sz w:val="24"/>
          <w:szCs w:val="24"/>
        </w:rPr>
      </w:pPr>
      <w:r w:rsidRPr="004E7E5A">
        <w:rPr>
          <w:iCs w:val="0"/>
          <w:sz w:val="24"/>
          <w:szCs w:val="24"/>
        </w:rPr>
        <w:t>Results of Testing H5</w:t>
      </w:r>
    </w:p>
    <w:p w14:paraId="794E3CBB" w14:textId="2C8A0E98" w:rsidR="00E72A9B" w:rsidRPr="004E7E5A" w:rsidRDefault="00E72A9B" w:rsidP="00E72A9B">
      <w:pPr>
        <w:pStyle w:val="a7"/>
        <w:spacing w:line="480" w:lineRule="auto"/>
        <w:ind w:firstLine="480"/>
        <w:rPr>
          <w:rFonts w:cs="Times New Roman"/>
        </w:rPr>
      </w:pPr>
      <w:r w:rsidRPr="004E7E5A">
        <w:rPr>
          <w:rFonts w:cs="Times New Roman"/>
        </w:rPr>
        <w:t xml:space="preserve">We test whether the impact of directors’ network on CSR disclosure quality differs in firms with different levels of external punishment pressure in this section. We used </w:t>
      </w:r>
      <w:r w:rsidRPr="004E7E5A">
        <w:rPr>
          <w:rFonts w:cs="Times New Roman"/>
          <w:shd w:val="clear" w:color="auto" w:fill="FFFFFF"/>
        </w:rPr>
        <w:t>environmental regulatory penalty</w:t>
      </w:r>
      <w:r w:rsidRPr="004E7E5A">
        <w:rPr>
          <w:rFonts w:cs="Times New Roman"/>
        </w:rPr>
        <w:t xml:space="preserve"> as a proxy for external punishment pressure </w:t>
      </w:r>
      <w:r w:rsidRPr="004E7E5A">
        <w:rPr>
          <w:rFonts w:cs="Times New Roman"/>
        </w:rPr>
        <w:fldChar w:fldCharType="begin"/>
      </w:r>
      <w:r w:rsidR="006F6C86" w:rsidRPr="004E7E5A">
        <w:rPr>
          <w:rFonts w:cs="Times New Roman"/>
        </w:rPr>
        <w:instrText xml:space="preserve"> ADDIN EN.CITE &lt;EndNote&gt;&lt;Cite&gt;&lt;Author&gt;Xia&lt;/Author&gt;&lt;Year&gt;2019&lt;/Year&gt;&lt;RecNum&gt;2038&lt;/RecNum&gt;&lt;DisplayText&gt;(Xia et al. 2019)&lt;/DisplayText&gt;&lt;record&gt;&lt;rec-number&gt;2038&lt;/rec-number&gt;&lt;foreign-keys&gt;&lt;key app="EN" db-id="trr00pfsbzzex0ezwf6v5swd9fpfpwfa90xp" timestamp="1627454795" guid="72eb9cb4-42b0-46ae-9aca-c1d1dfe92af6"&gt;2038&lt;/key&gt;&lt;/foreign-keys&gt;&lt;ref-type name="Journal Article"&gt;17&lt;/ref-type&gt;&lt;contributors&gt;&lt;authors&gt;&lt;author&gt;Xia, Xue&lt;/author&gt;&lt;author&gt;Teng, Fei&lt;/author&gt;&lt;author&gt;Gu, Xiaolong&lt;/author&gt;&lt;/authors&gt;&lt;/contributors&gt;&lt;titles&gt;&lt;title&gt;Reputation repair and corporate donations: An investigation of responses to regulatory penalties&lt;/title&gt;&lt;secondary-title&gt;China Journal of Accounting Research&lt;/secondary-title&gt;&lt;/titles&gt;&lt;periodical&gt;&lt;full-title&gt;China Journal of Accounting Research&lt;/full-title&gt;&lt;/periodical&gt;&lt;pages&gt;293-313&lt;/pages&gt;&lt;volume&gt;12&lt;/volume&gt;&lt;number&gt;3&lt;/number&gt;&lt;keywords&gt;&lt;keyword&gt;Regulatory penalty&lt;/keyword&gt;&lt;keyword&gt;Donation&lt;/keyword&gt;&lt;keyword&gt;Reputation repair&lt;/keyword&gt;&lt;/keywords&gt;&lt;dates&gt;&lt;year&gt;2019&lt;/year&gt;&lt;pub-dates&gt;&lt;date&gt;2019/09/01/&lt;/date&gt;&lt;/pub-dates&gt;&lt;/dates&gt;&lt;isbn&gt;1755-3091&lt;/isbn&gt;&lt;urls&gt;&lt;related-urls&gt;&lt;url&gt;https://www.sciencedirect.com/science/article/pii/S1755309118302508&lt;/url&gt;&lt;/related-urls&gt;&lt;/urls&gt;&lt;electronic-resource-num&gt;https://doi.org/10.1016/j.cjar.2019.06.001&lt;/electronic-resource-num&gt;&lt;/record&gt;&lt;/Cite&gt;&lt;/EndNote&gt;</w:instrText>
      </w:r>
      <w:r w:rsidRPr="004E7E5A">
        <w:rPr>
          <w:rFonts w:cs="Times New Roman"/>
        </w:rPr>
        <w:fldChar w:fldCharType="separate"/>
      </w:r>
      <w:r w:rsidRPr="004E7E5A">
        <w:rPr>
          <w:rFonts w:cs="Times New Roman"/>
          <w:noProof/>
        </w:rPr>
        <w:t>(Xia et al. 2019)</w:t>
      </w:r>
      <w:r w:rsidRPr="004E7E5A">
        <w:rPr>
          <w:rFonts w:cs="Times New Roman"/>
        </w:rPr>
        <w:fldChar w:fldCharType="end"/>
      </w:r>
      <w:r w:rsidRPr="004E7E5A">
        <w:rPr>
          <w:rFonts w:cs="Times New Roman"/>
        </w:rPr>
        <w:t xml:space="preserve">. We add the </w:t>
      </w:r>
      <w:r w:rsidRPr="004E7E5A">
        <w:rPr>
          <w:rFonts w:cs="Times New Roman"/>
        </w:rPr>
        <w:lastRenderedPageBreak/>
        <w:t>interaction between our variable of interest (</w:t>
      </w:r>
      <w:r w:rsidRPr="004E7E5A">
        <w:rPr>
          <w:rFonts w:cs="Times New Roman"/>
          <w:i/>
          <w:iCs/>
        </w:rPr>
        <w:t>Score</w:t>
      </w:r>
      <w:r w:rsidRPr="004E7E5A">
        <w:rPr>
          <w:rFonts w:cs="Times New Roman"/>
        </w:rPr>
        <w:t>) and our moderating variable (</w:t>
      </w:r>
      <w:r w:rsidRPr="004E7E5A">
        <w:rPr>
          <w:rFonts w:cs="Times New Roman"/>
          <w:i/>
          <w:iCs/>
        </w:rPr>
        <w:t>Punish</w:t>
      </w:r>
      <w:r w:rsidRPr="004E7E5A">
        <w:rPr>
          <w:rFonts w:cs="Times New Roman"/>
        </w:rPr>
        <w:t xml:space="preserve">) to Equation (5) to test the moderating role of external punishment pressure. We add the variable </w:t>
      </w:r>
      <w:r w:rsidRPr="004E7E5A">
        <w:rPr>
          <w:rFonts w:cs="Times New Roman"/>
          <w:i/>
          <w:iCs/>
          <w:szCs w:val="24"/>
        </w:rPr>
        <w:t>Director convenience</w:t>
      </w:r>
      <w:r w:rsidRPr="004E7E5A">
        <w:rPr>
          <w:rFonts w:cs="Times New Roman"/>
        </w:rPr>
        <w:t xml:space="preserve"> as an instrument for network centrality (</w:t>
      </w:r>
      <w:r w:rsidRPr="004E7E5A">
        <w:rPr>
          <w:rFonts w:cs="Times New Roman"/>
          <w:i/>
          <w:iCs/>
        </w:rPr>
        <w:t>Score</w:t>
      </w:r>
      <w:r w:rsidRPr="004E7E5A">
        <w:rPr>
          <w:rFonts w:cs="Times New Roman"/>
        </w:rPr>
        <w:t>) in the 2SLS model while estimating Equations (5). We interact the instrument (</w:t>
      </w:r>
      <w:r w:rsidRPr="004E7E5A">
        <w:rPr>
          <w:rFonts w:cs="Times New Roman"/>
          <w:i/>
          <w:iCs/>
          <w:szCs w:val="24"/>
        </w:rPr>
        <w:t>Director convenience</w:t>
      </w:r>
      <w:r w:rsidRPr="004E7E5A">
        <w:rPr>
          <w:rFonts w:cs="Times New Roman"/>
        </w:rPr>
        <w:t>) with the moderating variable (</w:t>
      </w:r>
      <w:r w:rsidRPr="004E7E5A">
        <w:rPr>
          <w:rFonts w:cs="Times New Roman"/>
          <w:i/>
          <w:iCs/>
        </w:rPr>
        <w:t>Punish</w:t>
      </w:r>
      <w:r w:rsidRPr="004E7E5A">
        <w:rPr>
          <w:rFonts w:cs="Times New Roman"/>
        </w:rPr>
        <w:t xml:space="preserve">) and then add the interaction term to the list of instruments in the 2SLS model while estimating Equations (5). We expect the effect of directors’ network on CSR disclosure quality to be more pronounced in the </w:t>
      </w:r>
      <w:r w:rsidRPr="004E7E5A">
        <w:rPr>
          <w:rFonts w:cs="Times New Roman"/>
          <w:shd w:val="clear" w:color="auto" w:fill="FFFFFF"/>
        </w:rPr>
        <w:t>penalized</w:t>
      </w:r>
      <w:r w:rsidRPr="004E7E5A">
        <w:rPr>
          <w:rFonts w:cs="Times New Roman"/>
        </w:rPr>
        <w:t xml:space="preserve"> firms. </w:t>
      </w:r>
    </w:p>
    <w:p w14:paraId="497CBB48" w14:textId="372EFE6C" w:rsidR="00E72A9B" w:rsidRPr="004E7E5A" w:rsidRDefault="00E72A9B" w:rsidP="00E72A9B">
      <w:pPr>
        <w:pStyle w:val="a7"/>
        <w:spacing w:line="480" w:lineRule="auto"/>
        <w:ind w:firstLine="480"/>
        <w:rPr>
          <w:rFonts w:cs="Times New Roman"/>
        </w:rPr>
      </w:pPr>
      <w:r w:rsidRPr="004E7E5A">
        <w:rPr>
          <w:rFonts w:cs="Times New Roman"/>
        </w:rPr>
        <w:t>Table 9 presents the second-stage regression results of estimating Equation (5). Columns (1) to (4) report the regression results for the 2SLS model using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xml:space="preserve">) as the key independent variable. The regression coefficients on </w:t>
      </w:r>
      <w:proofErr w:type="spellStart"/>
      <w:r w:rsidRPr="004E7E5A">
        <w:rPr>
          <w:rFonts w:cs="Times New Roman"/>
          <w:i/>
          <w:iCs/>
        </w:rPr>
        <w:t>Score_max</w:t>
      </w:r>
      <w:proofErr w:type="spellEnd"/>
      <w:r w:rsidRPr="004E7E5A">
        <w:rPr>
          <w:rFonts w:cs="Times New Roman"/>
          <w:i/>
          <w:iCs/>
        </w:rPr>
        <w:t xml:space="preserve"> × Punish,</w:t>
      </w:r>
      <w:r w:rsidRPr="004E7E5A">
        <w:rPr>
          <w:rFonts w:cs="Times New Roman"/>
        </w:rPr>
        <w:t xml:space="preserve"> </w:t>
      </w:r>
      <w:proofErr w:type="spellStart"/>
      <w:r w:rsidRPr="004E7E5A">
        <w:rPr>
          <w:rFonts w:cs="Times New Roman"/>
          <w:i/>
          <w:iCs/>
        </w:rPr>
        <w:t>Score_mean</w:t>
      </w:r>
      <w:proofErr w:type="spellEnd"/>
      <w:r w:rsidRPr="004E7E5A">
        <w:rPr>
          <w:rFonts w:cs="Times New Roman"/>
          <w:i/>
          <w:iCs/>
        </w:rPr>
        <w:t xml:space="preserve"> × Punish,</w:t>
      </w:r>
      <w:r w:rsidRPr="004E7E5A">
        <w:rPr>
          <w:rFonts w:cs="Times New Roman"/>
        </w:rPr>
        <w:t xml:space="preserve"> </w:t>
      </w:r>
      <w:proofErr w:type="spellStart"/>
      <w:r w:rsidRPr="004E7E5A">
        <w:rPr>
          <w:rFonts w:cs="Times New Roman"/>
          <w:i/>
          <w:iCs/>
        </w:rPr>
        <w:t>Score_med</w:t>
      </w:r>
      <w:proofErr w:type="spellEnd"/>
      <w:r w:rsidRPr="004E7E5A">
        <w:rPr>
          <w:rFonts w:cs="Times New Roman"/>
          <w:i/>
          <w:iCs/>
        </w:rPr>
        <w:t xml:space="preserve"> × Punish </w:t>
      </w:r>
      <w:r w:rsidRPr="004E7E5A">
        <w:rPr>
          <w:rFonts w:cs="Times New Roman"/>
        </w:rPr>
        <w:t xml:space="preserve">and </w:t>
      </w:r>
      <w:proofErr w:type="spellStart"/>
      <w:r w:rsidRPr="004E7E5A">
        <w:rPr>
          <w:rFonts w:cs="Times New Roman"/>
          <w:i/>
          <w:iCs/>
        </w:rPr>
        <w:t>Score_min</w:t>
      </w:r>
      <w:proofErr w:type="spellEnd"/>
      <w:r w:rsidRPr="004E7E5A">
        <w:rPr>
          <w:rFonts w:cs="Times New Roman"/>
          <w:i/>
          <w:iCs/>
        </w:rPr>
        <w:t xml:space="preserve"> × Punish</w:t>
      </w:r>
      <w:r w:rsidRPr="004E7E5A">
        <w:rPr>
          <w:rFonts w:cs="Times New Roman"/>
        </w:rPr>
        <w:t xml:space="preserve"> are not significant. The result doesn’t support H5. There is no obvious influence of external punishment pressure (</w:t>
      </w:r>
      <w:r w:rsidRPr="004E7E5A">
        <w:rPr>
          <w:rFonts w:cs="Times New Roman"/>
          <w:i/>
          <w:iCs/>
        </w:rPr>
        <w:t>Punish</w:t>
      </w:r>
      <w:r w:rsidRPr="004E7E5A">
        <w:rPr>
          <w:rFonts w:cs="Times New Roman"/>
        </w:rPr>
        <w:t xml:space="preserve">) on the relationship between directors’ network and CSR disclosure quality. One possible reason for this is </w:t>
      </w:r>
      <w:r w:rsidRPr="004E7E5A">
        <w:rPr>
          <w:rFonts w:cs="Times New Roman"/>
          <w:shd w:val="clear" w:color="auto" w:fill="FFFFFF"/>
        </w:rPr>
        <w:t xml:space="preserve">the weak legal </w:t>
      </w:r>
      <w:r w:rsidRPr="004E7E5A">
        <w:rPr>
          <w:rFonts w:cs="Times New Roman"/>
        </w:rPr>
        <w:t>environment</w:t>
      </w:r>
      <w:r w:rsidRPr="004E7E5A">
        <w:rPr>
          <w:rFonts w:cs="Times New Roman"/>
          <w:shd w:val="clear" w:color="auto" w:fill="FFFFFF"/>
        </w:rPr>
        <w:t xml:space="preserve"> in China </w:t>
      </w:r>
      <w:r w:rsidRPr="004E7E5A">
        <w:rPr>
          <w:rFonts w:cs="Times New Roman"/>
        </w:rPr>
        <w:fldChar w:fldCharType="begin"/>
      </w:r>
      <w:r w:rsidR="006F6C86" w:rsidRPr="004E7E5A">
        <w:rPr>
          <w:rFonts w:cs="Times New Roman"/>
        </w:rPr>
        <w:instrText xml:space="preserve"> ADDIN EN.CITE &lt;EndNote&gt;&lt;Cite&gt;&lt;Author&gt;Jiang&lt;/Author&gt;&lt;Year&gt;2015&lt;/Year&gt;&lt;RecNum&gt;1793&lt;/RecNum&gt;&lt;DisplayText&gt;(Jiang and Kim 2015)&lt;/DisplayText&gt;&lt;record&gt;&lt;rec-number&gt;1793&lt;/rec-number&gt;&lt;foreign-keys&gt;&lt;key app="EN" db-id="trr00pfsbzzex0ezwf6v5swd9fpfpwfa90xp" timestamp="1595384884" guid="16671cf2-d904-48cb-bde2-0df4717436cf"&gt;1793&lt;/key&gt;&lt;/foreign-keys&gt;&lt;ref-type name="Journal Article"&gt;17&lt;/ref-type&gt;&lt;contributors&gt;&lt;authors&gt;&lt;author&gt;Jiang, Fuxiu&lt;/author&gt;&lt;author&gt;Kim, Kenneth A.&lt;/author&gt;&lt;/authors&gt;&lt;/contributors&gt;&lt;titles&gt;&lt;title&gt;Corporate governance in China: A modern perspective&lt;/title&gt;&lt;secondary-title&gt;Journal of Corporate Finance&lt;/secondary-title&gt;&lt;/titles&gt;&lt;periodical&gt;&lt;full-title&gt;Journal of Corporate Finance&lt;/full-title&gt;&lt;/periodical&gt;&lt;pages&gt;190-216&lt;/pages&gt;&lt;volume&gt;32&lt;/volume&gt;&lt;section&gt;190&lt;/section&gt;&lt;dates&gt;&lt;year&gt;2015&lt;/year&gt;&lt;/dates&gt;&lt;isbn&gt;09291199&lt;/isbn&gt;&lt;urls&gt;&lt;/urls&gt;&lt;electronic-resource-num&gt;10.1016/j.jcorpfin.2014.10.010&lt;/electronic-resource-num&gt;&lt;/record&gt;&lt;/Cite&gt;&lt;/EndNote&gt;</w:instrText>
      </w:r>
      <w:r w:rsidRPr="004E7E5A">
        <w:rPr>
          <w:rFonts w:cs="Times New Roman"/>
        </w:rPr>
        <w:fldChar w:fldCharType="separate"/>
      </w:r>
      <w:r w:rsidRPr="004E7E5A">
        <w:rPr>
          <w:rFonts w:cs="Times New Roman"/>
          <w:noProof/>
        </w:rPr>
        <w:t>(Jiang and Kim 2015)</w:t>
      </w:r>
      <w:r w:rsidRPr="004E7E5A">
        <w:rPr>
          <w:rFonts w:cs="Times New Roman"/>
        </w:rPr>
        <w:fldChar w:fldCharType="end"/>
      </w:r>
      <w:r w:rsidRPr="004E7E5A">
        <w:rPr>
          <w:rFonts w:cs="Times New Roman"/>
          <w:shd w:val="clear" w:color="auto" w:fill="FFFFFF"/>
        </w:rPr>
        <w:t>.</w:t>
      </w:r>
      <w:r w:rsidRPr="004E7E5A">
        <w:rPr>
          <w:rFonts w:cs="Times New Roman"/>
        </w:rPr>
        <w:t xml:space="preserve"> Except for the legal environment of laws and enforcement, punishment also plays an important role in </w:t>
      </w:r>
      <w:r w:rsidRPr="004E7E5A">
        <w:rPr>
          <w:rFonts w:cs="Times New Roman"/>
          <w:shd w:val="clear" w:color="auto" w:fill="FFFFFF"/>
        </w:rPr>
        <w:t xml:space="preserve">legal </w:t>
      </w:r>
      <w:r w:rsidRPr="004E7E5A">
        <w:rPr>
          <w:rFonts w:cs="Times New Roman"/>
        </w:rPr>
        <w:t xml:space="preserve">environment. In China, fines and punishments for violations of securities regulations and company laws are light. This low level of punishment leads to weak legal enforcement </w:t>
      </w:r>
      <w:r w:rsidRPr="004E7E5A">
        <w:rPr>
          <w:rFonts w:cs="Times New Roman"/>
        </w:rPr>
        <w:fldChar w:fldCharType="begin"/>
      </w:r>
      <w:r w:rsidR="006F6C86" w:rsidRPr="004E7E5A">
        <w:rPr>
          <w:rFonts w:cs="Times New Roman"/>
        </w:rPr>
        <w:instrText xml:space="preserve"> ADDIN EN.CITE &lt;EndNote&gt;&lt;Cite&gt;&lt;Author&gt;Jiang&lt;/Author&gt;&lt;Year&gt;2015&lt;/Year&gt;&lt;RecNum&gt;1793&lt;/RecNum&gt;&lt;DisplayText&gt;(Jiang and Kim 2015)&lt;/DisplayText&gt;&lt;record&gt;&lt;rec-number&gt;1793&lt;/rec-number&gt;&lt;foreign-keys&gt;&lt;key app="EN" db-id="trr00pfsbzzex0ezwf6v5swd9fpfpwfa90xp" timestamp="1595384884" guid="16671cf2-d904-48cb-bde2-0df4717436cf"&gt;1793&lt;/key&gt;&lt;/foreign-keys&gt;&lt;ref-type name="Journal Article"&gt;17&lt;/ref-type&gt;&lt;contributors&gt;&lt;authors&gt;&lt;author&gt;Jiang, Fuxiu&lt;/author&gt;&lt;author&gt;Kim, Kenneth A.&lt;/author&gt;&lt;/authors&gt;&lt;/contributors&gt;&lt;titles&gt;&lt;title&gt;Corporate governance in China: A modern perspective&lt;/title&gt;&lt;secondary-title&gt;Journal of Corporate Finance&lt;/secondary-title&gt;&lt;/titles&gt;&lt;periodical&gt;&lt;full-title&gt;Journal of Corporate Finance&lt;/full-title&gt;&lt;/periodical&gt;&lt;pages&gt;190-216&lt;/pages&gt;&lt;volume&gt;32&lt;/volume&gt;&lt;section&gt;190&lt;/section&gt;&lt;dates&gt;&lt;year&gt;2015&lt;/year&gt;&lt;/dates&gt;&lt;isbn&gt;09291199&lt;/isbn&gt;&lt;urls&gt;&lt;/urls&gt;&lt;electronic-resource-num&gt;10.1016/j.jcorpfin.2014.10.010&lt;/electronic-resource-num&gt;&lt;/record&gt;&lt;/Cite&gt;&lt;/EndNote&gt;</w:instrText>
      </w:r>
      <w:r w:rsidRPr="004E7E5A">
        <w:rPr>
          <w:rFonts w:cs="Times New Roman"/>
        </w:rPr>
        <w:fldChar w:fldCharType="separate"/>
      </w:r>
      <w:r w:rsidRPr="004E7E5A">
        <w:rPr>
          <w:rFonts w:cs="Times New Roman"/>
          <w:noProof/>
        </w:rPr>
        <w:t>(Jiang and Kim 2015)</w:t>
      </w:r>
      <w:r w:rsidRPr="004E7E5A">
        <w:rPr>
          <w:rFonts w:cs="Times New Roman"/>
        </w:rPr>
        <w:fldChar w:fldCharType="end"/>
      </w:r>
      <w:r w:rsidRPr="004E7E5A">
        <w:rPr>
          <w:rFonts w:cs="Times New Roman"/>
        </w:rPr>
        <w:t xml:space="preserve">. </w:t>
      </w:r>
    </w:p>
    <w:p w14:paraId="5129A1FB"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9 here]</w:t>
      </w:r>
    </w:p>
    <w:p w14:paraId="4537F872" w14:textId="77777777" w:rsidR="00E72A9B" w:rsidRPr="004E7E5A" w:rsidRDefault="00E72A9B" w:rsidP="00E72A9B">
      <w:pPr>
        <w:pStyle w:val="a9"/>
        <w:rPr>
          <w:iCs w:val="0"/>
          <w:sz w:val="24"/>
          <w:szCs w:val="24"/>
        </w:rPr>
      </w:pPr>
      <w:r w:rsidRPr="004E7E5A">
        <w:rPr>
          <w:iCs w:val="0"/>
          <w:sz w:val="24"/>
          <w:szCs w:val="24"/>
        </w:rPr>
        <w:t>Results of Testing H6</w:t>
      </w:r>
    </w:p>
    <w:p w14:paraId="0F42F439" w14:textId="797D799E" w:rsidR="00E72A9B" w:rsidRPr="004E7E5A" w:rsidRDefault="00E72A9B" w:rsidP="00E72A9B">
      <w:pPr>
        <w:pStyle w:val="a7"/>
        <w:spacing w:line="480" w:lineRule="auto"/>
        <w:ind w:firstLine="480"/>
        <w:rPr>
          <w:rFonts w:cs="Times New Roman"/>
        </w:rPr>
      </w:pPr>
      <w:r w:rsidRPr="004E7E5A">
        <w:rPr>
          <w:rFonts w:cs="Times New Roman"/>
        </w:rPr>
        <w:t xml:space="preserve">We test whether the impact of directors’ network on CSR disclosure quality differs in firms with different levels of financial constraints in this section. We add the interaction between our </w:t>
      </w:r>
      <w:r w:rsidRPr="004E7E5A">
        <w:rPr>
          <w:rFonts w:cs="Times New Roman"/>
        </w:rPr>
        <w:lastRenderedPageBreak/>
        <w:t>variable of interest (</w:t>
      </w:r>
      <w:r w:rsidRPr="004E7E5A">
        <w:rPr>
          <w:rFonts w:cs="Times New Roman"/>
          <w:i/>
          <w:iCs/>
        </w:rPr>
        <w:t>Score</w:t>
      </w:r>
      <w:r w:rsidRPr="004E7E5A">
        <w:rPr>
          <w:rFonts w:cs="Times New Roman"/>
        </w:rPr>
        <w:t>) and our moderating variable (</w:t>
      </w:r>
      <w:r w:rsidRPr="004E7E5A">
        <w:rPr>
          <w:rFonts w:cs="Times New Roman"/>
          <w:i/>
          <w:iCs/>
        </w:rPr>
        <w:t>FC index</w:t>
      </w:r>
      <w:r w:rsidRPr="004E7E5A">
        <w:rPr>
          <w:rFonts w:cs="Times New Roman"/>
        </w:rPr>
        <w:t xml:space="preserve">) to Equation (6) to test the moderating role of financial constraints. We add the variable </w:t>
      </w:r>
      <w:r w:rsidRPr="004E7E5A">
        <w:rPr>
          <w:rFonts w:cs="Times New Roman"/>
          <w:i/>
          <w:iCs/>
          <w:szCs w:val="24"/>
        </w:rPr>
        <w:t>Director convenience</w:t>
      </w:r>
      <w:r w:rsidRPr="004E7E5A">
        <w:rPr>
          <w:rFonts w:cs="Times New Roman"/>
        </w:rPr>
        <w:t xml:space="preserve"> as an instrument for network centrality (</w:t>
      </w:r>
      <w:r w:rsidRPr="004E7E5A">
        <w:rPr>
          <w:rFonts w:cs="Times New Roman"/>
          <w:i/>
          <w:iCs/>
        </w:rPr>
        <w:t>Score</w:t>
      </w:r>
      <w:r w:rsidRPr="004E7E5A">
        <w:rPr>
          <w:rFonts w:cs="Times New Roman"/>
        </w:rPr>
        <w:t>) in the 2SLS model while estimating Equations (6). We interact the instrument (</w:t>
      </w:r>
      <w:r w:rsidRPr="004E7E5A">
        <w:rPr>
          <w:rFonts w:cs="Times New Roman"/>
          <w:i/>
          <w:iCs/>
          <w:szCs w:val="24"/>
        </w:rPr>
        <w:t>Director convenience</w:t>
      </w:r>
      <w:r w:rsidRPr="004E7E5A">
        <w:rPr>
          <w:rFonts w:cs="Times New Roman"/>
        </w:rPr>
        <w:t>) with the moderating variable (</w:t>
      </w:r>
      <w:r w:rsidRPr="004E7E5A">
        <w:rPr>
          <w:rFonts w:cs="Times New Roman"/>
          <w:i/>
          <w:iCs/>
        </w:rPr>
        <w:t>FC index</w:t>
      </w:r>
      <w:r w:rsidRPr="004E7E5A">
        <w:rPr>
          <w:rFonts w:cs="Times New Roman"/>
        </w:rPr>
        <w:t>) and then add the interaction term to the list of instruments in the 2SLS model while estimating Equations (6). With the assumption that firms with higher FC index (</w:t>
      </w:r>
      <w:r w:rsidRPr="004E7E5A">
        <w:rPr>
          <w:rFonts w:cs="Times New Roman"/>
          <w:i/>
          <w:iCs/>
          <w:szCs w:val="24"/>
        </w:rPr>
        <w:t>FC index</w:t>
      </w:r>
      <w:r w:rsidRPr="004E7E5A">
        <w:rPr>
          <w:rFonts w:cs="Times New Roman"/>
        </w:rPr>
        <w:t xml:space="preserve">) are highly financial constrained </w:t>
      </w:r>
      <w:r w:rsidRPr="004E7E5A">
        <w:rPr>
          <w:rFonts w:cs="Times New Roman"/>
        </w:rPr>
        <w:fldChar w:fldCharType="begin"/>
      </w:r>
      <w:r w:rsidR="001A1175" w:rsidRPr="004E7E5A">
        <w:rPr>
          <w:rFonts w:cs="Times New Roman"/>
        </w:rPr>
        <w:instrText xml:space="preserve"> ADDIN EN.CITE &lt;EndNote&gt;&lt;Cite&gt;&lt;Author&gt;Kaplan&lt;/Author&gt;&lt;Year&gt;1997&lt;/Year&gt;&lt;RecNum&gt;1757&lt;/RecNum&gt;&lt;DisplayText&gt;(Kaplan and Zingales 1997)&lt;/DisplayText&gt;&lt;record&gt;&lt;rec-number&gt;1757&lt;/rec-number&gt;&lt;foreign-keys&gt;&lt;key app="EN" db-id="trr00pfsbzzex0ezwf6v5swd9fpfpwfa90xp" timestamp="1591689965" guid="fb174a79-9eda-45a3-8902-5dfe80afac4c"&gt;1757&lt;/key&gt;&lt;/foreign-keys&gt;&lt;ref-type name="Journal Article"&gt;17&lt;/ref-type&gt;&lt;contributors&gt;&lt;authors&gt;&lt;author&gt;Kaplan, Steven N.&lt;/author&gt;&lt;author&gt;Zingales, Luigi. &lt;/author&gt;&lt;/authors&gt;&lt;/contributors&gt;&lt;titles&gt;&lt;title&gt;Do investment-cash flow sensitivities provide useful measures of financing constraints?&lt;/title&gt;&lt;secondary-title&gt;Quarterly Journal of Economics&lt;/secondary-title&gt;&lt;/titles&gt;&lt;periodical&gt;&lt;full-title&gt;Quarterly Journal of Economics&lt;/full-title&gt;&lt;/periodical&gt;&lt;pages&gt;169-215&lt;/pages&gt;&lt;volume&gt;112&lt;/volume&gt;&lt;number&gt;1&lt;/number&gt;&lt;dates&gt;&lt;year&gt;1997&lt;/year&gt;&lt;/dates&gt;&lt;urls&gt;&lt;/urls&gt;&lt;electronic-resource-num&gt;10.1162/003355397555163&lt;/electronic-resource-num&gt;&lt;/record&gt;&lt;/Cite&gt;&lt;/EndNote&gt;</w:instrText>
      </w:r>
      <w:r w:rsidRPr="004E7E5A">
        <w:rPr>
          <w:rFonts w:cs="Times New Roman"/>
        </w:rPr>
        <w:fldChar w:fldCharType="separate"/>
      </w:r>
      <w:r w:rsidRPr="004E7E5A">
        <w:rPr>
          <w:rFonts w:cs="Times New Roman"/>
          <w:noProof/>
        </w:rPr>
        <w:t>(Kaplan and Zingales 1997)</w:t>
      </w:r>
      <w:r w:rsidRPr="004E7E5A">
        <w:rPr>
          <w:rFonts w:cs="Times New Roman"/>
        </w:rPr>
        <w:fldChar w:fldCharType="end"/>
      </w:r>
      <w:r w:rsidRPr="004E7E5A">
        <w:rPr>
          <w:rFonts w:cs="Times New Roman"/>
        </w:rPr>
        <w:t xml:space="preserve">, we expect the effect of directors’ network on CSR disclosure quality to be more pronounced in the firms </w:t>
      </w:r>
      <w:proofErr w:type="spellStart"/>
      <w:r w:rsidRPr="004E7E5A">
        <w:rPr>
          <w:rFonts w:cs="Times New Roman"/>
        </w:rPr>
        <w:t>characterised</w:t>
      </w:r>
      <w:proofErr w:type="spellEnd"/>
      <w:r w:rsidRPr="004E7E5A">
        <w:rPr>
          <w:rFonts w:cs="Times New Roman"/>
        </w:rPr>
        <w:t xml:space="preserve"> with </w:t>
      </w:r>
      <w:r w:rsidRPr="004E7E5A">
        <w:rPr>
          <w:rFonts w:cs="Times New Roman" w:hint="eastAsia"/>
        </w:rPr>
        <w:t>low</w:t>
      </w:r>
      <w:r w:rsidRPr="004E7E5A">
        <w:rPr>
          <w:rFonts w:cs="Times New Roman"/>
        </w:rPr>
        <w:t>er FC index.</w:t>
      </w:r>
    </w:p>
    <w:p w14:paraId="169FFB23" w14:textId="7CB70386" w:rsidR="00E72A9B" w:rsidRPr="004E7E5A" w:rsidRDefault="00E72A9B" w:rsidP="00E72A9B">
      <w:pPr>
        <w:pStyle w:val="a7"/>
        <w:spacing w:line="480" w:lineRule="auto"/>
        <w:ind w:firstLine="480"/>
        <w:rPr>
          <w:rFonts w:cs="Times New Roman"/>
        </w:rPr>
      </w:pPr>
      <w:r w:rsidRPr="004E7E5A">
        <w:rPr>
          <w:rFonts w:cs="Times New Roman"/>
        </w:rPr>
        <w:t>The second-stage regression results of estimating Equation (6) presented in Table 10 are consistent with our prediction. Columns (1) to (4) report the regression results for the 2SLS model using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xml:space="preserve">) as the independent variable. We find that the coefficients on </w:t>
      </w:r>
      <w:proofErr w:type="spellStart"/>
      <w:r w:rsidRPr="004E7E5A">
        <w:rPr>
          <w:rFonts w:cs="Times New Roman"/>
          <w:i/>
          <w:iCs/>
        </w:rPr>
        <w:t>Score_max</w:t>
      </w:r>
      <w:proofErr w:type="spellEnd"/>
      <w:r w:rsidRPr="004E7E5A">
        <w:rPr>
          <w:rFonts w:cs="Times New Roman"/>
          <w:i/>
          <w:iCs/>
        </w:rPr>
        <w:t xml:space="preserve"> × FC index,</w:t>
      </w:r>
      <w:r w:rsidRPr="004E7E5A">
        <w:rPr>
          <w:rFonts w:cs="Times New Roman"/>
        </w:rPr>
        <w:t xml:space="preserve"> </w:t>
      </w:r>
      <w:proofErr w:type="spellStart"/>
      <w:r w:rsidRPr="004E7E5A">
        <w:rPr>
          <w:rFonts w:cs="Times New Roman"/>
          <w:i/>
          <w:iCs/>
        </w:rPr>
        <w:t>Score_mean</w:t>
      </w:r>
      <w:proofErr w:type="spellEnd"/>
      <w:r w:rsidRPr="004E7E5A">
        <w:rPr>
          <w:rFonts w:cs="Times New Roman"/>
          <w:i/>
          <w:iCs/>
        </w:rPr>
        <w:t xml:space="preserve"> × FC index,</w:t>
      </w:r>
      <w:r w:rsidRPr="004E7E5A">
        <w:rPr>
          <w:rFonts w:cs="Times New Roman"/>
        </w:rPr>
        <w:t xml:space="preserve"> </w:t>
      </w:r>
      <w:proofErr w:type="spellStart"/>
      <w:r w:rsidRPr="004E7E5A">
        <w:rPr>
          <w:rFonts w:cs="Times New Roman"/>
          <w:i/>
          <w:iCs/>
        </w:rPr>
        <w:t>Score_med</w:t>
      </w:r>
      <w:proofErr w:type="spellEnd"/>
      <w:r w:rsidRPr="004E7E5A">
        <w:rPr>
          <w:rFonts w:cs="Times New Roman"/>
          <w:i/>
          <w:iCs/>
        </w:rPr>
        <w:t xml:space="preserve"> × FC index </w:t>
      </w:r>
      <w:r w:rsidRPr="004E7E5A">
        <w:rPr>
          <w:rFonts w:cs="Times New Roman"/>
        </w:rPr>
        <w:t xml:space="preserve">and </w:t>
      </w:r>
      <w:proofErr w:type="spellStart"/>
      <w:r w:rsidRPr="004E7E5A">
        <w:rPr>
          <w:rFonts w:cs="Times New Roman"/>
          <w:i/>
          <w:iCs/>
        </w:rPr>
        <w:t>Score_min</w:t>
      </w:r>
      <w:proofErr w:type="spellEnd"/>
      <w:r w:rsidRPr="004E7E5A">
        <w:rPr>
          <w:rFonts w:cs="Times New Roman"/>
          <w:i/>
          <w:iCs/>
        </w:rPr>
        <w:t xml:space="preserve"> × FC index</w:t>
      </w:r>
      <w:r w:rsidRPr="004E7E5A">
        <w:rPr>
          <w:rFonts w:cs="Times New Roman"/>
        </w:rPr>
        <w:t xml:space="preserve"> are negative and significant, which supports hypothesis 6. The results are consistent with the argument that directors’ network may benefit CSR disclosure quality, and such a positive impact is found to be more salient among firms with lower financial </w:t>
      </w:r>
      <w:proofErr w:type="spellStart"/>
      <w:r w:rsidRPr="004E7E5A">
        <w:rPr>
          <w:rFonts w:cs="Times New Roman"/>
        </w:rPr>
        <w:t>constrains</w:t>
      </w:r>
      <w:proofErr w:type="spellEnd"/>
      <w:r w:rsidRPr="004E7E5A">
        <w:rPr>
          <w:rFonts w:cs="Times New Roman"/>
        </w:rPr>
        <w:t xml:space="preserve">. The results are in line with the literature that financial constraints may affect firm behavior, and financially constrained firms are forced to cut back investment more than unconstrained peers </w:t>
      </w:r>
      <w:r w:rsidRPr="004E7E5A">
        <w:rPr>
          <w:rFonts w:cs="Times New Roman"/>
        </w:rPr>
        <w:fldChar w:fldCharType="begin">
          <w:fldData xml:space="preserve">PEVuZE5vdGU+PENpdGU+PEF1dGhvcj5GYXp6YXJpPC9BdXRob3I+PFllYXI+MTk4ODwvWWVhcj48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PEVuZE5vdGU+PENpdGU+PEF1dGhvcj5GYXp6YXJpPC9BdXRob3I+PFllYXI+MTk4ODwvWWVhcj48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(Fazzari et al. 1988; Kaplan and Zingales 1997; Whited and Wu 2006; Joan and Alexander 2016)</w:t>
      </w:r>
      <w:r w:rsidRPr="004E7E5A">
        <w:rPr>
          <w:rFonts w:cs="Times New Roman"/>
        </w:rPr>
        <w:fldChar w:fldCharType="end"/>
      </w:r>
      <w:r w:rsidRPr="004E7E5A">
        <w:rPr>
          <w:rFonts w:cs="Times New Roman"/>
        </w:rPr>
        <w:t>.</w:t>
      </w:r>
    </w:p>
    <w:p w14:paraId="12722BAF"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10 here]</w:t>
      </w:r>
    </w:p>
    <w:p w14:paraId="4102945E" w14:textId="77777777" w:rsidR="00E72A9B" w:rsidRPr="004E7E5A" w:rsidRDefault="00E72A9B" w:rsidP="00E72A9B">
      <w:pPr>
        <w:pStyle w:val="a9"/>
        <w:rPr>
          <w:iCs w:val="0"/>
          <w:sz w:val="24"/>
          <w:szCs w:val="24"/>
        </w:rPr>
      </w:pPr>
      <w:r w:rsidRPr="004E7E5A">
        <w:rPr>
          <w:iCs w:val="0"/>
          <w:sz w:val="24"/>
          <w:szCs w:val="24"/>
        </w:rPr>
        <w:lastRenderedPageBreak/>
        <w:t xml:space="preserve">Further Analyses </w:t>
      </w:r>
    </w:p>
    <w:p w14:paraId="1B02B20B" w14:textId="77777777" w:rsidR="00E72A9B" w:rsidRPr="004E7E5A" w:rsidRDefault="00E72A9B" w:rsidP="00E72A9B">
      <w:pPr>
        <w:pStyle w:val="4"/>
        <w:spacing w:before="0" w:after="0" w:line="480" w:lineRule="auto"/>
        <w:rPr>
          <w:i/>
          <w:iCs/>
          <w:color w:val="000000" w:themeColor="text1"/>
        </w:rPr>
      </w:pPr>
      <w:r w:rsidRPr="004E7E5A">
        <w:rPr>
          <w:i/>
          <w:iCs/>
          <w:color w:val="000000" w:themeColor="text1"/>
        </w:rPr>
        <w:t>Further Analysis Based on Independent Directors’ Network</w:t>
      </w:r>
    </w:p>
    <w:p w14:paraId="517505F2" w14:textId="62897285" w:rsidR="00E72A9B" w:rsidRPr="004E7E5A" w:rsidRDefault="00E72A9B" w:rsidP="00E72A9B">
      <w:pPr>
        <w:pStyle w:val="a7"/>
        <w:spacing w:line="480" w:lineRule="auto"/>
        <w:ind w:firstLine="480"/>
        <w:rPr>
          <w:rFonts w:cs="Times New Roman"/>
        </w:rPr>
      </w:pPr>
      <w:r w:rsidRPr="004E7E5A">
        <w:rPr>
          <w:rFonts w:cs="Times New Roman"/>
        </w:rPr>
        <w:t xml:space="preserve">Independent directors are good at management and decision-making, which enables them to be effective supervisors </w:t>
      </w:r>
      <w:r w:rsidRPr="004E7E5A">
        <w:rPr>
          <w:rFonts w:cs="Times New Roman"/>
        </w:rPr>
        <w:fldChar w:fldCharType="begin"/>
      </w:r>
      <w:r w:rsidRPr="004E7E5A">
        <w:rPr>
          <w:rFonts w:cs="Times New Roman"/>
        </w:rPr>
        <w:instrText xml:space="preserve"> ADDIN EN.CITE &lt;EndNote&gt;&lt;Cite&gt;&lt;Author&gt;Fama&lt;/Author&gt;&lt;Year&gt;1983&lt;/Year&gt;&lt;RecNum&gt;1695&lt;/RecNum&gt;&lt;DisplayText&gt;(Fama 1983; Nguyen and Nielsen 2010)&lt;/DisplayText&gt;&lt;record&gt;&lt;rec-number&gt;1695&lt;/rec-number&gt;&lt;foreign-keys&gt;&lt;key app="EN" db-id="trr00pfsbzzex0ezwf6v5swd9fpfpwfa90xp" timestamp="1582024502" guid="c5760cc6-f927-40f9-9610-c7138b7ee420"&gt;1695&lt;/key&gt;&lt;/foreign-keys&gt;&lt;ref-type name="Journal Article"&gt;17&lt;/ref-type&gt;&lt;contributors&gt;&lt;authors&gt;&lt;author&gt;Fama, Eugene F., and Michael C. Jensen.&lt;/author&gt;&lt;/authors&gt;&lt;/contributors&gt;&lt;titles&gt;&lt;title&gt;Separation of ownership and control&lt;/title&gt;&lt;secondary-title&gt;The journal of law and Economics&lt;/secondary-title&gt;&lt;/titles&gt;&lt;periodical&gt;&lt;full-title&gt;The journal of law and Economics&lt;/full-title&gt;&lt;/periodical&gt;&lt;pages&gt;301-325&lt;/pages&gt;&lt;volume&gt;26&lt;/volume&gt;&lt;number&gt;2&lt;/number&gt;&lt;dates&gt;&lt;year&gt;1983&lt;/year&gt;&lt;/dates&gt;&lt;urls&gt;&lt;/urls&gt;&lt;/record&gt;&lt;/Cite&gt;&lt;Cite&gt;&lt;Author&gt;Nguyen&lt;/Author&gt;&lt;Year&gt;2010&lt;/Year&gt;&lt;RecNum&gt;1693&lt;/RecNum&gt;&lt;record&gt;&lt;rec-number&gt;1693&lt;/rec-number&gt;&lt;foreign-keys&gt;&lt;key app="EN" db-id="trr00pfsbzzex0ezwf6v5swd9fpfpwfa90xp" timestamp="1582018483" guid="35c2e6d5-5627-4729-a575-c0d13d6781df"&gt;1693&lt;/key&gt;&lt;/foreign-keys&gt;&lt;ref-type name="Journal Article"&gt;17&lt;/ref-type&gt;&lt;contributors&gt;&lt;authors&gt;&lt;author&gt;Nguyen, Bang Dang&lt;/author&gt;&lt;author&gt;Nielsen, Kasper Meisner&lt;/author&gt;&lt;/authors&gt;&lt;/contributors&gt;&lt;titles&gt;&lt;title&gt;The value of independent directors: Evidence from sudden deaths&lt;/title&gt;&lt;secondary-title&gt;Journal of Financial Economics&lt;/secondary-title&gt;&lt;/titles&gt;&lt;periodical&gt;&lt;full-title&gt;Journal of Financial Economics&lt;/full-title&gt;&lt;/periodical&gt;&lt;pages&gt;550-567&lt;/pages&gt;&lt;volume&gt;98&lt;/volume&gt;&lt;number&gt;3&lt;/number&gt;&lt;section&gt;550&lt;/section&gt;&lt;dates&gt;&lt;year&gt;2010&lt;/year&gt;&lt;/dates&gt;&lt;isbn&gt;0304405X&lt;/isbn&gt;&lt;urls&gt;&lt;/urls&gt;&lt;electronic-resource-num&gt;10.1016/j.jfineco.2010.07.004&lt;/electronic-resource-num&gt;&lt;/record&gt;&lt;/Cite&gt;&lt;/EndNote&gt;</w:instrText>
      </w:r>
      <w:r w:rsidRPr="004E7E5A">
        <w:rPr>
          <w:rFonts w:cs="Times New Roman"/>
        </w:rPr>
        <w:fldChar w:fldCharType="separate"/>
      </w:r>
      <w:r w:rsidRPr="004E7E5A">
        <w:rPr>
          <w:rFonts w:cs="Times New Roman"/>
          <w:noProof/>
        </w:rPr>
        <w:t>(Fama 1983; Nguyen and Nielsen 2010)</w:t>
      </w:r>
      <w:r w:rsidRPr="004E7E5A">
        <w:rPr>
          <w:rFonts w:cs="Times New Roman"/>
        </w:rPr>
        <w:fldChar w:fldCharType="end"/>
      </w:r>
      <w:r w:rsidRPr="004E7E5A">
        <w:rPr>
          <w:rFonts w:cs="Times New Roman"/>
        </w:rPr>
        <w:t xml:space="preserve">. Therefore, we further explore the influence of independent directors’ network on CSR disclosure quality. Based on prior literature </w:t>
      </w:r>
      <w:r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00FA31BA" w:rsidRPr="004E7E5A">
        <w:rPr>
          <w:rFonts w:cs="Times New Roman"/>
          <w:noProof/>
        </w:rPr>
        <w:t>(Freeman 1978; Larcker et al. 2013; Wasserman and Faust 1994)</w:t>
      </w:r>
      <w:r w:rsidRPr="004E7E5A">
        <w:rPr>
          <w:rFonts w:cs="Times New Roman"/>
        </w:rPr>
        <w:fldChar w:fldCharType="end"/>
      </w:r>
      <w:r w:rsidRPr="004E7E5A">
        <w:rPr>
          <w:rFonts w:cs="Times New Roman"/>
        </w:rPr>
        <w:t>, we choose degree, betweenness, and closeness centrality to measure independent directors’ position in the network. In the same way as the calculation of directors’ network, we calculate the sum of the maximum (</w:t>
      </w:r>
      <w:proofErr w:type="spellStart"/>
      <w:r w:rsidRPr="004E7E5A">
        <w:rPr>
          <w:rFonts w:cs="Times New Roman"/>
          <w:i/>
          <w:iCs/>
        </w:rPr>
        <w:t>Score_max</w:t>
      </w:r>
      <w:r w:rsidRPr="004E7E5A">
        <w:rPr>
          <w:rFonts w:cs="Times New Roman"/>
          <w:i/>
          <w:iCs/>
          <w:szCs w:val="24"/>
        </w:rPr>
        <w:t>_ind</w:t>
      </w:r>
      <w:proofErr w:type="spellEnd"/>
      <w:r w:rsidRPr="004E7E5A">
        <w:rPr>
          <w:rFonts w:cs="Times New Roman"/>
        </w:rPr>
        <w:t>), mean (</w:t>
      </w:r>
      <w:proofErr w:type="spellStart"/>
      <w:r w:rsidRPr="004E7E5A">
        <w:rPr>
          <w:rFonts w:cs="Times New Roman"/>
          <w:i/>
          <w:iCs/>
        </w:rPr>
        <w:t>Score_mean</w:t>
      </w:r>
      <w:r w:rsidRPr="004E7E5A">
        <w:rPr>
          <w:rFonts w:cs="Times New Roman"/>
          <w:i/>
          <w:iCs/>
          <w:szCs w:val="24"/>
        </w:rPr>
        <w:t>_ind</w:t>
      </w:r>
      <w:proofErr w:type="spellEnd"/>
      <w:r w:rsidRPr="004E7E5A">
        <w:rPr>
          <w:rFonts w:cs="Times New Roman"/>
        </w:rPr>
        <w:t>), median (</w:t>
      </w:r>
      <w:proofErr w:type="spellStart"/>
      <w:r w:rsidRPr="004E7E5A">
        <w:rPr>
          <w:rFonts w:cs="Times New Roman"/>
          <w:i/>
          <w:iCs/>
        </w:rPr>
        <w:t>Score_med</w:t>
      </w:r>
      <w:r w:rsidRPr="004E7E5A">
        <w:rPr>
          <w:rFonts w:cs="Times New Roman"/>
          <w:i/>
          <w:iCs/>
          <w:szCs w:val="24"/>
        </w:rPr>
        <w:t>_ind</w:t>
      </w:r>
      <w:proofErr w:type="spellEnd"/>
      <w:r w:rsidRPr="004E7E5A">
        <w:rPr>
          <w:rFonts w:cs="Times New Roman"/>
        </w:rPr>
        <w:t>) and minimum (</w:t>
      </w:r>
      <w:proofErr w:type="spellStart"/>
      <w:r w:rsidRPr="004E7E5A">
        <w:rPr>
          <w:rFonts w:cs="Times New Roman"/>
          <w:i/>
          <w:iCs/>
        </w:rPr>
        <w:t>Score_min</w:t>
      </w:r>
      <w:r w:rsidRPr="004E7E5A">
        <w:rPr>
          <w:rFonts w:cs="Times New Roman"/>
          <w:i/>
          <w:iCs/>
          <w:szCs w:val="24"/>
        </w:rPr>
        <w:t>_ind</w:t>
      </w:r>
      <w:proofErr w:type="spellEnd"/>
      <w:r w:rsidRPr="004E7E5A">
        <w:rPr>
          <w:rFonts w:cs="Times New Roman"/>
        </w:rPr>
        <w:t>) values of the three centrality measures of each firm to measure independent directors’ network centrality.</w:t>
      </w:r>
    </w:p>
    <w:p w14:paraId="1171E65D" w14:textId="7A66BBD8" w:rsidR="00E72A9B" w:rsidRPr="004E7E5A" w:rsidRDefault="00E72A9B" w:rsidP="00E72A9B">
      <w:pPr>
        <w:pStyle w:val="a7"/>
        <w:spacing w:line="480" w:lineRule="auto"/>
        <w:ind w:firstLine="480"/>
        <w:rPr>
          <w:rFonts w:cs="Times New Roman"/>
        </w:rPr>
      </w:pPr>
      <w:r w:rsidRPr="004E7E5A">
        <w:rPr>
          <w:rFonts w:cs="Times New Roman"/>
        </w:rPr>
        <w:t xml:space="preserve">We examine the impact of independent directors’ network on CSR disclosure quality by estimating Equations (1) using </w:t>
      </w:r>
      <w:r w:rsidRPr="004E7E5A">
        <w:rPr>
          <w:rFonts w:cs="Times New Roman"/>
          <w:lang w:bidi="ar"/>
        </w:rPr>
        <w:t xml:space="preserve">2SLS. </w:t>
      </w:r>
      <w:r w:rsidRPr="004E7E5A">
        <w:rPr>
          <w:rFonts w:cs="Times New Roman"/>
        </w:rPr>
        <w:t>The in</w:t>
      </w:r>
      <w:r w:rsidRPr="004E7E5A">
        <w:rPr>
          <w:rFonts w:cs="Times New Roman"/>
          <w:szCs w:val="20"/>
        </w:rPr>
        <w:t>dependent</w:t>
      </w:r>
      <w:r w:rsidRPr="004E7E5A">
        <w:rPr>
          <w:rFonts w:cs="Times New Roman"/>
        </w:rPr>
        <w:t xml:space="preserve"> variable is independent directors’ network centrality (</w:t>
      </w:r>
      <w:proofErr w:type="spellStart"/>
      <w:r w:rsidRPr="004E7E5A">
        <w:rPr>
          <w:rFonts w:cs="Times New Roman"/>
          <w:i/>
          <w:iCs/>
        </w:rPr>
        <w:t>Score_max</w:t>
      </w:r>
      <w:r w:rsidRPr="004E7E5A">
        <w:rPr>
          <w:rFonts w:cs="Times New Roman"/>
          <w:i/>
          <w:iCs/>
          <w:szCs w:val="24"/>
        </w:rPr>
        <w:t>_ind</w:t>
      </w:r>
      <w:proofErr w:type="spellEnd"/>
      <w:r w:rsidRPr="004E7E5A">
        <w:rPr>
          <w:rFonts w:cs="Times New Roman"/>
        </w:rPr>
        <w:t xml:space="preserve">, </w:t>
      </w:r>
      <w:proofErr w:type="spellStart"/>
      <w:r w:rsidRPr="004E7E5A">
        <w:rPr>
          <w:rFonts w:cs="Times New Roman"/>
          <w:i/>
          <w:iCs/>
        </w:rPr>
        <w:t>Score_mean</w:t>
      </w:r>
      <w:r w:rsidRPr="004E7E5A">
        <w:rPr>
          <w:rFonts w:cs="Times New Roman"/>
          <w:i/>
          <w:iCs/>
          <w:szCs w:val="24"/>
        </w:rPr>
        <w:t>_ind</w:t>
      </w:r>
      <w:proofErr w:type="spellEnd"/>
      <w:r w:rsidRPr="004E7E5A">
        <w:rPr>
          <w:rFonts w:cs="Times New Roman"/>
        </w:rPr>
        <w:t xml:space="preserve">, </w:t>
      </w:r>
      <w:proofErr w:type="spellStart"/>
      <w:r w:rsidRPr="004E7E5A">
        <w:rPr>
          <w:rFonts w:cs="Times New Roman"/>
          <w:i/>
          <w:iCs/>
        </w:rPr>
        <w:t>Score_med</w:t>
      </w:r>
      <w:r w:rsidRPr="004E7E5A">
        <w:rPr>
          <w:rFonts w:cs="Times New Roman"/>
          <w:i/>
          <w:iCs/>
          <w:szCs w:val="24"/>
        </w:rPr>
        <w:t>_ind</w:t>
      </w:r>
      <w:proofErr w:type="spellEnd"/>
      <w:r w:rsidRPr="004E7E5A">
        <w:rPr>
          <w:rFonts w:cs="Times New Roman"/>
        </w:rPr>
        <w:t xml:space="preserve"> and </w:t>
      </w:r>
      <w:proofErr w:type="spellStart"/>
      <w:r w:rsidRPr="004E7E5A">
        <w:rPr>
          <w:rFonts w:cs="Times New Roman"/>
          <w:i/>
          <w:iCs/>
        </w:rPr>
        <w:t>Score_min</w:t>
      </w:r>
      <w:r w:rsidRPr="004E7E5A">
        <w:rPr>
          <w:rFonts w:cs="Times New Roman"/>
          <w:i/>
          <w:iCs/>
          <w:szCs w:val="24"/>
        </w:rPr>
        <w:t>_ind</w:t>
      </w:r>
      <w:proofErr w:type="spellEnd"/>
      <w:r w:rsidRPr="004E7E5A">
        <w:rPr>
          <w:rFonts w:cs="Times New Roman"/>
        </w:rPr>
        <w:t xml:space="preserve">). The </w:t>
      </w:r>
      <w:r w:rsidRPr="004E7E5A">
        <w:rPr>
          <w:rFonts w:cs="Times New Roman"/>
          <w:szCs w:val="20"/>
        </w:rPr>
        <w:t>dependent</w:t>
      </w:r>
      <w:r w:rsidRPr="004E7E5A">
        <w:rPr>
          <w:rFonts w:cs="Times New Roman"/>
        </w:rPr>
        <w:t xml:space="preserve"> variable is CSR disclosure quality (</w:t>
      </w:r>
      <w:proofErr w:type="spellStart"/>
      <w:r w:rsidRPr="004E7E5A">
        <w:rPr>
          <w:rFonts w:cs="Times New Roman"/>
          <w:i/>
          <w:iCs/>
        </w:rPr>
        <w:t>Csr</w:t>
      </w:r>
      <w:proofErr w:type="spellEnd"/>
      <w:r w:rsidRPr="004E7E5A">
        <w:rPr>
          <w:rFonts w:cs="Times New Roman"/>
        </w:rPr>
        <w:t>). The second-stage regression results in Table 11 shows that the coefficients on the network centrality of the independent directors’ network (</w:t>
      </w:r>
      <w:proofErr w:type="spellStart"/>
      <w:r w:rsidRPr="004E7E5A">
        <w:rPr>
          <w:rFonts w:cs="Times New Roman"/>
          <w:i/>
          <w:iCs/>
        </w:rPr>
        <w:t>Score_max</w:t>
      </w:r>
      <w:r w:rsidRPr="004E7E5A">
        <w:rPr>
          <w:rFonts w:cs="Times New Roman"/>
          <w:i/>
          <w:iCs/>
          <w:szCs w:val="24"/>
        </w:rPr>
        <w:t>_ind</w:t>
      </w:r>
      <w:proofErr w:type="spellEnd"/>
      <w:r w:rsidRPr="004E7E5A">
        <w:rPr>
          <w:rFonts w:cs="Times New Roman"/>
        </w:rPr>
        <w:t xml:space="preserve">, </w:t>
      </w:r>
      <w:proofErr w:type="spellStart"/>
      <w:r w:rsidRPr="004E7E5A">
        <w:rPr>
          <w:rFonts w:cs="Times New Roman"/>
          <w:i/>
          <w:iCs/>
        </w:rPr>
        <w:t>Score_mean</w:t>
      </w:r>
      <w:r w:rsidRPr="004E7E5A">
        <w:rPr>
          <w:rFonts w:cs="Times New Roman"/>
          <w:i/>
          <w:iCs/>
          <w:szCs w:val="24"/>
        </w:rPr>
        <w:t>_ind</w:t>
      </w:r>
      <w:proofErr w:type="spellEnd"/>
      <w:r w:rsidRPr="004E7E5A">
        <w:rPr>
          <w:rFonts w:cs="Times New Roman"/>
          <w:i/>
          <w:iCs/>
          <w:szCs w:val="24"/>
        </w:rPr>
        <w:t>,</w:t>
      </w:r>
      <w:r w:rsidRPr="004E7E5A">
        <w:rPr>
          <w:rFonts w:cs="Times New Roman"/>
        </w:rPr>
        <w:t xml:space="preserve"> </w:t>
      </w:r>
      <w:proofErr w:type="spellStart"/>
      <w:r w:rsidRPr="004E7E5A">
        <w:rPr>
          <w:rFonts w:cs="Times New Roman"/>
          <w:i/>
          <w:iCs/>
        </w:rPr>
        <w:t>Score_med</w:t>
      </w:r>
      <w:r w:rsidRPr="004E7E5A">
        <w:rPr>
          <w:rFonts w:cs="Times New Roman"/>
          <w:i/>
          <w:iCs/>
          <w:szCs w:val="24"/>
        </w:rPr>
        <w:t>_ind</w:t>
      </w:r>
      <w:proofErr w:type="spellEnd"/>
      <w:r w:rsidRPr="004E7E5A">
        <w:rPr>
          <w:rFonts w:cs="Times New Roman"/>
        </w:rPr>
        <w:t xml:space="preserve"> and </w:t>
      </w:r>
      <w:proofErr w:type="spellStart"/>
      <w:r w:rsidRPr="004E7E5A">
        <w:rPr>
          <w:rFonts w:cs="Times New Roman"/>
          <w:i/>
          <w:iCs/>
        </w:rPr>
        <w:t>Score_min</w:t>
      </w:r>
      <w:r w:rsidRPr="004E7E5A">
        <w:rPr>
          <w:rFonts w:cs="Times New Roman"/>
          <w:i/>
          <w:iCs/>
          <w:szCs w:val="24"/>
        </w:rPr>
        <w:t>_ind</w:t>
      </w:r>
      <w:proofErr w:type="spellEnd"/>
      <w:r w:rsidRPr="004E7E5A">
        <w:rPr>
          <w:rFonts w:cs="Times New Roman"/>
        </w:rPr>
        <w:t xml:space="preserve">) are positive and significant at 1% or 5% level. The network centrality of independent directors has significant and positive effects on CSR disclosure quality, which is in line with the prior research documenting a positive effect of directors’ independence on social performance </w:t>
      </w:r>
      <w:r w:rsidRPr="004E7E5A">
        <w:rPr>
          <w:rFonts w:cs="Times New Roman"/>
        </w:rPr>
        <w:fldChar w:fldCharType="begin">
          <w:fldData xml:space="preserve">PEVuZE5vdGU+PENpdGU+PEF1dGhvcj5IYXJqb3RvPC9BdXRob3I+PFllYXI+MjAxMTwvWWVhcj48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PEVuZE5vdGU+PENpdGU+PEF1dGhvcj5IYXJqb3RvPC9BdXRob3I+PFllYXI+MjAxMTwvWWVhcj48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006F6C86" w:rsidRPr="004E7E5A">
        <w:rPr>
          <w:rFonts w:cs="Times New Roman"/>
          <w:noProof/>
        </w:rPr>
        <w:t>(Harjoto and Jo 2011; Villiers et al. 2011; Shaukat et al. 2015; Beji et al. 2020)</w:t>
      </w:r>
      <w:r w:rsidRPr="004E7E5A">
        <w:rPr>
          <w:rFonts w:cs="Times New Roman"/>
        </w:rPr>
        <w:fldChar w:fldCharType="end"/>
      </w:r>
      <w:r w:rsidRPr="004E7E5A">
        <w:rPr>
          <w:rFonts w:cs="Times New Roman"/>
        </w:rPr>
        <w:t>.</w:t>
      </w:r>
    </w:p>
    <w:p w14:paraId="599F4245"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11 here]</w:t>
      </w:r>
    </w:p>
    <w:p w14:paraId="4DBE2BA7" w14:textId="3EEE18ED" w:rsidR="00E72A9B" w:rsidRPr="004E7E5A" w:rsidRDefault="00E72A9B" w:rsidP="00E72A9B">
      <w:pPr>
        <w:pStyle w:val="a7"/>
        <w:spacing w:line="480" w:lineRule="auto"/>
        <w:ind w:firstLine="480"/>
        <w:rPr>
          <w:rFonts w:cs="Times New Roman"/>
        </w:rPr>
      </w:pPr>
      <w:r w:rsidRPr="004E7E5A">
        <w:rPr>
          <w:rFonts w:cs="Times New Roman"/>
        </w:rPr>
        <w:lastRenderedPageBreak/>
        <w:t xml:space="preserve">Board independence has been recognized as an important corporate governance structure in enhancing information transparency </w:t>
      </w:r>
      <w:r w:rsidRPr="004E7E5A">
        <w:rPr>
          <w:rFonts w:cs="Times New Roman"/>
        </w:rPr>
        <w:fldChar w:fldCharType="begin">
          <w:fldData xml:space="preserve">PEVuZE5vdGU+PENpdGU+PEF1dGhvcj5IYXJqb3RvPC9BdXRob3I+PFllYXI+MjAxMTwvWWVhcj48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PEVuZE5vdGU+PENpdGU+PEF1dGhvcj5IYXJqb3RvPC9BdXRob3I+PFllYXI+MjAxMTwvWWVhcj48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006F6C86" w:rsidRPr="004E7E5A">
        <w:rPr>
          <w:rFonts w:cs="Times New Roman"/>
          <w:noProof/>
        </w:rPr>
        <w:t>(Harjoto and Jo 2011; Villiers et al. 2011; Shaukat et al. 2015; Beji et al. 2020)</w:t>
      </w:r>
      <w:r w:rsidRPr="004E7E5A">
        <w:rPr>
          <w:rFonts w:cs="Times New Roman"/>
        </w:rPr>
        <w:fldChar w:fldCharType="end"/>
      </w:r>
      <w:r w:rsidRPr="004E7E5A">
        <w:rPr>
          <w:rFonts w:cs="Times New Roman"/>
        </w:rPr>
        <w:t xml:space="preserve">. Using the percentage of independent directors in the board as the proxy of board independence, Liao et al. (2016) show that board independence has insignificant impact on CSR decisions at least in the Chinese setting, suggesting that independence is more for appearances and is in reality more of a “token” symbol. In line with Liao et al. (2016), our findings indicate that </w:t>
      </w:r>
      <w:r w:rsidRPr="004E7E5A">
        <w:rPr>
          <w:rFonts w:cs="Times New Roman"/>
          <w:shd w:val="clear" w:color="auto" w:fill="FFFFFF"/>
        </w:rPr>
        <w:t>the</w:t>
      </w:r>
      <w:r w:rsidRPr="004E7E5A">
        <w:rPr>
          <w:rFonts w:cs="Times New Roman"/>
        </w:rPr>
        <w:t>re is</w:t>
      </w:r>
      <w:r w:rsidRPr="004E7E5A">
        <w:rPr>
          <w:rFonts w:cs="Times New Roman"/>
          <w:shd w:val="clear" w:color="auto" w:fill="FFFFFF"/>
        </w:rPr>
        <w:t xml:space="preserve"> an </w:t>
      </w:r>
      <w:r w:rsidRPr="004E7E5A">
        <w:rPr>
          <w:rFonts w:cs="Times New Roman"/>
        </w:rPr>
        <w:t>insignificant association between the percentage of independent directors in the board and the quality of CSR disclosure. However, we report that independent directors’ network centrality is positively associated with CSR disclosure quality.</w:t>
      </w:r>
      <w:r w:rsidRPr="004E7E5A">
        <w:rPr>
          <w:rFonts w:eastAsia="Times New Roman"/>
          <w:szCs w:val="24"/>
        </w:rPr>
        <w:t xml:space="preserve"> </w:t>
      </w:r>
      <w:r w:rsidRPr="004E7E5A">
        <w:rPr>
          <w:rFonts w:cs="Times New Roman"/>
        </w:rPr>
        <w:t>To explain the token effect of independent members, we conduct mean difference tests on the network centrality between independent and executive members. No significant difference is found between independent and executive directors with regard to network centrality (when network centrality is calculated based on the maximum, mean, median and minimum values</w:t>
      </w:r>
      <w:r w:rsidRPr="004E7E5A">
        <w:rPr>
          <w:rStyle w:val="fontstyle01"/>
          <w:rFonts w:ascii="Times New Roman" w:hAnsi="Times New Roman" w:cs="Times New Roman" w:hint="default"/>
          <w:color w:val="000000" w:themeColor="text1"/>
          <w:sz w:val="24"/>
          <w:szCs w:val="24"/>
        </w:rPr>
        <w:t>,</w:t>
      </w:r>
      <w:r w:rsidRPr="004E7E5A">
        <w:rPr>
          <w:rFonts w:cs="Times New Roman"/>
        </w:rPr>
        <w:t xml:space="preserve"> p value = 0.967, p value = 0.718, p value = 0.235, p value = 0.242, </w:t>
      </w:r>
      <w:r w:rsidRPr="004E7E5A">
        <w:rPr>
          <w:rStyle w:val="fontstyle01"/>
          <w:rFonts w:ascii="Times New Roman" w:hAnsi="Times New Roman" w:cs="Times New Roman" w:hint="default"/>
          <w:color w:val="000000" w:themeColor="text1"/>
          <w:sz w:val="24"/>
          <w:szCs w:val="24"/>
        </w:rPr>
        <w:t>respectively</w:t>
      </w:r>
      <w:r w:rsidRPr="004E7E5A">
        <w:rPr>
          <w:rFonts w:cs="Times New Roman"/>
        </w:rPr>
        <w:t xml:space="preserve">). </w:t>
      </w:r>
      <w:r w:rsidRPr="004E7E5A">
        <w:rPr>
          <w:rFonts w:eastAsia="Times New Roman"/>
          <w:szCs w:val="24"/>
        </w:rPr>
        <w:t>Therefore, we believe that board independence has significant and positive impact on CSR disclosure, but the proportion of independent directors may not be used as a reliable indicator to measure the independence of directors in the Chinese setting</w:t>
      </w:r>
      <w:r w:rsidRPr="004E7E5A">
        <w:rPr>
          <w:rFonts w:ascii="宋体" w:hAnsi="宋体"/>
          <w:szCs w:val="24"/>
        </w:rPr>
        <w:t>.</w:t>
      </w:r>
    </w:p>
    <w:p w14:paraId="139D96AA" w14:textId="77777777" w:rsidR="00E72A9B" w:rsidRPr="004E7E5A" w:rsidRDefault="00E72A9B" w:rsidP="00E72A9B">
      <w:pPr>
        <w:pStyle w:val="4"/>
        <w:spacing w:before="0" w:after="0" w:line="480" w:lineRule="auto"/>
        <w:rPr>
          <w:i/>
          <w:iCs/>
          <w:color w:val="000000" w:themeColor="text1"/>
        </w:rPr>
      </w:pPr>
      <w:r w:rsidRPr="004E7E5A">
        <w:rPr>
          <w:i/>
          <w:iCs/>
          <w:color w:val="000000" w:themeColor="text1"/>
        </w:rPr>
        <w:t>Further Analysis Based on Political Connections</w:t>
      </w:r>
    </w:p>
    <w:p w14:paraId="1FA9A7F0" w14:textId="176DB2B3" w:rsidR="00E72A9B" w:rsidRPr="004E7E5A" w:rsidRDefault="00E72A9B" w:rsidP="00E72A9B">
      <w:pPr>
        <w:pStyle w:val="a7"/>
        <w:spacing w:line="480" w:lineRule="auto"/>
        <w:ind w:firstLine="480"/>
        <w:rPr>
          <w:rFonts w:cs="Times New Roman"/>
        </w:rPr>
      </w:pPr>
      <w:r w:rsidRPr="004E7E5A">
        <w:rPr>
          <w:rFonts w:cs="Times New Roman"/>
        </w:rPr>
        <w:t xml:space="preserve">The majority of sample firms are </w:t>
      </w:r>
      <w:r w:rsidR="00F253FA" w:rsidRPr="004E7E5A">
        <w:rPr>
          <w:rFonts w:cs="Times New Roman"/>
          <w:szCs w:val="28"/>
        </w:rPr>
        <w:t>state-owned-enterprises</w:t>
      </w:r>
      <w:r w:rsidRPr="004E7E5A">
        <w:rPr>
          <w:rFonts w:cs="Times New Roman"/>
        </w:rPr>
        <w:t xml:space="preserve"> (2334 observations) where directors are politically connected in Chinese corporate settings. We could understand the extensity of networking relationship among politically linked directors. Even in private firms (1652 observations), we cannot rule out the influence of political ties or involvement in </w:t>
      </w:r>
      <w:r w:rsidRPr="004E7E5A">
        <w:rPr>
          <w:rFonts w:cs="Times New Roman"/>
        </w:rPr>
        <w:lastRenderedPageBreak/>
        <w:t xml:space="preserve">acquiring board membership or directorship. Political connections may have considerable influence on corporate governance </w:t>
      </w:r>
      <w:r w:rsidRPr="004E7E5A">
        <w:rPr>
          <w:rFonts w:cs="Times New Roman"/>
        </w:rPr>
        <w:fldChar w:fldCharType="begin"/>
      </w:r>
      <w:r w:rsidR="001A1175" w:rsidRPr="004E7E5A">
        <w:rPr>
          <w:rFonts w:cs="Times New Roman"/>
        </w:rPr>
        <w:instrText xml:space="preserve"> ADDIN EN.CITE &lt;EndNote&gt;&lt;Cite&gt;&lt;Author&gt;Hillman&lt;/Author&gt;&lt;Year&gt;2005&lt;/Year&gt;&lt;RecNum&gt;1674&lt;/RecNum&gt;&lt;DisplayText&gt;(Hillman 2005; Claessens et al. 2008)&lt;/DisplayText&gt;&lt;record&gt;&lt;rec-number&gt;1674&lt;/rec-number&gt;&lt;foreign-keys&gt;&lt;key app="EN" db-id="trr00pfsbzzex0ezwf6v5swd9fpfpwfa90xp" timestamp="1581619288" guid="bc872f3c-d415-45df-900f-17445698b0c0"&gt;1674&lt;/key&gt;&lt;/foreign-keys&gt;&lt;ref-type name="Journal Article"&gt;17&lt;/ref-type&gt;&lt;contributors&gt;&lt;authors&gt;&lt;author&gt;Amy J. Hillman&lt;/author&gt;&lt;/authors&gt;&lt;/contributors&gt;&lt;titles&gt;&lt;title&gt;Politicians on the board of directors: Do connections affect the bottom line?&lt;/title&gt;&lt;secondary-title&gt;Journal of Management&lt;/secondary-title&gt;&lt;/titles&gt;&lt;periodical&gt;&lt;full-title&gt;Journal of Management&lt;/full-title&gt;&lt;/periodical&gt;&lt;pages&gt;464-481&lt;/pages&gt;&lt;volume&gt;31&lt;/volume&gt;&lt;number&gt;3&lt;/number&gt;&lt;section&gt;464&lt;/section&gt;&lt;dates&gt;&lt;year&gt;2005&lt;/year&gt;&lt;/dates&gt;&lt;isbn&gt;0149-2063&amp;#xD;1557-1211&lt;/isbn&gt;&lt;urls&gt;&lt;/urls&gt;&lt;electronic-resource-num&gt;10.1177/0149206304272187&lt;/electronic-resource-num&gt;&lt;/record&gt;&lt;/Cite&gt;&lt;Cite&gt;&lt;Author&gt;Claessens&lt;/Author&gt;&lt;Year&gt;2008&lt;/Year&gt;&lt;RecNum&gt;1869&lt;/RecNum&gt;&lt;record&gt;&lt;rec-number&gt;1869&lt;/rec-number&gt;&lt;foreign-keys&gt;&lt;key app="EN" db-id="trr00pfsbzzex0ezwf6v5swd9fpfpwfa90xp" timestamp="1599013325" guid="8ca8ee8f-3788-4ea3-b996-e9aeb46039a4"&gt;1869&lt;/key&gt;&lt;/foreign-keys&gt;&lt;ref-type name="Journal Article"&gt;17&lt;/ref-type&gt;&lt;contributors&gt;&lt;authors&gt;&lt;author&gt;Claessens, Stijn&lt;/author&gt;&lt;author&gt;Feijen, Erik&lt;/author&gt;&lt;author&gt;Laeven, Luc&lt;/author&gt;&lt;/authors&gt;&lt;/contributors&gt;&lt;titles&gt;&lt;title&gt;Political connections and preferential access to finance: The role of campaign contributions&lt;/title&gt;&lt;secondary-title&gt;Journal of Financial Economics&lt;/secondary-title&gt;&lt;/titles&gt;&lt;periodical&gt;&lt;full-title&gt;Journal of Financial Economics&lt;/full-title&gt;&lt;/periodical&gt;&lt;pages&gt;554-580&lt;/pages&gt;&lt;volume&gt;88&lt;/volume&gt;&lt;number&gt;3&lt;/number&gt;&lt;dates&gt;&lt;year&gt;2008&lt;/year&gt;&lt;/dates&gt;&lt;urls&gt;&lt;/urls&gt;&lt;/record&gt;&lt;/Cite&gt;&lt;/EndNote&gt;</w:instrText>
      </w:r>
      <w:r w:rsidRPr="004E7E5A">
        <w:rPr>
          <w:rFonts w:cs="Times New Roman"/>
        </w:rPr>
        <w:fldChar w:fldCharType="separate"/>
      </w:r>
      <w:r w:rsidRPr="004E7E5A">
        <w:rPr>
          <w:rFonts w:cs="Times New Roman"/>
          <w:noProof/>
        </w:rPr>
        <w:t>(Hillman 2005; Claessens et al. 2008)</w:t>
      </w:r>
      <w:r w:rsidRPr="004E7E5A">
        <w:rPr>
          <w:rFonts w:cs="Times New Roman"/>
        </w:rPr>
        <w:fldChar w:fldCharType="end"/>
      </w:r>
      <w:r w:rsidRPr="004E7E5A">
        <w:rPr>
          <w:rFonts w:cs="Times New Roman"/>
        </w:rPr>
        <w:t xml:space="preserve">, hence we further discuss the influence that political connections may have on the relationship between directors’ network and CSR disclosure quality. </w:t>
      </w:r>
      <w:r w:rsidRPr="004E7E5A">
        <w:rPr>
          <w:rFonts w:cs="Times New Roman"/>
          <w:szCs w:val="24"/>
        </w:rPr>
        <w:t xml:space="preserve">We </w:t>
      </w:r>
      <w:r w:rsidRPr="004E7E5A">
        <w:rPr>
          <w:rFonts w:cs="Times New Roman"/>
          <w:szCs w:val="24"/>
          <w:lang w:val="en-GB"/>
        </w:rPr>
        <w:t>rerun regression</w:t>
      </w:r>
      <w:r w:rsidRPr="004E7E5A">
        <w:rPr>
          <w:rFonts w:cs="Times New Roman"/>
        </w:rPr>
        <w:t xml:space="preserve"> Equation (1) using </w:t>
      </w:r>
      <w:r w:rsidRPr="004E7E5A">
        <w:rPr>
          <w:rFonts w:cs="Times New Roman"/>
          <w:lang w:bidi="ar"/>
        </w:rPr>
        <w:t>2SLS</w:t>
      </w:r>
      <w:r w:rsidRPr="004E7E5A">
        <w:rPr>
          <w:rFonts w:cs="Times New Roman"/>
        </w:rPr>
        <w:t xml:space="preserve"> by excluding the 2957 observations that directors, supervisors, and senior executives are politically connected.</w:t>
      </w:r>
    </w:p>
    <w:p w14:paraId="4A9C7429" w14:textId="07C3EE2A" w:rsidR="00E72A9B" w:rsidRPr="004E7E5A" w:rsidRDefault="00E72A9B" w:rsidP="00E72A9B">
      <w:pPr>
        <w:pStyle w:val="a7"/>
        <w:spacing w:line="480" w:lineRule="auto"/>
        <w:ind w:firstLine="480"/>
        <w:rPr>
          <w:rFonts w:cs="Times New Roman"/>
        </w:rPr>
      </w:pPr>
      <w:r w:rsidRPr="004E7E5A">
        <w:rPr>
          <w:rFonts w:cs="Times New Roman"/>
        </w:rPr>
        <w:t xml:space="preserve">Table 12 presents the second-stage regression results of estimating Equation (1) by excluding politically connected observations. </w:t>
      </w:r>
      <w:r w:rsidRPr="004E7E5A">
        <w:rPr>
          <w:rFonts w:cs="Times New Roman" w:hint="eastAsia"/>
        </w:rPr>
        <w:t>W</w:t>
      </w:r>
      <w:r w:rsidRPr="004E7E5A">
        <w:rPr>
          <w:rFonts w:cs="Times New Roman"/>
        </w:rPr>
        <w:t>e find that the directors’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still has a significant promoting effect on CSR disclosure quality (</w:t>
      </w:r>
      <w:proofErr w:type="spellStart"/>
      <w:r w:rsidRPr="004E7E5A">
        <w:rPr>
          <w:rFonts w:cs="Times New Roman"/>
          <w:i/>
          <w:iCs/>
        </w:rPr>
        <w:t>Csr</w:t>
      </w:r>
      <w:proofErr w:type="spellEnd"/>
      <w:r w:rsidRPr="004E7E5A">
        <w:rPr>
          <w:rFonts w:cs="Times New Roman"/>
        </w:rPr>
        <w:t xml:space="preserve">) and our result is still holding. Coefficients on directors’ network in the non-politically connected sample (Table 12) are lower than those in the total sample (Table 5), and the significance of directors’ network coefficients (Table 12) is lower in the non-politically connected sample than that in total sample (Table 5). The influence of </w:t>
      </w:r>
      <w:r w:rsidRPr="004E7E5A">
        <w:rPr>
          <w:rFonts w:cs="Times New Roman"/>
          <w:shd w:val="clear" w:color="auto" w:fill="FFFFFF"/>
        </w:rPr>
        <w:t>non-politically connected</w:t>
      </w:r>
      <w:r w:rsidRPr="004E7E5A">
        <w:rPr>
          <w:rFonts w:cs="Times New Roman"/>
        </w:rPr>
        <w:t xml:space="preserve"> directors appears to be less than that of their politically connected counterparts. One explanation could be that non-politically connected directors have less access to political resources </w:t>
      </w:r>
      <w:r w:rsidRPr="004E7E5A">
        <w:rPr>
          <w:rFonts w:cs="Times New Roman"/>
        </w:rPr>
        <w:fldChar w:fldCharType="begin"/>
      </w:r>
      <w:r w:rsidR="006F6C86" w:rsidRPr="004E7E5A">
        <w:rPr>
          <w:rFonts w:cs="Times New Roman"/>
        </w:rPr>
        <w:instrText xml:space="preserve"> ADDIN EN.CITE &lt;EndNote&gt;&lt;Cite&gt;&lt;Author&gt;Claessens&lt;/Author&gt;&lt;Year&gt;2008&lt;/Year&gt;&lt;RecNum&gt;1869&lt;/RecNum&gt;&lt;DisplayText&gt;(Claessens et al. 2008)&lt;/DisplayText&gt;&lt;record&gt;&lt;rec-number&gt;1869&lt;/rec-number&gt;&lt;foreign-keys&gt;&lt;key app="EN" db-id="trr00pfsbzzex0ezwf6v5swd9fpfpwfa90xp" timestamp="1599013325" guid="8ca8ee8f-3788-4ea3-b996-e9aeb46039a4"&gt;1869&lt;/key&gt;&lt;/foreign-keys&gt;&lt;ref-type name="Journal Article"&gt;17&lt;/ref-type&gt;&lt;contributors&gt;&lt;authors&gt;&lt;author&gt;Claessens, Stijn&lt;/author&gt;&lt;author&gt;Feijen, Erik&lt;/author&gt;&lt;author&gt;Laeven, Luc&lt;/author&gt;&lt;/authors&gt;&lt;/contributors&gt;&lt;titles&gt;&lt;title&gt;Political connections and preferential access to finance: The role of campaign contributions&lt;/title&gt;&lt;secondary-title&gt;Journal of Financial Economics&lt;/secondary-title&gt;&lt;/titles&gt;&lt;periodical&gt;&lt;full-title&gt;Journal of Financial Economics&lt;/full-title&gt;&lt;/periodical&gt;&lt;pages&gt;554-580&lt;/pages&gt;&lt;volume&gt;88&lt;/volume&gt;&lt;number&gt;3&lt;/number&gt;&lt;dates&gt;&lt;year&gt;2008&lt;/year&gt;&lt;/dates&gt;&lt;urls&gt;&lt;/urls&gt;&lt;/record&gt;&lt;/Cite&gt;&lt;/EndNote&gt;</w:instrText>
      </w:r>
      <w:r w:rsidRPr="004E7E5A">
        <w:rPr>
          <w:rFonts w:cs="Times New Roman"/>
        </w:rPr>
        <w:fldChar w:fldCharType="separate"/>
      </w:r>
      <w:r w:rsidRPr="004E7E5A">
        <w:rPr>
          <w:rFonts w:cs="Times New Roman"/>
          <w:noProof/>
        </w:rPr>
        <w:t>(Claessens et al. 2008)</w:t>
      </w:r>
      <w:r w:rsidRPr="004E7E5A">
        <w:rPr>
          <w:rFonts w:cs="Times New Roman"/>
        </w:rPr>
        <w:fldChar w:fldCharType="end"/>
      </w:r>
      <w:r w:rsidRPr="004E7E5A">
        <w:rPr>
          <w:rFonts w:cs="Times New Roman"/>
        </w:rPr>
        <w:t xml:space="preserve">, which may reduce their ability to improve CSR </w:t>
      </w:r>
      <w:r w:rsidRPr="004E7E5A">
        <w:rPr>
          <w:rFonts w:cs="Times New Roman"/>
          <w:szCs w:val="24"/>
        </w:rPr>
        <w:t xml:space="preserve">disclosure </w:t>
      </w:r>
      <w:r w:rsidRPr="004E7E5A">
        <w:rPr>
          <w:rFonts w:cs="Times New Roman"/>
        </w:rPr>
        <w:t xml:space="preserve">quality. </w:t>
      </w:r>
    </w:p>
    <w:p w14:paraId="6F2117CB"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12 here]</w:t>
      </w:r>
    </w:p>
    <w:p w14:paraId="639AAAD9" w14:textId="77777777" w:rsidR="00E72A9B" w:rsidRPr="004E7E5A" w:rsidRDefault="00E72A9B" w:rsidP="00E72A9B">
      <w:pPr>
        <w:pStyle w:val="4"/>
        <w:spacing w:before="0" w:after="0" w:line="480" w:lineRule="auto"/>
        <w:rPr>
          <w:i/>
          <w:iCs/>
          <w:color w:val="000000" w:themeColor="text1"/>
        </w:rPr>
      </w:pPr>
      <w:r w:rsidRPr="004E7E5A">
        <w:rPr>
          <w:i/>
          <w:iCs/>
          <w:color w:val="000000" w:themeColor="text1"/>
        </w:rPr>
        <w:t>Further Analysis Based on CEO Duality</w:t>
      </w:r>
    </w:p>
    <w:p w14:paraId="3F993A72" w14:textId="2E79D102" w:rsidR="00E72A9B" w:rsidRPr="004E7E5A" w:rsidRDefault="00E72A9B" w:rsidP="00E72A9B">
      <w:pPr>
        <w:pStyle w:val="a7"/>
        <w:spacing w:line="480" w:lineRule="auto"/>
        <w:ind w:firstLine="480"/>
        <w:rPr>
          <w:rFonts w:cs="Times New Roman"/>
        </w:rPr>
      </w:pPr>
      <w:r w:rsidRPr="004E7E5A">
        <w:rPr>
          <w:rFonts w:cs="Times New Roman"/>
        </w:rPr>
        <w:t xml:space="preserve">The descriptive statistics in Table 2 shows 18.5% of firms displaying CEO-chair structure. It could be valuable to examine how duality influences the network centrality and therefore the quality of CSR disclosure. When the chairman of the board is also the CEO, the effectiveness </w:t>
      </w:r>
      <w:r w:rsidRPr="004E7E5A">
        <w:rPr>
          <w:rFonts w:cs="Times New Roman"/>
        </w:rPr>
        <w:lastRenderedPageBreak/>
        <w:t xml:space="preserve">of the board to monitor top management can be undermined due to the dominating power of the board chairman and CEO duality </w:t>
      </w:r>
      <w:r w:rsidRPr="004E7E5A">
        <w:rPr>
          <w:rFonts w:cs="Times New Roman"/>
        </w:rPr>
        <w:fldChar w:fldCharType="begin"/>
      </w:r>
      <w:r w:rsidR="001A1175" w:rsidRPr="004E7E5A">
        <w:rPr>
          <w:rFonts w:cs="Times New Roman"/>
        </w:rPr>
        <w:instrText xml:space="preserve"> ADDIN EN.CITE &lt;EndNote&gt;&lt;Cite&gt;&lt;Author&gt;Firth&lt;/Author&gt;&lt;Year&gt;2007&lt;/Year&gt;&lt;RecNum&gt;2087&lt;/RecNum&gt;&lt;DisplayText&gt;(Firth et al. 2007; Liao et al. 2016)&lt;/DisplayText&gt;&lt;record&gt;&lt;rec-number&gt;2087&lt;/rec-number&gt;&lt;foreign-keys&gt;&lt;key app="EN" db-id="trr00pfsbzzex0ezwf6v5swd9fpfpwfa90xp" timestamp="1629361063" guid="f59129d6-1525-4a1a-8d3a-bb2b2f06afa3"&gt;2087&lt;/key&gt;&lt;/foreign-keys&gt;&lt;ref-type name="Journal Article"&gt;17&lt;/ref-type&gt;&lt;contributors&gt;&lt;authors&gt;&lt;author&gt;Firth, M.&lt;/author&gt;&lt;author&gt;Fung, Pmy&lt;/author&gt;&lt;author&gt;Rui, O. M.&lt;/author&gt;&lt;/authors&gt;&lt;/contributors&gt;&lt;titles&gt;&lt;title&gt;Ownership, two-tier board structure, and the informativeness of earnings - Evidence from China&lt;/title&gt;&lt;secondary-title&gt;Journal of Accounting &amp;amp; Public Policy&lt;/secondary-title&gt;&lt;/titles&gt;&lt;periodical&gt;&lt;full-title&gt;Journal of Accounting &amp;amp; Public Policy&lt;/full-title&gt;&lt;/periodical&gt;&lt;pages&gt;463-496&lt;/pages&gt;&lt;volume&gt;26&lt;/volume&gt;&lt;number&gt;4&lt;/number&gt;&lt;dates&gt;&lt;year&gt;2007&lt;/year&gt;&lt;/dates&gt;&lt;urls&gt;&lt;/urls&gt;&lt;/record&gt;&lt;/Cite&gt;&lt;Cite&gt;&lt;Author&gt;Liao&lt;/Author&gt;&lt;Year&gt;2016&lt;/Year&gt;&lt;RecNum&gt;318&lt;/RecNum&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Pr="004E7E5A">
        <w:rPr>
          <w:rFonts w:cs="Times New Roman"/>
        </w:rPr>
        <w:fldChar w:fldCharType="separate"/>
      </w:r>
      <w:r w:rsidRPr="004E7E5A">
        <w:rPr>
          <w:rFonts w:cs="Times New Roman"/>
          <w:noProof/>
        </w:rPr>
        <w:t>(Firth et al. 2007; Liao et al. 2016)</w:t>
      </w:r>
      <w:r w:rsidRPr="004E7E5A">
        <w:rPr>
          <w:rFonts w:cs="Times New Roman"/>
        </w:rPr>
        <w:fldChar w:fldCharType="end"/>
      </w:r>
      <w:r w:rsidRPr="004E7E5A">
        <w:rPr>
          <w:rFonts w:cs="Times New Roman"/>
        </w:rPr>
        <w:t xml:space="preserve">. The CEO duality structure could also limit the board effectiveness, specifically in terms of control and monitoring </w:t>
      </w:r>
      <w:r w:rsidRPr="004E7E5A">
        <w:rPr>
          <w:rFonts w:cs="Times New Roman"/>
        </w:rPr>
        <w:fldChar w:fldCharType="begin"/>
      </w:r>
      <w:r w:rsidR="001A1175" w:rsidRPr="004E7E5A">
        <w:rPr>
          <w:rFonts w:cs="Times New Roman"/>
        </w:rPr>
        <w:instrText xml:space="preserve"> ADDIN EN.CITE &lt;EndNote&gt;&lt;Cite&gt;&lt;Author&gt;Agrawal&lt;/Author&gt;&lt;Year&gt;2005&lt;/Year&gt;&lt;RecNum&gt;2086&lt;/RecNum&gt;&lt;DisplayText&gt;(Agrawal and Chadha 2005; Beji et al. 2020)&lt;/DisplayText&gt;&lt;record&gt;&lt;rec-number&gt;2086&lt;/rec-number&gt;&lt;foreign-keys&gt;&lt;key app="EN" db-id="trr00pfsbzzex0ezwf6v5swd9fpfpwfa90xp" timestamp="1629360912" guid="46547485-958c-4f18-bcaa-ab5584da4af9"&gt;2086&lt;/key&gt;&lt;/foreign-keys&gt;&lt;ref-type name="Journal Article"&gt;17&lt;/ref-type&gt;&lt;contributors&gt;&lt;authors&gt;&lt;author&gt;Agrawal, A.,&lt;/author&gt;&lt;author&gt;Chadha, S.&lt;/author&gt;&lt;/authors&gt;&lt;/contributors&gt;&lt;titles&gt;&lt;title&gt;Corporate governance and accounting scandals&lt;/title&gt;&lt;secondary-title&gt;Journal of Law &amp;amp; Economics&lt;/secondary-title&gt;&lt;/titles&gt;&lt;periodical&gt;&lt;full-title&gt;Journal of Law &amp;amp; Economics&lt;/full-title&gt;&lt;/periodical&gt;&lt;pages&gt;371-406&lt;/pages&gt;&lt;volume&gt;48&lt;/volume&gt;&lt;number&gt;2&lt;/number&gt;&lt;dates&gt;&lt;year&gt;2005&lt;/year&gt;&lt;/dates&gt;&lt;urls&gt;&lt;/urls&gt;&lt;/record&gt;&lt;/Cite&gt;&lt;Cite&gt;&lt;Author&gt;Beji&lt;/Author&gt;&lt;Year&gt;2020&lt;/Year&gt;&lt;RecNum&gt;1933&lt;/RecNum&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Ethics&lt;/full-title&gt;&lt;/periodical&gt;&lt;pages&gt;1-23&lt;/pages&gt;&lt;number&gt;6&lt;/number&gt;&lt;dates&gt;&lt;year&gt;2020&lt;/year&gt;&lt;/dates&gt;&lt;urls&gt;&lt;/urls&gt;&lt;/record&gt;&lt;/Cite&gt;&lt;/EndNote&gt;</w:instrText>
      </w:r>
      <w:r w:rsidRPr="004E7E5A">
        <w:rPr>
          <w:rFonts w:cs="Times New Roman"/>
        </w:rPr>
        <w:fldChar w:fldCharType="separate"/>
      </w:r>
      <w:r w:rsidRPr="004E7E5A">
        <w:rPr>
          <w:rFonts w:cs="Times New Roman"/>
          <w:noProof/>
        </w:rPr>
        <w:t>(Agrawal and Chadha 2005; Beji et al. 2020)</w:t>
      </w:r>
      <w:r w:rsidRPr="004E7E5A">
        <w:rPr>
          <w:rFonts w:cs="Times New Roman"/>
        </w:rPr>
        <w:fldChar w:fldCharType="end"/>
      </w:r>
      <w:r w:rsidRPr="004E7E5A">
        <w:rPr>
          <w:rFonts w:cs="Times New Roman"/>
        </w:rPr>
        <w:t xml:space="preserve">. </w:t>
      </w:r>
    </w:p>
    <w:p w14:paraId="74640BAA" w14:textId="41B54E3C" w:rsidR="00E72A9B" w:rsidRPr="004E7E5A" w:rsidRDefault="00E72A9B" w:rsidP="00E72A9B">
      <w:pPr>
        <w:pStyle w:val="a7"/>
        <w:spacing w:line="480" w:lineRule="auto"/>
        <w:ind w:firstLine="480"/>
        <w:rPr>
          <w:rFonts w:cs="Times New Roman"/>
          <w:szCs w:val="24"/>
          <w:lang w:val="en-GB"/>
        </w:rPr>
      </w:pPr>
      <w:r w:rsidRPr="004E7E5A">
        <w:rPr>
          <w:rFonts w:cs="Times New Roman"/>
        </w:rPr>
        <w:t xml:space="preserve">To test the influence of duality structure, we divide the sample into two groups based on whether the firm displays CEO duality structure and </w:t>
      </w:r>
      <w:r w:rsidRPr="004E7E5A">
        <w:rPr>
          <w:rFonts w:cs="Times New Roman"/>
          <w:szCs w:val="24"/>
          <w:lang w:val="en-GB"/>
        </w:rPr>
        <w:t>rerun regression</w:t>
      </w:r>
      <w:r w:rsidRPr="004E7E5A">
        <w:rPr>
          <w:rFonts w:cs="Times New Roman"/>
        </w:rPr>
        <w:t xml:space="preserve"> Equation (1) using </w:t>
      </w:r>
      <w:r w:rsidRPr="004E7E5A">
        <w:rPr>
          <w:rFonts w:cs="Times New Roman"/>
          <w:lang w:bidi="ar"/>
        </w:rPr>
        <w:t>2SLS</w:t>
      </w:r>
      <w:r w:rsidRPr="004E7E5A">
        <w:rPr>
          <w:rFonts w:cs="Times New Roman"/>
        </w:rPr>
        <w:t>.</w:t>
      </w:r>
      <w:r w:rsidRPr="004E7E5A">
        <w:rPr>
          <w:rFonts w:cs="Times New Roman"/>
          <w:szCs w:val="24"/>
        </w:rPr>
        <w:t xml:space="preserve"> </w:t>
      </w:r>
      <w:r w:rsidRPr="004E7E5A">
        <w:rPr>
          <w:rFonts w:cs="Times New Roman"/>
        </w:rPr>
        <w:t>Table 13 presents the second-stage regression results of estimating Equation (1).</w:t>
      </w:r>
      <w:r w:rsidRPr="004E7E5A">
        <w:rPr>
          <w:rFonts w:cs="Times New Roman"/>
          <w:szCs w:val="24"/>
          <w:lang w:val="en-GB"/>
        </w:rPr>
        <w:t xml:space="preserve"> </w:t>
      </w:r>
      <w:r w:rsidRPr="004E7E5A">
        <w:rPr>
          <w:rFonts w:cs="Times New Roman"/>
        </w:rPr>
        <w:t xml:space="preserve">We find that </w:t>
      </w:r>
      <w:r w:rsidRPr="004E7E5A">
        <w:rPr>
          <w:rFonts w:cs="Times New Roman"/>
          <w:shd w:val="clear" w:color="auto" w:fill="FFFFFF"/>
        </w:rPr>
        <w:t xml:space="preserve">coefficients on </w:t>
      </w:r>
      <w:r w:rsidRPr="004E7E5A">
        <w:rPr>
          <w:rFonts w:cs="Times New Roman"/>
        </w:rPr>
        <w:t>directors’ network</w:t>
      </w:r>
      <w:r w:rsidRPr="004E7E5A">
        <w:rPr>
          <w:rFonts w:cs="Times New Roman"/>
          <w:shd w:val="clear" w:color="auto" w:fill="FFFFFF"/>
        </w:rPr>
        <w:t xml:space="preserve"> in the </w:t>
      </w:r>
      <w:r w:rsidRPr="004E7E5A">
        <w:rPr>
          <w:rFonts w:cs="Times New Roman"/>
        </w:rPr>
        <w:t>duality structure</w:t>
      </w:r>
      <w:r w:rsidRPr="004E7E5A">
        <w:rPr>
          <w:rFonts w:cs="Times New Roman"/>
          <w:shd w:val="clear" w:color="auto" w:fill="FFFFFF"/>
        </w:rPr>
        <w:t xml:space="preserve"> sample are different from those in the non-</w:t>
      </w:r>
      <w:r w:rsidRPr="004E7E5A">
        <w:rPr>
          <w:rFonts w:cs="Times New Roman"/>
        </w:rPr>
        <w:t>duality structure</w:t>
      </w:r>
      <w:r w:rsidRPr="004E7E5A">
        <w:rPr>
          <w:rFonts w:cs="Times New Roman"/>
          <w:shd w:val="clear" w:color="auto" w:fill="FFFFFF"/>
        </w:rPr>
        <w:t xml:space="preserve"> sample, and the significance of </w:t>
      </w:r>
      <w:r w:rsidRPr="004E7E5A">
        <w:rPr>
          <w:rFonts w:cs="Times New Roman"/>
        </w:rPr>
        <w:t>directors’ network</w:t>
      </w:r>
      <w:r w:rsidRPr="004E7E5A">
        <w:rPr>
          <w:rFonts w:cs="Times New Roman"/>
          <w:shd w:val="clear" w:color="auto" w:fill="FFFFFF"/>
        </w:rPr>
        <w:t xml:space="preserve"> coefficient is lower in the sub-sample with </w:t>
      </w:r>
      <w:r w:rsidRPr="004E7E5A">
        <w:rPr>
          <w:rFonts w:cs="Times New Roman"/>
        </w:rPr>
        <w:t xml:space="preserve">duality structure than that in the </w:t>
      </w:r>
      <w:r w:rsidRPr="004E7E5A">
        <w:rPr>
          <w:rFonts w:cs="Times New Roman"/>
          <w:shd w:val="clear" w:color="auto" w:fill="FFFFFF"/>
        </w:rPr>
        <w:t>sub-sample with non-</w:t>
      </w:r>
      <w:r w:rsidRPr="004E7E5A">
        <w:rPr>
          <w:rFonts w:cs="Times New Roman"/>
        </w:rPr>
        <w:t>duality structure. The influence of directors’ network</w:t>
      </w:r>
      <w:r w:rsidRPr="004E7E5A">
        <w:rPr>
          <w:rFonts w:cs="Times New Roman"/>
          <w:shd w:val="clear" w:color="auto" w:fill="FFFFFF"/>
        </w:rPr>
        <w:t xml:space="preserve"> on CSR disclosure quality </w:t>
      </w:r>
      <w:r w:rsidRPr="004E7E5A">
        <w:rPr>
          <w:rFonts w:cs="Times New Roman"/>
        </w:rPr>
        <w:t>appears to be less</w:t>
      </w:r>
      <w:r w:rsidRPr="004E7E5A">
        <w:rPr>
          <w:rFonts w:cs="Times New Roman"/>
          <w:shd w:val="clear" w:color="auto" w:fill="FFFFFF"/>
        </w:rPr>
        <w:t xml:space="preserve"> in the sub-sample with </w:t>
      </w:r>
      <w:r w:rsidRPr="004E7E5A">
        <w:rPr>
          <w:rFonts w:cs="Times New Roman"/>
        </w:rPr>
        <w:t xml:space="preserve">duality structure than that in the </w:t>
      </w:r>
      <w:r w:rsidRPr="004E7E5A">
        <w:rPr>
          <w:rFonts w:cs="Times New Roman"/>
          <w:shd w:val="clear" w:color="auto" w:fill="FFFFFF"/>
        </w:rPr>
        <w:t>sub-sample with non-</w:t>
      </w:r>
      <w:r w:rsidRPr="004E7E5A">
        <w:rPr>
          <w:rFonts w:cs="Times New Roman"/>
        </w:rPr>
        <w:t>duality structure.</w:t>
      </w:r>
      <w:r w:rsidRPr="004E7E5A">
        <w:rPr>
          <w:rFonts w:cs="Times New Roman"/>
          <w:shd w:val="clear" w:color="auto" w:fill="FFFFFF"/>
        </w:rPr>
        <w:t xml:space="preserve"> </w:t>
      </w:r>
      <w:r w:rsidRPr="004E7E5A">
        <w:rPr>
          <w:rFonts w:cs="Times New Roman"/>
        </w:rPr>
        <w:t xml:space="preserve">One possible explanation is that the CEO-chair structure increases the CEO power </w:t>
      </w:r>
      <w:r w:rsidRPr="004E7E5A">
        <w:rPr>
          <w:rFonts w:cs="Times New Roman"/>
        </w:rPr>
        <w:fldChar w:fldCharType="begin"/>
      </w:r>
      <w:r w:rsidR="006F6C86" w:rsidRPr="004E7E5A">
        <w:rPr>
          <w:rFonts w:cs="Times New Roman"/>
        </w:rPr>
        <w:instrText xml:space="preserve"> ADDIN EN.CITE &lt;EndNote&gt;&lt;Cite&gt;&lt;Author&gt;Firth&lt;/Author&gt;&lt;Year&gt;2007&lt;/Year&gt;&lt;RecNum&gt;2087&lt;/RecNum&gt;&lt;DisplayText&gt;(Firth et al. 2007)&lt;/DisplayText&gt;&lt;record&gt;&lt;rec-number&gt;2087&lt;/rec-number&gt;&lt;foreign-keys&gt;&lt;key app="EN" db-id="trr00pfsbzzex0ezwf6v5swd9fpfpwfa90xp" timestamp="1629361063" guid="f59129d6-1525-4a1a-8d3a-bb2b2f06afa3"&gt;2087&lt;/key&gt;&lt;/foreign-keys&gt;&lt;ref-type name="Journal Article"&gt;17&lt;/ref-type&gt;&lt;contributors&gt;&lt;authors&gt;&lt;author&gt;Firth, M.&lt;/author&gt;&lt;author&gt;Fung, Pmy&lt;/author&gt;&lt;author&gt;Rui, O. M.&lt;/author&gt;&lt;/authors&gt;&lt;/contributors&gt;&lt;titles&gt;&lt;title&gt;Ownership, two-tier board structure, and the informativeness of earnings - Evidence from China&lt;/title&gt;&lt;secondary-title&gt;Journal of Accounting &amp;amp; Public Policy&lt;/secondary-title&gt;&lt;/titles&gt;&lt;periodical&gt;&lt;full-title&gt;Journal of Accounting &amp;amp; Public Policy&lt;/full-title&gt;&lt;/periodical&gt;&lt;pages&gt;463-496&lt;/pages&gt;&lt;volume&gt;26&lt;/volume&gt;&lt;number&gt;4&lt;/number&gt;&lt;dates&gt;&lt;year&gt;2007&lt;/year&gt;&lt;/dates&gt;&lt;urls&gt;&lt;/urls&gt;&lt;/record&gt;&lt;/Cite&gt;&lt;/EndNote&gt;</w:instrText>
      </w:r>
      <w:r w:rsidRPr="004E7E5A">
        <w:rPr>
          <w:rFonts w:cs="Times New Roman"/>
        </w:rPr>
        <w:fldChar w:fldCharType="separate"/>
      </w:r>
      <w:r w:rsidRPr="004E7E5A">
        <w:rPr>
          <w:rFonts w:cs="Times New Roman"/>
          <w:noProof/>
        </w:rPr>
        <w:t>(Firth et al. 2007)</w:t>
      </w:r>
      <w:r w:rsidRPr="004E7E5A">
        <w:rPr>
          <w:rFonts w:cs="Times New Roman"/>
        </w:rPr>
        <w:fldChar w:fldCharType="end"/>
      </w:r>
      <w:r w:rsidRPr="004E7E5A">
        <w:rPr>
          <w:rFonts w:cs="Times New Roman"/>
        </w:rPr>
        <w:t xml:space="preserve">. The presence of a dual CEO-chair may reduce the likelihood of the board approving immediate investments in CSR activities with long payback periods </w:t>
      </w:r>
      <w:r w:rsidRPr="004E7E5A">
        <w:rPr>
          <w:rFonts w:cs="Times New Roman"/>
        </w:rPr>
        <w:fldChar w:fldCharType="begin"/>
      </w:r>
      <w:r w:rsidR="00317C6A" w:rsidRPr="004E7E5A">
        <w:rPr>
          <w:rFonts w:cs="Times New Roman"/>
        </w:rPr>
        <w:instrText xml:space="preserve"> ADDIN EN.CITE &lt;EndNote&gt;&lt;Cite&gt;&lt;Author&gt;Villiers&lt;/Author&gt;&lt;Year&gt;2011&lt;/Year&gt;&lt;RecNum&gt;2072&lt;/RecNum&gt;&lt;DisplayText&gt;(Villiers et al. 2011)&lt;/DisplayText&gt;&lt;record&gt;&lt;rec-number&gt;2072&lt;/rec-number&gt;&lt;foreign-keys&gt;&lt;key app="EN" db-id="trr00pfsbzzex0ezwf6v5swd9fpfpwfa90xp" timestamp="1627965193" guid="0605a4c9-bb76-4cf0-9755-455834e97270"&gt;2072&lt;/key&gt;&lt;/foreign-keys&gt;&lt;ref-type name="Journal Article"&gt;17&lt;/ref-type&gt;&lt;contributors&gt;&lt;authors&gt;&lt;author&gt;Villiers, C. D.&lt;/author&gt;&lt;author&gt;Naiker, V.&lt;/author&gt;&lt;author&gt;Staden, Cjv&lt;/author&gt;&lt;/authors&gt;&lt;/contributors&gt;&lt;titles&gt;&lt;title&gt;The effect of board characteristics on firm environmental performance&lt;/title&gt;&lt;secondary-title&gt;Journal of Management&lt;/secondary-title&gt;&lt;/titles&gt;&lt;periodical&gt;&lt;full-title&gt;Journal of Management&lt;/full-title&gt;&lt;/periodical&gt;&lt;pages&gt;1636-1663&lt;/pages&gt;&lt;volume&gt;37&lt;/volume&gt;&lt;number&gt;6&lt;/number&gt;&lt;dates&gt;&lt;year&gt;2011&lt;/year&gt;&lt;/dates&gt;&lt;urls&gt;&lt;/urls&gt;&lt;/record&gt;&lt;/Cite&gt;&lt;/EndNote&gt;</w:instrText>
      </w:r>
      <w:r w:rsidRPr="004E7E5A">
        <w:rPr>
          <w:rFonts w:cs="Times New Roman"/>
        </w:rPr>
        <w:fldChar w:fldCharType="separate"/>
      </w:r>
      <w:r w:rsidRPr="004E7E5A">
        <w:rPr>
          <w:rFonts w:cs="Times New Roman"/>
          <w:noProof/>
        </w:rPr>
        <w:t>(Villiers et al. 2011)</w:t>
      </w:r>
      <w:r w:rsidRPr="004E7E5A">
        <w:rPr>
          <w:rFonts w:cs="Times New Roman"/>
        </w:rPr>
        <w:fldChar w:fldCharType="end"/>
      </w:r>
      <w:r w:rsidRPr="004E7E5A">
        <w:rPr>
          <w:rFonts w:cs="Times New Roman"/>
        </w:rPr>
        <w:t xml:space="preserve">. The CEO/chairman may hide some information from directors, specifically, when he or she could enjoy private benefits at the expense of CSR investments </w:t>
      </w:r>
      <w:r w:rsidRPr="004E7E5A">
        <w:rPr>
          <w:rFonts w:cs="Times New Roman"/>
        </w:rPr>
        <w:fldChar w:fldCharType="begin"/>
      </w:r>
      <w:r w:rsidR="001A1175" w:rsidRPr="004E7E5A">
        <w:rPr>
          <w:rFonts w:cs="Times New Roman"/>
        </w:rPr>
        <w:instrText xml:space="preserve"> ADDIN EN.CITE &lt;EndNote&gt;&lt;Cite&gt;&lt;Author&gt;Firth&lt;/Author&gt;&lt;Year&gt;2007&lt;/Year&gt;&lt;RecNum&gt;2087&lt;/RecNum&gt;&lt;DisplayText&gt;(Firth et al. 2007; Beji et al. 2020)&lt;/DisplayText&gt;&lt;record&gt;&lt;rec-number&gt;2087&lt;/rec-number&gt;&lt;foreign-keys&gt;&lt;key app="EN" db-id="trr00pfsbzzex0ezwf6v5swd9fpfpwfa90xp" timestamp="1629361063" guid="f59129d6-1525-4a1a-8d3a-bb2b2f06afa3"&gt;2087&lt;/key&gt;&lt;/foreign-keys&gt;&lt;ref-type name="Journal Article"&gt;17&lt;/ref-type&gt;&lt;contributors&gt;&lt;authors&gt;&lt;author&gt;Firth, M.&lt;/author&gt;&lt;author&gt;Fung, Pmy&lt;/author&gt;&lt;author&gt;Rui, O. M.&lt;/author&gt;&lt;/authors&gt;&lt;/contributors&gt;&lt;titles&gt;&lt;title&gt;Ownership, two-tier board structure, and the informativeness of earnings - Evidence from China&lt;/title&gt;&lt;secondary-title&gt;Journal of Accounting &amp;amp; Public Policy&lt;/secondary-title&gt;&lt;/titles&gt;&lt;periodical&gt;&lt;full-title&gt;Journal of Accounting &amp;amp; Public Policy&lt;/full-title&gt;&lt;/periodical&gt;&lt;pages&gt;463-496&lt;/pages&gt;&lt;volume&gt;26&lt;/volume&gt;&lt;number&gt;4&lt;/number&gt;&lt;dates&gt;&lt;year&gt;2007&lt;/year&gt;&lt;/dates&gt;&lt;urls&gt;&lt;/urls&gt;&lt;/record&gt;&lt;/Cite&gt;&lt;Cite&gt;&lt;Author&gt;Beji&lt;/Author&gt;&lt;Year&gt;2020&lt;/Year&gt;&lt;RecNum&gt;1933&lt;/RecNum&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Ethics&lt;/full-title&gt;&lt;/periodical&gt;&lt;pages&gt;1-23&lt;/pages&gt;&lt;number&gt;6&lt;/number&gt;&lt;dates&gt;&lt;year&gt;2020&lt;/year&gt;&lt;/dates&gt;&lt;urls&gt;&lt;/urls&gt;&lt;/record&gt;&lt;/Cite&gt;&lt;/EndNote&gt;</w:instrText>
      </w:r>
      <w:r w:rsidRPr="004E7E5A">
        <w:rPr>
          <w:rFonts w:cs="Times New Roman"/>
        </w:rPr>
        <w:fldChar w:fldCharType="separate"/>
      </w:r>
      <w:r w:rsidRPr="004E7E5A">
        <w:rPr>
          <w:rFonts w:cs="Times New Roman"/>
          <w:noProof/>
        </w:rPr>
        <w:t>(Firth et al. 2007; Beji et al. 2020)</w:t>
      </w:r>
      <w:r w:rsidRPr="004E7E5A">
        <w:rPr>
          <w:rFonts w:cs="Times New Roman"/>
        </w:rPr>
        <w:fldChar w:fldCharType="end"/>
      </w:r>
      <w:r w:rsidRPr="004E7E5A">
        <w:rPr>
          <w:rFonts w:cs="Times New Roman"/>
        </w:rPr>
        <w:t xml:space="preserve">. </w:t>
      </w:r>
    </w:p>
    <w:p w14:paraId="3D207A4F" w14:textId="77777777" w:rsidR="00E72A9B" w:rsidRPr="004E7E5A" w:rsidRDefault="00E72A9B" w:rsidP="00E72A9B">
      <w:pPr>
        <w:pStyle w:val="a7"/>
        <w:spacing w:line="480" w:lineRule="auto"/>
        <w:ind w:firstLineChars="0" w:firstLine="0"/>
        <w:jc w:val="center"/>
        <w:rPr>
          <w:rFonts w:cs="Times New Roman"/>
        </w:rPr>
      </w:pPr>
      <w:r w:rsidRPr="004E7E5A">
        <w:rPr>
          <w:rFonts w:cs="Times New Roman"/>
        </w:rPr>
        <w:t>[Insert Table 13 here]</w:t>
      </w:r>
    </w:p>
    <w:p w14:paraId="220104CA" w14:textId="77777777" w:rsidR="00E72A9B" w:rsidRPr="004E7E5A" w:rsidRDefault="00E72A9B" w:rsidP="00E72A9B">
      <w:pPr>
        <w:pStyle w:val="a9"/>
        <w:rPr>
          <w:iCs w:val="0"/>
          <w:sz w:val="24"/>
          <w:szCs w:val="24"/>
        </w:rPr>
      </w:pPr>
      <w:r w:rsidRPr="004E7E5A">
        <w:rPr>
          <w:iCs w:val="0"/>
          <w:sz w:val="24"/>
          <w:szCs w:val="24"/>
        </w:rPr>
        <w:t>Robustness Tests</w:t>
      </w:r>
    </w:p>
    <w:p w14:paraId="67AA547A" w14:textId="0640D2A9" w:rsidR="006B774E" w:rsidRPr="004E7E5A" w:rsidRDefault="006B774E" w:rsidP="006B774E">
      <w:pPr>
        <w:pStyle w:val="a7"/>
        <w:spacing w:line="480" w:lineRule="auto"/>
        <w:ind w:firstLine="480"/>
        <w:rPr>
          <w:rFonts w:cs="Times New Roman"/>
        </w:rPr>
      </w:pPr>
      <w:r w:rsidRPr="004E7E5A">
        <w:rPr>
          <w:rFonts w:cs="Times New Roman"/>
        </w:rPr>
        <w:t>In order to ensure that our findings are not incidental, we perform additional procedures to test for the robustness of our results. We use generalized method of moments (GMM) to eliminate endogeneity problems, including two-step</w:t>
      </w:r>
      <w:r w:rsidRPr="004E7E5A">
        <w:rPr>
          <w:rFonts w:eastAsia="Times New Roman" w:cs="Times New Roman"/>
          <w:szCs w:val="24"/>
        </w:rPr>
        <w:t xml:space="preserve"> Difference GMM</w:t>
      </w:r>
      <w:r w:rsidRPr="004E7E5A">
        <w:rPr>
          <w:rFonts w:cs="Times New Roman"/>
        </w:rPr>
        <w:t xml:space="preserve"> and</w:t>
      </w:r>
      <w:r w:rsidRPr="004E7E5A">
        <w:rPr>
          <w:rFonts w:eastAsia="Times New Roman" w:cs="Times New Roman" w:hint="eastAsia"/>
          <w:szCs w:val="24"/>
        </w:rPr>
        <w:t xml:space="preserve"> </w:t>
      </w:r>
      <w:r w:rsidRPr="004E7E5A">
        <w:rPr>
          <w:rFonts w:cs="Times New Roman"/>
        </w:rPr>
        <w:t xml:space="preserve">System GMM </w:t>
      </w:r>
      <w:r w:rsidRPr="004E7E5A">
        <w:rPr>
          <w:rFonts w:cs="Times New Roman"/>
        </w:rPr>
        <w:lastRenderedPageBreak/>
        <w:t>approach</w:t>
      </w:r>
      <w:r w:rsidRPr="004E7E5A">
        <w:rPr>
          <w:rFonts w:cs="Times New Roman" w:hint="eastAsia"/>
        </w:rPr>
        <w:t>es</w:t>
      </w:r>
      <w:r w:rsidRPr="004E7E5A">
        <w:rPr>
          <w:rFonts w:cs="Times New Roman"/>
        </w:rPr>
        <w:t>.</w:t>
      </w:r>
      <w:r w:rsidRPr="004E7E5A">
        <w:rPr>
          <w:rFonts w:eastAsia="Times New Roman" w:cs="Times New Roman"/>
          <w:szCs w:val="24"/>
        </w:rPr>
        <w:t xml:space="preserve"> </w:t>
      </w:r>
      <w:r w:rsidR="00841120" w:rsidRPr="004E7E5A">
        <w:rPr>
          <w:rFonts w:eastAsia="Times New Roman" w:cs="Times New Roman"/>
          <w:szCs w:val="24"/>
        </w:rPr>
        <w:t>Difference GMM</w:t>
      </w:r>
      <w:r w:rsidR="00841120" w:rsidRPr="004E7E5A">
        <w:rPr>
          <w:rFonts w:cs="Times New Roman"/>
        </w:rPr>
        <w:t xml:space="preserve"> and</w:t>
      </w:r>
      <w:r w:rsidR="00841120" w:rsidRPr="004E7E5A">
        <w:rPr>
          <w:rFonts w:eastAsia="Times New Roman" w:cs="Times New Roman" w:hint="eastAsia"/>
          <w:szCs w:val="24"/>
        </w:rPr>
        <w:t xml:space="preserve"> </w:t>
      </w:r>
      <w:r w:rsidR="00841120" w:rsidRPr="004E7E5A">
        <w:rPr>
          <w:rFonts w:cs="Times New Roman"/>
        </w:rPr>
        <w:t>System GMM approach</w:t>
      </w:r>
      <w:r w:rsidR="00841120" w:rsidRPr="004E7E5A">
        <w:rPr>
          <w:rFonts w:cs="Times New Roman" w:hint="eastAsia"/>
        </w:rPr>
        <w:t>es</w:t>
      </w:r>
      <w:r w:rsidRPr="004E7E5A">
        <w:rPr>
          <w:rFonts w:cs="Times New Roman"/>
        </w:rPr>
        <w:t xml:space="preserve"> </w:t>
      </w:r>
      <w:r w:rsidRPr="004E7E5A">
        <w:rPr>
          <w:rFonts w:eastAsia="Times New Roman" w:cs="Times New Roman"/>
          <w:szCs w:val="24"/>
        </w:rPr>
        <w:t xml:space="preserve">can </w:t>
      </w:r>
      <w:r w:rsidRPr="004E7E5A">
        <w:rPr>
          <w:rFonts w:eastAsia="Times New Roman"/>
          <w:szCs w:val="24"/>
        </w:rPr>
        <w:t xml:space="preserve">not only </w:t>
      </w:r>
      <w:r w:rsidRPr="004E7E5A">
        <w:rPr>
          <w:rFonts w:eastAsia="Times New Roman" w:cs="Times New Roman"/>
          <w:szCs w:val="24"/>
        </w:rPr>
        <w:t xml:space="preserve">control endogeneity relating to unobservable heterogeneity, but can also mitigate endogeneity relating to simultaneity/causality </w:t>
      </w:r>
      <w:r w:rsidRPr="004E7E5A">
        <w:rPr>
          <w:rFonts w:eastAsia="Times New Roman" w:cs="Times New Roman"/>
          <w:szCs w:val="24"/>
        </w:rPr>
        <w:fldChar w:fldCharType="begin"/>
      </w:r>
      <w:r w:rsidR="006F6C86" w:rsidRPr="004E7E5A">
        <w:rPr>
          <w:rFonts w:eastAsia="Times New Roman" w:cs="Times New Roman"/>
          <w:szCs w:val="24"/>
        </w:rPr>
        <w:instrText xml:space="preserve"> ADDIN EN.CITE &lt;EndNote&gt;&lt;Cite&gt;&lt;Author&gt;Wintoki&lt;/Author&gt;&lt;Year&gt;2012&lt;/Year&gt;&lt;RecNum&gt;2236&lt;/RecNum&gt;&lt;DisplayText&gt;(Wintoki et al. 2012; Windmeijer 2005)&lt;/DisplayText&gt;&lt;record&gt;&lt;rec-number&gt;2236&lt;/rec-number&gt;&lt;foreign-keys&gt;&lt;key app="EN" db-id="trr00pfsbzzex0ezwf6v5swd9fpfpwfa90xp" timestamp="1637830923" guid="2254b475-c13a-44ab-a1f8-13d5e0f476a6"&gt;2236&lt;/key&gt;&lt;/foreign-keys&gt;&lt;ref-type name="Journal Article"&gt;17&lt;/ref-type&gt;&lt;contributors&gt;&lt;authors&gt;&lt;author&gt;Wintoki, M Babajide&lt;/author&gt;&lt;author&gt;Linck, James S&lt;/author&gt;&lt;author&gt;Netter, Jeffry M&lt;/author&gt;&lt;/authors&gt;&lt;/contributors&gt;&lt;titles&gt;&lt;title&gt;Endogeneity and the dynamics of internal corporate governance&lt;/title&gt;&lt;secondary-title&gt;Journal of financial economics&lt;/secondary-title&gt;&lt;/titles&gt;&lt;periodical&gt;&lt;full-title&gt;Journal of Financial Economics&lt;/full-title&gt;&lt;/periodical&gt;&lt;pages&gt;581-606&lt;/pages&gt;&lt;volume&gt;105&lt;/volume&gt;&lt;number&gt;3&lt;/number&gt;&lt;dates&gt;&lt;year&gt;2012&lt;/year&gt;&lt;/dates&gt;&lt;isbn&gt;0304-405X&lt;/isbn&gt;&lt;urls&gt;&lt;/urls&gt;&lt;/record&gt;&lt;/Cite&gt;&lt;Cite&gt;&lt;Author&gt;Windmeijer&lt;/Author&gt;&lt;Year&gt;2005&lt;/Year&gt;&lt;RecNum&gt;2112&lt;/RecNum&gt;&lt;record&gt;&lt;rec-number&gt;2112&lt;/rec-number&gt;&lt;foreign-keys&gt;&lt;key app="EN" db-id="trr00pfsbzzex0ezwf6v5swd9fpfpwfa90xp" timestamp="1630975784" guid="d78903af-ed73-4a6b-9f30-ef1a70143cc5"&gt;2112&lt;/key&gt;&lt;/foreign-keys&gt;&lt;ref-type name="Journal Article"&gt;17&lt;/ref-type&gt;&lt;contributors&gt;&lt;authors&gt;&lt;author&gt;Windmeijer, F.&lt;/author&gt;&lt;/authors&gt;&lt;/contributors&gt;&lt;titles&gt;&lt;title&gt;A finite sample correction for the variance of linear efficient two-step GMM estimators&lt;/title&gt;&lt;secondary-title&gt;Journal of Econometrics&lt;/secondary-title&gt;&lt;/titles&gt;&lt;periodical&gt;&lt;full-title&gt;Journal of Econometrics&lt;/full-title&gt;&lt;/periodical&gt;&lt;pages&gt;25-51&lt;/pages&gt;&lt;volume&gt;126&lt;/volume&gt;&lt;number&gt;1&lt;/number&gt;&lt;dates&gt;&lt;year&gt;2005&lt;/year&gt;&lt;/dates&gt;&lt;urls&gt;&lt;/urls&gt;&lt;/record&gt;&lt;/Cite&gt;&lt;/EndNote&gt;</w:instrText>
      </w:r>
      <w:r w:rsidRPr="004E7E5A">
        <w:rPr>
          <w:rFonts w:eastAsia="Times New Roman" w:cs="Times New Roman"/>
          <w:szCs w:val="24"/>
        </w:rPr>
        <w:fldChar w:fldCharType="separate"/>
      </w:r>
      <w:r w:rsidRPr="004E7E5A">
        <w:rPr>
          <w:rFonts w:eastAsia="Times New Roman" w:cs="Times New Roman"/>
          <w:noProof/>
          <w:szCs w:val="24"/>
        </w:rPr>
        <w:t>(Wintoki et al. 2012; Windmeijer 2005)</w:t>
      </w:r>
      <w:r w:rsidRPr="004E7E5A">
        <w:rPr>
          <w:rFonts w:eastAsia="Times New Roman" w:cs="Times New Roman"/>
          <w:szCs w:val="24"/>
        </w:rPr>
        <w:fldChar w:fldCharType="end"/>
      </w:r>
      <w:r w:rsidRPr="004E7E5A">
        <w:rPr>
          <w:rFonts w:cs="Times New Roman"/>
          <w:szCs w:val="24"/>
        </w:rPr>
        <w:t>.</w:t>
      </w:r>
      <w:r w:rsidRPr="004E7E5A">
        <w:rPr>
          <w:rStyle w:val="af4"/>
          <w:rFonts w:cs="Times New Roman"/>
          <w:szCs w:val="24"/>
        </w:rPr>
        <w:footnoteReference w:id="14"/>
      </w:r>
      <w:r w:rsidRPr="004E7E5A">
        <w:rPr>
          <w:rFonts w:cs="Times New Roman"/>
          <w:szCs w:val="24"/>
        </w:rPr>
        <w:t xml:space="preserve"> </w:t>
      </w:r>
      <w:r w:rsidRPr="004E7E5A">
        <w:rPr>
          <w:rFonts w:eastAsia="Times New Roman" w:cs="Times New Roman"/>
          <w:szCs w:val="24"/>
        </w:rPr>
        <w:t>Besides GMM, we also conducted additional robustness test</w:t>
      </w:r>
      <w:r w:rsidRPr="004E7E5A">
        <w:rPr>
          <w:rFonts w:eastAsia="Times New Roman" w:cs="Times New Roman" w:hint="eastAsia"/>
          <w:szCs w:val="24"/>
        </w:rPr>
        <w:t>s</w:t>
      </w:r>
      <w:r w:rsidRPr="004E7E5A">
        <w:rPr>
          <w:rFonts w:eastAsia="Times New Roman" w:cs="Times New Roman"/>
          <w:szCs w:val="24"/>
        </w:rPr>
        <w:t xml:space="preserve"> </w:t>
      </w:r>
      <w:r w:rsidRPr="004E7E5A">
        <w:rPr>
          <w:rFonts w:cs="Times New Roman" w:hint="eastAsia"/>
        </w:rPr>
        <w:t>taking</w:t>
      </w:r>
      <w:r w:rsidRPr="004E7E5A">
        <w:rPr>
          <w:rFonts w:cs="Times New Roman"/>
        </w:rPr>
        <w:t xml:space="preserve"> </w:t>
      </w:r>
      <w:r w:rsidR="00F253FA" w:rsidRPr="004E7E5A">
        <w:rPr>
          <w:rFonts w:cs="Times New Roman"/>
          <w:szCs w:val="28"/>
        </w:rPr>
        <w:t>state-owned-enterprises</w:t>
      </w:r>
      <w:r w:rsidRPr="004E7E5A">
        <w:rPr>
          <w:rFonts w:cs="Times New Roman"/>
        </w:rPr>
        <w:t xml:space="preserve"> and exogenous event into consideration</w:t>
      </w:r>
      <w:r w:rsidR="00833063" w:rsidRPr="004E7E5A">
        <w:rPr>
          <w:rFonts w:cs="Times New Roman"/>
        </w:rPr>
        <w:t>. W</w:t>
      </w:r>
      <w:r w:rsidRPr="004E7E5A">
        <w:rPr>
          <w:rFonts w:cs="Times New Roman"/>
        </w:rPr>
        <w:t xml:space="preserve">e find that our results are robust to these various alternative </w:t>
      </w:r>
      <w:proofErr w:type="spellStart"/>
      <w:r w:rsidRPr="004E7E5A">
        <w:rPr>
          <w:rFonts w:cs="Times New Roman"/>
        </w:rPr>
        <w:t>specfications</w:t>
      </w:r>
      <w:proofErr w:type="spellEnd"/>
      <w:r w:rsidRPr="004E7E5A">
        <w:rPr>
          <w:rFonts w:cs="Times New Roman"/>
        </w:rPr>
        <w:t>.</w:t>
      </w:r>
    </w:p>
    <w:p w14:paraId="4AB5D5F2" w14:textId="19A78AE2" w:rsidR="00E72A9B" w:rsidRPr="004E7E5A" w:rsidRDefault="00E72A9B" w:rsidP="00E72A9B">
      <w:pPr>
        <w:pStyle w:val="4"/>
        <w:spacing w:before="0" w:after="0" w:line="480" w:lineRule="auto"/>
        <w:rPr>
          <w:i/>
          <w:iCs/>
          <w:color w:val="000000" w:themeColor="text1"/>
        </w:rPr>
      </w:pPr>
      <w:r w:rsidRPr="004E7E5A">
        <w:rPr>
          <w:i/>
          <w:iCs/>
          <w:color w:val="000000" w:themeColor="text1"/>
        </w:rPr>
        <w:t xml:space="preserve">Generalized Method of Moments </w:t>
      </w:r>
    </w:p>
    <w:p w14:paraId="5CA6AFCB" w14:textId="6D3600FF" w:rsidR="00BE3E27" w:rsidRPr="004E7E5A" w:rsidRDefault="00BE3E27" w:rsidP="00BE3E27">
      <w:pPr>
        <w:pStyle w:val="4"/>
        <w:spacing w:before="0" w:after="0" w:line="480" w:lineRule="auto"/>
        <w:rPr>
          <w:b w:val="0"/>
          <w:bCs w:val="0"/>
          <w:i/>
          <w:iCs/>
          <w:color w:val="000000" w:themeColor="text1"/>
        </w:rPr>
      </w:pPr>
      <w:r w:rsidRPr="004E7E5A">
        <w:rPr>
          <w:rFonts w:hint="eastAsia"/>
          <w:b w:val="0"/>
          <w:bCs w:val="0"/>
          <w:i/>
          <w:iCs/>
          <w:color w:val="000000" w:themeColor="text1"/>
        </w:rPr>
        <w:t>Difference</w:t>
      </w:r>
      <w:r w:rsidRPr="004E7E5A">
        <w:rPr>
          <w:b w:val="0"/>
          <w:bCs w:val="0"/>
          <w:i/>
          <w:iCs/>
          <w:color w:val="000000" w:themeColor="text1"/>
        </w:rPr>
        <w:t xml:space="preserve"> </w:t>
      </w:r>
      <w:r w:rsidRPr="004E7E5A">
        <w:rPr>
          <w:rFonts w:hint="eastAsia"/>
          <w:b w:val="0"/>
          <w:bCs w:val="0"/>
          <w:i/>
          <w:iCs/>
          <w:color w:val="000000" w:themeColor="text1"/>
        </w:rPr>
        <w:t>GMM</w:t>
      </w:r>
    </w:p>
    <w:p w14:paraId="5A4C3C11" w14:textId="1A237386" w:rsidR="00C73AFE" w:rsidRPr="004E7E5A" w:rsidRDefault="006B7953" w:rsidP="007C623A">
      <w:pPr>
        <w:pStyle w:val="a7"/>
        <w:spacing w:line="480" w:lineRule="auto"/>
        <w:ind w:firstLine="480"/>
        <w:rPr>
          <w:rFonts w:cs="Times New Roman"/>
        </w:rPr>
      </w:pPr>
      <w:r w:rsidRPr="004E7E5A">
        <w:rPr>
          <w:rFonts w:cs="Times New Roman"/>
        </w:rPr>
        <w:t xml:space="preserve">Examining the effect of </w:t>
      </w:r>
      <w:r w:rsidR="00157563" w:rsidRPr="004E7E5A">
        <w:rPr>
          <w:rFonts w:cs="Times New Roman"/>
        </w:rPr>
        <w:t>directors’ network</w:t>
      </w:r>
      <w:r w:rsidRPr="004E7E5A">
        <w:rPr>
          <w:rFonts w:cs="Times New Roman"/>
        </w:rPr>
        <w:t xml:space="preserve"> on </w:t>
      </w:r>
      <w:r w:rsidR="00157563" w:rsidRPr="004E7E5A">
        <w:rPr>
          <w:rFonts w:cs="Times New Roman"/>
        </w:rPr>
        <w:t>CSR disclosure quality</w:t>
      </w:r>
      <w:r w:rsidRPr="004E7E5A">
        <w:rPr>
          <w:rFonts w:cs="Times New Roman"/>
        </w:rPr>
        <w:t xml:space="preserve"> </w:t>
      </w:r>
      <w:r w:rsidR="00157563" w:rsidRPr="004E7E5A">
        <w:rPr>
          <w:rFonts w:cs="Times New Roman"/>
        </w:rPr>
        <w:t>may be</w:t>
      </w:r>
      <w:r w:rsidRPr="004E7E5A">
        <w:rPr>
          <w:rFonts w:cs="Times New Roman"/>
        </w:rPr>
        <w:t xml:space="preserve"> clouded by endogeneity problems such as unobservable heterogeneity and simultaneity</w:t>
      </w:r>
      <w:r w:rsidR="00157563" w:rsidRPr="004E7E5A">
        <w:rPr>
          <w:rFonts w:eastAsia="Times New Roman" w:cs="Times New Roman"/>
          <w:szCs w:val="24"/>
        </w:rPr>
        <w:t xml:space="preserve">/causality </w:t>
      </w:r>
      <w:r w:rsidR="00AA6E83" w:rsidRPr="004E7E5A">
        <w:rPr>
          <w:rFonts w:cs="Times New Roman"/>
        </w:rPr>
        <w:fldChar w:fldCharType="begin">
          <w:fldData xml:space="preserve">PEVuZE5vdGU+PENpdGU+PEF1dGhvcj5XaW50b2tpPC9BdXRob3I+PFllYXI+MjAxMjwvWWVhcj48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=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PEVuZE5vdGU+PENpdGU+PEF1dGhvcj5XaW50b2tpPC9BdXRob3I+PFllYXI+MjAxMjwvWWVhcj48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=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00AA6E83" w:rsidRPr="004E7E5A">
        <w:rPr>
          <w:rFonts w:cs="Times New Roman"/>
        </w:rPr>
      </w:r>
      <w:r w:rsidR="00AA6E83" w:rsidRPr="004E7E5A">
        <w:rPr>
          <w:rFonts w:cs="Times New Roman"/>
        </w:rPr>
        <w:fldChar w:fldCharType="separate"/>
      </w:r>
      <w:r w:rsidR="00AA6E83" w:rsidRPr="004E7E5A">
        <w:rPr>
          <w:rFonts w:cs="Times New Roman"/>
          <w:noProof/>
        </w:rPr>
        <w:t>(Wintoki et al. 2012; Beji et al. 2020; Eugster 2020)</w:t>
      </w:r>
      <w:r w:rsidR="00AA6E83" w:rsidRPr="004E7E5A">
        <w:rPr>
          <w:rFonts w:cs="Times New Roman"/>
        </w:rPr>
        <w:fldChar w:fldCharType="end"/>
      </w:r>
      <w:r w:rsidRPr="004E7E5A">
        <w:rPr>
          <w:rFonts w:cs="Times New Roman"/>
        </w:rPr>
        <w:t xml:space="preserve">. </w:t>
      </w:r>
      <w:r w:rsidR="001265EA" w:rsidRPr="004E7E5A">
        <w:rPr>
          <w:rFonts w:cs="Times New Roman"/>
        </w:rPr>
        <w:t>W</w:t>
      </w:r>
      <w:r w:rsidR="009B38FA" w:rsidRPr="004E7E5A">
        <w:rPr>
          <w:rFonts w:cs="Times New Roman"/>
        </w:rPr>
        <w:t xml:space="preserve">e </w:t>
      </w:r>
      <w:r w:rsidR="007C623A" w:rsidRPr="004E7E5A">
        <w:rPr>
          <w:rFonts w:cs="Times New Roman"/>
        </w:rPr>
        <w:t xml:space="preserve">use </w:t>
      </w:r>
      <w:r w:rsidR="007C623A" w:rsidRPr="004E7E5A">
        <w:rPr>
          <w:rFonts w:cs="Times New Roman" w:hint="eastAsia"/>
        </w:rPr>
        <w:t>a</w:t>
      </w:r>
      <w:r w:rsidR="007C623A" w:rsidRPr="004E7E5A">
        <w:rPr>
          <w:rFonts w:cs="Times New Roman"/>
        </w:rPr>
        <w:t xml:space="preserve"> dynamic panel </w:t>
      </w:r>
      <w:r w:rsidR="009B38FA" w:rsidRPr="004E7E5A">
        <w:rPr>
          <w:rFonts w:cs="Times New Roman"/>
        </w:rPr>
        <w:t xml:space="preserve">that controls for the past value of the dependent variable and deals with potential endogeneity issues. </w:t>
      </w:r>
      <w:r w:rsidR="00DB0C68" w:rsidRPr="004E7E5A">
        <w:rPr>
          <w:rFonts w:cs="Times New Roman"/>
        </w:rPr>
        <w:t xml:space="preserve">Because the presence of lags of dependent variable on the side of explanatory variables and the existence of endogenous regressors </w:t>
      </w:r>
      <w:r w:rsidR="00602FD0" w:rsidRPr="004E7E5A">
        <w:rPr>
          <w:rFonts w:cs="Times New Roman"/>
        </w:rPr>
        <w:t>in the model</w:t>
      </w:r>
      <w:r w:rsidR="00380C1E" w:rsidRPr="004E7E5A">
        <w:rPr>
          <w:rFonts w:cs="Times New Roman"/>
        </w:rPr>
        <w:t>,</w:t>
      </w:r>
      <w:r w:rsidR="00380C1E" w:rsidRPr="004E7E5A">
        <w:rPr>
          <w:rStyle w:val="fontstyle01"/>
          <w:rFonts w:ascii="Times New Roman" w:hAnsi="Times New Roman" w:cs="Times New Roman" w:hint="default"/>
          <w:color w:val="000000" w:themeColor="text1"/>
          <w:sz w:val="24"/>
          <w:szCs w:val="24"/>
        </w:rPr>
        <w:t xml:space="preserve"> </w:t>
      </w:r>
      <w:r w:rsidR="004F0FE8" w:rsidRPr="004E7E5A">
        <w:rPr>
          <w:rStyle w:val="fontstyle01"/>
          <w:rFonts w:ascii="Times New Roman" w:hAnsi="Times New Roman" w:cs="Times New Roman" w:hint="default"/>
          <w:color w:val="000000" w:themeColor="text1"/>
          <w:sz w:val="24"/>
          <w:szCs w:val="24"/>
        </w:rPr>
        <w:t>two-stage least squares</w:t>
      </w:r>
      <w:r w:rsidR="004F0FE8" w:rsidRPr="004E7E5A">
        <w:rPr>
          <w:rFonts w:cs="Times New Roman"/>
        </w:rPr>
        <w:t xml:space="preserve"> </w:t>
      </w:r>
      <w:r w:rsidR="00DB4C4B" w:rsidRPr="004E7E5A">
        <w:rPr>
          <w:rFonts w:cs="Times New Roman"/>
        </w:rPr>
        <w:t xml:space="preserve">(2SLS) </w:t>
      </w:r>
      <w:r w:rsidR="004F0FE8" w:rsidRPr="004E7E5A">
        <w:rPr>
          <w:rFonts w:cs="Times New Roman"/>
        </w:rPr>
        <w:t xml:space="preserve">estimates of the lagged dependent variable’s coefficient in a dynamic panel model </w:t>
      </w:r>
      <w:r w:rsidR="00DB0C68" w:rsidRPr="004E7E5A">
        <w:rPr>
          <w:rFonts w:cs="Times New Roman"/>
        </w:rPr>
        <w:t>are</w:t>
      </w:r>
      <w:r w:rsidR="004F0FE8" w:rsidRPr="004E7E5A">
        <w:rPr>
          <w:rFonts w:cs="Times New Roman"/>
        </w:rPr>
        <w:t xml:space="preserve"> biased due to the correlation between the fixed effects and the lagged dependent variable </w:t>
      </w:r>
      <w:r w:rsidR="00AA6E83" w:rsidRPr="004E7E5A">
        <w:rPr>
          <w:rFonts w:cs="Times New Roman"/>
        </w:rPr>
        <w:fldChar w:fldCharType="begin"/>
      </w:r>
      <w:r w:rsidR="006F6C86" w:rsidRPr="004E7E5A">
        <w:rPr>
          <w:rFonts w:cs="Times New Roman"/>
        </w:rPr>
        <w:instrText xml:space="preserve"> ADDIN EN.CITE &lt;EndNote&gt;&lt;Cite&gt;&lt;Author&gt;Nickell&lt;/Author&gt;&lt;Year&gt;1981&lt;/Year&gt;&lt;RecNum&gt;2330&lt;/RecNum&gt;&lt;DisplayText&gt;(Nickell 1981; Flannery and Hankins 2013)&lt;/DisplayText&gt;&lt;record&gt;&lt;rec-number&gt;2330&lt;/rec-number&gt;&lt;foreign-keys&gt;&lt;key app="EN" db-id="trr00pfsbzzex0ezwf6v5swd9fpfpwfa90xp" timestamp="1640493226" guid="8b2314c4-1f61-4e44-a7dd-b34a920125e8"&gt;2330&lt;/key&gt;&lt;/foreign-keys&gt;&lt;ref-type name="Journal Article"&gt;17&lt;/ref-type&gt;&lt;contributors&gt;&lt;authors&gt;&lt;author&gt;Nickell, Stephen&lt;/author&gt;&lt;/authors&gt;&lt;/contributors&gt;&lt;titles&gt;&lt;title&gt;Biases in dynamic models with fixed effects&lt;/title&gt;&lt;secondary-title&gt;Econometrica: Journal of the econometric society&lt;/secondary-title&gt;&lt;/titles&gt;&lt;periodical&gt;&lt;full-title&gt;Econometrica: Journal of the econometric society&lt;/full-title&gt;&lt;/periodical&gt;&lt;pages&gt;1417-1426&lt;/pages&gt;&lt;dates&gt;&lt;year&gt;1981&lt;/year&gt;&lt;/dates&gt;&lt;isbn&gt;0012-9682&lt;/isbn&gt;&lt;urls&gt;&lt;/urls&gt;&lt;/record&gt;&lt;/Cite&gt;&lt;Cite&gt;&lt;Author&gt;Flannery&lt;/Author&gt;&lt;Year&gt;2013&lt;/Year&gt;&lt;RecNum&gt;2228&lt;/RecNum&gt;&lt;record&gt;&lt;rec-number&gt;2228&lt;/rec-number&gt;&lt;foreign-keys&gt;&lt;key app="EN" db-id="trr00pfsbzzex0ezwf6v5swd9fpfpwfa90xp" timestamp="1637660255" guid="9f257f22-3d33-476b-8a84-df1e7a3b323b"&gt;2228&lt;/key&gt;&lt;/foreign-keys&gt;&lt;ref-type name="Journal Article"&gt;17&lt;/ref-type&gt;&lt;contributors&gt;&lt;authors&gt;&lt;author&gt;Flannery, Mark J&lt;/author&gt;&lt;author&gt;Hankins, Kristine Watson&lt;/author&gt;&lt;/authors&gt;&lt;/contributors&gt;&lt;titles&gt;&lt;title&gt;Estimating dynamic panel models in corporate finance&lt;/title&gt;&lt;secondary-title&gt;Journal of Corporate Finance&lt;/secondary-title&gt;&lt;/titles&gt;&lt;periodical&gt;&lt;full-title&gt;Journal of Corporate Finance&lt;/full-title&gt;&lt;/periodical&gt;&lt;pages&gt;1-19&lt;/pages&gt;&lt;volume&gt;19&lt;/volume&gt;&lt;dates&gt;&lt;year&gt;2013&lt;/year&gt;&lt;/dates&gt;&lt;isbn&gt;0929-1199&lt;/isbn&gt;&lt;urls&gt;&lt;/urls&gt;&lt;/record&gt;&lt;/Cite&gt;&lt;/EndNote&gt;</w:instrText>
      </w:r>
      <w:r w:rsidR="00AA6E83" w:rsidRPr="004E7E5A">
        <w:rPr>
          <w:rFonts w:cs="Times New Roman"/>
        </w:rPr>
        <w:fldChar w:fldCharType="separate"/>
      </w:r>
      <w:r w:rsidR="00AA6E83" w:rsidRPr="004E7E5A">
        <w:rPr>
          <w:rFonts w:cs="Times New Roman"/>
          <w:noProof/>
        </w:rPr>
        <w:t>(Nickell 1981; Flannery and Hankins 2013)</w:t>
      </w:r>
      <w:r w:rsidR="00AA6E83" w:rsidRPr="004E7E5A">
        <w:rPr>
          <w:rFonts w:cs="Times New Roman"/>
        </w:rPr>
        <w:fldChar w:fldCharType="end"/>
      </w:r>
      <w:r w:rsidR="004F0FE8" w:rsidRPr="004E7E5A">
        <w:rPr>
          <w:rFonts w:cs="Times New Roman"/>
        </w:rPr>
        <w:t>.</w:t>
      </w:r>
      <w:r w:rsidR="00FF256A" w:rsidRPr="004E7E5A">
        <w:rPr>
          <w:rFonts w:cs="Times New Roman" w:hint="eastAsia"/>
          <w:szCs w:val="24"/>
        </w:rPr>
        <w:t xml:space="preserve"> </w:t>
      </w:r>
      <w:r w:rsidR="00DB0C68" w:rsidRPr="004E7E5A">
        <w:rPr>
          <w:rFonts w:cs="Times New Roman"/>
        </w:rPr>
        <w:t xml:space="preserve">Arellano and Bond (1991) presented a GMM estimator as an instrumental variable estimator where the lags of endogenous regressors and the current values of exogenous </w:t>
      </w:r>
      <w:r w:rsidR="00DB0C68" w:rsidRPr="004E7E5A">
        <w:rPr>
          <w:rFonts w:cs="Times New Roman"/>
        </w:rPr>
        <w:lastRenderedPageBreak/>
        <w:t>variables are used as instruments</w:t>
      </w:r>
      <w:r w:rsidR="0015609D" w:rsidRPr="004E7E5A">
        <w:rPr>
          <w:rFonts w:cs="Times New Roman"/>
        </w:rPr>
        <w:t xml:space="preserve">, </w:t>
      </w:r>
      <w:r w:rsidR="0015609D" w:rsidRPr="004E7E5A">
        <w:rPr>
          <w:rFonts w:cs="Times New Roman"/>
          <w:szCs w:val="24"/>
        </w:rPr>
        <w:t xml:space="preserve">which may resolve </w:t>
      </w:r>
      <w:r w:rsidR="0015609D" w:rsidRPr="004E7E5A">
        <w:rPr>
          <w:rFonts w:cs="Times New Roman"/>
        </w:rPr>
        <w:t>the problem caused by 2SLS</w:t>
      </w:r>
      <w:r w:rsidR="00DB0C68" w:rsidRPr="004E7E5A">
        <w:rPr>
          <w:rFonts w:cs="Times New Roman"/>
        </w:rPr>
        <w:t>.</w:t>
      </w:r>
      <w:r w:rsidR="00B169C6" w:rsidRPr="004E7E5A">
        <w:rPr>
          <w:rFonts w:cs="Times New Roman" w:hint="eastAsia"/>
        </w:rPr>
        <w:t xml:space="preserve"> </w:t>
      </w:r>
      <w:r w:rsidR="001125E6" w:rsidRPr="004E7E5A">
        <w:rPr>
          <w:rFonts w:cs="Times New Roman"/>
        </w:rPr>
        <w:t xml:space="preserve">They </w:t>
      </w:r>
      <w:r w:rsidR="00B606FB" w:rsidRPr="004E7E5A">
        <w:rPr>
          <w:rFonts w:cs="Times New Roman"/>
        </w:rPr>
        <w:t xml:space="preserve">first-differences </w:t>
      </w:r>
      <w:r w:rsidR="00FD0718" w:rsidRPr="004E7E5A">
        <w:rPr>
          <w:rFonts w:cs="Times New Roman"/>
        </w:rPr>
        <w:t>the panel data to remove the time-invariant fixed effect</w:t>
      </w:r>
      <w:r w:rsidR="002A72EF" w:rsidRPr="004E7E5A">
        <w:rPr>
          <w:rFonts w:cs="Times New Roman"/>
        </w:rPr>
        <w:t>. Further, they show that</w:t>
      </w:r>
      <w:r w:rsidR="00FD0718" w:rsidRPr="004E7E5A">
        <w:rPr>
          <w:rFonts w:cs="Times New Roman"/>
        </w:rPr>
        <w:t xml:space="preserve"> the lagged dependent variables’ values (levels) constitute legitimate instruments for the first-differenced variable, provided that the residuals are free from second-order serial correlation </w:t>
      </w:r>
      <w:r w:rsidR="00FD0718" w:rsidRPr="004E7E5A">
        <w:rPr>
          <w:rFonts w:cs="Times New Roman"/>
        </w:rPr>
        <w:fldChar w:fldCharType="begin"/>
      </w:r>
      <w:r w:rsidR="006F6C86" w:rsidRPr="004E7E5A">
        <w:rPr>
          <w:rFonts w:cs="Times New Roman"/>
        </w:rPr>
        <w:instrText xml:space="preserve"> ADDIN EN.CITE &lt;EndNote&gt;&lt;Cite&gt;&lt;Author&gt;Arellano&lt;/Author&gt;&lt;Year&gt;1991&lt;/Year&gt;&lt;RecNum&gt;2226&lt;/RecNum&gt;&lt;DisplayText&gt;(Arellano and Bond 1991; Flannery and Hankins 2013)&lt;/DisplayText&gt;&lt;record&gt;&lt;rec-number&gt;2226&lt;/rec-number&gt;&lt;foreign-keys&gt;&lt;key app="EN" db-id="trr00pfsbzzex0ezwf6v5swd9fpfpwfa90xp" timestamp="1637660068" guid="a66d7eab-a179-4229-a61d-998fea2610db"&gt;2226&lt;/key&gt;&lt;/foreign-keys&gt;&lt;ref-type name="Journal Article"&gt;17&lt;/ref-type&gt;&lt;contributors&gt;&lt;authors&gt;&lt;author&gt;Arellano, Manuel&lt;/author&gt;&lt;author&gt;Bond, Stephen&lt;/author&gt;&lt;/authors&gt;&lt;/contributors&gt;&lt;titles&gt;&lt;title&gt;Some tests of specification for panel data: Monte Carlo evidence and an application to employment equations&lt;/title&gt;&lt;secondary-title&gt;The review of economic studies&lt;/secondary-title&gt;&lt;/titles&gt;&lt;periodical&gt;&lt;full-title&gt;The Review of Economic Studies&lt;/full-title&gt;&lt;/periodical&gt;&lt;pages&gt;277-297&lt;/pages&gt;&lt;volume&gt;58&lt;/volume&gt;&lt;number&gt;2&lt;/number&gt;&lt;dates&gt;&lt;year&gt;1991&lt;/year&gt;&lt;/dates&gt;&lt;isbn&gt;1467-937X&lt;/isbn&gt;&lt;urls&gt;&lt;/urls&gt;&lt;/record&gt;&lt;/Cite&gt;&lt;Cite&gt;&lt;Author&gt;Flannery&lt;/Author&gt;&lt;Year&gt;2013&lt;/Year&gt;&lt;RecNum&gt;2228&lt;/RecNum&gt;&lt;record&gt;&lt;rec-number&gt;2228&lt;/rec-number&gt;&lt;foreign-keys&gt;&lt;key app="EN" db-id="trr00pfsbzzex0ezwf6v5swd9fpfpwfa90xp" timestamp="1637660255" guid="9f257f22-3d33-476b-8a84-df1e7a3b323b"&gt;2228&lt;/key&gt;&lt;/foreign-keys&gt;&lt;ref-type name="Journal Article"&gt;17&lt;/ref-type&gt;&lt;contributors&gt;&lt;authors&gt;&lt;author&gt;Flannery, Mark J&lt;/author&gt;&lt;author&gt;Hankins, Kristine Watson&lt;/author&gt;&lt;/authors&gt;&lt;/contributors&gt;&lt;titles&gt;&lt;title&gt;Estimating dynamic panel models in corporate finance&lt;/title&gt;&lt;secondary-title&gt;Journal of Corporate Finance&lt;/secondary-title&gt;&lt;/titles&gt;&lt;periodical&gt;&lt;full-title&gt;Journal of Corporate Finance&lt;/full-title&gt;&lt;/periodical&gt;&lt;pages&gt;1-19&lt;/pages&gt;&lt;volume&gt;19&lt;/volume&gt;&lt;dates&gt;&lt;year&gt;2013&lt;/year&gt;&lt;/dates&gt;&lt;isbn&gt;0929-1199&lt;/isbn&gt;&lt;urls&gt;&lt;/urls&gt;&lt;/record&gt;&lt;/Cite&gt;&lt;/EndNote&gt;</w:instrText>
      </w:r>
      <w:r w:rsidR="00FD0718" w:rsidRPr="004E7E5A">
        <w:rPr>
          <w:rFonts w:cs="Times New Roman"/>
        </w:rPr>
        <w:fldChar w:fldCharType="separate"/>
      </w:r>
      <w:r w:rsidR="00FD0718" w:rsidRPr="004E7E5A">
        <w:rPr>
          <w:rFonts w:cs="Times New Roman"/>
          <w:noProof/>
        </w:rPr>
        <w:t>(Arellano and Bond 1991; Flannery and Hankins 2013)</w:t>
      </w:r>
      <w:r w:rsidR="00FD0718" w:rsidRPr="004E7E5A">
        <w:rPr>
          <w:rFonts w:cs="Times New Roman"/>
        </w:rPr>
        <w:fldChar w:fldCharType="end"/>
      </w:r>
      <w:r w:rsidR="00FD0718" w:rsidRPr="004E7E5A">
        <w:rPr>
          <w:rFonts w:cs="Times New Roman"/>
        </w:rPr>
        <w:t xml:space="preserve">. </w:t>
      </w:r>
    </w:p>
    <w:p w14:paraId="05215B33" w14:textId="79D076D9" w:rsidR="008F32E5" w:rsidRPr="004E7E5A" w:rsidRDefault="008F32E5" w:rsidP="008F32E5">
      <w:pPr>
        <w:pStyle w:val="a7"/>
        <w:spacing w:line="480" w:lineRule="auto"/>
        <w:ind w:firstLine="480"/>
        <w:rPr>
          <w:rFonts w:eastAsia="Times New Roman" w:cs="Times New Roman"/>
          <w:szCs w:val="24"/>
        </w:rPr>
      </w:pPr>
      <w:r w:rsidRPr="004E7E5A">
        <w:t>We assume that CSR disclosure quality (</w:t>
      </w:r>
      <w:proofErr w:type="spellStart"/>
      <w:r w:rsidRPr="004E7E5A">
        <w:rPr>
          <w:i/>
          <w:iCs/>
        </w:rPr>
        <w:t>Csr</w:t>
      </w:r>
      <w:proofErr w:type="spellEnd"/>
      <w:r w:rsidRPr="004E7E5A">
        <w:t>) and director’s centrality indicator (</w:t>
      </w:r>
      <w:r w:rsidRPr="004E7E5A">
        <w:rPr>
          <w:i/>
          <w:iCs/>
        </w:rPr>
        <w:t>Score</w:t>
      </w:r>
      <w:r w:rsidRPr="004E7E5A">
        <w:t xml:space="preserve">) are endogenous. The remaining variables are </w:t>
      </w:r>
      <w:r w:rsidRPr="004E7E5A">
        <w:rPr>
          <w:rFonts w:hint="eastAsia"/>
        </w:rPr>
        <w:t>assumed</w:t>
      </w:r>
      <w:r w:rsidRPr="004E7E5A">
        <w:t xml:space="preserve"> </w:t>
      </w:r>
      <w:r w:rsidRPr="004E7E5A">
        <w:rPr>
          <w:rFonts w:hint="eastAsia"/>
        </w:rPr>
        <w:t>to</w:t>
      </w:r>
      <w:r w:rsidRPr="004E7E5A">
        <w:t xml:space="preserve"> </w:t>
      </w:r>
      <w:r w:rsidRPr="004E7E5A">
        <w:rPr>
          <w:rFonts w:hint="eastAsia"/>
        </w:rPr>
        <w:t>be</w:t>
      </w:r>
      <w:r w:rsidRPr="004E7E5A">
        <w:t xml:space="preserve"> exogenous</w:t>
      </w:r>
      <w:r w:rsidRPr="004E7E5A">
        <w:rPr>
          <w:i/>
          <w:iCs/>
          <w:vertAlign w:val="subscript"/>
        </w:rPr>
        <w:t xml:space="preserve"> </w:t>
      </w:r>
      <w:r w:rsidRPr="004E7E5A">
        <w:rPr>
          <w:rFonts w:cs="Times New Roman"/>
        </w:rPr>
        <w:fldChar w:fldCharType="begin">
          <w:fldData xml:space="preserve">PEVuZE5vdGU+PENpdGU+PEF1dGhvcj5BcmVsbGFubzwvQXV0aG9yPjxZZWFyPjE5OTE8L1llYXI+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</w:fldData>
        </w:fldChar>
      </w:r>
      <w:r w:rsidR="006F6C86" w:rsidRPr="004E7E5A">
        <w:rPr>
          <w:rFonts w:cs="Times New Roman"/>
        </w:rPr>
        <w:instrText xml:space="preserve"> ADDIN EN.CITE </w:instrText>
      </w:r>
      <w:r w:rsidR="006F6C86" w:rsidRPr="004E7E5A">
        <w:rPr>
          <w:rFonts w:cs="Times New Roman"/>
        </w:rPr>
        <w:fldChar w:fldCharType="begin">
          <w:fldData xml:space="preserve">PEVuZE5vdGU+PENpdGU+PEF1dGhvcj5BcmVsbGFubzwvQXV0aG9yPjxZZWFyPjE5OTE8L1llYXI+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</w:fldData>
        </w:fldChar>
      </w:r>
      <w:r w:rsidR="006F6C86" w:rsidRPr="004E7E5A">
        <w:rPr>
          <w:rFonts w:cs="Times New Roman"/>
        </w:rPr>
        <w:instrText xml:space="preserve"> ADDIN EN.CITE.DATA </w:instrText>
      </w:r>
      <w:r w:rsidR="006F6C86" w:rsidRPr="004E7E5A">
        <w:rPr>
          <w:rFonts w:cs="Times New Roman"/>
        </w:rPr>
      </w:r>
      <w:r w:rsidR="006F6C86" w:rsidRPr="004E7E5A">
        <w:rPr>
          <w:rFonts w:cs="Times New Roman"/>
        </w:rPr>
        <w:fldChar w:fldCharType="end"/>
      </w:r>
      <w:r w:rsidRPr="004E7E5A">
        <w:rPr>
          <w:rFonts w:cs="Times New Roman"/>
        </w:rPr>
      </w:r>
      <w:r w:rsidRPr="004E7E5A">
        <w:rPr>
          <w:rFonts w:cs="Times New Roman"/>
        </w:rPr>
        <w:fldChar w:fldCharType="separate"/>
      </w:r>
      <w:r w:rsidRPr="004E7E5A">
        <w:rPr>
          <w:rFonts w:cs="Times New Roman"/>
          <w:noProof/>
        </w:rPr>
        <w:t>(Arellano and Bond 1991; Wintoki et al. 2012; Eugster 2020)</w:t>
      </w:r>
      <w:r w:rsidRPr="004E7E5A">
        <w:rPr>
          <w:rFonts w:cs="Times New Roman"/>
        </w:rPr>
        <w:fldChar w:fldCharType="end"/>
      </w:r>
      <w:r w:rsidRPr="004E7E5A">
        <w:t xml:space="preserve">. </w:t>
      </w:r>
      <w:r w:rsidR="00E9658F" w:rsidRPr="004E7E5A">
        <w:rPr>
          <w:rFonts w:eastAsia="Times New Roman" w:cs="Times New Roman"/>
          <w:szCs w:val="24"/>
        </w:rPr>
        <w:t xml:space="preserve">Following </w:t>
      </w:r>
      <w:proofErr w:type="spellStart"/>
      <w:r w:rsidR="00E9658F" w:rsidRPr="004E7E5A">
        <w:rPr>
          <w:rFonts w:eastAsia="Times New Roman" w:cs="Times New Roman"/>
          <w:szCs w:val="24"/>
        </w:rPr>
        <w:t>Beji</w:t>
      </w:r>
      <w:proofErr w:type="spellEnd"/>
      <w:r w:rsidR="00E9658F" w:rsidRPr="004E7E5A">
        <w:rPr>
          <w:rFonts w:eastAsia="Times New Roman" w:cs="Times New Roman" w:hint="eastAsia"/>
          <w:szCs w:val="24"/>
        </w:rPr>
        <w:t xml:space="preserve"> </w:t>
      </w:r>
      <w:r w:rsidR="00E9658F" w:rsidRPr="004E7E5A">
        <w:rPr>
          <w:rFonts w:eastAsia="Times New Roman" w:cs="Times New Roman"/>
          <w:szCs w:val="24"/>
        </w:rPr>
        <w:t>et al. (2020), we add only one lag of the dependent variable (</w:t>
      </w:r>
      <w:proofErr w:type="spellStart"/>
      <w:r w:rsidR="00E9658F" w:rsidRPr="004E7E5A">
        <w:rPr>
          <w:rFonts w:eastAsia="Times New Roman" w:cs="Times New Roman"/>
          <w:i/>
          <w:iCs/>
          <w:szCs w:val="24"/>
        </w:rPr>
        <w:t>Csr</w:t>
      </w:r>
      <w:proofErr w:type="spellEnd"/>
      <w:r w:rsidR="00E9658F" w:rsidRPr="004E7E5A">
        <w:rPr>
          <w:rFonts w:eastAsia="Times New Roman" w:cs="Times New Roman"/>
          <w:szCs w:val="24"/>
        </w:rPr>
        <w:t>) on the right-hand side of our regression model.</w:t>
      </w:r>
      <w:r w:rsidR="00E9658F" w:rsidRPr="004E7E5A">
        <w:t xml:space="preserve"> </w:t>
      </w:r>
      <w:r w:rsidR="005B2D57" w:rsidRPr="004E7E5A">
        <w:t xml:space="preserve">As to instrument variables, </w:t>
      </w:r>
      <w:r w:rsidR="005B2D57" w:rsidRPr="004E7E5A">
        <w:rPr>
          <w:rFonts w:eastAsia="Times New Roman"/>
          <w:szCs w:val="24"/>
        </w:rPr>
        <w:t>w</w:t>
      </w:r>
      <w:r w:rsidRPr="004E7E5A">
        <w:rPr>
          <w:rFonts w:eastAsia="Times New Roman"/>
          <w:szCs w:val="24"/>
        </w:rPr>
        <w:t xml:space="preserve">e use </w:t>
      </w:r>
      <w:r w:rsidRPr="004E7E5A">
        <w:rPr>
          <w:rFonts w:eastAsia="Times New Roman" w:cs="Times New Roman"/>
          <w:szCs w:val="24"/>
        </w:rPr>
        <w:t>the lagged value of the dependent variable (</w:t>
      </w:r>
      <w:proofErr w:type="spellStart"/>
      <w:r w:rsidRPr="004E7E5A">
        <w:rPr>
          <w:rFonts w:eastAsia="Times New Roman" w:cs="Times New Roman"/>
          <w:i/>
          <w:iCs/>
          <w:szCs w:val="24"/>
        </w:rPr>
        <w:t>C</w:t>
      </w:r>
      <w:r w:rsidRPr="004E7E5A">
        <w:rPr>
          <w:rFonts w:eastAsia="Times New Roman"/>
          <w:i/>
          <w:iCs/>
          <w:szCs w:val="24"/>
        </w:rPr>
        <w:t>sr</w:t>
      </w:r>
      <w:proofErr w:type="spellEnd"/>
      <w:r w:rsidRPr="004E7E5A">
        <w:rPr>
          <w:rFonts w:eastAsia="Times New Roman" w:cs="Times New Roman"/>
          <w:szCs w:val="24"/>
        </w:rPr>
        <w:t>) and lagged value of the endogenous independent variable (</w:t>
      </w:r>
      <w:r w:rsidRPr="004E7E5A">
        <w:rPr>
          <w:rFonts w:eastAsia="Times New Roman" w:cs="Times New Roman"/>
          <w:i/>
          <w:iCs/>
          <w:szCs w:val="24"/>
        </w:rPr>
        <w:t>Score</w:t>
      </w:r>
      <w:r w:rsidRPr="004E7E5A">
        <w:rPr>
          <w:rFonts w:eastAsia="Times New Roman" w:cs="Times New Roman"/>
          <w:szCs w:val="24"/>
        </w:rPr>
        <w:t>)</w:t>
      </w:r>
      <w:r w:rsidRPr="004E7E5A">
        <w:rPr>
          <w:rFonts w:eastAsia="Times New Roman"/>
          <w:szCs w:val="24"/>
        </w:rPr>
        <w:t xml:space="preserve"> as </w:t>
      </w:r>
      <w:r w:rsidRPr="004E7E5A">
        <w:rPr>
          <w:rFonts w:eastAsia="Times New Roman" w:cs="Times New Roman"/>
          <w:szCs w:val="24"/>
        </w:rPr>
        <w:t xml:space="preserve">instruments in the </w:t>
      </w:r>
      <w:r w:rsidRPr="004E7E5A">
        <w:rPr>
          <w:rFonts w:eastAsia="Times New Roman"/>
          <w:szCs w:val="24"/>
        </w:rPr>
        <w:t xml:space="preserve">process of </w:t>
      </w:r>
      <w:r w:rsidR="005A4C86" w:rsidRPr="004E7E5A">
        <w:rPr>
          <w:rFonts w:cs="Times New Roman"/>
        </w:rPr>
        <w:t>Difference</w:t>
      </w:r>
      <w:r w:rsidR="005A4C86" w:rsidRPr="004E7E5A">
        <w:rPr>
          <w:rFonts w:eastAsia="Times New Roman"/>
          <w:szCs w:val="24"/>
        </w:rPr>
        <w:t xml:space="preserve"> </w:t>
      </w:r>
      <w:r w:rsidRPr="004E7E5A">
        <w:rPr>
          <w:rFonts w:eastAsia="Times New Roman"/>
          <w:szCs w:val="24"/>
        </w:rPr>
        <w:t>GMM</w:t>
      </w:r>
      <w:r w:rsidRPr="004E7E5A">
        <w:rPr>
          <w:rFonts w:eastAsia="Times New Roman" w:cs="Times New Roman"/>
          <w:szCs w:val="24"/>
        </w:rPr>
        <w:t>.</w:t>
      </w:r>
      <w:r w:rsidR="00C64EF1" w:rsidRPr="004E7E5A">
        <w:rPr>
          <w:rStyle w:val="af4"/>
          <w:rFonts w:eastAsia="Times New Roman" w:cs="Times New Roman"/>
          <w:szCs w:val="24"/>
        </w:rPr>
        <w:footnoteReference w:id="15"/>
      </w:r>
      <w:r w:rsidRPr="004E7E5A">
        <w:rPr>
          <w:rFonts w:eastAsia="Times New Roman" w:cs="Times New Roman" w:hint="eastAsia"/>
          <w:szCs w:val="24"/>
        </w:rPr>
        <w:t xml:space="preserve"> </w:t>
      </w:r>
      <w:r w:rsidR="009D1EF4" w:rsidRPr="004E7E5A">
        <w:t>That is, we use historical values of CSR disclosure quality (</w:t>
      </w:r>
      <w:proofErr w:type="spellStart"/>
      <w:r w:rsidR="009D1EF4" w:rsidRPr="004E7E5A">
        <w:rPr>
          <w:i/>
          <w:iCs/>
        </w:rPr>
        <w:t>Csr</w:t>
      </w:r>
      <w:proofErr w:type="spellEnd"/>
      <w:r w:rsidR="009D1EF4" w:rsidRPr="004E7E5A">
        <w:t>) and director’s centrality indicator (</w:t>
      </w:r>
      <w:r w:rsidR="009D1EF4" w:rsidRPr="004E7E5A">
        <w:rPr>
          <w:i/>
          <w:iCs/>
        </w:rPr>
        <w:t>Score</w:t>
      </w:r>
      <w:r w:rsidR="009D1EF4" w:rsidRPr="004E7E5A">
        <w:t>) as instruments for current changes in these variables.</w:t>
      </w:r>
    </w:p>
    <w:p w14:paraId="01AA2CD2" w14:textId="73A8D2C8" w:rsidR="00B33E03" w:rsidRPr="004E7E5A" w:rsidRDefault="00B33E03" w:rsidP="00B33E03">
      <w:pPr>
        <w:pStyle w:val="a7"/>
        <w:spacing w:line="480" w:lineRule="auto"/>
        <w:ind w:firstLine="480"/>
        <w:rPr>
          <w:rFonts w:cs="Times New Roman"/>
        </w:rPr>
      </w:pPr>
      <w:r w:rsidRPr="004E7E5A">
        <w:rPr>
          <w:rFonts w:cs="Times New Roman"/>
        </w:rPr>
        <w:t xml:space="preserve">Table 14 presents the results using the two-step Difference GMM estimators </w:t>
      </w:r>
      <w:r w:rsidRPr="004E7E5A">
        <w:t>for the baseline hypothesis (hypothesis 1)</w:t>
      </w:r>
      <w:r w:rsidR="00E37824" w:rsidRPr="004E7E5A">
        <w:t>.</w:t>
      </w:r>
      <w:r w:rsidR="008165F6" w:rsidRPr="004E7E5A">
        <w:rPr>
          <w:rStyle w:val="af4"/>
        </w:rPr>
        <w:footnoteReference w:id="16"/>
      </w:r>
      <w:r w:rsidRPr="004E7E5A">
        <w:rPr>
          <w:rFonts w:cs="Times New Roman"/>
        </w:rPr>
        <w:t xml:space="preserve"> </w:t>
      </w:r>
      <w:r w:rsidRPr="004E7E5A">
        <w:t xml:space="preserve">GMM estimation comes with a cost because it reduces the sample size. Due to the data requirements (lagged variables), the sample size is reduced </w:t>
      </w:r>
      <w:r w:rsidRPr="004E7E5A">
        <w:lastRenderedPageBreak/>
        <w:t>from 3986 to 2222. Applying the</w:t>
      </w:r>
      <w:r w:rsidRPr="004E7E5A">
        <w:rPr>
          <w:rFonts w:cs="Times New Roman"/>
        </w:rPr>
        <w:t xml:space="preserve"> Difference</w:t>
      </w:r>
      <w:r w:rsidRPr="004E7E5A">
        <w:t xml:space="preserve"> GMM estimator for the baseline hypothesis indicates that the coefficient of</w:t>
      </w:r>
      <w:r w:rsidRPr="004E7E5A">
        <w:rPr>
          <w:rFonts w:cs="Times New Roman"/>
        </w:rPr>
        <w:t xml:space="preserve"> directors’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xml:space="preserve">) is positively significant. Our findings remain robust after controlling for unobserved </w:t>
      </w:r>
      <w:r w:rsidR="00DB4C4B" w:rsidRPr="004E7E5A">
        <w:rPr>
          <w:rFonts w:cs="Times New Roman"/>
        </w:rPr>
        <w:t>heterogeneity and simultaneity</w:t>
      </w:r>
      <w:r w:rsidR="00DB4C4B" w:rsidRPr="004E7E5A">
        <w:rPr>
          <w:rFonts w:eastAsia="Times New Roman" w:cs="Times New Roman"/>
          <w:szCs w:val="24"/>
        </w:rPr>
        <w:t>/causality</w:t>
      </w:r>
      <w:r w:rsidRPr="004E7E5A">
        <w:rPr>
          <w:rFonts w:cs="Times New Roman"/>
        </w:rPr>
        <w:t>.</w:t>
      </w:r>
    </w:p>
    <w:p w14:paraId="1F9A4D1F" w14:textId="55F3B90B" w:rsidR="00FA13F8" w:rsidRPr="004E7E5A" w:rsidRDefault="007012DD" w:rsidP="007012DD">
      <w:pPr>
        <w:pStyle w:val="a7"/>
        <w:spacing w:line="480" w:lineRule="auto"/>
        <w:ind w:firstLineChars="0" w:firstLine="0"/>
        <w:jc w:val="center"/>
        <w:rPr>
          <w:rFonts w:cs="Times New Roman"/>
        </w:rPr>
      </w:pPr>
      <w:r w:rsidRPr="004E7E5A">
        <w:rPr>
          <w:rFonts w:cs="Times New Roman"/>
        </w:rPr>
        <w:t>[Insert Table 14 here]</w:t>
      </w:r>
    </w:p>
    <w:p w14:paraId="3337401B" w14:textId="1DB02D9A" w:rsidR="00BE3E27" w:rsidRPr="004E7E5A" w:rsidRDefault="00BE3E27" w:rsidP="00BE3E27">
      <w:pPr>
        <w:pStyle w:val="4"/>
        <w:spacing w:before="0" w:after="0" w:line="480" w:lineRule="auto"/>
        <w:rPr>
          <w:b w:val="0"/>
          <w:bCs w:val="0"/>
          <w:i/>
          <w:iCs/>
          <w:color w:val="000000" w:themeColor="text1"/>
        </w:rPr>
      </w:pPr>
      <w:r w:rsidRPr="004E7E5A">
        <w:rPr>
          <w:rFonts w:hint="eastAsia"/>
          <w:b w:val="0"/>
          <w:bCs w:val="0"/>
          <w:i/>
          <w:iCs/>
          <w:color w:val="000000" w:themeColor="text1"/>
        </w:rPr>
        <w:t>System</w:t>
      </w:r>
      <w:r w:rsidRPr="004E7E5A">
        <w:rPr>
          <w:b w:val="0"/>
          <w:bCs w:val="0"/>
          <w:i/>
          <w:iCs/>
          <w:color w:val="000000" w:themeColor="text1"/>
        </w:rPr>
        <w:t xml:space="preserve"> </w:t>
      </w:r>
      <w:r w:rsidRPr="004E7E5A">
        <w:rPr>
          <w:rFonts w:hint="eastAsia"/>
          <w:b w:val="0"/>
          <w:bCs w:val="0"/>
          <w:i/>
          <w:iCs/>
          <w:color w:val="000000" w:themeColor="text1"/>
        </w:rPr>
        <w:t>GMM</w:t>
      </w:r>
    </w:p>
    <w:p w14:paraId="3C8C3C98" w14:textId="4AB79ACF" w:rsidR="00B606FB" w:rsidRPr="004E7E5A" w:rsidRDefault="00FF256A" w:rsidP="00B606FB">
      <w:pPr>
        <w:pStyle w:val="a7"/>
        <w:spacing w:line="480" w:lineRule="auto"/>
        <w:ind w:firstLine="480"/>
        <w:rPr>
          <w:rFonts w:cs="Times New Roman"/>
        </w:rPr>
      </w:pPr>
      <w:r w:rsidRPr="004E7E5A">
        <w:rPr>
          <w:rFonts w:cs="Times New Roman"/>
        </w:rPr>
        <w:t>Sometimes, the instruments used in Difference GMM approach are weak</w:t>
      </w:r>
      <w:r w:rsidR="005C5239" w:rsidRPr="004E7E5A">
        <w:rPr>
          <w:rFonts w:cs="Times New Roman"/>
        </w:rPr>
        <w:t xml:space="preserve"> and provide little information about the first-differenced variable</w:t>
      </w:r>
      <w:r w:rsidRPr="004E7E5A">
        <w:rPr>
          <w:rFonts w:cs="Times New Roman"/>
        </w:rPr>
        <w:t xml:space="preserve">, which may cause the problem of biased coefficients </w:t>
      </w:r>
      <w:r w:rsidR="005C5239" w:rsidRPr="004E7E5A">
        <w:rPr>
          <w:rFonts w:cs="Times New Roman"/>
        </w:rPr>
        <w:fldChar w:fldCharType="begin">
          <w:fldData xml:space="preserve">PEVuZE5vdGU+PENpdGU+PEF1dGhvcj5BcmVsbGFubzwvQXV0aG9yPjxZZWFyPjE5OTU8L1llYXI+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=
</w:fldData>
        </w:fldChar>
      </w:r>
      <w:r w:rsidR="006F6C86" w:rsidRPr="004E7E5A">
        <w:rPr>
          <w:rFonts w:cs="Times New Roman"/>
        </w:rPr>
        <w:instrText xml:space="preserve"> ADDIN EN.CITE </w:instrText>
      </w:r>
      <w:r w:rsidR="006F6C86" w:rsidRPr="004E7E5A">
        <w:rPr>
          <w:rFonts w:cs="Times New Roman"/>
        </w:rPr>
        <w:fldChar w:fldCharType="begin">
          <w:fldData xml:space="preserve">PEVuZE5vdGU+PENpdGU+PEF1dGhvcj5BcmVsbGFubzwvQXV0aG9yPjxZZWFyPjE5OTU8L1llYXI+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=
</w:fldData>
        </w:fldChar>
      </w:r>
      <w:r w:rsidR="006F6C86" w:rsidRPr="004E7E5A">
        <w:rPr>
          <w:rFonts w:cs="Times New Roman"/>
        </w:rPr>
        <w:instrText xml:space="preserve"> ADDIN EN.CITE.DATA </w:instrText>
      </w:r>
      <w:r w:rsidR="006F6C86" w:rsidRPr="004E7E5A">
        <w:rPr>
          <w:rFonts w:cs="Times New Roman"/>
        </w:rPr>
      </w:r>
      <w:r w:rsidR="006F6C86" w:rsidRPr="004E7E5A">
        <w:rPr>
          <w:rFonts w:cs="Times New Roman"/>
        </w:rPr>
        <w:fldChar w:fldCharType="end"/>
      </w:r>
      <w:r w:rsidR="005C5239" w:rsidRPr="004E7E5A">
        <w:rPr>
          <w:rFonts w:cs="Times New Roman"/>
        </w:rPr>
      </w:r>
      <w:r w:rsidR="005C5239" w:rsidRPr="004E7E5A">
        <w:rPr>
          <w:rFonts w:cs="Times New Roman"/>
        </w:rPr>
        <w:fldChar w:fldCharType="separate"/>
      </w:r>
      <w:r w:rsidR="005C5239" w:rsidRPr="004E7E5A">
        <w:rPr>
          <w:rFonts w:cs="Times New Roman"/>
          <w:noProof/>
        </w:rPr>
        <w:t>(Arellano and Bover 1995; Blundell and Bond 1998; Flannery and Hankins 2013)</w:t>
      </w:r>
      <w:r w:rsidR="005C5239" w:rsidRPr="004E7E5A">
        <w:rPr>
          <w:rFonts w:cs="Times New Roman"/>
        </w:rPr>
        <w:fldChar w:fldCharType="end"/>
      </w:r>
      <w:r w:rsidR="005C5239" w:rsidRPr="004E7E5A">
        <w:rPr>
          <w:rFonts w:cs="Times New Roman"/>
        </w:rPr>
        <w:t xml:space="preserve">. </w:t>
      </w:r>
      <w:r w:rsidR="00FD0718" w:rsidRPr="004E7E5A">
        <w:rPr>
          <w:rFonts w:cs="Times New Roman"/>
        </w:rPr>
        <w:t>Blundell and Bond (1998) suggest an alternative System GMM estimator which utilize the lagged first differences as instruments in a non-transformed (levels) equation in addition to the first-differencing used by Arellano and Bond</w:t>
      </w:r>
      <w:r w:rsidR="008C6FC6" w:rsidRPr="004E7E5A">
        <w:rPr>
          <w:rFonts w:cs="Times New Roman"/>
        </w:rPr>
        <w:t xml:space="preserve"> (1991)</w:t>
      </w:r>
      <w:r w:rsidR="005C5239" w:rsidRPr="004E7E5A">
        <w:rPr>
          <w:rFonts w:cs="Times New Roman"/>
        </w:rPr>
        <w:t>,</w:t>
      </w:r>
      <w:r w:rsidR="00FD0718" w:rsidRPr="004E7E5A">
        <w:rPr>
          <w:rFonts w:cs="Times New Roman" w:hint="eastAsia"/>
        </w:rPr>
        <w:t xml:space="preserve"> </w:t>
      </w:r>
      <w:r w:rsidR="005C5239" w:rsidRPr="004E7E5A">
        <w:rPr>
          <w:rFonts w:cs="Times New Roman"/>
        </w:rPr>
        <w:t xml:space="preserve">which can relieve the weakness of the Difference GMM approach and improve the efficiency of coefficients. </w:t>
      </w:r>
      <w:r w:rsidR="00B606FB" w:rsidRPr="004E7E5A">
        <w:rPr>
          <w:rFonts w:cs="Times New Roman"/>
        </w:rPr>
        <w:t xml:space="preserve">Blundell and Bond’s (1998) </w:t>
      </w:r>
      <w:r w:rsidR="00B606FB" w:rsidRPr="004E7E5A">
        <w:rPr>
          <w:rFonts w:cs="Times New Roman" w:hint="eastAsia"/>
        </w:rPr>
        <w:t>S</w:t>
      </w:r>
      <w:r w:rsidR="00B606FB" w:rsidRPr="004E7E5A">
        <w:rPr>
          <w:rFonts w:cs="Times New Roman"/>
        </w:rPr>
        <w:t xml:space="preserve">ystem GMM estimates a two-equation system of the regression in levels and in first differences </w:t>
      </w:r>
      <w:r w:rsidR="00B606FB" w:rsidRPr="004E7E5A">
        <w:rPr>
          <w:rFonts w:cs="Times New Roman"/>
        </w:rPr>
        <w:fldChar w:fldCharType="begin"/>
      </w:r>
      <w:r w:rsidR="006F6C86" w:rsidRPr="004E7E5A">
        <w:rPr>
          <w:rFonts w:cs="Times New Roman"/>
        </w:rPr>
        <w:instrText xml:space="preserve"> ADDIN EN.CITE &lt;EndNote&gt;&lt;Cite&gt;&lt;Author&gt;Flannery&lt;/Author&gt;&lt;Year&gt;2013&lt;/Year&gt;&lt;RecNum&gt;2228&lt;/RecNum&gt;&lt;DisplayText&gt;(Flannery and Hankins 2013)&lt;/DisplayText&gt;&lt;record&gt;&lt;rec-number&gt;2228&lt;/rec-number&gt;&lt;foreign-keys&gt;&lt;key app="EN" db-id="trr00pfsbzzex0ezwf6v5swd9fpfpwfa90xp" timestamp="1637660255" guid="9f257f22-3d33-476b-8a84-df1e7a3b323b"&gt;2228&lt;/key&gt;&lt;/foreign-keys&gt;&lt;ref-type name="Journal Article"&gt;17&lt;/ref-type&gt;&lt;contributors&gt;&lt;authors&gt;&lt;author&gt;Flannery, Mark J&lt;/author&gt;&lt;author&gt;Hankins, Kristine Watson&lt;/author&gt;&lt;/authors&gt;&lt;/contributors&gt;&lt;titles&gt;&lt;title&gt;Estimating dynamic panel models in corporate finance&lt;/title&gt;&lt;secondary-title&gt;Journal of Corporate Finance&lt;/secondary-title&gt;&lt;/titles&gt;&lt;periodical&gt;&lt;full-title&gt;Journal of Corporate Finance&lt;/full-title&gt;&lt;/periodical&gt;&lt;pages&gt;1-19&lt;/pages&gt;&lt;volume&gt;19&lt;/volume&gt;&lt;dates&gt;&lt;year&gt;2013&lt;/year&gt;&lt;/dates&gt;&lt;isbn&gt;0929-1199&lt;/isbn&gt;&lt;urls&gt;&lt;/urls&gt;&lt;/record&gt;&lt;/Cite&gt;&lt;/EndNote&gt;</w:instrText>
      </w:r>
      <w:r w:rsidR="00B606FB" w:rsidRPr="004E7E5A">
        <w:rPr>
          <w:rFonts w:cs="Times New Roman"/>
        </w:rPr>
        <w:fldChar w:fldCharType="separate"/>
      </w:r>
      <w:r w:rsidR="00B606FB" w:rsidRPr="004E7E5A">
        <w:rPr>
          <w:rFonts w:cs="Times New Roman"/>
          <w:noProof/>
        </w:rPr>
        <w:t>(Flannery and Hankins 2013)</w:t>
      </w:r>
      <w:r w:rsidR="00B606FB" w:rsidRPr="004E7E5A">
        <w:rPr>
          <w:rFonts w:cs="Times New Roman"/>
        </w:rPr>
        <w:fldChar w:fldCharType="end"/>
      </w:r>
      <w:r w:rsidR="00B606FB" w:rsidRPr="004E7E5A">
        <w:rPr>
          <w:rFonts w:cs="Times New Roman"/>
        </w:rPr>
        <w:t xml:space="preserve">. </w:t>
      </w:r>
      <w:r w:rsidR="00B606FB" w:rsidRPr="004E7E5A">
        <w:rPr>
          <w:rFonts w:eastAsia="Times New Roman" w:cs="Times New Roman"/>
          <w:szCs w:val="24"/>
        </w:rPr>
        <w:t xml:space="preserve">The System GMM augments Difference GMM by estimating simultaneously/causality in differences and levels </w:t>
      </w:r>
      <w:r w:rsidR="00B606FB" w:rsidRPr="004E7E5A">
        <w:rPr>
          <w:rFonts w:cs="Times New Roman"/>
        </w:rPr>
        <w:fldChar w:fldCharType="begin">
          <w:fldData xml:space="preserve">PEVuZE5vdGU+PENpdGU+PEF1dGhvcj5CbHVuZGVsbDwvQXV0aG9yPjxZZWFyPjE5OTg8L1llYXI+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</w:fldData>
        </w:fldChar>
      </w:r>
      <w:r w:rsidR="006F6C86" w:rsidRPr="004E7E5A">
        <w:rPr>
          <w:rFonts w:cs="Times New Roman"/>
        </w:rPr>
        <w:instrText xml:space="preserve"> ADDIN EN.CITE </w:instrText>
      </w:r>
      <w:r w:rsidR="006F6C86" w:rsidRPr="004E7E5A">
        <w:rPr>
          <w:rFonts w:cs="Times New Roman"/>
        </w:rPr>
        <w:fldChar w:fldCharType="begin">
          <w:fldData xml:space="preserve">PEVuZE5vdGU+PENpdGU+PEF1dGhvcj5CbHVuZGVsbDwvQXV0aG9yPjxZZWFyPjE5OTg8L1llYXI+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</w:fldData>
        </w:fldChar>
      </w:r>
      <w:r w:rsidR="006F6C86" w:rsidRPr="004E7E5A">
        <w:rPr>
          <w:rFonts w:cs="Times New Roman"/>
        </w:rPr>
        <w:instrText xml:space="preserve"> ADDIN EN.CITE.DATA </w:instrText>
      </w:r>
      <w:r w:rsidR="006F6C86" w:rsidRPr="004E7E5A">
        <w:rPr>
          <w:rFonts w:cs="Times New Roman"/>
        </w:rPr>
      </w:r>
      <w:r w:rsidR="006F6C86" w:rsidRPr="004E7E5A">
        <w:rPr>
          <w:rFonts w:cs="Times New Roman"/>
        </w:rPr>
        <w:fldChar w:fldCharType="end"/>
      </w:r>
      <w:r w:rsidR="00B606FB" w:rsidRPr="004E7E5A">
        <w:rPr>
          <w:rFonts w:cs="Times New Roman"/>
        </w:rPr>
      </w:r>
      <w:r w:rsidR="00B606FB" w:rsidRPr="004E7E5A">
        <w:rPr>
          <w:rFonts w:cs="Times New Roman"/>
        </w:rPr>
        <w:fldChar w:fldCharType="separate"/>
      </w:r>
      <w:r w:rsidR="00B606FB" w:rsidRPr="004E7E5A">
        <w:rPr>
          <w:rFonts w:cs="Times New Roman"/>
          <w:noProof/>
        </w:rPr>
        <w:t>(Blundell and Bond 1998; Wintoki et al. 2012; Eugster 2020)</w:t>
      </w:r>
      <w:r w:rsidR="00B606FB" w:rsidRPr="004E7E5A">
        <w:rPr>
          <w:rFonts w:cs="Times New Roman"/>
        </w:rPr>
        <w:fldChar w:fldCharType="end"/>
      </w:r>
      <w:r w:rsidR="00B606FB" w:rsidRPr="004E7E5A">
        <w:rPr>
          <w:rFonts w:eastAsia="Times New Roman" w:cs="Times New Roman"/>
          <w:szCs w:val="24"/>
        </w:rPr>
        <w:t>.</w:t>
      </w:r>
    </w:p>
    <w:p w14:paraId="076258AC" w14:textId="28725518" w:rsidR="00FD0718" w:rsidRPr="004E7E5A" w:rsidRDefault="00FD0718" w:rsidP="00FD0718">
      <w:pPr>
        <w:pStyle w:val="a7"/>
        <w:spacing w:line="480" w:lineRule="auto"/>
        <w:ind w:firstLine="480"/>
      </w:pPr>
      <w:r w:rsidRPr="004E7E5A">
        <w:t>The System GMM constrains the coefficients to match both in levels and in differences</w:t>
      </w:r>
      <w:r w:rsidR="00234984" w:rsidRPr="004E7E5A">
        <w:t xml:space="preserve"> </w:t>
      </w:r>
      <w:r w:rsidR="00234984" w:rsidRPr="004E7E5A">
        <w:fldChar w:fldCharType="begin">
          <w:fldData xml:space="preserve">PEVuZE5vdGU+PENpdGU+PEF1dGhvcj5CbHVuZGVsbDwvQXV0aG9yPjxZZWFyPjE5OTg8L1llYXI+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</w:fldData>
        </w:fldChar>
      </w:r>
      <w:r w:rsidR="006F6C86" w:rsidRPr="004E7E5A">
        <w:instrText xml:space="preserve"> ADDIN EN.CITE </w:instrText>
      </w:r>
      <w:r w:rsidR="006F6C86" w:rsidRPr="004E7E5A">
        <w:fldChar w:fldCharType="begin">
          <w:fldData xml:space="preserve">PEVuZE5vdGU+PENpdGU+PEF1dGhvcj5CbHVuZGVsbDwvQXV0aG9yPjxZZWFyPjE5OTg8L1llYXI+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</w:fldData>
        </w:fldChar>
      </w:r>
      <w:r w:rsidR="006F6C86" w:rsidRPr="004E7E5A">
        <w:instrText xml:space="preserve"> ADDIN EN.CITE.DATA </w:instrText>
      </w:r>
      <w:r w:rsidR="006F6C86" w:rsidRPr="004E7E5A">
        <w:fldChar w:fldCharType="end"/>
      </w:r>
      <w:r w:rsidR="00234984" w:rsidRPr="004E7E5A">
        <w:fldChar w:fldCharType="separate"/>
      </w:r>
      <w:r w:rsidR="00234984" w:rsidRPr="004E7E5A">
        <w:rPr>
          <w:noProof/>
        </w:rPr>
        <w:t>(Blundell and Bond 1998; Eugster 2020)</w:t>
      </w:r>
      <w:r w:rsidR="00234984" w:rsidRPr="004E7E5A">
        <w:fldChar w:fldCharType="end"/>
      </w:r>
      <w:r w:rsidRPr="004E7E5A">
        <w:t xml:space="preserve">. </w:t>
      </w:r>
      <w:r w:rsidRPr="004E7E5A">
        <w:rPr>
          <w:rFonts w:cs="Times New Roman"/>
        </w:rPr>
        <w:t xml:space="preserve">The </w:t>
      </w:r>
      <w:r w:rsidRPr="004E7E5A">
        <w:t>System GMM</w:t>
      </w:r>
      <w:r w:rsidRPr="004E7E5A">
        <w:rPr>
          <w:rFonts w:cs="Times New Roman"/>
        </w:rPr>
        <w:t xml:space="preserve"> estimator mak</w:t>
      </w:r>
      <w:r w:rsidRPr="004E7E5A">
        <w:rPr>
          <w:rFonts w:cs="Times New Roman" w:hint="eastAsia"/>
        </w:rPr>
        <w:t>es</w:t>
      </w:r>
      <w:r w:rsidRPr="004E7E5A">
        <w:rPr>
          <w:rFonts w:cs="Times New Roman"/>
        </w:rPr>
        <w:t xml:space="preserve"> an additional assumption that first differences of instrument variables are uncorrelated with the fixed effects, which allows the introduction of more instruments and can dramatically improve efficiency</w:t>
      </w:r>
      <w:r w:rsidR="00B87332" w:rsidRPr="004E7E5A">
        <w:rPr>
          <w:rFonts w:cs="Times New Roman"/>
        </w:rPr>
        <w:t>, which</w:t>
      </w:r>
      <w:r w:rsidRPr="004E7E5A">
        <w:rPr>
          <w:rFonts w:cs="Times New Roman"/>
        </w:rPr>
        <w:t xml:space="preserve"> builds a system of two equations (the original equation and the transformed one) </w:t>
      </w:r>
      <w:r w:rsidRPr="004E7E5A">
        <w:rPr>
          <w:rFonts w:cs="Times New Roman"/>
        </w:rPr>
        <w:lastRenderedPageBreak/>
        <w:fldChar w:fldCharType="begin"/>
      </w:r>
      <w:r w:rsidR="006F6C86" w:rsidRPr="004E7E5A">
        <w:rPr>
          <w:rFonts w:cs="Times New Roman"/>
        </w:rPr>
        <w:instrText xml:space="preserve"> ADDIN EN.CITE &lt;EndNote&gt;&lt;Cite&gt;&lt;Author&gt;Roodman&lt;/Author&gt;&lt;Year&gt;2009&lt;/Year&gt;&lt;RecNum&gt;2265&lt;/RecNum&gt;&lt;DisplayText&gt;(Roodman 2009)&lt;/DisplayText&gt;&lt;record&gt;&lt;rec-number&gt;2265&lt;/rec-number&gt;&lt;foreign-keys&gt;&lt;key app="EN" db-id="trr00pfsbzzex0ezwf6v5swd9fpfpwfa90xp" timestamp="1638533944" guid="ca23d0b7-e4d3-427d-bea4-828ec53071dd"&gt;2265&lt;/key&gt;&lt;/foreign-keys&gt;&lt;ref-type name="Journal Article"&gt;17&lt;/ref-type&gt;&lt;contributors&gt;&lt;authors&gt;&lt;author&gt;Roodman, David&lt;/author&gt;&lt;/authors&gt;&lt;/contributors&gt;&lt;titles&gt;&lt;title&gt;How to do xtabond2: An introduction to difference and system GMM in Stata&lt;/title&gt;&lt;secondary-title&gt;The stata journal&lt;/secondary-title&gt;&lt;/titles&gt;&lt;periodical&gt;&lt;full-title&gt;The stata journal&lt;/full-title&gt;&lt;/periodical&gt;&lt;pages&gt;86-136&lt;/pages&gt;&lt;volume&gt;9&lt;/volume&gt;&lt;number&gt;1&lt;/number&gt;&lt;dates&gt;&lt;year&gt;2009&lt;/year&gt;&lt;/dates&gt;&lt;isbn&gt;1536-867X&lt;/isbn&gt;&lt;urls&gt;&lt;/urls&gt;&lt;/record&gt;&lt;/Cite&gt;&lt;/EndNote&gt;</w:instrText>
      </w:r>
      <w:r w:rsidRPr="004E7E5A">
        <w:rPr>
          <w:rFonts w:cs="Times New Roman"/>
        </w:rPr>
        <w:fldChar w:fldCharType="separate"/>
      </w:r>
      <w:r w:rsidRPr="004E7E5A">
        <w:rPr>
          <w:rFonts w:cs="Times New Roman"/>
          <w:noProof/>
        </w:rPr>
        <w:t>(Roodman 2009)</w:t>
      </w:r>
      <w:r w:rsidRPr="004E7E5A">
        <w:rPr>
          <w:rFonts w:cs="Times New Roman"/>
        </w:rPr>
        <w:fldChar w:fldCharType="end"/>
      </w:r>
      <w:r w:rsidRPr="004E7E5A">
        <w:rPr>
          <w:rFonts w:cs="Times New Roman"/>
        </w:rPr>
        <w:t>.</w:t>
      </w:r>
      <w:r w:rsidRPr="004E7E5A">
        <w:rPr>
          <w:rFonts w:eastAsia="Times New Roman" w:cs="Times New Roman"/>
          <w:szCs w:val="24"/>
        </w:rPr>
        <w:t xml:space="preserve"> </w:t>
      </w:r>
      <w:r w:rsidRPr="004E7E5A">
        <w:rPr>
          <w:rFonts w:eastAsia="Times New Roman"/>
          <w:szCs w:val="24"/>
        </w:rPr>
        <w:t xml:space="preserve">We </w:t>
      </w:r>
      <w:r w:rsidRPr="004E7E5A">
        <w:rPr>
          <w:rFonts w:eastAsia="Times New Roman" w:hint="eastAsia"/>
          <w:szCs w:val="24"/>
        </w:rPr>
        <w:t>also</w:t>
      </w:r>
      <w:r w:rsidRPr="004E7E5A">
        <w:rPr>
          <w:rFonts w:eastAsia="Times New Roman"/>
          <w:szCs w:val="24"/>
        </w:rPr>
        <w:t xml:space="preserve"> use </w:t>
      </w:r>
      <w:r w:rsidRPr="004E7E5A">
        <w:rPr>
          <w:rFonts w:eastAsia="Times New Roman" w:cs="Times New Roman"/>
          <w:szCs w:val="24"/>
        </w:rPr>
        <w:t>the lagged value of the dependent variable (</w:t>
      </w:r>
      <w:proofErr w:type="spellStart"/>
      <w:r w:rsidRPr="004E7E5A">
        <w:rPr>
          <w:rFonts w:eastAsia="Times New Roman" w:cs="Times New Roman"/>
          <w:i/>
          <w:iCs/>
          <w:szCs w:val="24"/>
        </w:rPr>
        <w:t>C</w:t>
      </w:r>
      <w:r w:rsidRPr="004E7E5A">
        <w:rPr>
          <w:rFonts w:eastAsia="Times New Roman"/>
          <w:i/>
          <w:iCs/>
          <w:szCs w:val="24"/>
        </w:rPr>
        <w:t>sr</w:t>
      </w:r>
      <w:proofErr w:type="spellEnd"/>
      <w:r w:rsidRPr="004E7E5A">
        <w:rPr>
          <w:rFonts w:eastAsia="Times New Roman" w:cs="Times New Roman"/>
          <w:szCs w:val="24"/>
        </w:rPr>
        <w:t>) and lagged value of the endogenous independent variable (</w:t>
      </w:r>
      <w:r w:rsidRPr="004E7E5A">
        <w:rPr>
          <w:rFonts w:eastAsia="Times New Roman" w:cs="Times New Roman"/>
          <w:i/>
          <w:iCs/>
          <w:szCs w:val="24"/>
        </w:rPr>
        <w:t>Score</w:t>
      </w:r>
      <w:r w:rsidRPr="004E7E5A">
        <w:rPr>
          <w:rFonts w:eastAsia="Times New Roman" w:cs="Times New Roman"/>
          <w:szCs w:val="24"/>
        </w:rPr>
        <w:t>)</w:t>
      </w:r>
      <w:r w:rsidRPr="004E7E5A">
        <w:rPr>
          <w:rFonts w:eastAsia="Times New Roman"/>
          <w:szCs w:val="24"/>
        </w:rPr>
        <w:t xml:space="preserve"> as </w:t>
      </w:r>
      <w:r w:rsidRPr="004E7E5A">
        <w:rPr>
          <w:rFonts w:eastAsia="Times New Roman" w:cs="Times New Roman"/>
          <w:szCs w:val="24"/>
        </w:rPr>
        <w:t xml:space="preserve">instrument variables in the </w:t>
      </w:r>
      <w:r w:rsidRPr="004E7E5A">
        <w:rPr>
          <w:rFonts w:eastAsia="Times New Roman"/>
          <w:szCs w:val="24"/>
        </w:rPr>
        <w:t>process of System GMM</w:t>
      </w:r>
      <w:r w:rsidRPr="004E7E5A">
        <w:rPr>
          <w:rFonts w:eastAsia="Times New Roman" w:cs="Times New Roman"/>
          <w:szCs w:val="24"/>
        </w:rPr>
        <w:t>.</w:t>
      </w:r>
      <w:r w:rsidR="0014221B" w:rsidRPr="004E7E5A">
        <w:rPr>
          <w:rStyle w:val="af4"/>
          <w:rFonts w:eastAsia="Times New Roman" w:cs="Times New Roman"/>
          <w:szCs w:val="24"/>
        </w:rPr>
        <w:footnoteReference w:id="17"/>
      </w:r>
      <w:r w:rsidRPr="004E7E5A">
        <w:rPr>
          <w:rFonts w:eastAsia="Times New Roman" w:cs="Times New Roman"/>
          <w:szCs w:val="24"/>
        </w:rPr>
        <w:t xml:space="preserve"> </w:t>
      </w:r>
    </w:p>
    <w:p w14:paraId="75CF9AEA" w14:textId="17405806" w:rsidR="00FD0718" w:rsidRPr="004E7E5A" w:rsidRDefault="00FD0718" w:rsidP="00FD0718">
      <w:pPr>
        <w:pStyle w:val="a7"/>
        <w:spacing w:line="480" w:lineRule="auto"/>
        <w:ind w:firstLine="480"/>
        <w:rPr>
          <w:rFonts w:cs="Times New Roman"/>
        </w:rPr>
      </w:pPr>
      <w:r w:rsidRPr="004E7E5A">
        <w:rPr>
          <w:rFonts w:cs="Times New Roman"/>
        </w:rPr>
        <w:t xml:space="preserve">Table 15 presents the results using the two-step System GMM estimators. </w:t>
      </w:r>
      <w:r w:rsidRPr="004E7E5A">
        <w:t>Due to the data requirements (lagged variables), the sample size is reduced from 3986 to 2996. Results from the System GMM suggest that the coefficient of</w:t>
      </w:r>
      <w:r w:rsidRPr="004E7E5A">
        <w:rPr>
          <w:rFonts w:cs="Times New Roman"/>
        </w:rPr>
        <w:t xml:space="preserve"> directors’ 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 is positively significant, which reinforces the finding that directors’ network has a positive and statistically significant effect on CSR disclosure quality (</w:t>
      </w:r>
      <w:proofErr w:type="spellStart"/>
      <w:r w:rsidRPr="004E7E5A">
        <w:rPr>
          <w:rFonts w:cs="Times New Roman"/>
          <w:i/>
          <w:iCs/>
        </w:rPr>
        <w:t>Csr</w:t>
      </w:r>
      <w:proofErr w:type="spellEnd"/>
      <w:r w:rsidRPr="004E7E5A">
        <w:rPr>
          <w:rFonts w:cs="Times New Roman"/>
        </w:rPr>
        <w:t>).</w:t>
      </w:r>
    </w:p>
    <w:p w14:paraId="3D67CA63" w14:textId="1B45A406" w:rsidR="00FD0718" w:rsidRPr="004E7E5A" w:rsidRDefault="00FD0718" w:rsidP="00FD0718">
      <w:pPr>
        <w:pStyle w:val="a7"/>
        <w:spacing w:line="480" w:lineRule="auto"/>
        <w:ind w:firstLine="480"/>
      </w:pPr>
      <w:r w:rsidRPr="004E7E5A">
        <w:t>There are several robustness-checks to perform for a dynamic panel System GMM model.</w:t>
      </w:r>
      <w:r w:rsidRPr="004E7E5A">
        <w:rPr>
          <w:rFonts w:hint="eastAsia"/>
        </w:rPr>
        <w:t xml:space="preserve"> </w:t>
      </w:r>
      <w:r w:rsidRPr="004E7E5A">
        <w:t xml:space="preserve">First, the model should have less instruments than the number of firms, which is the case </w:t>
      </w:r>
      <w:r w:rsidR="0039185C" w:rsidRPr="004E7E5A">
        <w:t>in this research</w:t>
      </w:r>
      <w:r w:rsidRPr="004E7E5A">
        <w:t xml:space="preserve"> </w:t>
      </w:r>
      <w:r w:rsidRPr="004E7E5A">
        <w:fldChar w:fldCharType="begin"/>
      </w:r>
      <w:r w:rsidR="006F6C86" w:rsidRPr="004E7E5A">
        <w:instrText xml:space="preserve"> ADDIN EN.CITE &lt;EndNote&gt;&lt;Cite&gt;&lt;Author&gt;Eugster&lt;/Author&gt;&lt;Year&gt;2020&lt;/Year&gt;&lt;RecNum&gt;2239&lt;/RecNum&gt;&lt;DisplayText&gt;(Eugster 2020)&lt;/DisplayText&gt;&lt;record&gt;&lt;rec-number&gt;2239&lt;/rec-number&gt;&lt;foreign-keys&gt;&lt;key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4E7E5A">
        <w:fldChar w:fldCharType="separate"/>
      </w:r>
      <w:r w:rsidRPr="004E7E5A">
        <w:rPr>
          <w:noProof/>
        </w:rPr>
        <w:t>(Eugster 2020)</w:t>
      </w:r>
      <w:r w:rsidRPr="004E7E5A">
        <w:fldChar w:fldCharType="end"/>
      </w:r>
      <w:r w:rsidRPr="004E7E5A">
        <w:t>.</w:t>
      </w:r>
      <w:r w:rsidR="0039185C" w:rsidRPr="004E7E5A">
        <w:rPr>
          <w:rStyle w:val="af4"/>
        </w:rPr>
        <w:footnoteReference w:id="18"/>
      </w:r>
      <w:r w:rsidRPr="004E7E5A">
        <w:rPr>
          <w:rFonts w:hint="eastAsia"/>
        </w:rPr>
        <w:t xml:space="preserve"> </w:t>
      </w:r>
      <w:r w:rsidRPr="004E7E5A">
        <w:t>Second, we perform the test of overidentification restrictions (</w:t>
      </w:r>
      <w:r w:rsidRPr="004E7E5A">
        <w:rPr>
          <w:i/>
          <w:iCs/>
        </w:rPr>
        <w:t>Hansen test of overidentification</w:t>
      </w:r>
      <w:r w:rsidRPr="004E7E5A">
        <w:t xml:space="preserve">), and all the models pass with p values higher than 0.100. This indicates that the instruments are valid. Third, we investigate whether the residuals have a second-order serial correlation with the AR(2) test </w:t>
      </w:r>
      <w:r w:rsidRPr="004E7E5A">
        <w:fldChar w:fldCharType="begin"/>
      </w:r>
      <w:r w:rsidR="006F6C86" w:rsidRPr="004E7E5A">
        <w:instrText xml:space="preserve"> ADDIN EN.CITE &lt;EndNote&gt;&lt;Cite&gt;&lt;Author&gt;Arellano&lt;/Author&gt;&lt;Year&gt;1991&lt;/Year&gt;&lt;RecNum&gt;2226&lt;/RecNum&gt;&lt;DisplayText&gt;(Arellano and Bond 1991)&lt;/DisplayText&gt;&lt;record&gt;&lt;rec-number&gt;2226&lt;/rec-number&gt;&lt;foreign-keys&gt;&lt;key app="EN" db-id="trr00pfsbzzex0ezwf6v5swd9fpfpwfa90xp" timestamp="1637660068" guid="a66d7eab-a179-4229-a61d-998fea2610db"&gt;2226&lt;/key&gt;&lt;/foreign-keys&gt;&lt;ref-type name="Journal Article"&gt;17&lt;/ref-type&gt;&lt;contributors&gt;&lt;authors&gt;&lt;author&gt;Arellano, Manuel&lt;/author&gt;&lt;author&gt;Bond, Stephen&lt;/author&gt;&lt;/authors&gt;&lt;/contributors&gt;&lt;titles&gt;&lt;title&gt;Some tests of specification for panel data: Monte Carlo evidence and an application to employment equations&lt;/title&gt;&lt;secondary-title&gt;The review of economic studies&lt;/secondary-title&gt;&lt;/titles&gt;&lt;periodical&gt;&lt;full-title&gt;The Review of Economic Studies&lt;/full-title&gt;&lt;/periodical&gt;&lt;pages&gt;277-297&lt;/pages&gt;&lt;volume&gt;58&lt;/volume&gt;&lt;number&gt;2&lt;/number&gt;&lt;dates&gt;&lt;year&gt;1991&lt;/year&gt;&lt;/dates&gt;&lt;isbn&gt;1467-937X&lt;/isbn&gt;&lt;urls&gt;&lt;/urls&gt;&lt;/record&gt;&lt;/Cite&gt;&lt;/EndNote&gt;</w:instrText>
      </w:r>
      <w:r w:rsidRPr="004E7E5A">
        <w:fldChar w:fldCharType="separate"/>
      </w:r>
      <w:r w:rsidRPr="004E7E5A">
        <w:rPr>
          <w:noProof/>
        </w:rPr>
        <w:t>(Arellano and Bond 1991)</w:t>
      </w:r>
      <w:r w:rsidRPr="004E7E5A">
        <w:fldChar w:fldCharType="end"/>
      </w:r>
      <w:r w:rsidRPr="004E7E5A">
        <w:t xml:space="preserve">. The </w:t>
      </w:r>
      <w:proofErr w:type="gramStart"/>
      <w:r w:rsidRPr="004E7E5A">
        <w:t>AR(</w:t>
      </w:r>
      <w:proofErr w:type="gramEnd"/>
      <w:r w:rsidRPr="004E7E5A">
        <w:t>2) test</w:t>
      </w:r>
      <w:r w:rsidR="0039185C" w:rsidRPr="004E7E5A">
        <w:t xml:space="preserve"> </w:t>
      </w:r>
      <w:r w:rsidRPr="004E7E5A">
        <w:t>indicates that the model-generated instruments are exogenous. Forth, since multiple lags are used as instruments, we apply the Diff-in-Hansen tests for exogeneity.</w:t>
      </w:r>
      <w:r w:rsidR="0039185C" w:rsidRPr="004E7E5A">
        <w:rPr>
          <w:rStyle w:val="af4"/>
          <w:rFonts w:cs="Times New Roman"/>
        </w:rPr>
        <w:footnoteReference w:id="19"/>
      </w:r>
      <w:r w:rsidR="0039185C" w:rsidRPr="004E7E5A">
        <w:rPr>
          <w:rFonts w:cs="Times New Roman"/>
        </w:rPr>
        <w:t xml:space="preserve"> </w:t>
      </w:r>
      <w:r w:rsidRPr="004E7E5A">
        <w:t xml:space="preserve">The Diff-in-Hansen </w:t>
      </w:r>
      <w:r w:rsidRPr="004E7E5A">
        <w:lastRenderedPageBreak/>
        <w:t>tests of exogeneity</w:t>
      </w:r>
      <w:r w:rsidRPr="004E7E5A">
        <w:rPr>
          <w:i/>
          <w:iCs/>
          <w:szCs w:val="24"/>
        </w:rPr>
        <w:t xml:space="preserve"> </w:t>
      </w:r>
      <w:r w:rsidRPr="004E7E5A">
        <w:t>indicate that the instrumental variables tend to be exogenous.</w:t>
      </w:r>
      <w:r w:rsidRPr="004E7E5A">
        <w:rPr>
          <w:rFonts w:hint="eastAsia"/>
        </w:rPr>
        <w:t xml:space="preserve"> W</w:t>
      </w:r>
      <w:r w:rsidRPr="004E7E5A">
        <w:t xml:space="preserve">e also tested the robustness of moderating effect </w:t>
      </w:r>
      <w:r w:rsidRPr="004E7E5A">
        <w:rPr>
          <w:rFonts w:cs="Times New Roman"/>
        </w:rPr>
        <w:t>using the two-step</w:t>
      </w:r>
      <w:r w:rsidRPr="004E7E5A">
        <w:rPr>
          <w:rFonts w:eastAsia="Times New Roman" w:cs="Times New Roman"/>
          <w:szCs w:val="24"/>
        </w:rPr>
        <w:t xml:space="preserve"> Difference GMM</w:t>
      </w:r>
      <w:r w:rsidRPr="004E7E5A">
        <w:rPr>
          <w:rFonts w:cs="Times New Roman"/>
        </w:rPr>
        <w:t xml:space="preserve"> and System GMM approach</w:t>
      </w:r>
      <w:r w:rsidRPr="004E7E5A">
        <w:t xml:space="preserve">, and find that the main results </w:t>
      </w:r>
      <w:r w:rsidR="0099684E" w:rsidRPr="004E7E5A">
        <w:t>persist</w:t>
      </w:r>
      <w:r w:rsidRPr="004E7E5A">
        <w:t>.</w:t>
      </w:r>
      <w:r w:rsidR="004A4233" w:rsidRPr="004E7E5A">
        <w:t xml:space="preserve"> For </w:t>
      </w:r>
      <w:r w:rsidR="00AF7DF3" w:rsidRPr="004E7E5A">
        <w:t>brevity</w:t>
      </w:r>
      <w:r w:rsidR="004A4233" w:rsidRPr="004E7E5A">
        <w:t>, we did not report the results</w:t>
      </w:r>
      <w:r w:rsidR="00AF7DF3" w:rsidRPr="004E7E5A">
        <w:t xml:space="preserve"> in the paper.</w:t>
      </w:r>
    </w:p>
    <w:p w14:paraId="17C3678B" w14:textId="748CB01E" w:rsidR="00360734" w:rsidRPr="004E7E5A" w:rsidRDefault="00360734" w:rsidP="00360734">
      <w:pPr>
        <w:pStyle w:val="a7"/>
        <w:spacing w:line="480" w:lineRule="auto"/>
        <w:ind w:firstLineChars="0" w:firstLine="0"/>
        <w:jc w:val="center"/>
        <w:rPr>
          <w:rFonts w:cs="Times New Roman"/>
        </w:rPr>
      </w:pPr>
      <w:r w:rsidRPr="004E7E5A">
        <w:rPr>
          <w:rFonts w:cs="Times New Roman"/>
        </w:rPr>
        <w:t>[Insert Table 1</w:t>
      </w:r>
      <w:r w:rsidR="007012DD" w:rsidRPr="004E7E5A">
        <w:rPr>
          <w:rFonts w:cs="Times New Roman"/>
        </w:rPr>
        <w:t>5</w:t>
      </w:r>
      <w:r w:rsidRPr="004E7E5A">
        <w:rPr>
          <w:rFonts w:cs="Times New Roman"/>
        </w:rPr>
        <w:t xml:space="preserve"> here]</w:t>
      </w:r>
    </w:p>
    <w:p w14:paraId="3E67F2E6" w14:textId="77777777" w:rsidR="00360734" w:rsidRPr="004E7E5A" w:rsidRDefault="00360734" w:rsidP="00360734">
      <w:pPr>
        <w:pStyle w:val="4"/>
        <w:spacing w:before="0" w:after="0" w:line="480" w:lineRule="auto"/>
        <w:rPr>
          <w:i/>
          <w:iCs/>
          <w:color w:val="000000" w:themeColor="text1"/>
        </w:rPr>
      </w:pPr>
      <w:r w:rsidRPr="004E7E5A">
        <w:rPr>
          <w:i/>
          <w:iCs/>
          <w:color w:val="000000" w:themeColor="text1"/>
        </w:rPr>
        <w:t>Other Robustness Tests</w:t>
      </w:r>
    </w:p>
    <w:p w14:paraId="34DE2C42" w14:textId="70D651FB" w:rsidR="00360734" w:rsidRPr="004E7E5A" w:rsidRDefault="00360734" w:rsidP="00360734">
      <w:pPr>
        <w:pStyle w:val="a7"/>
        <w:spacing w:line="480" w:lineRule="auto"/>
        <w:ind w:firstLine="480"/>
        <w:rPr>
          <w:rFonts w:cs="Times New Roman"/>
        </w:rPr>
      </w:pPr>
      <w:r w:rsidRPr="004E7E5A">
        <w:rPr>
          <w:rFonts w:cs="Times New Roman"/>
        </w:rPr>
        <w:t xml:space="preserve">We conduct several other robustness tests: 1) In January 2008, The </w:t>
      </w:r>
      <w:r w:rsidRPr="004E7E5A">
        <w:rPr>
          <w:rFonts w:cs="Times New Roman"/>
          <w:szCs w:val="24"/>
        </w:rPr>
        <w:t>Guideline for CSR of State-owned-enterprises controlled by the central government</w:t>
      </w:r>
      <w:r w:rsidRPr="004E7E5A">
        <w:rPr>
          <w:rFonts w:cs="Times New Roman"/>
        </w:rPr>
        <w:t xml:space="preserve"> was issued by State Council. CSR disclosure quality in state-owned firms may be affected by this policy. In order to avoid the possible impact of the policy, we excluded the state-owned firms (</w:t>
      </w:r>
      <w:proofErr w:type="spellStart"/>
      <w:r w:rsidRPr="004E7E5A">
        <w:rPr>
          <w:rFonts w:cs="Times New Roman"/>
          <w:i/>
          <w:iCs/>
        </w:rPr>
        <w:t>Soe</w:t>
      </w:r>
      <w:proofErr w:type="spellEnd"/>
      <w:r w:rsidRPr="004E7E5A">
        <w:rPr>
          <w:rFonts w:cs="Times New Roman"/>
        </w:rPr>
        <w:t>) and kept 1652 observations of private firms for analysis.</w:t>
      </w:r>
      <w:r w:rsidRPr="004E7E5A">
        <w:rPr>
          <w:rStyle w:val="af4"/>
          <w:rFonts w:cs="Times New Roman"/>
        </w:rPr>
        <w:footnoteReference w:id="20"/>
      </w:r>
      <w:r w:rsidRPr="004E7E5A">
        <w:rPr>
          <w:rFonts w:cs="Times New Roman"/>
        </w:rPr>
        <w:t xml:space="preserve"> 2) Directors with foreign experience may affect their firms’ CSR decisions </w:t>
      </w:r>
      <w:r w:rsidRPr="004E7E5A">
        <w:rPr>
          <w:rFonts w:cs="Times New Roman"/>
        </w:rPr>
        <w:fldChar w:fldCharType="begin"/>
      </w:r>
      <w:r w:rsidR="006F6C86" w:rsidRPr="004E7E5A">
        <w:rPr>
          <w:rFonts w:cs="Times New Roman"/>
        </w:rPr>
        <w:instrText xml:space="preserve"> ADDIN EN.CITE &lt;EndNote&gt;&lt;Cite&gt;&lt;Author&gt;Wen&lt;/Author&gt;&lt;Year&gt;2020&lt;/Year&gt;&lt;RecNum&gt;1789&lt;/RecNum&gt;&lt;DisplayText&gt;(Wen et al. 2020)&lt;/DisplayText&gt;&lt;record&gt;&lt;rec-number&gt;1789&lt;/rec-number&gt;&lt;foreign-keys&gt;&lt;key app="EN" db-id="trr00pfsbzzex0ezwf6v5swd9fpfpwfa90xp" timestamp="1595380134" guid="3da8f351-e64a-41b5-914c-640e496a4aad"&gt;1789&lt;/key&gt;&lt;/foreign-keys&gt;&lt;ref-type name="Journal Article"&gt;17&lt;/ref-type&gt;&lt;contributors&gt;&lt;authors&gt;&lt;author&gt;Wen Wen&lt;/author&gt;&lt;author&gt;Huijie Cui&lt;/author&gt;&lt;author&gt;Yun Ke&lt;/author&gt;&lt;/authors&gt;&lt;/contributors&gt;&lt;titles&gt;&lt;title&gt;Directors with foreign experience and corporate tax avoidance&lt;/title&gt;&lt;secondary-title&gt;Journal of Corporate Finance&lt;/secondary-title&gt;&lt;/titles&gt;&lt;periodical&gt;&lt;full-title&gt;Journal of Corporate Finance&lt;/full-title&gt;&lt;/periodical&gt;&lt;pages&gt;1-28&lt;/pages&gt;&lt;volume&gt;62&lt;/volume&gt;&lt;dates&gt;&lt;year&gt;2020&lt;/year&gt;&lt;/dates&gt;&lt;isbn&gt;09291199&lt;/isbn&gt;&lt;urls&gt;&lt;/urls&gt;&lt;electronic-resource-num&gt;10.1016/j.jcorpfin.2020.101624&lt;/electronic-resource-num&gt;&lt;/record&gt;&lt;/Cite&gt;&lt;/EndNote&gt;</w:instrText>
      </w:r>
      <w:r w:rsidRPr="004E7E5A">
        <w:rPr>
          <w:rFonts w:cs="Times New Roman"/>
        </w:rPr>
        <w:fldChar w:fldCharType="separate"/>
      </w:r>
      <w:r w:rsidRPr="004E7E5A">
        <w:rPr>
          <w:rFonts w:cs="Times New Roman"/>
          <w:noProof/>
        </w:rPr>
        <w:t>(Wen et al. 2020)</w:t>
      </w:r>
      <w:r w:rsidRPr="004E7E5A">
        <w:rPr>
          <w:rFonts w:cs="Times New Roman"/>
        </w:rPr>
        <w:fldChar w:fldCharType="end"/>
      </w:r>
      <w:r w:rsidRPr="004E7E5A">
        <w:rPr>
          <w:rFonts w:cs="Times New Roman"/>
        </w:rPr>
        <w:t xml:space="preserve">. </w:t>
      </w:r>
      <w:proofErr w:type="spellStart"/>
      <w:r w:rsidRPr="004E7E5A">
        <w:rPr>
          <w:rFonts w:cs="Times New Roman"/>
        </w:rPr>
        <w:t>Beji</w:t>
      </w:r>
      <w:proofErr w:type="spellEnd"/>
      <w:r w:rsidRPr="004E7E5A">
        <w:rPr>
          <w:rFonts w:cs="Times New Roman"/>
        </w:rPr>
        <w:t xml:space="preserve"> et al. (2020) also found that the presence of foreign directors is positively associated with CSR performance. Therefore, we excluded firms that have directors with overseas-background directors (</w:t>
      </w:r>
      <w:r w:rsidRPr="004E7E5A">
        <w:rPr>
          <w:rFonts w:cs="Times New Roman"/>
          <w:i/>
          <w:iCs/>
        </w:rPr>
        <w:t>Overseas</w:t>
      </w:r>
      <w:r w:rsidRPr="004E7E5A">
        <w:rPr>
          <w:rFonts w:cs="Times New Roman"/>
        </w:rPr>
        <w:t>). 3) In October 2013, China issued a document on the appointment of leading officials in firms (Document No. 18 for short).</w:t>
      </w:r>
      <w:r w:rsidRPr="004E7E5A">
        <w:rPr>
          <w:rStyle w:val="af4"/>
          <w:rFonts w:cs="Times New Roman"/>
        </w:rPr>
        <w:footnoteReference w:id="21"/>
      </w:r>
      <w:r w:rsidRPr="004E7E5A">
        <w:rPr>
          <w:rFonts w:cs="Times New Roman"/>
        </w:rPr>
        <w:t xml:space="preserve"> The document strictly restricts leading government officials from taking directorship in firms, and independent directors who do not meet the requirements must resign within three months. This exogenous event randomly changes the directors’ network. We collect data of directors who resigned because of Document No. 18 and delete these observations. We continue to find that the directors’ network centrality still has a significant promoting effect on CSR </w:t>
      </w:r>
      <w:r w:rsidRPr="004E7E5A">
        <w:rPr>
          <w:rFonts w:cs="Times New Roman"/>
        </w:rPr>
        <w:lastRenderedPageBreak/>
        <w:t>disclosure quality.</w:t>
      </w:r>
    </w:p>
    <w:p w14:paraId="2FF63243" w14:textId="77777777" w:rsidR="00360734" w:rsidRPr="004E7E5A" w:rsidRDefault="00360734" w:rsidP="00360734">
      <w:pPr>
        <w:pStyle w:val="a5"/>
        <w:rPr>
          <w:rFonts w:ascii="Times New Roman" w:hAnsi="Times New Roman" w:cs="Times New Roman"/>
          <w:color w:val="000000" w:themeColor="text1"/>
          <w:szCs w:val="28"/>
        </w:rPr>
      </w:pPr>
      <w:r w:rsidRPr="004E7E5A">
        <w:rPr>
          <w:rFonts w:ascii="Times New Roman" w:hAnsi="Times New Roman" w:cs="Times New Roman"/>
          <w:color w:val="000000" w:themeColor="text1"/>
          <w:szCs w:val="28"/>
        </w:rPr>
        <w:t>Discussion of main findings</w:t>
      </w:r>
    </w:p>
    <w:p w14:paraId="301777CB" w14:textId="36129564" w:rsidR="00B9622B" w:rsidRPr="002B34F7" w:rsidRDefault="00B9622B" w:rsidP="00B9622B">
      <w:pPr>
        <w:pStyle w:val="a7"/>
        <w:spacing w:line="480" w:lineRule="auto"/>
        <w:ind w:firstLine="480"/>
        <w:rPr>
          <w:rFonts w:cs="Times New Roman"/>
        </w:rPr>
      </w:pPr>
      <w:r w:rsidRPr="004E7E5A">
        <w:rPr>
          <w:rFonts w:cs="Times New Roman"/>
        </w:rPr>
        <w:t xml:space="preserve">Using a sample of 3,986 firm-year observations </w:t>
      </w:r>
      <w:r>
        <w:rPr>
          <w:rFonts w:cs="Times New Roman"/>
        </w:rPr>
        <w:t>between</w:t>
      </w:r>
      <w:r w:rsidRPr="004E7E5A">
        <w:rPr>
          <w:rFonts w:cs="Times New Roman"/>
        </w:rPr>
        <w:t xml:space="preserve"> 2010 </w:t>
      </w:r>
      <w:r>
        <w:rPr>
          <w:rFonts w:cs="Times New Roman"/>
        </w:rPr>
        <w:t>and</w:t>
      </w:r>
      <w:r w:rsidRPr="004E7E5A">
        <w:rPr>
          <w:rFonts w:cs="Times New Roman"/>
        </w:rPr>
        <w:t xml:space="preserve"> 2018 in China, we investigate the association between directors’ network and a firm’s CSR disclosure quality. We find that directors’ network centrality is positively associated with a firm’s CSR disclosure quality, which is </w:t>
      </w:r>
      <w:r>
        <w:rPr>
          <w:rFonts w:cs="Times New Roman"/>
        </w:rPr>
        <w:t>accordance</w:t>
      </w:r>
      <w:r w:rsidRPr="004E7E5A">
        <w:rPr>
          <w:rFonts w:cs="Times New Roman"/>
        </w:rPr>
        <w:t xml:space="preserve"> with the prediction of </w:t>
      </w:r>
      <w:r>
        <w:rPr>
          <w:rFonts w:cs="Times New Roman"/>
        </w:rPr>
        <w:t>the</w:t>
      </w:r>
      <w:r w:rsidRPr="004E7E5A">
        <w:rPr>
          <w:rFonts w:cs="Times New Roman"/>
        </w:rPr>
        <w:t xml:space="preserve"> view that resources transfer in a network contribute to the </w:t>
      </w:r>
      <w:r>
        <w:rPr>
          <w:rFonts w:cs="Times New Roman"/>
        </w:rPr>
        <w:t>corporate</w:t>
      </w:r>
      <w:r w:rsidRPr="004E7E5A">
        <w:rPr>
          <w:rFonts w:cs="Times New Roman"/>
        </w:rPr>
        <w:t xml:space="preserve"> decision. </w:t>
      </w:r>
      <w:r w:rsidRPr="004E7E5A">
        <w:rPr>
          <w:rFonts w:cs="Times New Roman"/>
          <w:shd w:val="clear" w:color="auto" w:fill="FFFFFF"/>
        </w:rPr>
        <w:t>Furthermore, we find that the positive association between directors’ network and quality of CSR disclosure is moderated by firm’s marketing strategy, analysts’ attention, financial constraints and the absence of sustainability report assur</w:t>
      </w:r>
      <w:r>
        <w:rPr>
          <w:rFonts w:cs="Times New Roman"/>
          <w:shd w:val="clear" w:color="auto" w:fill="FFFFFF"/>
        </w:rPr>
        <w:t>a</w:t>
      </w:r>
      <w:r w:rsidRPr="004E7E5A">
        <w:rPr>
          <w:rFonts w:cs="Times New Roman"/>
          <w:shd w:val="clear" w:color="auto" w:fill="FFFFFF"/>
        </w:rPr>
        <w:t xml:space="preserve">nce, but is not moderated by </w:t>
      </w:r>
      <w:r w:rsidRPr="004E7E5A">
        <w:rPr>
          <w:rFonts w:cs="Times New Roman"/>
        </w:rPr>
        <w:t>extern</w:t>
      </w:r>
      <w:r w:rsidRPr="002B34F7">
        <w:rPr>
          <w:rFonts w:cs="Times New Roman"/>
        </w:rPr>
        <w:t xml:space="preserve">al punishment pressure. Our findings are generally consistent with the framework of the resource-based view. </w:t>
      </w:r>
      <w:r w:rsidRPr="002B34F7">
        <w:rPr>
          <w:rFonts w:ascii="Times" w:hAnsi="Times" w:cs="Times"/>
          <w:iCs/>
        </w:rPr>
        <w:t xml:space="preserve">According to the resource-based view, firms are able to benefit from resources </w:t>
      </w:r>
      <w:r w:rsidR="006760C8" w:rsidRPr="002B34F7">
        <w:rPr>
          <w:rFonts w:ascii="Times" w:hAnsi="Times" w:cs="Times"/>
          <w:iCs/>
        </w:rPr>
        <w:t xml:space="preserve">that </w:t>
      </w:r>
      <w:r w:rsidR="006760C8" w:rsidRPr="002B34F7">
        <w:rPr>
          <w:rFonts w:cs="Times New Roman"/>
        </w:rPr>
        <w:t>comply with certain criteria which are valuable, rare and hard to imitate,</w:t>
      </w:r>
      <w:r w:rsidR="006760C8" w:rsidRPr="002B34F7">
        <w:rPr>
          <w:rFonts w:ascii="Times" w:hAnsi="Times" w:cs="Times"/>
          <w:iCs/>
        </w:rPr>
        <w:t xml:space="preserve"> </w:t>
      </w:r>
      <w:r w:rsidRPr="002B34F7">
        <w:rPr>
          <w:rFonts w:ascii="Times" w:hAnsi="Times" w:cs="Times"/>
          <w:iCs/>
        </w:rPr>
        <w:t>and consequently achieve superior performance. In our study, firms with d</w:t>
      </w:r>
      <w:r w:rsidRPr="002B34F7">
        <w:rPr>
          <w:rFonts w:cs="Times New Roman"/>
        </w:rPr>
        <w:t xml:space="preserve">irectors in the center of their network are more likely to be influenced by such directors to report their CSR activities with higher quality, so that they can access the tangible and intangible resources controlled by these directors to realize better performance. </w:t>
      </w:r>
    </w:p>
    <w:p w14:paraId="0F5B84DC" w14:textId="1638F055" w:rsidR="00B9622B" w:rsidRPr="009160E2" w:rsidRDefault="00B9622B" w:rsidP="00B9622B">
      <w:pPr>
        <w:pStyle w:val="a7"/>
        <w:spacing w:line="480" w:lineRule="auto"/>
        <w:ind w:firstLine="480"/>
        <w:rPr>
          <w:rFonts w:cs="Times New Roman"/>
          <w:color w:val="0432FF"/>
        </w:rPr>
      </w:pPr>
      <w:r w:rsidRPr="002B34F7">
        <w:rPr>
          <w:rFonts w:cs="Times New Roman"/>
          <w:szCs w:val="24"/>
          <w:shd w:val="clear" w:color="auto" w:fill="FFFFFF"/>
        </w:rPr>
        <w:t>Our findings have implication</w:t>
      </w:r>
      <w:r w:rsidRPr="004E7E5A">
        <w:rPr>
          <w:rFonts w:cs="Times New Roman"/>
          <w:szCs w:val="24"/>
          <w:shd w:val="clear" w:color="auto" w:fill="FFFFFF"/>
        </w:rPr>
        <w:t xml:space="preserve">s for practitioners. Our results, which are in line with the literature that resource gained through directors’ network influences firms’ decision-making, suggest that it is worthwhile spending effort and resources </w:t>
      </w:r>
      <w:r>
        <w:rPr>
          <w:rFonts w:cs="Times New Roman"/>
          <w:szCs w:val="24"/>
          <w:shd w:val="clear" w:color="auto" w:fill="FFFFFF"/>
        </w:rPr>
        <w:t>attracting</w:t>
      </w:r>
      <w:r w:rsidRPr="004E7E5A">
        <w:rPr>
          <w:rFonts w:cs="Times New Roman"/>
          <w:szCs w:val="24"/>
          <w:shd w:val="clear" w:color="auto" w:fill="FFFFFF"/>
        </w:rPr>
        <w:t xml:space="preserve"> directors with advantageous position in the social network. Our results are of interest to policymakers and regulators, be</w:t>
      </w:r>
      <w:r w:rsidRPr="002B34F7">
        <w:rPr>
          <w:rFonts w:cs="Times New Roman"/>
          <w:szCs w:val="24"/>
          <w:shd w:val="clear" w:color="auto" w:fill="FFFFFF"/>
        </w:rPr>
        <w:t>cause regulatory bodies may</w:t>
      </w:r>
      <w:r w:rsidR="00A723CC" w:rsidRPr="002B34F7">
        <w:t xml:space="preserve"> </w:t>
      </w:r>
      <w:r w:rsidRPr="002B34F7">
        <w:t xml:space="preserve">release the restriction on the number of </w:t>
      </w:r>
      <w:proofErr w:type="gramStart"/>
      <w:r w:rsidRPr="002B34F7">
        <w:t>directorship</w:t>
      </w:r>
      <w:proofErr w:type="gramEnd"/>
      <w:r w:rsidRPr="002B34F7">
        <w:t xml:space="preserve"> an individual can hold at the same time, and specify in the “Corporate Governance Code” that </w:t>
      </w:r>
      <w:r w:rsidRPr="002B34F7">
        <w:lastRenderedPageBreak/>
        <w:t>firms are recommended to recruit directors who are already sitting in the board of other firms, s</w:t>
      </w:r>
      <w:r w:rsidRPr="002B34F7">
        <w:rPr>
          <w:rFonts w:cs="Times New Roman"/>
          <w:szCs w:val="24"/>
          <w:shd w:val="clear" w:color="auto" w:fill="FFFFFF"/>
        </w:rPr>
        <w:t>o that the diffusion of best practices such as high quality disclosure of financial as well as non-financial information could be accelerated.</w:t>
      </w:r>
    </w:p>
    <w:p w14:paraId="1EE245E9" w14:textId="77777777" w:rsidR="00360734" w:rsidRPr="004E7E5A" w:rsidRDefault="00360734" w:rsidP="00360734">
      <w:pPr>
        <w:pStyle w:val="a5"/>
        <w:rPr>
          <w:rFonts w:ascii="Times New Roman" w:hAnsi="Times New Roman" w:cs="Times New Roman"/>
          <w:color w:val="000000" w:themeColor="text1"/>
          <w:szCs w:val="28"/>
        </w:rPr>
      </w:pPr>
      <w:r w:rsidRPr="004E7E5A">
        <w:rPr>
          <w:rFonts w:ascii="Times New Roman" w:hAnsi="Times New Roman" w:cs="Times New Roman"/>
          <w:color w:val="000000" w:themeColor="text1"/>
          <w:szCs w:val="28"/>
        </w:rPr>
        <w:t>Conclusion</w:t>
      </w:r>
    </w:p>
    <w:p w14:paraId="69A0C539" w14:textId="77777777" w:rsidR="00360734" w:rsidRPr="004E7E5A" w:rsidRDefault="00360734" w:rsidP="00360734">
      <w:pPr>
        <w:pStyle w:val="a7"/>
        <w:spacing w:line="480" w:lineRule="auto"/>
        <w:ind w:firstLine="480"/>
        <w:rPr>
          <w:rFonts w:cs="Times New Roman"/>
        </w:rPr>
      </w:pPr>
      <w:r w:rsidRPr="004E7E5A">
        <w:rPr>
          <w:rFonts w:cs="Times New Roman"/>
        </w:rPr>
        <w:t>In this study we document a positive association between directors’ network and the quality of CSR disclosure. We also find that the positive association between directors’ network centrality and CSR disclosure quality is more salient when the firm 1) invests less in advertising; 2) is followed by less analysts; 3</w:t>
      </w:r>
      <w:r w:rsidRPr="004E7E5A">
        <w:rPr>
          <w:rFonts w:eastAsia="MS Mincho" w:cs="Times New Roman"/>
        </w:rPr>
        <w:t>)</w:t>
      </w:r>
      <w:r w:rsidRPr="004E7E5A">
        <w:rPr>
          <w:rFonts w:cs="Times New Roman"/>
        </w:rPr>
        <w:t xml:space="preserve"> is less financially constrained</w:t>
      </w:r>
      <w:r w:rsidRPr="004E7E5A">
        <w:rPr>
          <w:rFonts w:eastAsia="MS Mincho" w:cs="Times New Roman"/>
        </w:rPr>
        <w:t>; and 4) has no assurance of sustainability report</w:t>
      </w:r>
      <w:r w:rsidRPr="004E7E5A">
        <w:rPr>
          <w:rFonts w:cs="Times New Roman"/>
        </w:rPr>
        <w:t>. In addition, we explore the independent directors’ network on CSR disclosure quality, and show that independent directors’ network centrality is positively associated with CSR disclosure quality. Our results are robust to a battery of sensitivity check.</w:t>
      </w:r>
    </w:p>
    <w:p w14:paraId="1E90C49F" w14:textId="57BB03C8" w:rsidR="00222255" w:rsidRPr="004E7E5A" w:rsidRDefault="00360734" w:rsidP="00360734">
      <w:pPr>
        <w:pStyle w:val="a7"/>
        <w:spacing w:line="480" w:lineRule="auto"/>
        <w:ind w:firstLine="480"/>
        <w:rPr>
          <w:rFonts w:cs="Times New Roman"/>
        </w:rPr>
      </w:pPr>
      <w:r w:rsidRPr="004E7E5A">
        <w:rPr>
          <w:rFonts w:cs="Times New Roman"/>
          <w:szCs w:val="20"/>
        </w:rPr>
        <w:t>Our study, however, is subject to the following limitations.</w:t>
      </w:r>
      <w:r w:rsidRPr="004E7E5A">
        <w:rPr>
          <w:rFonts w:cs="Times New Roman"/>
        </w:rPr>
        <w:t xml:space="preserve"> First, we use Chinese listed firms to test our hypotheses. Consequently, we caution the generalization of our findings to other developing countries with different institutional infrastructure. Second, although we employed the 2SLS and GMM approach to alleviate the endogeneity concern, we are unable to completely rule out the possibility that firms with better quality of CSR disclosure attract directors with higher network centrality. We therefore encourage more researchers to pursue the challenging research agenda in this area</w:t>
      </w:r>
      <w:r w:rsidR="00222255" w:rsidRPr="004E7E5A">
        <w:rPr>
          <w:rFonts w:cs="Times New Roman"/>
        </w:rPr>
        <w:t>.</w:t>
      </w:r>
    </w:p>
    <w:p w14:paraId="7F4FEA00" w14:textId="77777777" w:rsidR="00222255" w:rsidRPr="004E7E5A" w:rsidRDefault="00222255" w:rsidP="00222255">
      <w:pPr>
        <w:pStyle w:val="a7"/>
        <w:spacing w:line="480" w:lineRule="auto"/>
        <w:ind w:firstLine="480"/>
        <w:rPr>
          <w:rFonts w:cs="Times New Roman"/>
        </w:rPr>
        <w:sectPr w:rsidR="00222255" w:rsidRPr="004E7E5A" w:rsidSect="008F110D">
          <w:headerReference w:type="even" r:id="rId12"/>
          <w:headerReference w:type="default" r:id="rId13"/>
          <w:footerReference w:type="even" r:id="rId14"/>
          <w:footerReference w:type="default" r:id="rId15"/>
          <w:pgSz w:w="11906" w:h="16838"/>
          <w:pgMar w:top="1701" w:right="1418" w:bottom="1361" w:left="1418" w:header="1134" w:footer="1134" w:gutter="0"/>
          <w:cols w:space="425"/>
          <w:docGrid w:type="lines" w:linePitch="312"/>
        </w:sectPr>
      </w:pPr>
    </w:p>
    <w:p w14:paraId="37D10D25" w14:textId="77777777" w:rsidR="00222255" w:rsidRPr="004E7E5A" w:rsidRDefault="00222255" w:rsidP="00222255">
      <w:pPr>
        <w:pStyle w:val="a5"/>
        <w:rPr>
          <w:rFonts w:ascii="Times New Roman" w:hAnsi="Times New Roman" w:cs="Times New Roman"/>
          <w:color w:val="000000" w:themeColor="text1"/>
          <w:szCs w:val="28"/>
        </w:rPr>
      </w:pPr>
      <w:r w:rsidRPr="004E7E5A">
        <w:rPr>
          <w:rFonts w:ascii="Times New Roman" w:hAnsi="Times New Roman" w:cs="Times New Roman"/>
          <w:color w:val="000000" w:themeColor="text1"/>
          <w:szCs w:val="28"/>
        </w:rPr>
        <w:lastRenderedPageBreak/>
        <w:t>References</w:t>
      </w:r>
    </w:p>
    <w:p w14:paraId="300948C3" w14:textId="77777777" w:rsidR="00E607F4" w:rsidRPr="00E11B2D" w:rsidRDefault="00222255"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color w:val="000000" w:themeColor="text1"/>
          <w:sz w:val="24"/>
          <w:szCs w:val="24"/>
        </w:rPr>
        <w:fldChar w:fldCharType="begin"/>
      </w:r>
      <w:r w:rsidRPr="00E11B2D">
        <w:rPr>
          <w:rFonts w:ascii="Times New Roman" w:hAnsi="Times New Roman" w:cs="Times New Roman"/>
          <w:color w:val="000000" w:themeColor="text1"/>
          <w:sz w:val="24"/>
          <w:szCs w:val="24"/>
        </w:rPr>
        <w:instrText xml:space="preserve"> ADDIN EN.REFLIST </w:instrText>
      </w:r>
      <w:r w:rsidRPr="00E11B2D">
        <w:rPr>
          <w:rFonts w:ascii="Times New Roman" w:hAnsi="Times New Roman" w:cs="Times New Roman"/>
          <w:color w:val="000000" w:themeColor="text1"/>
          <w:sz w:val="24"/>
          <w:szCs w:val="24"/>
        </w:rPr>
        <w:fldChar w:fldCharType="separate"/>
      </w:r>
      <w:r w:rsidR="00E607F4" w:rsidRPr="00E11B2D">
        <w:rPr>
          <w:rFonts w:ascii="Times New Roman" w:hAnsi="Times New Roman" w:cs="Times New Roman"/>
          <w:noProof/>
          <w:sz w:val="24"/>
          <w:szCs w:val="24"/>
        </w:rPr>
        <w:t xml:space="preserve">Adams, C. A., &amp; Whelan, G. (2009). Conceptualising future change in corporate sustainability reporting. </w:t>
      </w:r>
      <w:r w:rsidR="00E607F4" w:rsidRPr="00E11B2D">
        <w:rPr>
          <w:rFonts w:ascii="Times New Roman" w:hAnsi="Times New Roman" w:cs="Times New Roman"/>
          <w:i/>
          <w:noProof/>
          <w:sz w:val="24"/>
          <w:szCs w:val="24"/>
        </w:rPr>
        <w:t>Accounting, Auditing &amp; Accountability Journal</w:t>
      </w:r>
      <w:r w:rsidR="00E607F4" w:rsidRPr="00E11B2D">
        <w:rPr>
          <w:rFonts w:ascii="Times New Roman" w:hAnsi="Times New Roman" w:cs="Times New Roman"/>
          <w:noProof/>
          <w:sz w:val="24"/>
          <w:szCs w:val="24"/>
        </w:rPr>
        <w:t>.</w:t>
      </w:r>
    </w:p>
    <w:p w14:paraId="0C9DDA4B"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Adams, R. B., &amp; Ferreira, D. (2009). Women in the boardroom and their impact on governance and performance. </w:t>
      </w:r>
      <w:r w:rsidRPr="00E11B2D">
        <w:rPr>
          <w:rFonts w:ascii="Times New Roman" w:hAnsi="Times New Roman" w:cs="Times New Roman"/>
          <w:i/>
          <w:noProof/>
          <w:sz w:val="24"/>
          <w:szCs w:val="24"/>
        </w:rPr>
        <w:t>Journal of Financial Economics, 94</w:t>
      </w:r>
      <w:r w:rsidRPr="00E11B2D">
        <w:rPr>
          <w:rFonts w:ascii="Times New Roman" w:hAnsi="Times New Roman" w:cs="Times New Roman"/>
          <w:noProof/>
          <w:sz w:val="24"/>
          <w:szCs w:val="24"/>
        </w:rPr>
        <w:t>(2), 291-309.</w:t>
      </w:r>
    </w:p>
    <w:p w14:paraId="19261BD4"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Adkins, L. C., &amp; Hill, R. C. (2008). </w:t>
      </w:r>
      <w:r w:rsidRPr="00E11B2D">
        <w:rPr>
          <w:rFonts w:ascii="Times New Roman" w:hAnsi="Times New Roman" w:cs="Times New Roman"/>
          <w:i/>
          <w:noProof/>
          <w:sz w:val="24"/>
          <w:szCs w:val="24"/>
        </w:rPr>
        <w:t>Using stata for principles of econometrics (3rd edition)</w:t>
      </w:r>
      <w:r w:rsidRPr="00E11B2D">
        <w:rPr>
          <w:rFonts w:ascii="Times New Roman" w:hAnsi="Times New Roman" w:cs="Times New Roman"/>
          <w:noProof/>
          <w:sz w:val="24"/>
          <w:szCs w:val="24"/>
        </w:rPr>
        <w:t>. New York: Wiley.</w:t>
      </w:r>
    </w:p>
    <w:p w14:paraId="428FFA9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Agrawal, A., &amp; Chadha, S. (2005). Corporate governance and accounting scandals. </w:t>
      </w:r>
      <w:r w:rsidRPr="00E11B2D">
        <w:rPr>
          <w:rFonts w:ascii="Times New Roman" w:hAnsi="Times New Roman" w:cs="Times New Roman"/>
          <w:i/>
          <w:noProof/>
          <w:sz w:val="24"/>
          <w:szCs w:val="24"/>
        </w:rPr>
        <w:t>Journal of Law &amp; Economics, 48</w:t>
      </w:r>
      <w:r w:rsidRPr="00E11B2D">
        <w:rPr>
          <w:rFonts w:ascii="Times New Roman" w:hAnsi="Times New Roman" w:cs="Times New Roman"/>
          <w:noProof/>
          <w:sz w:val="24"/>
          <w:szCs w:val="24"/>
        </w:rPr>
        <w:t>(2), 371-406.</w:t>
      </w:r>
    </w:p>
    <w:p w14:paraId="27C2472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Akbas, F., Meschke, F., &amp; Wintoki, M. B. (2016). Director networks and informed traders. </w:t>
      </w:r>
      <w:r w:rsidRPr="00E11B2D">
        <w:rPr>
          <w:rFonts w:ascii="Times New Roman" w:hAnsi="Times New Roman" w:cs="Times New Roman"/>
          <w:i/>
          <w:noProof/>
          <w:sz w:val="24"/>
          <w:szCs w:val="24"/>
        </w:rPr>
        <w:t>Journal of Accounting and Economics, 62</w:t>
      </w:r>
      <w:r w:rsidRPr="00E11B2D">
        <w:rPr>
          <w:rFonts w:ascii="Times New Roman" w:hAnsi="Times New Roman" w:cs="Times New Roman"/>
          <w:noProof/>
          <w:sz w:val="24"/>
          <w:szCs w:val="24"/>
        </w:rPr>
        <w:t>(1), 1-23.</w:t>
      </w:r>
    </w:p>
    <w:p w14:paraId="74360A4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Al-Shaer, H., &amp; Zaman, M. (2016). Board gender diversity and sustainability reporting quality. </w:t>
      </w:r>
      <w:r w:rsidRPr="00E11B2D">
        <w:rPr>
          <w:rFonts w:ascii="Times New Roman" w:hAnsi="Times New Roman" w:cs="Times New Roman"/>
          <w:i/>
          <w:noProof/>
          <w:sz w:val="24"/>
          <w:szCs w:val="24"/>
        </w:rPr>
        <w:t>Journal of Contemporary Accounting &amp; Economics, 12</w:t>
      </w:r>
      <w:r w:rsidRPr="00E11B2D">
        <w:rPr>
          <w:rFonts w:ascii="Times New Roman" w:hAnsi="Times New Roman" w:cs="Times New Roman"/>
          <w:noProof/>
          <w:sz w:val="24"/>
          <w:szCs w:val="24"/>
        </w:rPr>
        <w:t>(3), 210-222.</w:t>
      </w:r>
    </w:p>
    <w:p w14:paraId="700988D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Alam, Z. S., Chen, M. A., Ciccotello, C. S., &amp; Ryan, H. E. (2014). Does the location of directors matter? Information acquisition and board decisions. </w:t>
      </w:r>
      <w:r w:rsidRPr="00E11B2D">
        <w:rPr>
          <w:rFonts w:ascii="Times New Roman" w:hAnsi="Times New Roman" w:cs="Times New Roman"/>
          <w:i/>
          <w:noProof/>
          <w:sz w:val="24"/>
          <w:szCs w:val="24"/>
        </w:rPr>
        <w:t>Journal of Financial &amp; Quantitative Analysis, 49</w:t>
      </w:r>
      <w:r w:rsidRPr="00E11B2D">
        <w:rPr>
          <w:rFonts w:ascii="Times New Roman" w:hAnsi="Times New Roman" w:cs="Times New Roman"/>
          <w:noProof/>
          <w:sz w:val="24"/>
          <w:szCs w:val="24"/>
        </w:rPr>
        <w:t>(1), 131-164.</w:t>
      </w:r>
    </w:p>
    <w:p w14:paraId="42F1E5FB"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Almeida, H., Campello, M., &amp; Weisbach, M. S. (2004). The cash flow sensitivity of cash. </w:t>
      </w:r>
      <w:r w:rsidRPr="00E11B2D">
        <w:rPr>
          <w:rFonts w:ascii="Times New Roman" w:hAnsi="Times New Roman" w:cs="Times New Roman"/>
          <w:i/>
          <w:noProof/>
          <w:sz w:val="24"/>
          <w:szCs w:val="24"/>
        </w:rPr>
        <w:t>The Journal of Finance 59</w:t>
      </w:r>
      <w:r w:rsidRPr="00E11B2D">
        <w:rPr>
          <w:rFonts w:ascii="Times New Roman" w:hAnsi="Times New Roman" w:cs="Times New Roman"/>
          <w:noProof/>
          <w:sz w:val="24"/>
          <w:szCs w:val="24"/>
        </w:rPr>
        <w:t>(4), 1777-1804.</w:t>
      </w:r>
    </w:p>
    <w:p w14:paraId="6E67CF2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Arellano, M., &amp; Bond, S. (1991). Some tests of specification for panel data: Monte Carlo evidence and an application to employment equations. </w:t>
      </w:r>
      <w:r w:rsidRPr="00E11B2D">
        <w:rPr>
          <w:rFonts w:ascii="Times New Roman" w:hAnsi="Times New Roman" w:cs="Times New Roman"/>
          <w:i/>
          <w:noProof/>
          <w:sz w:val="24"/>
          <w:szCs w:val="24"/>
        </w:rPr>
        <w:t>The Review of Economic Studies, 58</w:t>
      </w:r>
      <w:r w:rsidRPr="00E11B2D">
        <w:rPr>
          <w:rFonts w:ascii="Times New Roman" w:hAnsi="Times New Roman" w:cs="Times New Roman"/>
          <w:noProof/>
          <w:sz w:val="24"/>
          <w:szCs w:val="24"/>
        </w:rPr>
        <w:t>(2), 277-297.</w:t>
      </w:r>
    </w:p>
    <w:p w14:paraId="0842BD9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Arellano, M., &amp; Bover, O. (1995). Another look at the instrumental variable estimation of error-components models. </w:t>
      </w:r>
      <w:r w:rsidRPr="00E11B2D">
        <w:rPr>
          <w:rFonts w:ascii="Times New Roman" w:hAnsi="Times New Roman" w:cs="Times New Roman"/>
          <w:i/>
          <w:noProof/>
          <w:sz w:val="24"/>
          <w:szCs w:val="24"/>
        </w:rPr>
        <w:t>Journal of Econometrics, 68</w:t>
      </w:r>
      <w:r w:rsidRPr="00E11B2D">
        <w:rPr>
          <w:rFonts w:ascii="Times New Roman" w:hAnsi="Times New Roman" w:cs="Times New Roman"/>
          <w:noProof/>
          <w:sz w:val="24"/>
          <w:szCs w:val="24"/>
        </w:rPr>
        <w:t>(1), 29-51.</w:t>
      </w:r>
    </w:p>
    <w:p w14:paraId="0D965BC4"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Bansal, P. (2005). Evolving sustainably: A longitudinal study of corporate sustainable development. </w:t>
      </w:r>
      <w:r w:rsidRPr="00E11B2D">
        <w:rPr>
          <w:rFonts w:ascii="Times New Roman" w:hAnsi="Times New Roman" w:cs="Times New Roman"/>
          <w:i/>
          <w:noProof/>
          <w:sz w:val="24"/>
          <w:szCs w:val="24"/>
        </w:rPr>
        <w:t>Strategic Management Journal, 26</w:t>
      </w:r>
      <w:r w:rsidRPr="00E11B2D">
        <w:rPr>
          <w:rFonts w:ascii="Times New Roman" w:hAnsi="Times New Roman" w:cs="Times New Roman"/>
          <w:noProof/>
          <w:sz w:val="24"/>
          <w:szCs w:val="24"/>
        </w:rPr>
        <w:t>(3), 197-218.</w:t>
      </w:r>
    </w:p>
    <w:p w14:paraId="478BF69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Barney, J. (1991). Firm resources and sustained competitive advantage. </w:t>
      </w:r>
      <w:r w:rsidRPr="00E11B2D">
        <w:rPr>
          <w:rFonts w:ascii="Times New Roman" w:hAnsi="Times New Roman" w:cs="Times New Roman"/>
          <w:i/>
          <w:noProof/>
          <w:sz w:val="24"/>
          <w:szCs w:val="24"/>
        </w:rPr>
        <w:t>Journal of Management, 17</w:t>
      </w:r>
      <w:r w:rsidRPr="00E11B2D">
        <w:rPr>
          <w:rFonts w:ascii="Times New Roman" w:hAnsi="Times New Roman" w:cs="Times New Roman"/>
          <w:noProof/>
          <w:sz w:val="24"/>
          <w:szCs w:val="24"/>
        </w:rPr>
        <w:t>(1), 99-120.</w:t>
      </w:r>
    </w:p>
    <w:p w14:paraId="6C7134B6"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Barney, J. B., Ketchen Jr, D. J., &amp; Wright, M. (2011). The future of resource-based theory: revitalization or decline? </w:t>
      </w:r>
      <w:r w:rsidRPr="00E11B2D">
        <w:rPr>
          <w:rFonts w:ascii="Times New Roman" w:hAnsi="Times New Roman" w:cs="Times New Roman"/>
          <w:i/>
          <w:noProof/>
          <w:sz w:val="24"/>
          <w:szCs w:val="24"/>
        </w:rPr>
        <w:t>Journal of Management, 37</w:t>
      </w:r>
      <w:r w:rsidRPr="00E11B2D">
        <w:rPr>
          <w:rFonts w:ascii="Times New Roman" w:hAnsi="Times New Roman" w:cs="Times New Roman"/>
          <w:noProof/>
          <w:sz w:val="24"/>
          <w:szCs w:val="24"/>
        </w:rPr>
        <w:t>(5), 1299-1315.</w:t>
      </w:r>
    </w:p>
    <w:p w14:paraId="66B84EB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Bear, S., Rahman, N., &amp; Post, C. (2010). The impact of board diversity and gender composition on corporate social responsibility and firm reputation. </w:t>
      </w:r>
      <w:r w:rsidRPr="00E11B2D">
        <w:rPr>
          <w:rFonts w:ascii="Times New Roman" w:hAnsi="Times New Roman" w:cs="Times New Roman"/>
          <w:i/>
          <w:noProof/>
          <w:sz w:val="24"/>
          <w:szCs w:val="24"/>
        </w:rPr>
        <w:t>Journal of Business Ethics, 97</w:t>
      </w:r>
      <w:r w:rsidRPr="00E11B2D">
        <w:rPr>
          <w:rFonts w:ascii="Times New Roman" w:hAnsi="Times New Roman" w:cs="Times New Roman"/>
          <w:noProof/>
          <w:sz w:val="24"/>
          <w:szCs w:val="24"/>
        </w:rPr>
        <w:t>(2), 207-221.</w:t>
      </w:r>
    </w:p>
    <w:p w14:paraId="537326BD"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Beji, R., Yousfi, O., Loukil, N., &amp; Omri, A. (2020). Board diversity and corporate social responsibility: Empirical evidence from France. </w:t>
      </w:r>
      <w:r w:rsidRPr="00E11B2D">
        <w:rPr>
          <w:rFonts w:ascii="Times New Roman" w:hAnsi="Times New Roman" w:cs="Times New Roman"/>
          <w:i/>
          <w:noProof/>
          <w:sz w:val="24"/>
          <w:szCs w:val="24"/>
        </w:rPr>
        <w:t>Journal of Business Ethics</w:t>
      </w:r>
      <w:r w:rsidRPr="00E11B2D">
        <w:rPr>
          <w:rFonts w:ascii="Times New Roman" w:hAnsi="Times New Roman" w:cs="Times New Roman"/>
          <w:noProof/>
          <w:sz w:val="24"/>
          <w:szCs w:val="24"/>
        </w:rPr>
        <w:t>(6), 1-23.</w:t>
      </w:r>
    </w:p>
    <w:p w14:paraId="7B276EB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Blundell, R., &amp; Bond, S. (1998). Initial conditions and moment restrictions in dynamic </w:t>
      </w:r>
      <w:r w:rsidRPr="00E11B2D">
        <w:rPr>
          <w:rFonts w:ascii="Times New Roman" w:hAnsi="Times New Roman" w:cs="Times New Roman"/>
          <w:noProof/>
          <w:sz w:val="24"/>
          <w:szCs w:val="24"/>
        </w:rPr>
        <w:lastRenderedPageBreak/>
        <w:t xml:space="preserve">panel data models. </w:t>
      </w:r>
      <w:r w:rsidRPr="00E11B2D">
        <w:rPr>
          <w:rFonts w:ascii="Times New Roman" w:hAnsi="Times New Roman" w:cs="Times New Roman"/>
          <w:i/>
          <w:noProof/>
          <w:sz w:val="24"/>
          <w:szCs w:val="24"/>
        </w:rPr>
        <w:t>Journal of Econometrics, 87</w:t>
      </w:r>
      <w:r w:rsidRPr="00E11B2D">
        <w:rPr>
          <w:rFonts w:ascii="Times New Roman" w:hAnsi="Times New Roman" w:cs="Times New Roman"/>
          <w:noProof/>
          <w:sz w:val="24"/>
          <w:szCs w:val="24"/>
        </w:rPr>
        <w:t>(1), 115-143.</w:t>
      </w:r>
    </w:p>
    <w:p w14:paraId="6B84B42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Bocquet, R., Le Bas, C., Mothe, C., &amp; Poussing, N. (2017). CSR, innovation, and firm performance in sluggish growth contexts: A firm-level empirical analysis. </w:t>
      </w:r>
      <w:r w:rsidRPr="00E11B2D">
        <w:rPr>
          <w:rFonts w:ascii="Times New Roman" w:hAnsi="Times New Roman" w:cs="Times New Roman"/>
          <w:i/>
          <w:noProof/>
          <w:sz w:val="24"/>
          <w:szCs w:val="24"/>
        </w:rPr>
        <w:t>Journal of Business Ethics, 146</w:t>
      </w:r>
      <w:r w:rsidRPr="00E11B2D">
        <w:rPr>
          <w:rFonts w:ascii="Times New Roman" w:hAnsi="Times New Roman" w:cs="Times New Roman"/>
          <w:noProof/>
          <w:sz w:val="24"/>
          <w:szCs w:val="24"/>
        </w:rPr>
        <w:t>(1), 241-254.</w:t>
      </w:r>
    </w:p>
    <w:p w14:paraId="1C7ED9D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Bocquet, R., Le Bas, C., Mothe, C., &amp; Poussing, N. (2019). Strategic CSR for innovation in SMEs: Does diversity matter? </w:t>
      </w:r>
      <w:r w:rsidRPr="00E11B2D">
        <w:rPr>
          <w:rFonts w:ascii="Times New Roman" w:hAnsi="Times New Roman" w:cs="Times New Roman"/>
          <w:i/>
          <w:noProof/>
          <w:sz w:val="24"/>
          <w:szCs w:val="24"/>
        </w:rPr>
        <w:t>Long Range Planning, 52</w:t>
      </w:r>
      <w:r w:rsidRPr="00E11B2D">
        <w:rPr>
          <w:rFonts w:ascii="Times New Roman" w:hAnsi="Times New Roman" w:cs="Times New Roman"/>
          <w:noProof/>
          <w:sz w:val="24"/>
          <w:szCs w:val="24"/>
        </w:rPr>
        <w:t>(6), 1-14.</w:t>
      </w:r>
    </w:p>
    <w:p w14:paraId="31553E8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Bradshaw, M. T., Lock, B., Wang, X., &amp; Zhou, D. (2021). Soft information in the financial press and analyst revisions. </w:t>
      </w:r>
      <w:r w:rsidRPr="00E11B2D">
        <w:rPr>
          <w:rFonts w:ascii="Times New Roman" w:hAnsi="Times New Roman" w:cs="Times New Roman"/>
          <w:i/>
          <w:noProof/>
          <w:sz w:val="24"/>
          <w:szCs w:val="24"/>
        </w:rPr>
        <w:t>The Accounting Review, 96</w:t>
      </w:r>
      <w:r w:rsidRPr="00E11B2D">
        <w:rPr>
          <w:rFonts w:ascii="Times New Roman" w:hAnsi="Times New Roman" w:cs="Times New Roman"/>
          <w:noProof/>
          <w:sz w:val="24"/>
          <w:szCs w:val="24"/>
        </w:rPr>
        <w:t>(5), 107-132.</w:t>
      </w:r>
    </w:p>
    <w:p w14:paraId="0C15926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Branco, M. C., &amp; Rodrigues, L. L. (2006). Corporate social responsibility and resource-based perspectives. </w:t>
      </w:r>
      <w:r w:rsidRPr="00E11B2D">
        <w:rPr>
          <w:rFonts w:ascii="Times New Roman" w:hAnsi="Times New Roman" w:cs="Times New Roman"/>
          <w:i/>
          <w:noProof/>
          <w:sz w:val="24"/>
          <w:szCs w:val="24"/>
        </w:rPr>
        <w:t>Journal of Business Ethics, 69</w:t>
      </w:r>
      <w:r w:rsidRPr="00E11B2D">
        <w:rPr>
          <w:rFonts w:ascii="Times New Roman" w:hAnsi="Times New Roman" w:cs="Times New Roman"/>
          <w:noProof/>
          <w:sz w:val="24"/>
          <w:szCs w:val="24"/>
        </w:rPr>
        <w:t>(2), 111-132.</w:t>
      </w:r>
    </w:p>
    <w:p w14:paraId="0D9413E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Brick, I. E., Palmon, O., &amp; Wald, J. K. (2006). CEO compensation, director compensation, and firm performance: Evidence of cronyism. </w:t>
      </w:r>
      <w:r w:rsidRPr="00E11B2D">
        <w:rPr>
          <w:rFonts w:ascii="Times New Roman" w:hAnsi="Times New Roman" w:cs="Times New Roman"/>
          <w:i/>
          <w:noProof/>
          <w:sz w:val="24"/>
          <w:szCs w:val="24"/>
        </w:rPr>
        <w:t>Journal of Corporate Finance, 12</w:t>
      </w:r>
      <w:r w:rsidRPr="00E11B2D">
        <w:rPr>
          <w:rFonts w:ascii="Times New Roman" w:hAnsi="Times New Roman" w:cs="Times New Roman"/>
          <w:noProof/>
          <w:sz w:val="24"/>
          <w:szCs w:val="24"/>
        </w:rPr>
        <w:t>(3), 403-423.</w:t>
      </w:r>
    </w:p>
    <w:p w14:paraId="2A3FB61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Broadstock, D. C., Chen, X., Cheng, C. A., Huang, W., &amp; Ma, Y. (2022). Do Corporate Site Visits Constrain Real Earnings Management? </w:t>
      </w:r>
      <w:r w:rsidRPr="00E11B2D">
        <w:rPr>
          <w:rFonts w:ascii="Times New Roman" w:hAnsi="Times New Roman" w:cs="Times New Roman"/>
          <w:i/>
          <w:noProof/>
          <w:sz w:val="24"/>
          <w:szCs w:val="24"/>
        </w:rPr>
        <w:t>Journal of Accounting, Auditing &amp; Finance</w:t>
      </w:r>
      <w:r w:rsidRPr="00E11B2D">
        <w:rPr>
          <w:rFonts w:ascii="Times New Roman" w:hAnsi="Times New Roman" w:cs="Times New Roman"/>
          <w:noProof/>
          <w:sz w:val="24"/>
          <w:szCs w:val="24"/>
        </w:rPr>
        <w:t>, 1-24.</w:t>
      </w:r>
    </w:p>
    <w:p w14:paraId="3286E07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Brochet, F., &amp; Srinivasan, S. (2014). Accountability of independent directors: Evidence from firms subject to securities litigation. </w:t>
      </w:r>
      <w:r w:rsidRPr="00E11B2D">
        <w:rPr>
          <w:rFonts w:ascii="Times New Roman" w:hAnsi="Times New Roman" w:cs="Times New Roman"/>
          <w:i/>
          <w:noProof/>
          <w:sz w:val="24"/>
          <w:szCs w:val="24"/>
        </w:rPr>
        <w:t>Journal of Financial Economics, 111</w:t>
      </w:r>
      <w:r w:rsidRPr="00E11B2D">
        <w:rPr>
          <w:rFonts w:ascii="Times New Roman" w:hAnsi="Times New Roman" w:cs="Times New Roman"/>
          <w:noProof/>
          <w:sz w:val="24"/>
          <w:szCs w:val="24"/>
        </w:rPr>
        <w:t>(2), 430-449.</w:t>
      </w:r>
    </w:p>
    <w:p w14:paraId="5A8BCFF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Brown, J. L. (2011). The spread of aggressive corporate tax reporting: A detailed examination of the corporate-owned life insurance shelter. </w:t>
      </w:r>
      <w:r w:rsidRPr="00E11B2D">
        <w:rPr>
          <w:rFonts w:ascii="Times New Roman" w:hAnsi="Times New Roman" w:cs="Times New Roman"/>
          <w:i/>
          <w:noProof/>
          <w:sz w:val="24"/>
          <w:szCs w:val="24"/>
        </w:rPr>
        <w:t>The Accounting Review, 86</w:t>
      </w:r>
      <w:r w:rsidRPr="00E11B2D">
        <w:rPr>
          <w:rFonts w:ascii="Times New Roman" w:hAnsi="Times New Roman" w:cs="Times New Roman"/>
          <w:noProof/>
          <w:sz w:val="24"/>
          <w:szCs w:val="24"/>
        </w:rPr>
        <w:t>(1), 23-57.</w:t>
      </w:r>
    </w:p>
    <w:p w14:paraId="527087C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Brown, J. L., &amp; Drake, K. D. (2014). Network ties among low-tax firms. </w:t>
      </w:r>
      <w:r w:rsidRPr="00E11B2D">
        <w:rPr>
          <w:rFonts w:ascii="Times New Roman" w:hAnsi="Times New Roman" w:cs="Times New Roman"/>
          <w:i/>
          <w:noProof/>
          <w:sz w:val="24"/>
          <w:szCs w:val="24"/>
        </w:rPr>
        <w:t>The Accounting Review, 89</w:t>
      </w:r>
      <w:r w:rsidRPr="00E11B2D">
        <w:rPr>
          <w:rFonts w:ascii="Times New Roman" w:hAnsi="Times New Roman" w:cs="Times New Roman"/>
          <w:noProof/>
          <w:sz w:val="24"/>
          <w:szCs w:val="24"/>
        </w:rPr>
        <w:t>(2), 483-510.</w:t>
      </w:r>
    </w:p>
    <w:p w14:paraId="06311B6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Burt, R. S. (1992). </w:t>
      </w:r>
      <w:r w:rsidRPr="00E11B2D">
        <w:rPr>
          <w:rFonts w:ascii="Times New Roman" w:hAnsi="Times New Roman" w:cs="Times New Roman"/>
          <w:i/>
          <w:noProof/>
          <w:sz w:val="24"/>
          <w:szCs w:val="24"/>
        </w:rPr>
        <w:t>Structural Holes: The social structure of competition</w:t>
      </w:r>
      <w:r w:rsidRPr="00E11B2D">
        <w:rPr>
          <w:rFonts w:ascii="Times New Roman" w:hAnsi="Times New Roman" w:cs="Times New Roman"/>
          <w:noProof/>
          <w:sz w:val="24"/>
          <w:szCs w:val="24"/>
        </w:rPr>
        <w:t>. Cambridge: Harvard University Press.</w:t>
      </w:r>
    </w:p>
    <w:p w14:paraId="4DAF0A2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Cai, Y., Dhaliwal, D. S., Kim, Y., &amp; Pan, C. (2014). Board interlocks and the diffusion of disclosure policy. </w:t>
      </w:r>
      <w:r w:rsidRPr="00E11B2D">
        <w:rPr>
          <w:rFonts w:ascii="Times New Roman" w:hAnsi="Times New Roman" w:cs="Times New Roman"/>
          <w:i/>
          <w:noProof/>
          <w:sz w:val="24"/>
          <w:szCs w:val="24"/>
        </w:rPr>
        <w:t>Review of Accounting Studies, 19</w:t>
      </w:r>
      <w:r w:rsidRPr="00E11B2D">
        <w:rPr>
          <w:rFonts w:ascii="Times New Roman" w:hAnsi="Times New Roman" w:cs="Times New Roman"/>
          <w:noProof/>
          <w:sz w:val="24"/>
          <w:szCs w:val="24"/>
        </w:rPr>
        <w:t>(3), 1086-1119.</w:t>
      </w:r>
    </w:p>
    <w:p w14:paraId="355E6D0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Campbell, J. L. (2007). Why would corporations behave in socially responsible ways? An institutional theory of corporate social responsibility. </w:t>
      </w:r>
      <w:r w:rsidRPr="00E11B2D">
        <w:rPr>
          <w:rFonts w:ascii="Times New Roman" w:hAnsi="Times New Roman" w:cs="Times New Roman"/>
          <w:i/>
          <w:noProof/>
          <w:sz w:val="24"/>
          <w:szCs w:val="24"/>
        </w:rPr>
        <w:t>Academy of management review, 32</w:t>
      </w:r>
      <w:r w:rsidRPr="00E11B2D">
        <w:rPr>
          <w:rFonts w:ascii="Times New Roman" w:hAnsi="Times New Roman" w:cs="Times New Roman"/>
          <w:noProof/>
          <w:sz w:val="24"/>
          <w:szCs w:val="24"/>
        </w:rPr>
        <w:t>(3), 946-967.</w:t>
      </w:r>
    </w:p>
    <w:p w14:paraId="283C1914"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Campello, M., Graham, J. R., &amp; Harvey, C. R. (2010). The real effects of financial constraints: Evidence from a financial crisis. </w:t>
      </w:r>
      <w:r w:rsidRPr="00E11B2D">
        <w:rPr>
          <w:rFonts w:ascii="Times New Roman" w:hAnsi="Times New Roman" w:cs="Times New Roman"/>
          <w:i/>
          <w:noProof/>
          <w:sz w:val="24"/>
          <w:szCs w:val="24"/>
        </w:rPr>
        <w:t>Journal of Financial Economics, 97</w:t>
      </w:r>
      <w:r w:rsidRPr="00E11B2D">
        <w:rPr>
          <w:rFonts w:ascii="Times New Roman" w:hAnsi="Times New Roman" w:cs="Times New Roman"/>
          <w:noProof/>
          <w:sz w:val="24"/>
          <w:szCs w:val="24"/>
        </w:rPr>
        <w:t>(3), 470-487.</w:t>
      </w:r>
    </w:p>
    <w:p w14:paraId="647CCCB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Canace, T. G., Cianci, A. M., Liu, X., &amp; Tsakumis, G. T. (2020). Paid for looks when others are looking: CEO facial traits, compensation, and corporate visibility. </w:t>
      </w:r>
      <w:r w:rsidRPr="00E11B2D">
        <w:rPr>
          <w:rFonts w:ascii="Times New Roman" w:hAnsi="Times New Roman" w:cs="Times New Roman"/>
          <w:i/>
          <w:noProof/>
          <w:sz w:val="24"/>
          <w:szCs w:val="24"/>
        </w:rPr>
        <w:t>Journal of Business Research, 115</w:t>
      </w:r>
      <w:r w:rsidRPr="00E11B2D">
        <w:rPr>
          <w:rFonts w:ascii="Times New Roman" w:hAnsi="Times New Roman" w:cs="Times New Roman"/>
          <w:noProof/>
          <w:sz w:val="24"/>
          <w:szCs w:val="24"/>
        </w:rPr>
        <w:t>, 85-100.</w:t>
      </w:r>
    </w:p>
    <w:p w14:paraId="24F982C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Chakravarty, S., &amp; Rutherford, L. G. (2017). Do busy directors influence the cost of debt? An examination through the lens of takeover vulnerability. </w:t>
      </w:r>
      <w:r w:rsidRPr="00E11B2D">
        <w:rPr>
          <w:rFonts w:ascii="Times New Roman" w:hAnsi="Times New Roman" w:cs="Times New Roman"/>
          <w:i/>
          <w:noProof/>
          <w:sz w:val="24"/>
          <w:szCs w:val="24"/>
        </w:rPr>
        <w:t>Journal of Corporate Finance, 43</w:t>
      </w:r>
      <w:r w:rsidRPr="00E11B2D">
        <w:rPr>
          <w:rFonts w:ascii="Times New Roman" w:hAnsi="Times New Roman" w:cs="Times New Roman"/>
          <w:noProof/>
          <w:sz w:val="24"/>
          <w:szCs w:val="24"/>
        </w:rPr>
        <w:t xml:space="preserve">, </w:t>
      </w:r>
      <w:r w:rsidRPr="00E11B2D">
        <w:rPr>
          <w:rFonts w:ascii="Times New Roman" w:hAnsi="Times New Roman" w:cs="Times New Roman"/>
          <w:noProof/>
          <w:sz w:val="24"/>
          <w:szCs w:val="24"/>
        </w:rPr>
        <w:lastRenderedPageBreak/>
        <w:t>429-443.</w:t>
      </w:r>
    </w:p>
    <w:p w14:paraId="5DAF529D"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Chang, C. H., &amp; Wu, Q. (2020). Board networks and corporate innovation. </w:t>
      </w:r>
      <w:r w:rsidRPr="00E11B2D">
        <w:rPr>
          <w:rFonts w:ascii="Times New Roman" w:hAnsi="Times New Roman" w:cs="Times New Roman"/>
          <w:i/>
          <w:noProof/>
          <w:sz w:val="24"/>
          <w:szCs w:val="24"/>
        </w:rPr>
        <w:t>Management Science, 67</w:t>
      </w:r>
      <w:r w:rsidRPr="00E11B2D">
        <w:rPr>
          <w:rFonts w:ascii="Times New Roman" w:hAnsi="Times New Roman" w:cs="Times New Roman"/>
          <w:noProof/>
          <w:sz w:val="24"/>
          <w:szCs w:val="24"/>
        </w:rPr>
        <w:t>(6), 3618-3654.</w:t>
      </w:r>
    </w:p>
    <w:p w14:paraId="0D20DF2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Chapple, W., &amp; Moon, J. (2005). Corporate social responsibility (CSR) in Asia: A seven-country study of CSR web site reporting. </w:t>
      </w:r>
      <w:r w:rsidRPr="00E11B2D">
        <w:rPr>
          <w:rFonts w:ascii="Times New Roman" w:hAnsi="Times New Roman" w:cs="Times New Roman"/>
          <w:i/>
          <w:noProof/>
          <w:sz w:val="24"/>
          <w:szCs w:val="24"/>
        </w:rPr>
        <w:t>Business &amp; Society, 44</w:t>
      </w:r>
      <w:r w:rsidRPr="00E11B2D">
        <w:rPr>
          <w:rFonts w:ascii="Times New Roman" w:hAnsi="Times New Roman" w:cs="Times New Roman"/>
          <w:noProof/>
          <w:sz w:val="24"/>
          <w:szCs w:val="24"/>
        </w:rPr>
        <w:t>(4), 415-441.</w:t>
      </w:r>
    </w:p>
    <w:p w14:paraId="459EEEB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Chen, S. P., Matsumoto, D., &amp; Rajgopal, S. (2011). Is silence golden? An empirical analysis of firms that stop giving quarterly earnings guidance. </w:t>
      </w:r>
      <w:r w:rsidRPr="00E11B2D">
        <w:rPr>
          <w:rFonts w:ascii="Times New Roman" w:hAnsi="Times New Roman" w:cs="Times New Roman"/>
          <w:i/>
          <w:noProof/>
          <w:sz w:val="24"/>
          <w:szCs w:val="24"/>
        </w:rPr>
        <w:t>Journal of Accounting &amp; Economics, 51</w:t>
      </w:r>
      <w:r w:rsidRPr="00E11B2D">
        <w:rPr>
          <w:rFonts w:ascii="Times New Roman" w:hAnsi="Times New Roman" w:cs="Times New Roman"/>
          <w:noProof/>
          <w:sz w:val="24"/>
          <w:szCs w:val="24"/>
        </w:rPr>
        <w:t>(1), 134-150.</w:t>
      </w:r>
    </w:p>
    <w:p w14:paraId="5DE6256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Chiu, P. C., Teoh, S. H., &amp; Tian, F. (2013). Board interlocks and earnings management contagion. </w:t>
      </w:r>
      <w:r w:rsidRPr="00E11B2D">
        <w:rPr>
          <w:rFonts w:ascii="Times New Roman" w:hAnsi="Times New Roman" w:cs="Times New Roman"/>
          <w:i/>
          <w:noProof/>
          <w:sz w:val="24"/>
          <w:szCs w:val="24"/>
        </w:rPr>
        <w:t>The Accounting Review, 88</w:t>
      </w:r>
      <w:r w:rsidRPr="00E11B2D">
        <w:rPr>
          <w:rFonts w:ascii="Times New Roman" w:hAnsi="Times New Roman" w:cs="Times New Roman"/>
          <w:noProof/>
          <w:sz w:val="24"/>
          <w:szCs w:val="24"/>
        </w:rPr>
        <w:t>(3), 915-944.</w:t>
      </w:r>
    </w:p>
    <w:p w14:paraId="28E31F21" w14:textId="6D90B074"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Chiu, T.</w:t>
      </w:r>
      <w:r w:rsidR="00241D18">
        <w:rPr>
          <w:rFonts w:ascii="Times New Roman" w:hAnsi="Times New Roman" w:cs="Times New Roman"/>
          <w:noProof/>
          <w:sz w:val="24"/>
          <w:szCs w:val="24"/>
        </w:rPr>
        <w:t xml:space="preserve"> </w:t>
      </w:r>
      <w:r w:rsidRPr="00E11B2D">
        <w:rPr>
          <w:rFonts w:ascii="Times New Roman" w:hAnsi="Times New Roman" w:cs="Times New Roman"/>
          <w:noProof/>
          <w:sz w:val="24"/>
          <w:szCs w:val="24"/>
        </w:rPr>
        <w:t>K., &amp; Wang, Y.</w:t>
      </w:r>
      <w:r w:rsidR="00241D18">
        <w:rPr>
          <w:rFonts w:ascii="Times New Roman" w:hAnsi="Times New Roman" w:cs="Times New Roman"/>
          <w:noProof/>
          <w:sz w:val="24"/>
          <w:szCs w:val="24"/>
        </w:rPr>
        <w:t xml:space="preserve"> </w:t>
      </w:r>
      <w:r w:rsidRPr="00E11B2D">
        <w:rPr>
          <w:rFonts w:ascii="Times New Roman" w:hAnsi="Times New Roman" w:cs="Times New Roman"/>
          <w:noProof/>
          <w:sz w:val="24"/>
          <w:szCs w:val="24"/>
        </w:rPr>
        <w:t xml:space="preserve">H. (2015). Determinants of social disclosure quality in Taiwan: An application of stakeholder theory. </w:t>
      </w:r>
      <w:r w:rsidRPr="00E11B2D">
        <w:rPr>
          <w:rFonts w:ascii="Times New Roman" w:hAnsi="Times New Roman" w:cs="Times New Roman"/>
          <w:i/>
          <w:noProof/>
          <w:sz w:val="24"/>
          <w:szCs w:val="24"/>
        </w:rPr>
        <w:t>Journal of Business Ethics, 129</w:t>
      </w:r>
      <w:r w:rsidRPr="00E11B2D">
        <w:rPr>
          <w:rFonts w:ascii="Times New Roman" w:hAnsi="Times New Roman" w:cs="Times New Roman"/>
          <w:noProof/>
          <w:sz w:val="24"/>
          <w:szCs w:val="24"/>
        </w:rPr>
        <w:t>(2), 379-398.</w:t>
      </w:r>
    </w:p>
    <w:p w14:paraId="02606517"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Cho, C. H., &amp; Patten, D. M. (2007). The role of environmental disclosures as tools of legitimacy: A research note. </w:t>
      </w:r>
      <w:r w:rsidRPr="00E11B2D">
        <w:rPr>
          <w:rFonts w:ascii="Times New Roman" w:hAnsi="Times New Roman" w:cs="Times New Roman"/>
          <w:i/>
          <w:noProof/>
          <w:sz w:val="24"/>
          <w:szCs w:val="24"/>
        </w:rPr>
        <w:t>Accounting, Organizations and Society, 32</w:t>
      </w:r>
      <w:r w:rsidRPr="00E11B2D">
        <w:rPr>
          <w:rFonts w:ascii="Times New Roman" w:hAnsi="Times New Roman" w:cs="Times New Roman"/>
          <w:noProof/>
          <w:sz w:val="24"/>
          <w:szCs w:val="24"/>
        </w:rPr>
        <w:t>(7-8), 639-647.</w:t>
      </w:r>
    </w:p>
    <w:p w14:paraId="140A47AD"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Claessens, S., Feijen, E., &amp; Laeven, L. (2008). Political connections and preferential access to finance: The role of campaign contributions. </w:t>
      </w:r>
      <w:r w:rsidRPr="00E11B2D">
        <w:rPr>
          <w:rFonts w:ascii="Times New Roman" w:hAnsi="Times New Roman" w:cs="Times New Roman"/>
          <w:i/>
          <w:noProof/>
          <w:sz w:val="24"/>
          <w:szCs w:val="24"/>
        </w:rPr>
        <w:t>Journal of Financial Economics, 88</w:t>
      </w:r>
      <w:r w:rsidRPr="00E11B2D">
        <w:rPr>
          <w:rFonts w:ascii="Times New Roman" w:hAnsi="Times New Roman" w:cs="Times New Roman"/>
          <w:noProof/>
          <w:sz w:val="24"/>
          <w:szCs w:val="24"/>
        </w:rPr>
        <w:t>(3), 554-580.</w:t>
      </w:r>
    </w:p>
    <w:p w14:paraId="00CE1046"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Deegan, C., &amp; Gordon, B. (1996). A study of the environmental disclosure practices of Australian corporations. </w:t>
      </w:r>
      <w:r w:rsidRPr="00E11B2D">
        <w:rPr>
          <w:rFonts w:ascii="Times New Roman" w:hAnsi="Times New Roman" w:cs="Times New Roman"/>
          <w:i/>
          <w:noProof/>
          <w:sz w:val="24"/>
          <w:szCs w:val="24"/>
        </w:rPr>
        <w:t>Accounting and Business Research, 26</w:t>
      </w:r>
      <w:r w:rsidRPr="00E11B2D">
        <w:rPr>
          <w:rFonts w:ascii="Times New Roman" w:hAnsi="Times New Roman" w:cs="Times New Roman"/>
          <w:noProof/>
          <w:sz w:val="24"/>
          <w:szCs w:val="24"/>
        </w:rPr>
        <w:t>(3), 187-199.</w:t>
      </w:r>
    </w:p>
    <w:p w14:paraId="7D520D3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Ding, R., Sainani, S., &amp; Zhang, Z. J. (2021). Protection of trade secrets and corporate tax avoidance: Evidence from the inevitable disclosure doctrine. </w:t>
      </w:r>
      <w:r w:rsidRPr="00E11B2D">
        <w:rPr>
          <w:rFonts w:ascii="Times New Roman" w:hAnsi="Times New Roman" w:cs="Times New Roman"/>
          <w:i/>
          <w:noProof/>
          <w:sz w:val="24"/>
          <w:szCs w:val="24"/>
        </w:rPr>
        <w:t>Journal of Business Research, 132</w:t>
      </w:r>
      <w:r w:rsidRPr="00E11B2D">
        <w:rPr>
          <w:rFonts w:ascii="Times New Roman" w:hAnsi="Times New Roman" w:cs="Times New Roman"/>
          <w:noProof/>
          <w:sz w:val="24"/>
          <w:szCs w:val="24"/>
        </w:rPr>
        <w:t>(5), 221-232.</w:t>
      </w:r>
    </w:p>
    <w:p w14:paraId="6D324D9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Du, S., Bhattacharya, C. B., &amp; Sen, S. (2010). Maximizing business returns to corporate social responsibility  (CSR): The role of CSR communication. </w:t>
      </w:r>
      <w:r w:rsidRPr="00E11B2D">
        <w:rPr>
          <w:rFonts w:ascii="Times New Roman" w:hAnsi="Times New Roman" w:cs="Times New Roman"/>
          <w:i/>
          <w:noProof/>
          <w:sz w:val="24"/>
          <w:szCs w:val="24"/>
        </w:rPr>
        <w:t>International journal of management reviews, 12</w:t>
      </w:r>
      <w:r w:rsidRPr="00E11B2D">
        <w:rPr>
          <w:rFonts w:ascii="Times New Roman" w:hAnsi="Times New Roman" w:cs="Times New Roman"/>
          <w:noProof/>
          <w:sz w:val="24"/>
          <w:szCs w:val="24"/>
        </w:rPr>
        <w:t>(1), 8-19.</w:t>
      </w:r>
    </w:p>
    <w:p w14:paraId="190380B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Duan, T., Ding, R., Hou, W., &amp; Zhang, J. Z. (2018). The burden of attention: CEO publicity and tax avoidance. </w:t>
      </w:r>
      <w:r w:rsidRPr="00E11B2D">
        <w:rPr>
          <w:rFonts w:ascii="Times New Roman" w:hAnsi="Times New Roman" w:cs="Times New Roman"/>
          <w:i/>
          <w:noProof/>
          <w:sz w:val="24"/>
          <w:szCs w:val="24"/>
        </w:rPr>
        <w:t>Journal of Business Research, 87</w:t>
      </w:r>
      <w:r w:rsidRPr="00E11B2D">
        <w:rPr>
          <w:rFonts w:ascii="Times New Roman" w:hAnsi="Times New Roman" w:cs="Times New Roman"/>
          <w:noProof/>
          <w:sz w:val="24"/>
          <w:szCs w:val="24"/>
        </w:rPr>
        <w:t>(6), 90-101.</w:t>
      </w:r>
    </w:p>
    <w:p w14:paraId="5FF1D9C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Elkington, J. (2006). Governance for sustainability. </w:t>
      </w:r>
      <w:r w:rsidRPr="00E11B2D">
        <w:rPr>
          <w:rFonts w:ascii="Times New Roman" w:hAnsi="Times New Roman" w:cs="Times New Roman"/>
          <w:i/>
          <w:noProof/>
          <w:sz w:val="24"/>
          <w:szCs w:val="24"/>
        </w:rPr>
        <w:t>Corporate Governance: An International Review, 14</w:t>
      </w:r>
      <w:r w:rsidRPr="00E11B2D">
        <w:rPr>
          <w:rFonts w:ascii="Times New Roman" w:hAnsi="Times New Roman" w:cs="Times New Roman"/>
          <w:noProof/>
          <w:sz w:val="24"/>
          <w:szCs w:val="24"/>
        </w:rPr>
        <w:t>(6), 522-529.</w:t>
      </w:r>
    </w:p>
    <w:p w14:paraId="14386445"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Eugster, F. (2020). Endogeneity and the dynamics of voluntary disclosure quality: is there really an effect on the cost of equity capital? </w:t>
      </w:r>
      <w:r w:rsidRPr="00E11B2D">
        <w:rPr>
          <w:rFonts w:ascii="Times New Roman" w:hAnsi="Times New Roman" w:cs="Times New Roman"/>
          <w:i/>
          <w:noProof/>
          <w:sz w:val="24"/>
          <w:szCs w:val="24"/>
        </w:rPr>
        <w:t>Contemporary Accounting Research, 37</w:t>
      </w:r>
      <w:r w:rsidRPr="00E11B2D">
        <w:rPr>
          <w:rFonts w:ascii="Times New Roman" w:hAnsi="Times New Roman" w:cs="Times New Roman"/>
          <w:noProof/>
          <w:sz w:val="24"/>
          <w:szCs w:val="24"/>
        </w:rPr>
        <w:t>(4), 2590-2614.</w:t>
      </w:r>
    </w:p>
    <w:p w14:paraId="7C6FE82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Fama, E. F., and Michael C. Jensen. (1983). Separation of ownership and control. </w:t>
      </w:r>
      <w:r w:rsidRPr="00E11B2D">
        <w:rPr>
          <w:rFonts w:ascii="Times New Roman" w:hAnsi="Times New Roman" w:cs="Times New Roman"/>
          <w:i/>
          <w:noProof/>
          <w:sz w:val="24"/>
          <w:szCs w:val="24"/>
        </w:rPr>
        <w:t>The journal of law and Economics, 26</w:t>
      </w:r>
      <w:r w:rsidRPr="00E11B2D">
        <w:rPr>
          <w:rFonts w:ascii="Times New Roman" w:hAnsi="Times New Roman" w:cs="Times New Roman"/>
          <w:noProof/>
          <w:sz w:val="24"/>
          <w:szCs w:val="24"/>
        </w:rPr>
        <w:t>(2), 301-325.</w:t>
      </w:r>
    </w:p>
    <w:p w14:paraId="09607FB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Fazzari, S. M., Hubbard, R. G., Petersen, B. C., Blinder, A. S., &amp; Poterba, J. M. (1988). Financing constraints and corporate investment. </w:t>
      </w:r>
      <w:r w:rsidRPr="00E11B2D">
        <w:rPr>
          <w:rFonts w:ascii="Times New Roman" w:hAnsi="Times New Roman" w:cs="Times New Roman"/>
          <w:i/>
          <w:noProof/>
          <w:sz w:val="24"/>
          <w:szCs w:val="24"/>
        </w:rPr>
        <w:t xml:space="preserve">Brookings Papers on Economic Activity, </w:t>
      </w:r>
      <w:r w:rsidRPr="00E11B2D">
        <w:rPr>
          <w:rFonts w:ascii="Times New Roman" w:hAnsi="Times New Roman" w:cs="Times New Roman"/>
          <w:i/>
          <w:noProof/>
          <w:sz w:val="24"/>
          <w:szCs w:val="24"/>
        </w:rPr>
        <w:lastRenderedPageBreak/>
        <w:t>1988</w:t>
      </w:r>
      <w:r w:rsidRPr="00E11B2D">
        <w:rPr>
          <w:rFonts w:ascii="Times New Roman" w:hAnsi="Times New Roman" w:cs="Times New Roman"/>
          <w:noProof/>
          <w:sz w:val="24"/>
          <w:szCs w:val="24"/>
        </w:rPr>
        <w:t>(1), 141-206.</w:t>
      </w:r>
    </w:p>
    <w:p w14:paraId="619E14A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Firth, M., Fung, P., &amp; Rui, O. M. (2007). Ownership, two-tier board structure, and the informativeness of earnings - Evidence from China. </w:t>
      </w:r>
      <w:r w:rsidRPr="00E11B2D">
        <w:rPr>
          <w:rFonts w:ascii="Times New Roman" w:hAnsi="Times New Roman" w:cs="Times New Roman"/>
          <w:i/>
          <w:noProof/>
          <w:sz w:val="24"/>
          <w:szCs w:val="24"/>
        </w:rPr>
        <w:t>Journal of Accounting &amp; Public Policy, 26</w:t>
      </w:r>
      <w:r w:rsidRPr="00E11B2D">
        <w:rPr>
          <w:rFonts w:ascii="Times New Roman" w:hAnsi="Times New Roman" w:cs="Times New Roman"/>
          <w:noProof/>
          <w:sz w:val="24"/>
          <w:szCs w:val="24"/>
        </w:rPr>
        <w:t>(4), 463-496.</w:t>
      </w:r>
    </w:p>
    <w:p w14:paraId="37EB0C31"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Flannery, M. J., &amp; Hankins, K. W. (2013). Estimating dynamic panel models in corporate finance. </w:t>
      </w:r>
      <w:r w:rsidRPr="00E11B2D">
        <w:rPr>
          <w:rFonts w:ascii="Times New Roman" w:hAnsi="Times New Roman" w:cs="Times New Roman"/>
          <w:i/>
          <w:noProof/>
          <w:sz w:val="24"/>
          <w:szCs w:val="24"/>
        </w:rPr>
        <w:t>Journal of Corporate Finance, 19</w:t>
      </w:r>
      <w:r w:rsidRPr="00E11B2D">
        <w:rPr>
          <w:rFonts w:ascii="Times New Roman" w:hAnsi="Times New Roman" w:cs="Times New Roman"/>
          <w:noProof/>
          <w:sz w:val="24"/>
          <w:szCs w:val="24"/>
        </w:rPr>
        <w:t>, 1-19.</w:t>
      </w:r>
    </w:p>
    <w:p w14:paraId="0B01CFA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Fombrun, C., &amp; Shanley, M. (1990). What's in a name? Reputation building and corporate strategy. </w:t>
      </w:r>
      <w:r w:rsidRPr="00E11B2D">
        <w:rPr>
          <w:rFonts w:ascii="Times New Roman" w:hAnsi="Times New Roman" w:cs="Times New Roman"/>
          <w:i/>
          <w:noProof/>
          <w:sz w:val="24"/>
          <w:szCs w:val="24"/>
        </w:rPr>
        <w:t>Academy of management Journal, 33</w:t>
      </w:r>
      <w:r w:rsidRPr="00E11B2D">
        <w:rPr>
          <w:rFonts w:ascii="Times New Roman" w:hAnsi="Times New Roman" w:cs="Times New Roman"/>
          <w:noProof/>
          <w:sz w:val="24"/>
          <w:szCs w:val="24"/>
        </w:rPr>
        <w:t>(2), 233-258.</w:t>
      </w:r>
    </w:p>
    <w:p w14:paraId="1ACD3A9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Freeman, L. C. (1978). Centrality in social networks: Conceptual clarification. </w:t>
      </w:r>
      <w:r w:rsidRPr="00E11B2D">
        <w:rPr>
          <w:rFonts w:ascii="Times New Roman" w:hAnsi="Times New Roman" w:cs="Times New Roman"/>
          <w:i/>
          <w:noProof/>
          <w:sz w:val="24"/>
          <w:szCs w:val="24"/>
        </w:rPr>
        <w:t>Social Networks, 1</w:t>
      </w:r>
      <w:r w:rsidRPr="00E11B2D">
        <w:rPr>
          <w:rFonts w:ascii="Times New Roman" w:hAnsi="Times New Roman" w:cs="Times New Roman"/>
          <w:noProof/>
          <w:sz w:val="24"/>
          <w:szCs w:val="24"/>
        </w:rPr>
        <w:t>(3), 215-239.</w:t>
      </w:r>
    </w:p>
    <w:p w14:paraId="100B5566"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Freeman, R. E. (1984). </w:t>
      </w:r>
      <w:r w:rsidRPr="00E11B2D">
        <w:rPr>
          <w:rFonts w:ascii="Times New Roman" w:hAnsi="Times New Roman" w:cs="Times New Roman"/>
          <w:i/>
          <w:noProof/>
          <w:sz w:val="24"/>
          <w:szCs w:val="24"/>
        </w:rPr>
        <w:t>Strategic management: A stakeholder approach</w:t>
      </w:r>
      <w:r w:rsidRPr="00E11B2D">
        <w:rPr>
          <w:rFonts w:ascii="Times New Roman" w:hAnsi="Times New Roman" w:cs="Times New Roman"/>
          <w:noProof/>
          <w:sz w:val="24"/>
          <w:szCs w:val="24"/>
        </w:rPr>
        <w:t>. Marshfield, Massachusetts: Pitman Publishing Inc.</w:t>
      </w:r>
    </w:p>
    <w:p w14:paraId="7FCD1FE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Freeman, R. E., &amp; Reed, D. L. (1983). Stockholders and stakeholders: A new perspective on corporate governance. </w:t>
      </w:r>
      <w:r w:rsidRPr="00E11B2D">
        <w:rPr>
          <w:rFonts w:ascii="Times New Roman" w:hAnsi="Times New Roman" w:cs="Times New Roman"/>
          <w:i/>
          <w:noProof/>
          <w:sz w:val="24"/>
          <w:szCs w:val="24"/>
        </w:rPr>
        <w:t>California management review, 25</w:t>
      </w:r>
      <w:r w:rsidRPr="00E11B2D">
        <w:rPr>
          <w:rFonts w:ascii="Times New Roman" w:hAnsi="Times New Roman" w:cs="Times New Roman"/>
          <w:noProof/>
          <w:sz w:val="24"/>
          <w:szCs w:val="24"/>
        </w:rPr>
        <w:t>(3), 88-106.</w:t>
      </w:r>
    </w:p>
    <w:p w14:paraId="31AC291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Galaskiewicz, J. (1985). Social organization in an urban grants economy: A study of business philanthropy and nonprofit organizations. </w:t>
      </w:r>
      <w:r w:rsidRPr="00E11B2D">
        <w:rPr>
          <w:rFonts w:ascii="Times New Roman" w:hAnsi="Times New Roman" w:cs="Times New Roman"/>
          <w:i/>
          <w:noProof/>
          <w:sz w:val="24"/>
          <w:szCs w:val="24"/>
        </w:rPr>
        <w:t>New York: Academic Press</w:t>
      </w:r>
      <w:r w:rsidRPr="00E11B2D">
        <w:rPr>
          <w:rFonts w:ascii="Times New Roman" w:hAnsi="Times New Roman" w:cs="Times New Roman"/>
          <w:noProof/>
          <w:sz w:val="24"/>
          <w:szCs w:val="24"/>
        </w:rPr>
        <w:t>.</w:t>
      </w:r>
    </w:p>
    <w:p w14:paraId="32CC864B"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Goergen, M., Renneboog, L., &amp; Zhao, Y. (2019). Insider trading and networked directors. </w:t>
      </w:r>
      <w:r w:rsidRPr="00E11B2D">
        <w:rPr>
          <w:rFonts w:ascii="Times New Roman" w:hAnsi="Times New Roman" w:cs="Times New Roman"/>
          <w:i/>
          <w:noProof/>
          <w:sz w:val="24"/>
          <w:szCs w:val="24"/>
        </w:rPr>
        <w:t>Journal of Corporate Finance, 56</w:t>
      </w:r>
      <w:r w:rsidRPr="00E11B2D">
        <w:rPr>
          <w:rFonts w:ascii="Times New Roman" w:hAnsi="Times New Roman" w:cs="Times New Roman"/>
          <w:noProof/>
          <w:sz w:val="24"/>
          <w:szCs w:val="24"/>
        </w:rPr>
        <w:t>, 152-175.</w:t>
      </w:r>
    </w:p>
    <w:p w14:paraId="2B8D62D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Graham, J. R., Hanlon, M., Shevlin, T., &amp; Shroff, N. (2014). Incentives for tax planning and avoidance: Evidence from the field. </w:t>
      </w:r>
      <w:r w:rsidRPr="00E11B2D">
        <w:rPr>
          <w:rFonts w:ascii="Times New Roman" w:hAnsi="Times New Roman" w:cs="Times New Roman"/>
          <w:i/>
          <w:noProof/>
          <w:sz w:val="24"/>
          <w:szCs w:val="24"/>
        </w:rPr>
        <w:t>The Accounting Review, 89</w:t>
      </w:r>
      <w:r w:rsidRPr="00E11B2D">
        <w:rPr>
          <w:rFonts w:ascii="Times New Roman" w:hAnsi="Times New Roman" w:cs="Times New Roman"/>
          <w:noProof/>
          <w:sz w:val="24"/>
          <w:szCs w:val="24"/>
        </w:rPr>
        <w:t>(3), 991-1023.</w:t>
      </w:r>
    </w:p>
    <w:p w14:paraId="3D9782F4"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Hąbek, P., &amp; Wolniak, R. (2016). Assessing the quality of corporate social responsibility reports: the case of reporting practices in selected European Union member states. </w:t>
      </w:r>
      <w:r w:rsidRPr="00E11B2D">
        <w:rPr>
          <w:rFonts w:ascii="Times New Roman" w:hAnsi="Times New Roman" w:cs="Times New Roman"/>
          <w:i/>
          <w:noProof/>
          <w:sz w:val="24"/>
          <w:szCs w:val="24"/>
        </w:rPr>
        <w:t>Quality &amp; quantity, 50</w:t>
      </w:r>
      <w:r w:rsidRPr="00E11B2D">
        <w:rPr>
          <w:rFonts w:ascii="Times New Roman" w:hAnsi="Times New Roman" w:cs="Times New Roman"/>
          <w:noProof/>
          <w:sz w:val="24"/>
          <w:szCs w:val="24"/>
        </w:rPr>
        <w:t>(1), 399-420.</w:t>
      </w:r>
    </w:p>
    <w:p w14:paraId="5AEFAA7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Hadlock, C. J., &amp; Pierce, J. R. (2010). New evidence on measuring financial constraints: Moving beyond the KZ index. </w:t>
      </w:r>
      <w:r w:rsidRPr="00E11B2D">
        <w:rPr>
          <w:rFonts w:ascii="Times New Roman" w:hAnsi="Times New Roman" w:cs="Times New Roman"/>
          <w:i/>
          <w:noProof/>
          <w:sz w:val="24"/>
          <w:szCs w:val="24"/>
        </w:rPr>
        <w:t>Review of Financial Studies, 23</w:t>
      </w:r>
      <w:r w:rsidRPr="00E11B2D">
        <w:rPr>
          <w:rFonts w:ascii="Times New Roman" w:hAnsi="Times New Roman" w:cs="Times New Roman"/>
          <w:noProof/>
          <w:sz w:val="24"/>
          <w:szCs w:val="24"/>
        </w:rPr>
        <w:t>(5), 1909-1940.</w:t>
      </w:r>
    </w:p>
    <w:p w14:paraId="3EDB049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Haley, U. (1991). Corporate contributions as managerial masques: Reframing corporate contributions as strategies to influence society. </w:t>
      </w:r>
      <w:r w:rsidRPr="00E11B2D">
        <w:rPr>
          <w:rFonts w:ascii="Times New Roman" w:hAnsi="Times New Roman" w:cs="Times New Roman"/>
          <w:i/>
          <w:noProof/>
          <w:sz w:val="24"/>
          <w:szCs w:val="24"/>
        </w:rPr>
        <w:t>Journal of Management Studies, 28</w:t>
      </w:r>
      <w:r w:rsidRPr="00E11B2D">
        <w:rPr>
          <w:rFonts w:ascii="Times New Roman" w:hAnsi="Times New Roman" w:cs="Times New Roman"/>
          <w:noProof/>
          <w:sz w:val="24"/>
          <w:szCs w:val="24"/>
        </w:rPr>
        <w:t>(5), 485-510.</w:t>
      </w:r>
    </w:p>
    <w:p w14:paraId="058CFA15"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Harjoto, M., Laksmana, I., &amp; Lee, R. (2014). Board diversity and corporate social responsibility. </w:t>
      </w:r>
      <w:r w:rsidRPr="00E11B2D">
        <w:rPr>
          <w:rFonts w:ascii="Times New Roman" w:hAnsi="Times New Roman" w:cs="Times New Roman"/>
          <w:i/>
          <w:noProof/>
          <w:sz w:val="24"/>
          <w:szCs w:val="24"/>
        </w:rPr>
        <w:t>Journal of Business Ethics, 132</w:t>
      </w:r>
      <w:r w:rsidRPr="00E11B2D">
        <w:rPr>
          <w:rFonts w:ascii="Times New Roman" w:hAnsi="Times New Roman" w:cs="Times New Roman"/>
          <w:noProof/>
          <w:sz w:val="24"/>
          <w:szCs w:val="24"/>
        </w:rPr>
        <w:t>(4), 641-660.</w:t>
      </w:r>
    </w:p>
    <w:p w14:paraId="3F062B1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Harjoto, M. A., &amp; Jo, H. (2011). Corporate governance and CSR nexus. </w:t>
      </w:r>
      <w:r w:rsidRPr="00E11B2D">
        <w:rPr>
          <w:rFonts w:ascii="Times New Roman" w:hAnsi="Times New Roman" w:cs="Times New Roman"/>
          <w:i/>
          <w:noProof/>
          <w:sz w:val="24"/>
          <w:szCs w:val="24"/>
        </w:rPr>
        <w:t>Journal of Business Ethics, 100</w:t>
      </w:r>
      <w:r w:rsidRPr="00E11B2D">
        <w:rPr>
          <w:rFonts w:ascii="Times New Roman" w:hAnsi="Times New Roman" w:cs="Times New Roman"/>
          <w:noProof/>
          <w:sz w:val="24"/>
          <w:szCs w:val="24"/>
        </w:rPr>
        <w:t>(1), 45-67.</w:t>
      </w:r>
    </w:p>
    <w:p w14:paraId="7B9ACC0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Hart, O. D. (1995). </w:t>
      </w:r>
      <w:r w:rsidRPr="00E11B2D">
        <w:rPr>
          <w:rFonts w:ascii="Times New Roman" w:hAnsi="Times New Roman" w:cs="Times New Roman"/>
          <w:i/>
          <w:noProof/>
          <w:sz w:val="24"/>
          <w:szCs w:val="24"/>
        </w:rPr>
        <w:t>Firms, contracts and financial structure</w:t>
      </w:r>
      <w:r w:rsidRPr="00E11B2D">
        <w:rPr>
          <w:rFonts w:ascii="Times New Roman" w:hAnsi="Times New Roman" w:cs="Times New Roman"/>
          <w:noProof/>
          <w:sz w:val="24"/>
          <w:szCs w:val="24"/>
        </w:rPr>
        <w:t>. Oxford: Clarendon Press.</w:t>
      </w:r>
    </w:p>
    <w:p w14:paraId="2159EAE4"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Hausman, J. A. (1978). Specification tests in econometrics. </w:t>
      </w:r>
      <w:r w:rsidRPr="00E11B2D">
        <w:rPr>
          <w:rFonts w:ascii="Times New Roman" w:hAnsi="Times New Roman" w:cs="Times New Roman"/>
          <w:i/>
          <w:noProof/>
          <w:sz w:val="24"/>
          <w:szCs w:val="24"/>
        </w:rPr>
        <w:t>Econometrica, 46</w:t>
      </w:r>
      <w:r w:rsidRPr="00E11B2D">
        <w:rPr>
          <w:rFonts w:ascii="Times New Roman" w:hAnsi="Times New Roman" w:cs="Times New Roman"/>
          <w:noProof/>
          <w:sz w:val="24"/>
          <w:szCs w:val="24"/>
        </w:rPr>
        <w:t>(6), 1251-1271.</w:t>
      </w:r>
    </w:p>
    <w:p w14:paraId="1816882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Hemingway, C. A., and P. W. Maclagan (2004). Managers' personal values as drivers of </w:t>
      </w:r>
      <w:r w:rsidRPr="00E11B2D">
        <w:rPr>
          <w:rFonts w:ascii="Times New Roman" w:hAnsi="Times New Roman" w:cs="Times New Roman"/>
          <w:noProof/>
          <w:sz w:val="24"/>
          <w:szCs w:val="24"/>
        </w:rPr>
        <w:lastRenderedPageBreak/>
        <w:t xml:space="preserve">corporate social responsibility. </w:t>
      </w:r>
      <w:r w:rsidRPr="00E11B2D">
        <w:rPr>
          <w:rFonts w:ascii="Times New Roman" w:hAnsi="Times New Roman" w:cs="Times New Roman"/>
          <w:i/>
          <w:noProof/>
          <w:sz w:val="24"/>
          <w:szCs w:val="24"/>
        </w:rPr>
        <w:t>Journal of Business Ethics, 50</w:t>
      </w:r>
      <w:r w:rsidRPr="00E11B2D">
        <w:rPr>
          <w:rFonts w:ascii="Times New Roman" w:hAnsi="Times New Roman" w:cs="Times New Roman"/>
          <w:noProof/>
          <w:sz w:val="24"/>
          <w:szCs w:val="24"/>
        </w:rPr>
        <w:t>(1), 33-44.</w:t>
      </w:r>
    </w:p>
    <w:p w14:paraId="4A7102B7"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Hermalin, B. E., &amp; Weisbach, M. S. (2003). Boards of directors as an endogenously determined institution: A survey of the economic literature. </w:t>
      </w:r>
      <w:r w:rsidRPr="00E11B2D">
        <w:rPr>
          <w:rFonts w:ascii="Times New Roman" w:hAnsi="Times New Roman" w:cs="Times New Roman"/>
          <w:i/>
          <w:noProof/>
          <w:sz w:val="24"/>
          <w:szCs w:val="24"/>
        </w:rPr>
        <w:t>Economic Policy Review, 9</w:t>
      </w:r>
      <w:r w:rsidRPr="00E11B2D">
        <w:rPr>
          <w:rFonts w:ascii="Times New Roman" w:hAnsi="Times New Roman" w:cs="Times New Roman"/>
          <w:noProof/>
          <w:sz w:val="24"/>
          <w:szCs w:val="24"/>
        </w:rPr>
        <w:t>(1), 7-27.</w:t>
      </w:r>
    </w:p>
    <w:p w14:paraId="3FFC30F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Hillman, A. J. (2005). Politicians on the board of directors: Do connections affect the bottom line? </w:t>
      </w:r>
      <w:r w:rsidRPr="00E11B2D">
        <w:rPr>
          <w:rFonts w:ascii="Times New Roman" w:hAnsi="Times New Roman" w:cs="Times New Roman"/>
          <w:i/>
          <w:noProof/>
          <w:sz w:val="24"/>
          <w:szCs w:val="24"/>
        </w:rPr>
        <w:t>Journal of Management, 31</w:t>
      </w:r>
      <w:r w:rsidRPr="00E11B2D">
        <w:rPr>
          <w:rFonts w:ascii="Times New Roman" w:hAnsi="Times New Roman" w:cs="Times New Roman"/>
          <w:noProof/>
          <w:sz w:val="24"/>
          <w:szCs w:val="24"/>
        </w:rPr>
        <w:t>(3), 464-481.</w:t>
      </w:r>
    </w:p>
    <w:p w14:paraId="65DB698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Hillman, A. J., &amp; Dalziel, T. (2003). Boards of directors and firm performance: Integrating agency and resource dependence perspectives. </w:t>
      </w:r>
      <w:r w:rsidRPr="00E11B2D">
        <w:rPr>
          <w:rFonts w:ascii="Times New Roman" w:hAnsi="Times New Roman" w:cs="Times New Roman"/>
          <w:i/>
          <w:noProof/>
          <w:sz w:val="24"/>
          <w:szCs w:val="24"/>
        </w:rPr>
        <w:t>Academy of management review, 28</w:t>
      </w:r>
      <w:r w:rsidRPr="00E11B2D">
        <w:rPr>
          <w:rFonts w:ascii="Times New Roman" w:hAnsi="Times New Roman" w:cs="Times New Roman"/>
          <w:noProof/>
          <w:sz w:val="24"/>
          <w:szCs w:val="24"/>
        </w:rPr>
        <w:t>(3), 383-396.</w:t>
      </w:r>
    </w:p>
    <w:p w14:paraId="04582D0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Homroy, S., &amp; Slechten, A. (2017). Do board expertise and networked boards affect environmental performance? </w:t>
      </w:r>
      <w:r w:rsidRPr="00E11B2D">
        <w:rPr>
          <w:rFonts w:ascii="Times New Roman" w:hAnsi="Times New Roman" w:cs="Times New Roman"/>
          <w:i/>
          <w:noProof/>
          <w:sz w:val="24"/>
          <w:szCs w:val="24"/>
        </w:rPr>
        <w:t>Journal of Business Ethics, 158</w:t>
      </w:r>
      <w:r w:rsidRPr="00E11B2D">
        <w:rPr>
          <w:rFonts w:ascii="Times New Roman" w:hAnsi="Times New Roman" w:cs="Times New Roman"/>
          <w:noProof/>
          <w:sz w:val="24"/>
          <w:szCs w:val="24"/>
        </w:rPr>
        <w:t>(1), 269-292.</w:t>
      </w:r>
    </w:p>
    <w:p w14:paraId="45A17064"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Jian, W. Z., Jaaffar, A. H., Ooi, S. K., &amp; Amran, A. (2017). The effects of national culture, corporate governance and CSR governance on CSR disclosure quality. </w:t>
      </w:r>
      <w:r w:rsidRPr="00E11B2D">
        <w:rPr>
          <w:rFonts w:ascii="Times New Roman" w:hAnsi="Times New Roman" w:cs="Times New Roman"/>
          <w:i/>
          <w:noProof/>
          <w:sz w:val="24"/>
          <w:szCs w:val="24"/>
        </w:rPr>
        <w:t>Global Business and Management Research, 9</w:t>
      </w:r>
      <w:r w:rsidRPr="00E11B2D">
        <w:rPr>
          <w:rFonts w:ascii="Times New Roman" w:hAnsi="Times New Roman" w:cs="Times New Roman"/>
          <w:noProof/>
          <w:sz w:val="24"/>
          <w:szCs w:val="24"/>
        </w:rPr>
        <w:t>(4s), 298-314.</w:t>
      </w:r>
    </w:p>
    <w:p w14:paraId="7EDE2E6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Jiang, F., &amp; Kim, K. A. (2015). Corporate governance in China: A modern perspective. </w:t>
      </w:r>
      <w:r w:rsidRPr="00E11B2D">
        <w:rPr>
          <w:rFonts w:ascii="Times New Roman" w:hAnsi="Times New Roman" w:cs="Times New Roman"/>
          <w:i/>
          <w:noProof/>
          <w:sz w:val="24"/>
          <w:szCs w:val="24"/>
        </w:rPr>
        <w:t>Journal of Corporate Finance, 32</w:t>
      </w:r>
      <w:r w:rsidRPr="00E11B2D">
        <w:rPr>
          <w:rFonts w:ascii="Times New Roman" w:hAnsi="Times New Roman" w:cs="Times New Roman"/>
          <w:noProof/>
          <w:sz w:val="24"/>
          <w:szCs w:val="24"/>
        </w:rPr>
        <w:t>, 190-216.</w:t>
      </w:r>
    </w:p>
    <w:p w14:paraId="2970DAC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Jizi, M. I., Salama, A., Dixon, R., &amp; Stratling, R. (2014). Corporate governance and corporate social responsibility disclosure: Evidence from the US banking sector. </w:t>
      </w:r>
      <w:r w:rsidRPr="00E11B2D">
        <w:rPr>
          <w:rFonts w:ascii="Times New Roman" w:hAnsi="Times New Roman" w:cs="Times New Roman"/>
          <w:i/>
          <w:noProof/>
          <w:sz w:val="24"/>
          <w:szCs w:val="24"/>
        </w:rPr>
        <w:t>Journal of Business Ethics, 125</w:t>
      </w:r>
      <w:r w:rsidRPr="00E11B2D">
        <w:rPr>
          <w:rFonts w:ascii="Times New Roman" w:hAnsi="Times New Roman" w:cs="Times New Roman"/>
          <w:noProof/>
          <w:sz w:val="24"/>
          <w:szCs w:val="24"/>
        </w:rPr>
        <w:t>(4), 601-615.</w:t>
      </w:r>
    </w:p>
    <w:p w14:paraId="1B10783D"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Joan, F. M., &amp; Alexander, L. (2016). Do measures of financial constraints measure financial constraints? </w:t>
      </w:r>
      <w:r w:rsidRPr="00E11B2D">
        <w:rPr>
          <w:rFonts w:ascii="Times New Roman" w:hAnsi="Times New Roman" w:cs="Times New Roman"/>
          <w:i/>
          <w:noProof/>
          <w:sz w:val="24"/>
          <w:szCs w:val="24"/>
        </w:rPr>
        <w:t>Review of Financial Studies, 29</w:t>
      </w:r>
      <w:r w:rsidRPr="00E11B2D">
        <w:rPr>
          <w:rFonts w:ascii="Times New Roman" w:hAnsi="Times New Roman" w:cs="Times New Roman"/>
          <w:noProof/>
          <w:sz w:val="24"/>
          <w:szCs w:val="24"/>
        </w:rPr>
        <w:t>(2), 271-308.</w:t>
      </w:r>
    </w:p>
    <w:p w14:paraId="2E64E91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Johnson, R. A., &amp; Greening, D. W. (1999). The effects of corporate governance and institutional ownership types on corporate social performance. </w:t>
      </w:r>
      <w:r w:rsidRPr="00E11B2D">
        <w:rPr>
          <w:rFonts w:ascii="Times New Roman" w:hAnsi="Times New Roman" w:cs="Times New Roman"/>
          <w:i/>
          <w:noProof/>
          <w:sz w:val="24"/>
          <w:szCs w:val="24"/>
        </w:rPr>
        <w:t>Academy of management Journal, 42</w:t>
      </w:r>
      <w:r w:rsidRPr="00E11B2D">
        <w:rPr>
          <w:rFonts w:ascii="Times New Roman" w:hAnsi="Times New Roman" w:cs="Times New Roman"/>
          <w:noProof/>
          <w:sz w:val="24"/>
          <w:szCs w:val="24"/>
        </w:rPr>
        <w:t>(5), 564-576.</w:t>
      </w:r>
    </w:p>
    <w:p w14:paraId="6132916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Julian, S. D., &amp; Ofori-Dankwa, J. C. (2013). Financial resource availability and corporate social responsibility expenditures in a sub‐Saharan economy: The institutional difference hypothesis. </w:t>
      </w:r>
      <w:r w:rsidRPr="00E11B2D">
        <w:rPr>
          <w:rFonts w:ascii="Times New Roman" w:hAnsi="Times New Roman" w:cs="Times New Roman"/>
          <w:i/>
          <w:noProof/>
          <w:sz w:val="24"/>
          <w:szCs w:val="24"/>
        </w:rPr>
        <w:t>Strategic Management Journal, 34</w:t>
      </w:r>
      <w:r w:rsidRPr="00E11B2D">
        <w:rPr>
          <w:rFonts w:ascii="Times New Roman" w:hAnsi="Times New Roman" w:cs="Times New Roman"/>
          <w:noProof/>
          <w:sz w:val="24"/>
          <w:szCs w:val="24"/>
        </w:rPr>
        <w:t>(11), 1314-1330.</w:t>
      </w:r>
    </w:p>
    <w:p w14:paraId="0D476C1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Kaplan, S. N., &amp; Zingales, L. (1997). Do investment-cash flow sensitivities provide useful measures of financing constraints? </w:t>
      </w:r>
      <w:r w:rsidRPr="00E11B2D">
        <w:rPr>
          <w:rFonts w:ascii="Times New Roman" w:hAnsi="Times New Roman" w:cs="Times New Roman"/>
          <w:i/>
          <w:noProof/>
          <w:sz w:val="24"/>
          <w:szCs w:val="24"/>
        </w:rPr>
        <w:t>Quarterly Journal of Economics, 112</w:t>
      </w:r>
      <w:r w:rsidRPr="00E11B2D">
        <w:rPr>
          <w:rFonts w:ascii="Times New Roman" w:hAnsi="Times New Roman" w:cs="Times New Roman"/>
          <w:noProof/>
          <w:sz w:val="24"/>
          <w:szCs w:val="24"/>
        </w:rPr>
        <w:t>(1), 169-215.</w:t>
      </w:r>
    </w:p>
    <w:p w14:paraId="2B2A6CD5"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Katmon, N., Mohamad, Z. Z., Norwani, N. M., &amp; Farooque, O. A. (2017). Comprehensive board diversity and quality of corporate social responsibility disclosure: Evidence from an emerging market. </w:t>
      </w:r>
      <w:r w:rsidRPr="00E11B2D">
        <w:rPr>
          <w:rFonts w:ascii="Times New Roman" w:hAnsi="Times New Roman" w:cs="Times New Roman"/>
          <w:i/>
          <w:noProof/>
          <w:sz w:val="24"/>
          <w:szCs w:val="24"/>
        </w:rPr>
        <w:t>Journal of Business Ethics, 157</w:t>
      </w:r>
      <w:r w:rsidRPr="00E11B2D">
        <w:rPr>
          <w:rFonts w:ascii="Times New Roman" w:hAnsi="Times New Roman" w:cs="Times New Roman"/>
          <w:noProof/>
          <w:sz w:val="24"/>
          <w:szCs w:val="24"/>
        </w:rPr>
        <w:t>(2), 447-481.</w:t>
      </w:r>
    </w:p>
    <w:p w14:paraId="68E4461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Khan, A., Muttakin, M. B., &amp; Siddiqui, J. (2012). Corporate governance and corporate social responsibility disclosures: Evidence from an emerging economy. </w:t>
      </w:r>
      <w:r w:rsidRPr="00E11B2D">
        <w:rPr>
          <w:rFonts w:ascii="Times New Roman" w:hAnsi="Times New Roman" w:cs="Times New Roman"/>
          <w:i/>
          <w:noProof/>
          <w:sz w:val="24"/>
          <w:szCs w:val="24"/>
        </w:rPr>
        <w:t>Journal of Business Ethics, 114</w:t>
      </w:r>
      <w:r w:rsidRPr="00E11B2D">
        <w:rPr>
          <w:rFonts w:ascii="Times New Roman" w:hAnsi="Times New Roman" w:cs="Times New Roman"/>
          <w:noProof/>
          <w:sz w:val="24"/>
          <w:szCs w:val="24"/>
        </w:rPr>
        <w:t>(2), 207-223.</w:t>
      </w:r>
    </w:p>
    <w:p w14:paraId="56D3502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Knyazeva, A., Knyazeva, D., &amp; Masulis, R. W. (2013). The supply of corporate directors and board independence. </w:t>
      </w:r>
      <w:r w:rsidRPr="00E11B2D">
        <w:rPr>
          <w:rFonts w:ascii="Times New Roman" w:hAnsi="Times New Roman" w:cs="Times New Roman"/>
          <w:i/>
          <w:noProof/>
          <w:sz w:val="24"/>
          <w:szCs w:val="24"/>
        </w:rPr>
        <w:t>Review of Financial Studies, 26</w:t>
      </w:r>
      <w:r w:rsidRPr="00E11B2D">
        <w:rPr>
          <w:rFonts w:ascii="Times New Roman" w:hAnsi="Times New Roman" w:cs="Times New Roman"/>
          <w:noProof/>
          <w:sz w:val="24"/>
          <w:szCs w:val="24"/>
        </w:rPr>
        <w:t>(6), 1561-1605.</w:t>
      </w:r>
    </w:p>
    <w:p w14:paraId="3FC90E6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lastRenderedPageBreak/>
        <w:t xml:space="preserve">Kristie, J. (2011). The power of three. </w:t>
      </w:r>
      <w:r w:rsidRPr="00E11B2D">
        <w:rPr>
          <w:rFonts w:ascii="Times New Roman" w:hAnsi="Times New Roman" w:cs="Times New Roman"/>
          <w:i/>
          <w:noProof/>
          <w:sz w:val="24"/>
          <w:szCs w:val="24"/>
        </w:rPr>
        <w:t>Director Boards, 35</w:t>
      </w:r>
      <w:r w:rsidRPr="00E11B2D">
        <w:rPr>
          <w:rFonts w:ascii="Times New Roman" w:hAnsi="Times New Roman" w:cs="Times New Roman"/>
          <w:noProof/>
          <w:sz w:val="24"/>
          <w:szCs w:val="24"/>
        </w:rPr>
        <w:t>(5), 22-32.</w:t>
      </w:r>
    </w:p>
    <w:p w14:paraId="0075A5ED"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Lang, M. H., &amp; Lundholm, R. J. (1996). Corporate disclosure policy and analyst behavior. </w:t>
      </w:r>
      <w:r w:rsidRPr="00E11B2D">
        <w:rPr>
          <w:rFonts w:ascii="Times New Roman" w:hAnsi="Times New Roman" w:cs="Times New Roman"/>
          <w:i/>
          <w:noProof/>
          <w:sz w:val="24"/>
          <w:szCs w:val="24"/>
        </w:rPr>
        <w:t>The Accounting Review, 71</w:t>
      </w:r>
      <w:r w:rsidRPr="00E11B2D">
        <w:rPr>
          <w:rFonts w:ascii="Times New Roman" w:hAnsi="Times New Roman" w:cs="Times New Roman"/>
          <w:noProof/>
          <w:sz w:val="24"/>
          <w:szCs w:val="24"/>
        </w:rPr>
        <w:t>(4), 467-492.</w:t>
      </w:r>
    </w:p>
    <w:p w14:paraId="1B77AF25"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Larcker, D. F., So, E. C., &amp; Wang, C. C. Y. (2013). Boardroom centrality and firm performance. </w:t>
      </w:r>
      <w:r w:rsidRPr="00E11B2D">
        <w:rPr>
          <w:rFonts w:ascii="Times New Roman" w:hAnsi="Times New Roman" w:cs="Times New Roman"/>
          <w:i/>
          <w:noProof/>
          <w:sz w:val="24"/>
          <w:szCs w:val="24"/>
        </w:rPr>
        <w:t>Journal of Accounting and Economics, 55</w:t>
      </w:r>
      <w:r w:rsidRPr="00E11B2D">
        <w:rPr>
          <w:rFonts w:ascii="Times New Roman" w:hAnsi="Times New Roman" w:cs="Times New Roman"/>
          <w:noProof/>
          <w:sz w:val="24"/>
          <w:szCs w:val="24"/>
        </w:rPr>
        <w:t>(2-3), 225-250.</w:t>
      </w:r>
    </w:p>
    <w:p w14:paraId="6E35FDE5"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Lavie, D. (2006). The competitive advantage of interconnected firms: An extension of the resource-based view. </w:t>
      </w:r>
      <w:r w:rsidRPr="00E11B2D">
        <w:rPr>
          <w:rFonts w:ascii="Times New Roman" w:hAnsi="Times New Roman" w:cs="Times New Roman"/>
          <w:i/>
          <w:noProof/>
          <w:sz w:val="24"/>
          <w:szCs w:val="24"/>
        </w:rPr>
        <w:t>Academy of management review, 31</w:t>
      </w:r>
      <w:r w:rsidRPr="00E11B2D">
        <w:rPr>
          <w:rFonts w:ascii="Times New Roman" w:hAnsi="Times New Roman" w:cs="Times New Roman"/>
          <w:noProof/>
          <w:sz w:val="24"/>
          <w:szCs w:val="24"/>
        </w:rPr>
        <w:t>(3), 638-658.</w:t>
      </w:r>
    </w:p>
    <w:p w14:paraId="25AD86D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Lavie, D., &amp; Miller, S. R. (2008). Alliance portfolio internationalization and firm performance. </w:t>
      </w:r>
      <w:r w:rsidRPr="00E11B2D">
        <w:rPr>
          <w:rFonts w:ascii="Times New Roman" w:hAnsi="Times New Roman" w:cs="Times New Roman"/>
          <w:i/>
          <w:noProof/>
          <w:sz w:val="24"/>
          <w:szCs w:val="24"/>
        </w:rPr>
        <w:t>Organization Science, 19</w:t>
      </w:r>
      <w:r w:rsidRPr="00E11B2D">
        <w:rPr>
          <w:rFonts w:ascii="Times New Roman" w:hAnsi="Times New Roman" w:cs="Times New Roman"/>
          <w:noProof/>
          <w:sz w:val="24"/>
          <w:szCs w:val="24"/>
        </w:rPr>
        <w:t>(4), 623-646.</w:t>
      </w:r>
    </w:p>
    <w:p w14:paraId="56E97489"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Leary, M. R., &amp; Kowalski, R. M. (1990). Impression management: A literature review and two-component model. </w:t>
      </w:r>
      <w:r w:rsidRPr="00E11B2D">
        <w:rPr>
          <w:rFonts w:ascii="Times New Roman" w:hAnsi="Times New Roman" w:cs="Times New Roman"/>
          <w:i/>
          <w:noProof/>
          <w:sz w:val="24"/>
          <w:szCs w:val="24"/>
        </w:rPr>
        <w:t>Psychological Bulletin, 107</w:t>
      </w:r>
      <w:r w:rsidRPr="00E11B2D">
        <w:rPr>
          <w:rFonts w:ascii="Times New Roman" w:hAnsi="Times New Roman" w:cs="Times New Roman"/>
          <w:noProof/>
          <w:sz w:val="24"/>
          <w:szCs w:val="24"/>
        </w:rPr>
        <w:t>(1), 34-47.</w:t>
      </w:r>
    </w:p>
    <w:p w14:paraId="1135655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Liao, L., Lin, T., &amp; Zhang, Y. (2016). Corporate board and corporate social responsibility assurance: Evidence from China. </w:t>
      </w:r>
      <w:r w:rsidRPr="00E11B2D">
        <w:rPr>
          <w:rFonts w:ascii="Times New Roman" w:hAnsi="Times New Roman" w:cs="Times New Roman"/>
          <w:i/>
          <w:noProof/>
          <w:sz w:val="24"/>
          <w:szCs w:val="24"/>
        </w:rPr>
        <w:t>Journal of Business Ethics, 150</w:t>
      </w:r>
      <w:r w:rsidRPr="00E11B2D">
        <w:rPr>
          <w:rFonts w:ascii="Times New Roman" w:hAnsi="Times New Roman" w:cs="Times New Roman"/>
          <w:noProof/>
          <w:sz w:val="24"/>
          <w:szCs w:val="24"/>
        </w:rPr>
        <w:t>(1), 211-225.</w:t>
      </w:r>
    </w:p>
    <w:p w14:paraId="176E54AB"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Liao, L., Luo, L., &amp; Tang, Q. (2015). Gender diversity, board independence, environmental committee and greenhouse gas disclosure. </w:t>
      </w:r>
      <w:r w:rsidRPr="00E11B2D">
        <w:rPr>
          <w:rFonts w:ascii="Times New Roman" w:hAnsi="Times New Roman" w:cs="Times New Roman"/>
          <w:i/>
          <w:noProof/>
          <w:sz w:val="24"/>
          <w:szCs w:val="24"/>
        </w:rPr>
        <w:t>The British Accounting Review, 47</w:t>
      </w:r>
      <w:r w:rsidRPr="00E11B2D">
        <w:rPr>
          <w:rFonts w:ascii="Times New Roman" w:hAnsi="Times New Roman" w:cs="Times New Roman"/>
          <w:noProof/>
          <w:sz w:val="24"/>
          <w:szCs w:val="24"/>
        </w:rPr>
        <w:t>(4), 409-424.</w:t>
      </w:r>
    </w:p>
    <w:p w14:paraId="27B2FD7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Lin, N. (2002). Social capital: A theory of social structure and action. </w:t>
      </w:r>
      <w:r w:rsidRPr="00E11B2D">
        <w:rPr>
          <w:rFonts w:ascii="Times New Roman" w:hAnsi="Times New Roman" w:cs="Times New Roman"/>
          <w:i/>
          <w:noProof/>
          <w:sz w:val="24"/>
          <w:szCs w:val="24"/>
        </w:rPr>
        <w:t>Cambridge: Cambridge University Press</w:t>
      </w:r>
      <w:r w:rsidRPr="00E11B2D">
        <w:rPr>
          <w:rFonts w:ascii="Times New Roman" w:hAnsi="Times New Roman" w:cs="Times New Roman"/>
          <w:noProof/>
          <w:sz w:val="24"/>
          <w:szCs w:val="24"/>
        </w:rPr>
        <w:t>.</w:t>
      </w:r>
    </w:p>
    <w:p w14:paraId="6E67EA0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Lu, Y., Shailer, G., &amp; Wilson, M. (2016). Corporate political donations: Influences from directors' networks. </w:t>
      </w:r>
      <w:r w:rsidRPr="00E11B2D">
        <w:rPr>
          <w:rFonts w:ascii="Times New Roman" w:hAnsi="Times New Roman" w:cs="Times New Roman"/>
          <w:i/>
          <w:noProof/>
          <w:sz w:val="24"/>
          <w:szCs w:val="24"/>
        </w:rPr>
        <w:t>Journal of Business Ethics, 135</w:t>
      </w:r>
      <w:r w:rsidRPr="00E11B2D">
        <w:rPr>
          <w:rFonts w:ascii="Times New Roman" w:hAnsi="Times New Roman" w:cs="Times New Roman"/>
          <w:noProof/>
          <w:sz w:val="24"/>
          <w:szCs w:val="24"/>
        </w:rPr>
        <w:t>(3), 461-481.</w:t>
      </w:r>
    </w:p>
    <w:p w14:paraId="6AFB387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Macaulay, C. D., Richard, O. C., Peng, M. W., &amp; Hasenhuttl, M. (2017). Alliance network centrality, board composition, and corporate social performance. </w:t>
      </w:r>
      <w:r w:rsidRPr="00E11B2D">
        <w:rPr>
          <w:rFonts w:ascii="Times New Roman" w:hAnsi="Times New Roman" w:cs="Times New Roman"/>
          <w:i/>
          <w:noProof/>
          <w:sz w:val="24"/>
          <w:szCs w:val="24"/>
        </w:rPr>
        <w:t>Journal of Business Ethics, 151</w:t>
      </w:r>
      <w:r w:rsidRPr="00E11B2D">
        <w:rPr>
          <w:rFonts w:ascii="Times New Roman" w:hAnsi="Times New Roman" w:cs="Times New Roman"/>
          <w:noProof/>
          <w:sz w:val="24"/>
          <w:szCs w:val="24"/>
        </w:rPr>
        <w:t>(4), 997-1008.</w:t>
      </w:r>
    </w:p>
    <w:p w14:paraId="2E50BAEB"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Macve, R., &amp; Chen, X. (2010). The “equator principles”: a success for voluntary codes? </w:t>
      </w:r>
      <w:r w:rsidRPr="00E11B2D">
        <w:rPr>
          <w:rFonts w:ascii="Times New Roman" w:hAnsi="Times New Roman" w:cs="Times New Roman"/>
          <w:i/>
          <w:noProof/>
          <w:sz w:val="24"/>
          <w:szCs w:val="24"/>
        </w:rPr>
        <w:t>Accounting, Auditing &amp; Accountability Journal</w:t>
      </w:r>
      <w:r w:rsidRPr="00E11B2D">
        <w:rPr>
          <w:rFonts w:ascii="Times New Roman" w:hAnsi="Times New Roman" w:cs="Times New Roman"/>
          <w:noProof/>
          <w:sz w:val="24"/>
          <w:szCs w:val="24"/>
        </w:rPr>
        <w:t>.</w:t>
      </w:r>
    </w:p>
    <w:p w14:paraId="2653D04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Marquis, C., &amp; Qian, C. (2014). Corporate social responsibility reporting in China: Symbol or substance? </w:t>
      </w:r>
      <w:r w:rsidRPr="00E11B2D">
        <w:rPr>
          <w:rFonts w:ascii="Times New Roman" w:hAnsi="Times New Roman" w:cs="Times New Roman"/>
          <w:i/>
          <w:noProof/>
          <w:sz w:val="24"/>
          <w:szCs w:val="24"/>
        </w:rPr>
        <w:t>Organization Science, 25</w:t>
      </w:r>
      <w:r w:rsidRPr="00E11B2D">
        <w:rPr>
          <w:rFonts w:ascii="Times New Roman" w:hAnsi="Times New Roman" w:cs="Times New Roman"/>
          <w:noProof/>
          <w:sz w:val="24"/>
          <w:szCs w:val="24"/>
        </w:rPr>
        <w:t>(1), 127-148.</w:t>
      </w:r>
    </w:p>
    <w:p w14:paraId="6F3D5624"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Martens, T. I. M., &amp; Sextroh, C. J. (2021). Analyst coverage overlaps and interfirm information spillovers. </w:t>
      </w:r>
      <w:r w:rsidRPr="00E11B2D">
        <w:rPr>
          <w:rFonts w:ascii="Times New Roman" w:hAnsi="Times New Roman" w:cs="Times New Roman"/>
          <w:i/>
          <w:noProof/>
          <w:sz w:val="24"/>
          <w:szCs w:val="24"/>
        </w:rPr>
        <w:t>Journal of Accounting Research, 59</w:t>
      </w:r>
      <w:r w:rsidRPr="00E11B2D">
        <w:rPr>
          <w:rFonts w:ascii="Times New Roman" w:hAnsi="Times New Roman" w:cs="Times New Roman"/>
          <w:noProof/>
          <w:sz w:val="24"/>
          <w:szCs w:val="24"/>
        </w:rPr>
        <w:t>(4), 1425-1480.</w:t>
      </w:r>
    </w:p>
    <w:p w14:paraId="697C5A3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Martínez-Ferrero, J., Garcia-Sanchez, I. M., &amp; Cuadrado-Ballesteros, B. (2015). Effect of financial reporting quality on sustainability information disclosure. </w:t>
      </w:r>
      <w:r w:rsidRPr="00E11B2D">
        <w:rPr>
          <w:rFonts w:ascii="Times New Roman" w:hAnsi="Times New Roman" w:cs="Times New Roman"/>
          <w:i/>
          <w:noProof/>
          <w:sz w:val="24"/>
          <w:szCs w:val="24"/>
        </w:rPr>
        <w:t>Corporate Social Responsibility and Environmental Management, 22</w:t>
      </w:r>
      <w:r w:rsidRPr="00E11B2D">
        <w:rPr>
          <w:rFonts w:ascii="Times New Roman" w:hAnsi="Times New Roman" w:cs="Times New Roman"/>
          <w:noProof/>
          <w:sz w:val="24"/>
          <w:szCs w:val="24"/>
        </w:rPr>
        <w:t>(1), 45-64.</w:t>
      </w:r>
    </w:p>
    <w:p w14:paraId="082FBEC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Maurer, C. C., Bansal, P., &amp; Crossan, M. M. (2011). Creating economic value through social values: Introducing a culturally informed resource-based view. </w:t>
      </w:r>
      <w:r w:rsidRPr="00E11B2D">
        <w:rPr>
          <w:rFonts w:ascii="Times New Roman" w:hAnsi="Times New Roman" w:cs="Times New Roman"/>
          <w:i/>
          <w:noProof/>
          <w:sz w:val="24"/>
          <w:szCs w:val="24"/>
        </w:rPr>
        <w:t>Organization Science, 22</w:t>
      </w:r>
      <w:r w:rsidRPr="00E11B2D">
        <w:rPr>
          <w:rFonts w:ascii="Times New Roman" w:hAnsi="Times New Roman" w:cs="Times New Roman"/>
          <w:noProof/>
          <w:sz w:val="24"/>
          <w:szCs w:val="24"/>
        </w:rPr>
        <w:t>(2), 432-448.</w:t>
      </w:r>
    </w:p>
    <w:p w14:paraId="3085601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Maury, B., &amp; Pajuste, A. (2005). Multiple large shareholders and firm value. </w:t>
      </w:r>
      <w:r w:rsidRPr="00E11B2D">
        <w:rPr>
          <w:rFonts w:ascii="Times New Roman" w:hAnsi="Times New Roman" w:cs="Times New Roman"/>
          <w:i/>
          <w:noProof/>
          <w:sz w:val="24"/>
          <w:szCs w:val="24"/>
        </w:rPr>
        <w:t>Journal of Banking &amp; Finance, 29</w:t>
      </w:r>
      <w:r w:rsidRPr="00E11B2D">
        <w:rPr>
          <w:rFonts w:ascii="Times New Roman" w:hAnsi="Times New Roman" w:cs="Times New Roman"/>
          <w:noProof/>
          <w:sz w:val="24"/>
          <w:szCs w:val="24"/>
        </w:rPr>
        <w:t>(7), 1813-1834.</w:t>
      </w:r>
    </w:p>
    <w:p w14:paraId="3A59D48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lastRenderedPageBreak/>
        <w:t xml:space="preserve">McWilliams, A., &amp; Siegel, D. (2001). Corporate social responsibility: A theory of the firm perspective. </w:t>
      </w:r>
      <w:r w:rsidRPr="00E11B2D">
        <w:rPr>
          <w:rFonts w:ascii="Times New Roman" w:hAnsi="Times New Roman" w:cs="Times New Roman"/>
          <w:i/>
          <w:noProof/>
          <w:sz w:val="24"/>
          <w:szCs w:val="24"/>
        </w:rPr>
        <w:t>Academy of management review, 26</w:t>
      </w:r>
      <w:r w:rsidRPr="00E11B2D">
        <w:rPr>
          <w:rFonts w:ascii="Times New Roman" w:hAnsi="Times New Roman" w:cs="Times New Roman"/>
          <w:noProof/>
          <w:sz w:val="24"/>
          <w:szCs w:val="24"/>
        </w:rPr>
        <w:t>(1), 117-127.</w:t>
      </w:r>
    </w:p>
    <w:p w14:paraId="5EFE95C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Merton, R. (1987). An equilibrium market model with incomplete information. </w:t>
      </w:r>
      <w:r w:rsidRPr="00E11B2D">
        <w:rPr>
          <w:rFonts w:ascii="Times New Roman" w:hAnsi="Times New Roman" w:cs="Times New Roman"/>
          <w:i/>
          <w:noProof/>
          <w:sz w:val="24"/>
          <w:szCs w:val="24"/>
        </w:rPr>
        <w:t>The Journal of Finance, 42</w:t>
      </w:r>
      <w:r w:rsidRPr="00E11B2D">
        <w:rPr>
          <w:rFonts w:ascii="Times New Roman" w:hAnsi="Times New Roman" w:cs="Times New Roman"/>
          <w:noProof/>
          <w:sz w:val="24"/>
          <w:szCs w:val="24"/>
        </w:rPr>
        <w:t>, 483-511.</w:t>
      </w:r>
    </w:p>
    <w:p w14:paraId="185CB86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Mizruchi, M. S. (1996). What do interlocks do? An analysis, critique, and assessment of research on interlocking directorates. </w:t>
      </w:r>
      <w:r w:rsidRPr="00E11B2D">
        <w:rPr>
          <w:rFonts w:ascii="Times New Roman" w:hAnsi="Times New Roman" w:cs="Times New Roman"/>
          <w:i/>
          <w:noProof/>
          <w:sz w:val="24"/>
          <w:szCs w:val="24"/>
        </w:rPr>
        <w:t>Annual review of sociology, 22</w:t>
      </w:r>
      <w:r w:rsidRPr="00E11B2D">
        <w:rPr>
          <w:rFonts w:ascii="Times New Roman" w:hAnsi="Times New Roman" w:cs="Times New Roman"/>
          <w:noProof/>
          <w:sz w:val="24"/>
          <w:szCs w:val="24"/>
        </w:rPr>
        <w:t>(1), 271-298.</w:t>
      </w:r>
    </w:p>
    <w:p w14:paraId="637E8CD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Mol, M. J. (2001). Creating wealth in organizations || Creating wealth through working with others: Interorganizational relationships. </w:t>
      </w:r>
      <w:r w:rsidRPr="00E11B2D">
        <w:rPr>
          <w:rFonts w:ascii="Times New Roman" w:hAnsi="Times New Roman" w:cs="Times New Roman"/>
          <w:i/>
          <w:noProof/>
          <w:sz w:val="24"/>
          <w:szCs w:val="24"/>
        </w:rPr>
        <w:t>The Academy of Management Executive (1993-2005), 15</w:t>
      </w:r>
      <w:r w:rsidRPr="00E11B2D">
        <w:rPr>
          <w:rFonts w:ascii="Times New Roman" w:hAnsi="Times New Roman" w:cs="Times New Roman"/>
          <w:noProof/>
          <w:sz w:val="24"/>
          <w:szCs w:val="24"/>
        </w:rPr>
        <w:t>(1), 150-152.</w:t>
      </w:r>
    </w:p>
    <w:p w14:paraId="7C75D1B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Nguyen, B. D., &amp; Nielsen, K. M. (2010). The value of independent directors: Evidence from sudden deaths. </w:t>
      </w:r>
      <w:r w:rsidRPr="00E11B2D">
        <w:rPr>
          <w:rFonts w:ascii="Times New Roman" w:hAnsi="Times New Roman" w:cs="Times New Roman"/>
          <w:i/>
          <w:noProof/>
          <w:sz w:val="24"/>
          <w:szCs w:val="24"/>
        </w:rPr>
        <w:t>Journal of Financial Economics, 98</w:t>
      </w:r>
      <w:r w:rsidRPr="00E11B2D">
        <w:rPr>
          <w:rFonts w:ascii="Times New Roman" w:hAnsi="Times New Roman" w:cs="Times New Roman"/>
          <w:noProof/>
          <w:sz w:val="24"/>
          <w:szCs w:val="24"/>
        </w:rPr>
        <w:t>(3), 550-567.</w:t>
      </w:r>
    </w:p>
    <w:p w14:paraId="067394C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Nickell, S. (1981). Biases in dynamic models with fixed effects. </w:t>
      </w:r>
      <w:r w:rsidRPr="00E11B2D">
        <w:rPr>
          <w:rFonts w:ascii="Times New Roman" w:hAnsi="Times New Roman" w:cs="Times New Roman"/>
          <w:i/>
          <w:noProof/>
          <w:sz w:val="24"/>
          <w:szCs w:val="24"/>
        </w:rPr>
        <w:t>Econometrica: Journal of the econometric society</w:t>
      </w:r>
      <w:r w:rsidRPr="00E11B2D">
        <w:rPr>
          <w:rFonts w:ascii="Times New Roman" w:hAnsi="Times New Roman" w:cs="Times New Roman"/>
          <w:noProof/>
          <w:sz w:val="24"/>
          <w:szCs w:val="24"/>
        </w:rPr>
        <w:t>, 1417-1426.</w:t>
      </w:r>
    </w:p>
    <w:p w14:paraId="45D4385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Olson, M. (1965). The logic of collective action: Public goods and the theory of groups. </w:t>
      </w:r>
      <w:r w:rsidRPr="00E11B2D">
        <w:rPr>
          <w:rFonts w:ascii="Times New Roman" w:hAnsi="Times New Roman" w:cs="Times New Roman"/>
          <w:i/>
          <w:noProof/>
          <w:sz w:val="24"/>
          <w:szCs w:val="24"/>
        </w:rPr>
        <w:t>Cambridge: Harvard University Press</w:t>
      </w:r>
      <w:r w:rsidRPr="00E11B2D">
        <w:rPr>
          <w:rFonts w:ascii="Times New Roman" w:hAnsi="Times New Roman" w:cs="Times New Roman"/>
          <w:noProof/>
          <w:sz w:val="24"/>
          <w:szCs w:val="24"/>
        </w:rPr>
        <w:t>.</w:t>
      </w:r>
    </w:p>
    <w:p w14:paraId="71A2752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Omer, T. C., Shelley, M. K., &amp; Tice, F. M. (2019). Do director networks matter for financial reporting quality? Evidence from audit committee connectedness and restatements. </w:t>
      </w:r>
      <w:r w:rsidRPr="00E11B2D">
        <w:rPr>
          <w:rFonts w:ascii="Times New Roman" w:hAnsi="Times New Roman" w:cs="Times New Roman"/>
          <w:i/>
          <w:noProof/>
          <w:sz w:val="24"/>
          <w:szCs w:val="24"/>
        </w:rPr>
        <w:t>Management Science, 66</w:t>
      </w:r>
      <w:r w:rsidRPr="00E11B2D">
        <w:rPr>
          <w:rFonts w:ascii="Times New Roman" w:hAnsi="Times New Roman" w:cs="Times New Roman"/>
          <w:noProof/>
          <w:sz w:val="24"/>
          <w:szCs w:val="24"/>
        </w:rPr>
        <w:t>(8), 3361-3388.</w:t>
      </w:r>
    </w:p>
    <w:p w14:paraId="564DD511"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Park, H., &amp; Vrettos, D. (2015). The moderating effect of relative performance evaluation on the risk incentive properties of executives’ equity portfolios. </w:t>
      </w:r>
      <w:r w:rsidRPr="00E11B2D">
        <w:rPr>
          <w:rFonts w:ascii="Times New Roman" w:hAnsi="Times New Roman" w:cs="Times New Roman"/>
          <w:i/>
          <w:noProof/>
          <w:sz w:val="24"/>
          <w:szCs w:val="24"/>
        </w:rPr>
        <w:t>Journal of Accounting Research, 53</w:t>
      </w:r>
      <w:r w:rsidRPr="00E11B2D">
        <w:rPr>
          <w:rFonts w:ascii="Times New Roman" w:hAnsi="Times New Roman" w:cs="Times New Roman"/>
          <w:noProof/>
          <w:sz w:val="24"/>
          <w:szCs w:val="24"/>
        </w:rPr>
        <w:t>(5), 1055-1108.</w:t>
      </w:r>
    </w:p>
    <w:p w14:paraId="2716DF87"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Peng, M. W., Wang, D. Y., &amp; Jiang, Y. (2008). An institution-based view of international business strategy: A focus on emerging economies. </w:t>
      </w:r>
      <w:r w:rsidRPr="00E11B2D">
        <w:rPr>
          <w:rFonts w:ascii="Times New Roman" w:hAnsi="Times New Roman" w:cs="Times New Roman"/>
          <w:i/>
          <w:noProof/>
          <w:sz w:val="24"/>
          <w:szCs w:val="24"/>
        </w:rPr>
        <w:t>Journal of international business studies, 39</w:t>
      </w:r>
      <w:r w:rsidRPr="00E11B2D">
        <w:rPr>
          <w:rFonts w:ascii="Times New Roman" w:hAnsi="Times New Roman" w:cs="Times New Roman"/>
          <w:noProof/>
          <w:sz w:val="24"/>
          <w:szCs w:val="24"/>
        </w:rPr>
        <w:t>(5), 920-936.</w:t>
      </w:r>
    </w:p>
    <w:p w14:paraId="2C185A9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Peteraf, M. A. (1993). The cornerstones of competitive advantage: A resource-based view. </w:t>
      </w:r>
      <w:r w:rsidRPr="00E11B2D">
        <w:rPr>
          <w:rFonts w:ascii="Times New Roman" w:hAnsi="Times New Roman" w:cs="Times New Roman"/>
          <w:i/>
          <w:noProof/>
          <w:sz w:val="24"/>
          <w:szCs w:val="24"/>
        </w:rPr>
        <w:t>Strategic Management Journal, 14</w:t>
      </w:r>
      <w:r w:rsidRPr="00E11B2D">
        <w:rPr>
          <w:rFonts w:ascii="Times New Roman" w:hAnsi="Times New Roman" w:cs="Times New Roman"/>
          <w:noProof/>
          <w:sz w:val="24"/>
          <w:szCs w:val="24"/>
        </w:rPr>
        <w:t>(3), 179-191.</w:t>
      </w:r>
    </w:p>
    <w:p w14:paraId="550C09B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Porter, M. E., &amp; Kramer, M. R. (2006). Strategy and society: the link between competitive advantage and corporate social responsibility. </w:t>
      </w:r>
      <w:r w:rsidRPr="00E11B2D">
        <w:rPr>
          <w:rFonts w:ascii="Times New Roman" w:hAnsi="Times New Roman" w:cs="Times New Roman"/>
          <w:i/>
          <w:noProof/>
          <w:sz w:val="24"/>
          <w:szCs w:val="24"/>
        </w:rPr>
        <w:t>Harvard business review, 84</w:t>
      </w:r>
      <w:r w:rsidRPr="00E11B2D">
        <w:rPr>
          <w:rFonts w:ascii="Times New Roman" w:hAnsi="Times New Roman" w:cs="Times New Roman"/>
          <w:noProof/>
          <w:sz w:val="24"/>
          <w:szCs w:val="24"/>
        </w:rPr>
        <w:t>(12), 78-92, 163.</w:t>
      </w:r>
    </w:p>
    <w:p w14:paraId="39DBFE7B"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Rao, K., &amp; Tilt, C. (2015). Board composition and corporate social responsibility: The role of diversity, gender, strategy and decision making. </w:t>
      </w:r>
      <w:r w:rsidRPr="00E11B2D">
        <w:rPr>
          <w:rFonts w:ascii="Times New Roman" w:hAnsi="Times New Roman" w:cs="Times New Roman"/>
          <w:i/>
          <w:noProof/>
          <w:sz w:val="24"/>
          <w:szCs w:val="24"/>
        </w:rPr>
        <w:t>Journal of Business Ethics, 138</w:t>
      </w:r>
      <w:r w:rsidRPr="00E11B2D">
        <w:rPr>
          <w:rFonts w:ascii="Times New Roman" w:hAnsi="Times New Roman" w:cs="Times New Roman"/>
          <w:noProof/>
          <w:sz w:val="24"/>
          <w:szCs w:val="24"/>
        </w:rPr>
        <w:t>(2), 327-347.</w:t>
      </w:r>
    </w:p>
    <w:p w14:paraId="5DD56B7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Ricardo, S.-R., Francisco, M.-R., &amp; Franco, S.-E. (2018). Firm reputation, advertising investment, and price premium: The role of collective brand membership in high quality wines. </w:t>
      </w:r>
      <w:r w:rsidRPr="00E11B2D">
        <w:rPr>
          <w:rFonts w:ascii="Times New Roman" w:hAnsi="Times New Roman" w:cs="Times New Roman"/>
          <w:i/>
          <w:noProof/>
          <w:sz w:val="24"/>
          <w:szCs w:val="24"/>
        </w:rPr>
        <w:t>Agribusiness, 34</w:t>
      </w:r>
      <w:r w:rsidRPr="00E11B2D">
        <w:rPr>
          <w:rFonts w:ascii="Times New Roman" w:hAnsi="Times New Roman" w:cs="Times New Roman"/>
          <w:noProof/>
          <w:sz w:val="24"/>
          <w:szCs w:val="24"/>
        </w:rPr>
        <w:t>(2), 351-362.</w:t>
      </w:r>
    </w:p>
    <w:p w14:paraId="701E16A7"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Roodman, D. (2009). How to do xtabond2: An introduction to difference and system GMM in Stata. </w:t>
      </w:r>
      <w:r w:rsidRPr="00E11B2D">
        <w:rPr>
          <w:rFonts w:ascii="Times New Roman" w:hAnsi="Times New Roman" w:cs="Times New Roman"/>
          <w:i/>
          <w:noProof/>
          <w:sz w:val="24"/>
          <w:szCs w:val="24"/>
        </w:rPr>
        <w:t>The stata journal, 9</w:t>
      </w:r>
      <w:r w:rsidRPr="00E11B2D">
        <w:rPr>
          <w:rFonts w:ascii="Times New Roman" w:hAnsi="Times New Roman" w:cs="Times New Roman"/>
          <w:noProof/>
          <w:sz w:val="24"/>
          <w:szCs w:val="24"/>
        </w:rPr>
        <w:t>(1), 86-136.</w:t>
      </w:r>
    </w:p>
    <w:p w14:paraId="43F967F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Rupley, K. H., Brown, D., &amp; Marshall, R. S. (2012). Governance, media and the quality </w:t>
      </w:r>
      <w:r w:rsidRPr="00E11B2D">
        <w:rPr>
          <w:rFonts w:ascii="Times New Roman" w:hAnsi="Times New Roman" w:cs="Times New Roman"/>
          <w:noProof/>
          <w:sz w:val="24"/>
          <w:szCs w:val="24"/>
        </w:rPr>
        <w:lastRenderedPageBreak/>
        <w:t xml:space="preserve">of environmental disclosure. </w:t>
      </w:r>
      <w:r w:rsidRPr="00E11B2D">
        <w:rPr>
          <w:rFonts w:ascii="Times New Roman" w:hAnsi="Times New Roman" w:cs="Times New Roman"/>
          <w:i/>
          <w:noProof/>
          <w:sz w:val="24"/>
          <w:szCs w:val="24"/>
        </w:rPr>
        <w:t>Journal of Accounting and Public Policy, 31</w:t>
      </w:r>
      <w:r w:rsidRPr="00E11B2D">
        <w:rPr>
          <w:rFonts w:ascii="Times New Roman" w:hAnsi="Times New Roman" w:cs="Times New Roman"/>
          <w:noProof/>
          <w:sz w:val="24"/>
          <w:szCs w:val="24"/>
        </w:rPr>
        <w:t>(6), 610-640.</w:t>
      </w:r>
    </w:p>
    <w:p w14:paraId="52681C3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Rwan, E. K., Kathy, F., &amp; Tomas, J. (2015). CEO network centrality and merger performance. </w:t>
      </w:r>
      <w:r w:rsidRPr="00E11B2D">
        <w:rPr>
          <w:rFonts w:ascii="Times New Roman" w:hAnsi="Times New Roman" w:cs="Times New Roman"/>
          <w:i/>
          <w:noProof/>
          <w:sz w:val="24"/>
          <w:szCs w:val="24"/>
        </w:rPr>
        <w:t>Journal of Financial Economics, 116</w:t>
      </w:r>
      <w:r w:rsidRPr="00E11B2D">
        <w:rPr>
          <w:rFonts w:ascii="Times New Roman" w:hAnsi="Times New Roman" w:cs="Times New Roman"/>
          <w:noProof/>
          <w:sz w:val="24"/>
          <w:szCs w:val="24"/>
        </w:rPr>
        <w:t>(2), 349-382.</w:t>
      </w:r>
    </w:p>
    <w:p w14:paraId="19561568"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Sandler, D. M., &amp; Shani, D. (1992). Brand globally but advertise locally?: An empirical investigation. </w:t>
      </w:r>
      <w:r w:rsidRPr="00E11B2D">
        <w:rPr>
          <w:rFonts w:ascii="Times New Roman" w:hAnsi="Times New Roman" w:cs="Times New Roman"/>
          <w:i/>
          <w:noProof/>
          <w:sz w:val="24"/>
          <w:szCs w:val="24"/>
        </w:rPr>
        <w:t>International Marketing Review, 9</w:t>
      </w:r>
      <w:r w:rsidRPr="00E11B2D">
        <w:rPr>
          <w:rFonts w:ascii="Times New Roman" w:hAnsi="Times New Roman" w:cs="Times New Roman"/>
          <w:noProof/>
          <w:sz w:val="24"/>
          <w:szCs w:val="24"/>
        </w:rPr>
        <w:t>(4), 59-71.</w:t>
      </w:r>
    </w:p>
    <w:p w14:paraId="544059F1"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Servaes, H., &amp; Tamayo, A. (2013). The impact of corporate social responsibility on firm value: The role of customer awareness. </w:t>
      </w:r>
      <w:r w:rsidRPr="00E11B2D">
        <w:rPr>
          <w:rFonts w:ascii="Times New Roman" w:hAnsi="Times New Roman" w:cs="Times New Roman"/>
          <w:i/>
          <w:noProof/>
          <w:sz w:val="24"/>
          <w:szCs w:val="24"/>
        </w:rPr>
        <w:t>Management Science, 59</w:t>
      </w:r>
      <w:r w:rsidRPr="00E11B2D">
        <w:rPr>
          <w:rFonts w:ascii="Times New Roman" w:hAnsi="Times New Roman" w:cs="Times New Roman"/>
          <w:noProof/>
          <w:sz w:val="24"/>
          <w:szCs w:val="24"/>
        </w:rPr>
        <w:t>(5), 1045-1061.</w:t>
      </w:r>
    </w:p>
    <w:p w14:paraId="097FC09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Sethi, S. P., Martell, T. F., &amp; Demir, M. (2017). An evaluation of the quality of corporate social responsibility reports by some of the world’s largest financial institutions. </w:t>
      </w:r>
      <w:r w:rsidRPr="00E11B2D">
        <w:rPr>
          <w:rFonts w:ascii="Times New Roman" w:hAnsi="Times New Roman" w:cs="Times New Roman"/>
          <w:i/>
          <w:noProof/>
          <w:sz w:val="24"/>
          <w:szCs w:val="24"/>
        </w:rPr>
        <w:t>Journal of Business Ethics, 140</w:t>
      </w:r>
      <w:r w:rsidRPr="00E11B2D">
        <w:rPr>
          <w:rFonts w:ascii="Times New Roman" w:hAnsi="Times New Roman" w:cs="Times New Roman"/>
          <w:noProof/>
          <w:sz w:val="24"/>
          <w:szCs w:val="24"/>
        </w:rPr>
        <w:t>(4), 787-805.</w:t>
      </w:r>
    </w:p>
    <w:p w14:paraId="5FABB1A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Sharma, S., &amp; Vredenburg, H. (1998). Proactive corporate environmental strategy and the development of competitively valuable organizational capabilities. </w:t>
      </w:r>
      <w:r w:rsidRPr="00E11B2D">
        <w:rPr>
          <w:rFonts w:ascii="Times New Roman" w:hAnsi="Times New Roman" w:cs="Times New Roman"/>
          <w:i/>
          <w:noProof/>
          <w:sz w:val="24"/>
          <w:szCs w:val="24"/>
        </w:rPr>
        <w:t>Strategic Management Journal, 19</w:t>
      </w:r>
      <w:r w:rsidRPr="00E11B2D">
        <w:rPr>
          <w:rFonts w:ascii="Times New Roman" w:hAnsi="Times New Roman" w:cs="Times New Roman"/>
          <w:noProof/>
          <w:sz w:val="24"/>
          <w:szCs w:val="24"/>
        </w:rPr>
        <w:t>(8), 729-753.</w:t>
      </w:r>
    </w:p>
    <w:p w14:paraId="6E06559C"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Shaukat, A., Qiu, Y., &amp; Trojanowski, G. (2015). Board attributes, corporate social responsibility strategy, and corporate environmental and social performance. </w:t>
      </w:r>
      <w:r w:rsidRPr="00E11B2D">
        <w:rPr>
          <w:rFonts w:ascii="Times New Roman" w:hAnsi="Times New Roman" w:cs="Times New Roman"/>
          <w:i/>
          <w:noProof/>
          <w:sz w:val="24"/>
          <w:szCs w:val="24"/>
        </w:rPr>
        <w:t>Journal of Business Ethics, 135</w:t>
      </w:r>
      <w:r w:rsidRPr="00E11B2D">
        <w:rPr>
          <w:rFonts w:ascii="Times New Roman" w:hAnsi="Times New Roman" w:cs="Times New Roman"/>
          <w:noProof/>
          <w:sz w:val="24"/>
          <w:szCs w:val="24"/>
        </w:rPr>
        <w:t>(3), 569-585.</w:t>
      </w:r>
    </w:p>
    <w:p w14:paraId="18BC399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Simnett, R., Vanstraelen, A., &amp; Chua, W. F. (2009). Assurance on sustainability reports: An international comparison. </w:t>
      </w:r>
      <w:r w:rsidRPr="00E11B2D">
        <w:rPr>
          <w:rFonts w:ascii="Times New Roman" w:hAnsi="Times New Roman" w:cs="Times New Roman"/>
          <w:i/>
          <w:noProof/>
          <w:sz w:val="24"/>
          <w:szCs w:val="24"/>
        </w:rPr>
        <w:t>The Accounting Review, 84</w:t>
      </w:r>
      <w:r w:rsidRPr="00E11B2D">
        <w:rPr>
          <w:rFonts w:ascii="Times New Roman" w:hAnsi="Times New Roman" w:cs="Times New Roman"/>
          <w:noProof/>
          <w:sz w:val="24"/>
          <w:szCs w:val="24"/>
        </w:rPr>
        <w:t>(3), 937-967.</w:t>
      </w:r>
    </w:p>
    <w:p w14:paraId="60FFD7A1"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Srinivasan, S. (2005). Consequences of financial reporting failure for outside directors: Evidence from accounting restatements and audit committee members. </w:t>
      </w:r>
      <w:r w:rsidRPr="00E11B2D">
        <w:rPr>
          <w:rFonts w:ascii="Times New Roman" w:hAnsi="Times New Roman" w:cs="Times New Roman"/>
          <w:i/>
          <w:noProof/>
          <w:sz w:val="24"/>
          <w:szCs w:val="24"/>
        </w:rPr>
        <w:t>Journal of Accounting Research, 43</w:t>
      </w:r>
      <w:r w:rsidRPr="00E11B2D">
        <w:rPr>
          <w:rFonts w:ascii="Times New Roman" w:hAnsi="Times New Roman" w:cs="Times New Roman"/>
          <w:noProof/>
          <w:sz w:val="24"/>
          <w:szCs w:val="24"/>
        </w:rPr>
        <w:t>(2), 291-334.</w:t>
      </w:r>
    </w:p>
    <w:p w14:paraId="69899A50"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Staiger, D., &amp; Stock, J. H. (1997). Instrumental variables regression with weak instruments. </w:t>
      </w:r>
      <w:r w:rsidRPr="00E11B2D">
        <w:rPr>
          <w:rFonts w:ascii="Times New Roman" w:hAnsi="Times New Roman" w:cs="Times New Roman"/>
          <w:i/>
          <w:noProof/>
          <w:sz w:val="24"/>
          <w:szCs w:val="24"/>
        </w:rPr>
        <w:t>Econometrica, 65</w:t>
      </w:r>
      <w:r w:rsidRPr="00E11B2D">
        <w:rPr>
          <w:rFonts w:ascii="Times New Roman" w:hAnsi="Times New Roman" w:cs="Times New Roman"/>
          <w:noProof/>
          <w:sz w:val="24"/>
          <w:szCs w:val="24"/>
        </w:rPr>
        <w:t>(3), 557-586.</w:t>
      </w:r>
    </w:p>
    <w:p w14:paraId="49BB43B6"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Stuart, T. E., &amp; Yim, S. (2010). Board interlocks and the propensity to be targeted in private equity transactions. </w:t>
      </w:r>
      <w:r w:rsidRPr="00E11B2D">
        <w:rPr>
          <w:rFonts w:ascii="Times New Roman" w:hAnsi="Times New Roman" w:cs="Times New Roman"/>
          <w:i/>
          <w:noProof/>
          <w:sz w:val="24"/>
          <w:szCs w:val="24"/>
        </w:rPr>
        <w:t>Journal of Financial Economics, 97</w:t>
      </w:r>
      <w:r w:rsidRPr="00E11B2D">
        <w:rPr>
          <w:rFonts w:ascii="Times New Roman" w:hAnsi="Times New Roman" w:cs="Times New Roman"/>
          <w:noProof/>
          <w:sz w:val="24"/>
          <w:szCs w:val="24"/>
        </w:rPr>
        <w:t>(1), 174-189.</w:t>
      </w:r>
    </w:p>
    <w:p w14:paraId="72B96E9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Torugsa, N. A., O’Donohue, W., &amp; Hecker, R. (2012). Capabilities, proactive CSR and financial performance in SMEs: Empirical evidence from an Australian manufacturing industry sector. </w:t>
      </w:r>
      <w:r w:rsidRPr="00E11B2D">
        <w:rPr>
          <w:rFonts w:ascii="Times New Roman" w:hAnsi="Times New Roman" w:cs="Times New Roman"/>
          <w:i/>
          <w:noProof/>
          <w:sz w:val="24"/>
          <w:szCs w:val="24"/>
        </w:rPr>
        <w:t>Journal of Business Ethics, 109</w:t>
      </w:r>
      <w:r w:rsidRPr="00E11B2D">
        <w:rPr>
          <w:rFonts w:ascii="Times New Roman" w:hAnsi="Times New Roman" w:cs="Times New Roman"/>
          <w:noProof/>
          <w:sz w:val="24"/>
          <w:szCs w:val="24"/>
        </w:rPr>
        <w:t>(4), 483-500.</w:t>
      </w:r>
    </w:p>
    <w:p w14:paraId="5D830895"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Useem, M. (1984). The inner circle: Large corporations and the rise of business political activity in the U.S. and U.K. </w:t>
      </w:r>
      <w:r w:rsidRPr="00E11B2D">
        <w:rPr>
          <w:rFonts w:ascii="Times New Roman" w:hAnsi="Times New Roman" w:cs="Times New Roman"/>
          <w:i/>
          <w:noProof/>
          <w:sz w:val="24"/>
          <w:szCs w:val="24"/>
        </w:rPr>
        <w:t>New York: Oxford University Press</w:t>
      </w:r>
      <w:r w:rsidRPr="00E11B2D">
        <w:rPr>
          <w:rFonts w:ascii="Times New Roman" w:hAnsi="Times New Roman" w:cs="Times New Roman"/>
          <w:noProof/>
          <w:sz w:val="24"/>
          <w:szCs w:val="24"/>
        </w:rPr>
        <w:t>.</w:t>
      </w:r>
    </w:p>
    <w:p w14:paraId="54087361"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Villiers, C. D., Naiker, V., &amp; Staden, C. (2011). The effect of board characteristics on firm environmental performance. </w:t>
      </w:r>
      <w:r w:rsidRPr="00E11B2D">
        <w:rPr>
          <w:rFonts w:ascii="Times New Roman" w:hAnsi="Times New Roman" w:cs="Times New Roman"/>
          <w:i/>
          <w:noProof/>
          <w:sz w:val="24"/>
          <w:szCs w:val="24"/>
        </w:rPr>
        <w:t>Journal of Management, 37</w:t>
      </w:r>
      <w:r w:rsidRPr="00E11B2D">
        <w:rPr>
          <w:rFonts w:ascii="Times New Roman" w:hAnsi="Times New Roman" w:cs="Times New Roman"/>
          <w:noProof/>
          <w:sz w:val="24"/>
          <w:szCs w:val="24"/>
        </w:rPr>
        <w:t>(6), 1636-1663.</w:t>
      </w:r>
    </w:p>
    <w:p w14:paraId="6FC73C3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Vishwanathan, P., Oosterhout, H., Heugens, P., Duran, P., &amp; Essen, M. V. (2020). Strategic CSR: A concept building meta-analysis. </w:t>
      </w:r>
      <w:r w:rsidRPr="00E11B2D">
        <w:rPr>
          <w:rFonts w:ascii="Times New Roman" w:hAnsi="Times New Roman" w:cs="Times New Roman"/>
          <w:i/>
          <w:noProof/>
          <w:sz w:val="24"/>
          <w:szCs w:val="24"/>
        </w:rPr>
        <w:t>Journal of Management Studies, 57</w:t>
      </w:r>
      <w:r w:rsidRPr="00E11B2D">
        <w:rPr>
          <w:rFonts w:ascii="Times New Roman" w:hAnsi="Times New Roman" w:cs="Times New Roman"/>
          <w:noProof/>
          <w:sz w:val="24"/>
          <w:szCs w:val="24"/>
        </w:rPr>
        <w:t>(2), 314-350.</w:t>
      </w:r>
    </w:p>
    <w:p w14:paraId="5E9BDF0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Wasserman, S., &amp; Faust, K. (1994). Social network analysis: Methods and applications. </w:t>
      </w:r>
      <w:r w:rsidRPr="00E11B2D">
        <w:rPr>
          <w:rFonts w:ascii="Times New Roman" w:hAnsi="Times New Roman" w:cs="Times New Roman"/>
          <w:i/>
          <w:noProof/>
          <w:sz w:val="24"/>
          <w:szCs w:val="24"/>
        </w:rPr>
        <w:t>Cambridge: Cambridge University Press</w:t>
      </w:r>
      <w:r w:rsidRPr="00E11B2D">
        <w:rPr>
          <w:rFonts w:ascii="Times New Roman" w:hAnsi="Times New Roman" w:cs="Times New Roman"/>
          <w:noProof/>
          <w:sz w:val="24"/>
          <w:szCs w:val="24"/>
        </w:rPr>
        <w:t>.</w:t>
      </w:r>
    </w:p>
    <w:p w14:paraId="51ED874E"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lastRenderedPageBreak/>
        <w:t xml:space="preserve">Wen, W., Cui, H., &amp; Ke, Y. (2020). Directors with foreign experience and corporate tax avoidance. </w:t>
      </w:r>
      <w:r w:rsidRPr="00E11B2D">
        <w:rPr>
          <w:rFonts w:ascii="Times New Roman" w:hAnsi="Times New Roman" w:cs="Times New Roman"/>
          <w:i/>
          <w:noProof/>
          <w:sz w:val="24"/>
          <w:szCs w:val="24"/>
        </w:rPr>
        <w:t>Journal of Corporate Finance, 62</w:t>
      </w:r>
      <w:r w:rsidRPr="00E11B2D">
        <w:rPr>
          <w:rFonts w:ascii="Times New Roman" w:hAnsi="Times New Roman" w:cs="Times New Roman"/>
          <w:noProof/>
          <w:sz w:val="24"/>
          <w:szCs w:val="24"/>
        </w:rPr>
        <w:t>, 1-28.</w:t>
      </w:r>
    </w:p>
    <w:p w14:paraId="0333138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Wernerfelt, B. (1984). A resource-based view of the firm. </w:t>
      </w:r>
      <w:r w:rsidRPr="00E11B2D">
        <w:rPr>
          <w:rFonts w:ascii="Times New Roman" w:hAnsi="Times New Roman" w:cs="Times New Roman"/>
          <w:i/>
          <w:noProof/>
          <w:sz w:val="24"/>
          <w:szCs w:val="24"/>
        </w:rPr>
        <w:t>Strategic Management Journal, 5</w:t>
      </w:r>
      <w:r w:rsidRPr="00E11B2D">
        <w:rPr>
          <w:rFonts w:ascii="Times New Roman" w:hAnsi="Times New Roman" w:cs="Times New Roman"/>
          <w:noProof/>
          <w:sz w:val="24"/>
          <w:szCs w:val="24"/>
        </w:rPr>
        <w:t>, 171-180.</w:t>
      </w:r>
    </w:p>
    <w:p w14:paraId="245F1A92"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Whited, T. M., &amp; Wu, G. (2006). Financial constraints risk. </w:t>
      </w:r>
      <w:r w:rsidRPr="00E11B2D">
        <w:rPr>
          <w:rFonts w:ascii="Times New Roman" w:hAnsi="Times New Roman" w:cs="Times New Roman"/>
          <w:i/>
          <w:noProof/>
          <w:sz w:val="24"/>
          <w:szCs w:val="24"/>
        </w:rPr>
        <w:t>Review of Financial Studies, 19</w:t>
      </w:r>
      <w:r w:rsidRPr="00E11B2D">
        <w:rPr>
          <w:rFonts w:ascii="Times New Roman" w:hAnsi="Times New Roman" w:cs="Times New Roman"/>
          <w:noProof/>
          <w:sz w:val="24"/>
          <w:szCs w:val="24"/>
        </w:rPr>
        <w:t>(2), 531-559.</w:t>
      </w:r>
    </w:p>
    <w:p w14:paraId="48EF494A"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Windmeijer, F. (2005). A finite sample correction for the variance of linear efficient two-step GMM estimators. </w:t>
      </w:r>
      <w:r w:rsidRPr="00E11B2D">
        <w:rPr>
          <w:rFonts w:ascii="Times New Roman" w:hAnsi="Times New Roman" w:cs="Times New Roman"/>
          <w:i/>
          <w:noProof/>
          <w:sz w:val="24"/>
          <w:szCs w:val="24"/>
        </w:rPr>
        <w:t>Journal of Econometrics, 126</w:t>
      </w:r>
      <w:r w:rsidRPr="00E11B2D">
        <w:rPr>
          <w:rFonts w:ascii="Times New Roman" w:hAnsi="Times New Roman" w:cs="Times New Roman"/>
          <w:noProof/>
          <w:sz w:val="24"/>
          <w:szCs w:val="24"/>
        </w:rPr>
        <w:t>(1), 25-51.</w:t>
      </w:r>
    </w:p>
    <w:p w14:paraId="0DC93C5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Wintoki, M. B., Linck, J. S., &amp; Netter, J. M. (2012). Endogeneity and the dynamics of internal corporate governance. </w:t>
      </w:r>
      <w:r w:rsidRPr="00E11B2D">
        <w:rPr>
          <w:rFonts w:ascii="Times New Roman" w:hAnsi="Times New Roman" w:cs="Times New Roman"/>
          <w:i/>
          <w:noProof/>
          <w:sz w:val="24"/>
          <w:szCs w:val="24"/>
        </w:rPr>
        <w:t>Journal of Financial Economics, 105</w:t>
      </w:r>
      <w:r w:rsidRPr="00E11B2D">
        <w:rPr>
          <w:rFonts w:ascii="Times New Roman" w:hAnsi="Times New Roman" w:cs="Times New Roman"/>
          <w:noProof/>
          <w:sz w:val="24"/>
          <w:szCs w:val="24"/>
        </w:rPr>
        <w:t>(3), 581-606.</w:t>
      </w:r>
    </w:p>
    <w:p w14:paraId="5557B595"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Wooldridge, J. M. W. (2002). Econometric analysis of cross section and panel data. </w:t>
      </w:r>
      <w:r w:rsidRPr="00E11B2D">
        <w:rPr>
          <w:rFonts w:ascii="Times New Roman" w:hAnsi="Times New Roman" w:cs="Times New Roman"/>
          <w:i/>
          <w:noProof/>
          <w:sz w:val="24"/>
          <w:szCs w:val="24"/>
        </w:rPr>
        <w:t>Massachusetts: Massachusetts institute of technology</w:t>
      </w:r>
      <w:r w:rsidRPr="00E11B2D">
        <w:rPr>
          <w:rFonts w:ascii="Times New Roman" w:hAnsi="Times New Roman" w:cs="Times New Roman"/>
          <w:noProof/>
          <w:sz w:val="24"/>
          <w:szCs w:val="24"/>
        </w:rPr>
        <w:t>.</w:t>
      </w:r>
    </w:p>
    <w:p w14:paraId="31A84A2B"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Xia, X., Teng, F., &amp; Gu, X. (2019). Reputation repair and corporate donations: An investigation of responses to regulatory penalties. </w:t>
      </w:r>
      <w:r w:rsidRPr="00E11B2D">
        <w:rPr>
          <w:rFonts w:ascii="Times New Roman" w:hAnsi="Times New Roman" w:cs="Times New Roman"/>
          <w:i/>
          <w:noProof/>
          <w:sz w:val="24"/>
          <w:szCs w:val="24"/>
        </w:rPr>
        <w:t>China Journal of Accounting Research, 12</w:t>
      </w:r>
      <w:r w:rsidRPr="00E11B2D">
        <w:rPr>
          <w:rFonts w:ascii="Times New Roman" w:hAnsi="Times New Roman" w:cs="Times New Roman"/>
          <w:noProof/>
          <w:sz w:val="24"/>
          <w:szCs w:val="24"/>
        </w:rPr>
        <w:t>(3), 293-313.</w:t>
      </w:r>
    </w:p>
    <w:p w14:paraId="4E063A6F"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Xianjie, H., Pittman, J. A., Rui, O. M., &amp; Donghui, W. (2017). Do social ties between external auditors and audit committee members affect audit quality? </w:t>
      </w:r>
      <w:r w:rsidRPr="00E11B2D">
        <w:rPr>
          <w:rFonts w:ascii="Times New Roman" w:hAnsi="Times New Roman" w:cs="Times New Roman"/>
          <w:i/>
          <w:noProof/>
          <w:sz w:val="24"/>
          <w:szCs w:val="24"/>
        </w:rPr>
        <w:t>The Accounting Review, 92</w:t>
      </w:r>
      <w:r w:rsidRPr="00E11B2D">
        <w:rPr>
          <w:rFonts w:ascii="Times New Roman" w:hAnsi="Times New Roman" w:cs="Times New Roman"/>
          <w:noProof/>
          <w:sz w:val="24"/>
          <w:szCs w:val="24"/>
        </w:rPr>
        <w:t>(5), 61-87.</w:t>
      </w:r>
    </w:p>
    <w:p w14:paraId="0F581317"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Yuan, Y., Tian, G., Lu, L. Y., &amp; Yu, Y. (2017). CEO ability and Corporate social responsibility. </w:t>
      </w:r>
      <w:r w:rsidRPr="00E11B2D">
        <w:rPr>
          <w:rFonts w:ascii="Times New Roman" w:hAnsi="Times New Roman" w:cs="Times New Roman"/>
          <w:i/>
          <w:noProof/>
          <w:sz w:val="24"/>
          <w:szCs w:val="24"/>
        </w:rPr>
        <w:t>Journal of Business Ethics, 157</w:t>
      </w:r>
      <w:r w:rsidRPr="00E11B2D">
        <w:rPr>
          <w:rFonts w:ascii="Times New Roman" w:hAnsi="Times New Roman" w:cs="Times New Roman"/>
          <w:noProof/>
          <w:sz w:val="24"/>
          <w:szCs w:val="24"/>
        </w:rPr>
        <w:t>(2), 391-411.</w:t>
      </w:r>
    </w:p>
    <w:p w14:paraId="135D2893"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Zerbini, F. (2017). Csr initiatives as market signals: A review and research agenda. </w:t>
      </w:r>
      <w:r w:rsidRPr="00E11B2D">
        <w:rPr>
          <w:rFonts w:ascii="Times New Roman" w:hAnsi="Times New Roman" w:cs="Times New Roman"/>
          <w:i/>
          <w:noProof/>
          <w:sz w:val="24"/>
          <w:szCs w:val="24"/>
        </w:rPr>
        <w:t>Journal of Business Ethics, 146</w:t>
      </w:r>
      <w:r w:rsidRPr="00E11B2D">
        <w:rPr>
          <w:rFonts w:ascii="Times New Roman" w:hAnsi="Times New Roman" w:cs="Times New Roman"/>
          <w:noProof/>
          <w:sz w:val="24"/>
          <w:szCs w:val="24"/>
        </w:rPr>
        <w:t>(1), 1-23.</w:t>
      </w:r>
    </w:p>
    <w:p w14:paraId="05F48751" w14:textId="77777777" w:rsidR="00E607F4" w:rsidRPr="00E11B2D" w:rsidRDefault="00E607F4" w:rsidP="00E11B2D">
      <w:pPr>
        <w:pStyle w:val="EndNoteBibliography"/>
        <w:spacing w:beforeLines="50" w:before="156" w:afterLines="50" w:after="156"/>
        <w:ind w:firstLineChars="200" w:firstLine="480"/>
        <w:jc w:val="both"/>
        <w:rPr>
          <w:rFonts w:ascii="Times New Roman" w:hAnsi="Times New Roman" w:cs="Times New Roman"/>
          <w:noProof/>
          <w:sz w:val="24"/>
          <w:szCs w:val="24"/>
        </w:rPr>
      </w:pPr>
      <w:r w:rsidRPr="00E11B2D">
        <w:rPr>
          <w:rFonts w:ascii="Times New Roman" w:hAnsi="Times New Roman" w:cs="Times New Roman"/>
          <w:noProof/>
          <w:sz w:val="24"/>
          <w:szCs w:val="24"/>
        </w:rPr>
        <w:t xml:space="preserve">Zhang, J. Q., Zhu, H., &amp; Ding, H. (2012). Board composition and corporate social responsibility: An empirical investigation in the post sarbanes-oxley era. </w:t>
      </w:r>
      <w:r w:rsidRPr="00E11B2D">
        <w:rPr>
          <w:rFonts w:ascii="Times New Roman" w:hAnsi="Times New Roman" w:cs="Times New Roman"/>
          <w:i/>
          <w:noProof/>
          <w:sz w:val="24"/>
          <w:szCs w:val="24"/>
        </w:rPr>
        <w:t>Journal of Business Ethics, 114</w:t>
      </w:r>
      <w:r w:rsidRPr="00E11B2D">
        <w:rPr>
          <w:rFonts w:ascii="Times New Roman" w:hAnsi="Times New Roman" w:cs="Times New Roman"/>
          <w:noProof/>
          <w:sz w:val="24"/>
          <w:szCs w:val="24"/>
        </w:rPr>
        <w:t>(3), 381-392.</w:t>
      </w:r>
    </w:p>
    <w:p w14:paraId="4FEE437F" w14:textId="70624B6D" w:rsidR="00222255" w:rsidRPr="004E7E5A" w:rsidRDefault="00222255" w:rsidP="00E11B2D">
      <w:pPr>
        <w:pStyle w:val="a7"/>
        <w:spacing w:beforeLines="50" w:before="156" w:afterLines="50" w:after="156" w:line="240" w:lineRule="auto"/>
        <w:ind w:firstLine="480"/>
        <w:rPr>
          <w:rFonts w:cs="Times New Roman"/>
          <w:szCs w:val="24"/>
        </w:rPr>
      </w:pPr>
      <w:r w:rsidRPr="00E11B2D">
        <w:rPr>
          <w:rFonts w:cs="Times New Roman"/>
          <w:szCs w:val="24"/>
        </w:rPr>
        <w:fldChar w:fldCharType="end"/>
      </w:r>
    </w:p>
    <w:p w14:paraId="02A04DE3" w14:textId="77777777" w:rsidR="00222255" w:rsidRPr="004E7E5A" w:rsidRDefault="00222255" w:rsidP="004364B1">
      <w:pPr>
        <w:pStyle w:val="a7"/>
        <w:spacing w:beforeLines="50" w:before="156" w:afterLines="50" w:after="156" w:line="240" w:lineRule="auto"/>
        <w:ind w:left="480" w:hangingChars="200" w:hanging="480"/>
        <w:rPr>
          <w:rFonts w:cs="Times New Roman"/>
          <w:szCs w:val="24"/>
        </w:rPr>
      </w:pPr>
    </w:p>
    <w:p w14:paraId="5AD89C69" w14:textId="77777777" w:rsidR="00222255" w:rsidRPr="004E7E5A" w:rsidRDefault="00222255" w:rsidP="00222255">
      <w:pPr>
        <w:pStyle w:val="a5"/>
        <w:rPr>
          <w:rFonts w:ascii="Times New Roman" w:hAnsi="Times New Roman" w:cs="Times New Roman"/>
          <w:color w:val="000000" w:themeColor="text1"/>
          <w:sz w:val="32"/>
        </w:rPr>
        <w:sectPr w:rsidR="00222255" w:rsidRPr="004E7E5A" w:rsidSect="008F110D">
          <w:pgSz w:w="11906" w:h="16838"/>
          <w:pgMar w:top="1701" w:right="1418" w:bottom="1361" w:left="1418" w:header="1134" w:footer="1134" w:gutter="0"/>
          <w:cols w:space="425"/>
          <w:docGrid w:type="lines" w:linePitch="312"/>
        </w:sectPr>
      </w:pPr>
    </w:p>
    <w:p w14:paraId="42F542A9" w14:textId="77777777" w:rsidR="00222255" w:rsidRPr="004E7E5A" w:rsidRDefault="00222255" w:rsidP="00222255">
      <w:pPr>
        <w:pStyle w:val="4"/>
        <w:spacing w:before="0" w:after="0" w:line="480" w:lineRule="auto"/>
        <w:rPr>
          <w:color w:val="000000" w:themeColor="text1"/>
        </w:rPr>
      </w:pPr>
      <w:r w:rsidRPr="004E7E5A">
        <w:rPr>
          <w:color w:val="000000" w:themeColor="text1"/>
        </w:rPr>
        <w:lastRenderedPageBreak/>
        <w:t>Appendix A: Variable Definitions</w:t>
      </w:r>
    </w:p>
    <w:tbl>
      <w:tblPr>
        <w:tblW w:w="5000" w:type="pct"/>
        <w:tblLayout w:type="fixed"/>
        <w:tblLook w:val="04A0" w:firstRow="1" w:lastRow="0" w:firstColumn="1" w:lastColumn="0" w:noHBand="0" w:noVBand="1"/>
      </w:tblPr>
      <w:tblGrid>
        <w:gridCol w:w="2694"/>
        <w:gridCol w:w="289"/>
        <w:gridCol w:w="6087"/>
      </w:tblGrid>
      <w:tr w:rsidR="001E3466" w:rsidRPr="004E7E5A" w14:paraId="05C75202" w14:textId="77777777" w:rsidTr="007A277D">
        <w:trPr>
          <w:trHeight w:val="20"/>
        </w:trPr>
        <w:tc>
          <w:tcPr>
            <w:tcW w:w="2694" w:type="dxa"/>
            <w:tcBorders>
              <w:top w:val="single" w:sz="4" w:space="0" w:color="auto"/>
              <w:left w:val="nil"/>
              <w:bottom w:val="single" w:sz="4" w:space="0" w:color="auto"/>
              <w:right w:val="nil"/>
            </w:tcBorders>
            <w:shd w:val="clear" w:color="auto" w:fill="auto"/>
            <w:noWrap/>
          </w:tcPr>
          <w:p w14:paraId="560B280F" w14:textId="77777777" w:rsidR="00222255" w:rsidRPr="004E7E5A" w:rsidRDefault="00222255" w:rsidP="00116073">
            <w:pPr>
              <w:jc w:val="left"/>
              <w:rPr>
                <w:rFonts w:ascii="Times New Roman" w:hAnsi="Times New Roman"/>
                <w:b/>
                <w:bCs/>
                <w:color w:val="000000" w:themeColor="text1"/>
                <w:sz w:val="24"/>
                <w:szCs w:val="24"/>
              </w:rPr>
            </w:pPr>
            <w:r w:rsidRPr="004E7E5A">
              <w:rPr>
                <w:rFonts w:ascii="Times New Roman" w:hAnsi="Times New Roman"/>
                <w:b/>
                <w:bCs/>
                <w:color w:val="000000" w:themeColor="text1"/>
                <w:sz w:val="24"/>
                <w:szCs w:val="24"/>
              </w:rPr>
              <w:t>Variables</w:t>
            </w:r>
          </w:p>
        </w:tc>
        <w:tc>
          <w:tcPr>
            <w:tcW w:w="289" w:type="dxa"/>
            <w:tcBorders>
              <w:top w:val="single" w:sz="4" w:space="0" w:color="auto"/>
              <w:left w:val="nil"/>
              <w:right w:val="nil"/>
            </w:tcBorders>
            <w:shd w:val="clear" w:color="auto" w:fill="auto"/>
            <w:noWrap/>
          </w:tcPr>
          <w:p w14:paraId="050C990D" w14:textId="77777777" w:rsidR="00222255" w:rsidRPr="004E7E5A" w:rsidRDefault="00222255" w:rsidP="00116073">
            <w:pPr>
              <w:jc w:val="center"/>
              <w:rPr>
                <w:rFonts w:ascii="Times New Roman" w:eastAsia="Times New Roman" w:hAnsi="Times New Roman"/>
                <w:b/>
                <w:bCs/>
                <w:color w:val="000000" w:themeColor="text1"/>
                <w:sz w:val="24"/>
                <w:szCs w:val="24"/>
                <w:lang w:eastAsia="en-GB"/>
              </w:rPr>
            </w:pPr>
          </w:p>
        </w:tc>
        <w:tc>
          <w:tcPr>
            <w:tcW w:w="6087" w:type="dxa"/>
            <w:tcBorders>
              <w:top w:val="single" w:sz="4" w:space="0" w:color="auto"/>
              <w:left w:val="nil"/>
              <w:bottom w:val="nil"/>
              <w:right w:val="nil"/>
            </w:tcBorders>
            <w:shd w:val="clear" w:color="auto" w:fill="auto"/>
          </w:tcPr>
          <w:p w14:paraId="4F5833C8" w14:textId="77777777" w:rsidR="00222255" w:rsidRPr="004E7E5A" w:rsidRDefault="00222255" w:rsidP="00116073">
            <w:pPr>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Definitions</w:t>
            </w:r>
          </w:p>
        </w:tc>
      </w:tr>
      <w:tr w:rsidR="001E3466" w:rsidRPr="004E7E5A" w14:paraId="4DA2577B" w14:textId="77777777" w:rsidTr="007A277D">
        <w:trPr>
          <w:trHeight w:val="20"/>
        </w:trPr>
        <w:tc>
          <w:tcPr>
            <w:tcW w:w="2694" w:type="dxa"/>
            <w:tcBorders>
              <w:top w:val="single" w:sz="4" w:space="0" w:color="auto"/>
              <w:left w:val="nil"/>
              <w:bottom w:val="single" w:sz="4" w:space="0" w:color="auto"/>
              <w:right w:val="nil"/>
            </w:tcBorders>
            <w:shd w:val="clear" w:color="auto" w:fill="auto"/>
            <w:noWrap/>
          </w:tcPr>
          <w:p w14:paraId="4AA1BBBE" w14:textId="77777777" w:rsidR="00222255" w:rsidRPr="004E7E5A" w:rsidRDefault="00222255" w:rsidP="00116073">
            <w:pPr>
              <w:jc w:val="left"/>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Dependent Variable</w:t>
            </w:r>
          </w:p>
        </w:tc>
        <w:tc>
          <w:tcPr>
            <w:tcW w:w="289" w:type="dxa"/>
            <w:tcBorders>
              <w:left w:val="nil"/>
              <w:bottom w:val="nil"/>
              <w:right w:val="nil"/>
            </w:tcBorders>
            <w:shd w:val="clear" w:color="auto" w:fill="auto"/>
            <w:noWrap/>
          </w:tcPr>
          <w:p w14:paraId="39AC3786"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single" w:sz="4" w:space="0" w:color="auto"/>
              <w:left w:val="nil"/>
              <w:bottom w:val="nil"/>
              <w:right w:val="nil"/>
            </w:tcBorders>
            <w:shd w:val="clear" w:color="auto" w:fill="auto"/>
          </w:tcPr>
          <w:p w14:paraId="1EDADECE" w14:textId="77777777" w:rsidR="00222255" w:rsidRPr="004E7E5A" w:rsidRDefault="00222255" w:rsidP="00116073">
            <w:pPr>
              <w:rPr>
                <w:rFonts w:ascii="Times New Roman" w:hAnsi="Times New Roman"/>
                <w:color w:val="000000" w:themeColor="text1"/>
                <w:kern w:val="0"/>
                <w:sz w:val="24"/>
                <w:szCs w:val="24"/>
              </w:rPr>
            </w:pPr>
          </w:p>
        </w:tc>
      </w:tr>
      <w:tr w:rsidR="001E3466" w:rsidRPr="004E7E5A" w14:paraId="3DCA7183" w14:textId="77777777" w:rsidTr="007A277D">
        <w:trPr>
          <w:trHeight w:val="20"/>
        </w:trPr>
        <w:tc>
          <w:tcPr>
            <w:tcW w:w="2694" w:type="dxa"/>
            <w:tcBorders>
              <w:top w:val="single" w:sz="4" w:space="0" w:color="auto"/>
              <w:left w:val="nil"/>
              <w:right w:val="nil"/>
            </w:tcBorders>
            <w:shd w:val="clear" w:color="auto" w:fill="auto"/>
            <w:noWrap/>
          </w:tcPr>
          <w:p w14:paraId="6802F0EF"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Csr</w:t>
            </w:r>
            <w:proofErr w:type="spellEnd"/>
          </w:p>
        </w:tc>
        <w:tc>
          <w:tcPr>
            <w:tcW w:w="289" w:type="dxa"/>
            <w:tcBorders>
              <w:top w:val="nil"/>
              <w:left w:val="nil"/>
              <w:bottom w:val="nil"/>
              <w:right w:val="nil"/>
            </w:tcBorders>
            <w:shd w:val="clear" w:color="auto" w:fill="auto"/>
            <w:noWrap/>
          </w:tcPr>
          <w:p w14:paraId="53E1E634"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1C492984" w14:textId="77777777" w:rsidR="00222255" w:rsidRPr="004E7E5A" w:rsidRDefault="00222255" w:rsidP="00116073">
            <w:pPr>
              <w:ind w:left="240" w:hangingChars="100" w:hanging="240"/>
              <w:rPr>
                <w:rFonts w:ascii="Times New Roman" w:eastAsia="Times New Roman" w:hAnsi="Times New Roman"/>
                <w:color w:val="000000" w:themeColor="text1"/>
                <w:sz w:val="24"/>
                <w:szCs w:val="24"/>
                <w:lang w:eastAsia="en-GB"/>
              </w:rPr>
            </w:pPr>
            <w:r w:rsidRPr="004E7E5A">
              <w:rPr>
                <w:rFonts w:ascii="Times New Roman" w:hAnsi="Times New Roman"/>
                <w:color w:val="000000" w:themeColor="text1"/>
                <w:kern w:val="0"/>
                <w:sz w:val="24"/>
                <w:szCs w:val="24"/>
              </w:rPr>
              <w:t>The evaluation index of firms’ corporate social responsibility (CSR) disclosure published by Rankins (RKS) to measure CSR disclosure quality. RKS’ CSR reports ranking is based on the Sustainability Reporting Guidelines (the third edition) issued by Global Reporting Initiative (GRI 3.0).</w:t>
            </w:r>
          </w:p>
        </w:tc>
      </w:tr>
      <w:tr w:rsidR="001E3466" w:rsidRPr="004E7E5A" w14:paraId="7B591AA1" w14:textId="77777777" w:rsidTr="007A277D">
        <w:trPr>
          <w:trHeight w:val="20"/>
        </w:trPr>
        <w:tc>
          <w:tcPr>
            <w:tcW w:w="2694" w:type="dxa"/>
            <w:tcBorders>
              <w:top w:val="nil"/>
              <w:left w:val="nil"/>
              <w:bottom w:val="single" w:sz="4" w:space="0" w:color="auto"/>
              <w:right w:val="nil"/>
            </w:tcBorders>
            <w:shd w:val="clear" w:color="auto" w:fill="auto"/>
            <w:noWrap/>
          </w:tcPr>
          <w:p w14:paraId="1A719026" w14:textId="77777777" w:rsidR="00222255" w:rsidRPr="004E7E5A" w:rsidRDefault="00222255" w:rsidP="00116073">
            <w:pPr>
              <w:jc w:val="left"/>
              <w:rPr>
                <w:rFonts w:ascii="Times New Roman" w:hAnsi="Times New Roman"/>
                <w:color w:val="000000" w:themeColor="text1"/>
                <w:sz w:val="24"/>
                <w:szCs w:val="24"/>
              </w:rPr>
            </w:pPr>
            <w:r w:rsidRPr="004E7E5A">
              <w:rPr>
                <w:rFonts w:ascii="Times New Roman" w:hAnsi="Times New Roman"/>
                <w:color w:val="000000" w:themeColor="text1"/>
                <w:sz w:val="24"/>
                <w:szCs w:val="24"/>
              </w:rPr>
              <w:t>Directors’ Network</w:t>
            </w:r>
            <w:r w:rsidRPr="004E7E5A">
              <w:rPr>
                <w:rFonts w:ascii="Times New Roman" w:hAnsi="Times New Roman" w:hint="eastAsia"/>
                <w:color w:val="000000" w:themeColor="text1"/>
                <w:sz w:val="24"/>
                <w:szCs w:val="24"/>
              </w:rPr>
              <w:t xml:space="preserve"> </w:t>
            </w:r>
            <w:r w:rsidRPr="004E7E5A">
              <w:rPr>
                <w:rFonts w:ascii="Times New Roman" w:hAnsi="Times New Roman"/>
                <w:color w:val="000000" w:themeColor="text1"/>
                <w:sz w:val="24"/>
                <w:szCs w:val="24"/>
              </w:rPr>
              <w:t>Centrality</w:t>
            </w:r>
          </w:p>
        </w:tc>
        <w:tc>
          <w:tcPr>
            <w:tcW w:w="289" w:type="dxa"/>
            <w:tcBorders>
              <w:top w:val="nil"/>
              <w:left w:val="nil"/>
              <w:bottom w:val="nil"/>
              <w:right w:val="nil"/>
            </w:tcBorders>
            <w:shd w:val="clear" w:color="auto" w:fill="auto"/>
            <w:noWrap/>
          </w:tcPr>
          <w:p w14:paraId="11B3C851"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39187BFB" w14:textId="77777777" w:rsidR="00222255" w:rsidRPr="004E7E5A" w:rsidRDefault="00222255" w:rsidP="00116073">
            <w:pPr>
              <w:ind w:left="240" w:hangingChars="100" w:hanging="240"/>
              <w:rPr>
                <w:rFonts w:ascii="Times New Roman" w:hAnsi="Times New Roman"/>
                <w:color w:val="000000" w:themeColor="text1"/>
                <w:sz w:val="24"/>
                <w:szCs w:val="24"/>
              </w:rPr>
            </w:pPr>
          </w:p>
        </w:tc>
      </w:tr>
      <w:tr w:rsidR="001E3466" w:rsidRPr="004E7E5A" w14:paraId="7335B74A" w14:textId="77777777" w:rsidTr="007A277D">
        <w:trPr>
          <w:trHeight w:val="20"/>
        </w:trPr>
        <w:tc>
          <w:tcPr>
            <w:tcW w:w="2694" w:type="dxa"/>
            <w:tcBorders>
              <w:top w:val="single" w:sz="4" w:space="0" w:color="auto"/>
              <w:left w:val="nil"/>
              <w:bottom w:val="nil"/>
              <w:right w:val="nil"/>
            </w:tcBorders>
            <w:shd w:val="clear" w:color="auto" w:fill="auto"/>
            <w:noWrap/>
          </w:tcPr>
          <w:p w14:paraId="245F9983" w14:textId="77777777" w:rsidR="00222255" w:rsidRPr="004E7E5A" w:rsidRDefault="00222255" w:rsidP="00116073">
            <w:pPr>
              <w:jc w:val="left"/>
              <w:rPr>
                <w:rFonts w:ascii="Times New Roman" w:hAnsi="Times New Roman"/>
                <w:i/>
                <w:iCs/>
                <w:color w:val="000000" w:themeColor="text1"/>
                <w:kern w:val="0"/>
                <w:sz w:val="24"/>
                <w:szCs w:val="24"/>
              </w:rPr>
            </w:pPr>
          </w:p>
        </w:tc>
        <w:tc>
          <w:tcPr>
            <w:tcW w:w="289" w:type="dxa"/>
            <w:tcBorders>
              <w:top w:val="nil"/>
              <w:left w:val="nil"/>
              <w:bottom w:val="nil"/>
              <w:right w:val="nil"/>
            </w:tcBorders>
            <w:shd w:val="clear" w:color="auto" w:fill="auto"/>
            <w:noWrap/>
          </w:tcPr>
          <w:p w14:paraId="0290F65C"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0E47CAA4" w14:textId="77777777" w:rsidR="00222255" w:rsidRPr="004E7E5A" w:rsidRDefault="00222255" w:rsidP="00116073">
            <w:pPr>
              <w:ind w:left="240" w:hangingChars="100" w:hanging="240"/>
              <w:rPr>
                <w:rFonts w:ascii="Times New Roman" w:hAnsi="Times New Roman"/>
                <w:color w:val="000000" w:themeColor="text1"/>
                <w:kern w:val="0"/>
                <w:sz w:val="24"/>
                <w:szCs w:val="24"/>
              </w:rPr>
            </w:pPr>
          </w:p>
        </w:tc>
      </w:tr>
      <w:tr w:rsidR="001E3466" w:rsidRPr="004E7E5A" w14:paraId="0D154540" w14:textId="77777777" w:rsidTr="007A277D">
        <w:trPr>
          <w:trHeight w:val="20"/>
        </w:trPr>
        <w:tc>
          <w:tcPr>
            <w:tcW w:w="2694" w:type="dxa"/>
            <w:tcBorders>
              <w:top w:val="nil"/>
              <w:left w:val="nil"/>
              <w:bottom w:val="nil"/>
              <w:right w:val="nil"/>
            </w:tcBorders>
            <w:shd w:val="clear" w:color="auto" w:fill="auto"/>
            <w:noWrap/>
          </w:tcPr>
          <w:p w14:paraId="6EC58E30"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Degree Centrality</w:t>
            </w:r>
          </w:p>
        </w:tc>
        <w:tc>
          <w:tcPr>
            <w:tcW w:w="289" w:type="dxa"/>
            <w:tcBorders>
              <w:top w:val="nil"/>
              <w:left w:val="nil"/>
              <w:bottom w:val="nil"/>
              <w:right w:val="nil"/>
            </w:tcBorders>
            <w:shd w:val="clear" w:color="auto" w:fill="auto"/>
            <w:noWrap/>
          </w:tcPr>
          <w:p w14:paraId="2BECAE77"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31EDDBC8" w14:textId="53D8E3BF"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 xml:space="preserve">The number of a director’s first-degree connections to other directors </w:t>
            </w:r>
            <w:r w:rsidRPr="004E7E5A">
              <w:rPr>
                <w:rFonts w:ascii="Times New Roman" w:hAnsi="Times New Roman"/>
                <w:color w:val="000000" w:themeColor="text1"/>
                <w:kern w:val="0"/>
                <w:sz w:val="24"/>
                <w:szCs w:val="24"/>
              </w:rPr>
              <w:fldChar w:fldCharType="begin"/>
            </w:r>
            <w:r w:rsidR="00317C6A" w:rsidRPr="004E7E5A">
              <w:rPr>
                <w:rFonts w:ascii="Times New Roman" w:hAnsi="Times New Roman"/>
                <w:color w:val="000000" w:themeColor="text1"/>
                <w:kern w:val="0"/>
                <w:sz w:val="24"/>
                <w:szCs w:val="24"/>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ascii="Times New Roman" w:hAnsi="Times New Roman"/>
                <w:color w:val="000000" w:themeColor="text1"/>
                <w:kern w:val="0"/>
                <w:sz w:val="24"/>
                <w:szCs w:val="24"/>
              </w:rPr>
              <w:fldChar w:fldCharType="separate"/>
            </w:r>
            <w:r w:rsidRPr="004E7E5A">
              <w:rPr>
                <w:rFonts w:ascii="Times New Roman" w:hAnsi="Times New Roman"/>
                <w:noProof/>
                <w:color w:val="000000" w:themeColor="text1"/>
                <w:kern w:val="0"/>
                <w:sz w:val="24"/>
                <w:szCs w:val="24"/>
              </w:rPr>
              <w:t>(Omer et al. 2019)</w:t>
            </w:r>
            <w:r w:rsidRPr="004E7E5A">
              <w:rPr>
                <w:rFonts w:ascii="Times New Roman" w:hAnsi="Times New Roman"/>
                <w:color w:val="000000" w:themeColor="text1"/>
                <w:kern w:val="0"/>
                <w:sz w:val="24"/>
                <w:szCs w:val="24"/>
              </w:rPr>
              <w:fldChar w:fldCharType="end"/>
            </w:r>
            <w:r w:rsidRPr="004E7E5A">
              <w:rPr>
                <w:rFonts w:ascii="Times New Roman" w:hAnsi="Times New Roman"/>
                <w:color w:val="000000" w:themeColor="text1"/>
                <w:kern w:val="0"/>
                <w:sz w:val="24"/>
                <w:szCs w:val="24"/>
              </w:rPr>
              <w:t>. Please refer to Appendix B for details.</w:t>
            </w:r>
          </w:p>
        </w:tc>
      </w:tr>
      <w:tr w:rsidR="001E3466" w:rsidRPr="004E7E5A" w14:paraId="7D85D644" w14:textId="77777777" w:rsidTr="007A277D">
        <w:trPr>
          <w:trHeight w:val="20"/>
        </w:trPr>
        <w:tc>
          <w:tcPr>
            <w:tcW w:w="2694" w:type="dxa"/>
            <w:tcBorders>
              <w:top w:val="nil"/>
              <w:left w:val="nil"/>
              <w:bottom w:val="nil"/>
              <w:right w:val="nil"/>
            </w:tcBorders>
            <w:shd w:val="clear" w:color="auto" w:fill="auto"/>
            <w:noWrap/>
          </w:tcPr>
          <w:p w14:paraId="040E6792"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Betweenness Centrality</w:t>
            </w:r>
          </w:p>
        </w:tc>
        <w:tc>
          <w:tcPr>
            <w:tcW w:w="289" w:type="dxa"/>
            <w:tcBorders>
              <w:top w:val="nil"/>
              <w:left w:val="nil"/>
              <w:bottom w:val="nil"/>
              <w:right w:val="nil"/>
            </w:tcBorders>
            <w:shd w:val="clear" w:color="auto" w:fill="auto"/>
            <w:noWrap/>
          </w:tcPr>
          <w:p w14:paraId="37A7EBCF"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400E3EA3" w14:textId="18818C8F"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eastAsia="宋体" w:hAnsi="Times New Roman"/>
                <w:color w:val="000000" w:themeColor="text1"/>
                <w:sz w:val="24"/>
                <w:szCs w:val="24"/>
              </w:rPr>
              <w:t xml:space="preserve">The likelihood that information will pass through a given director before it reaches other directors </w:t>
            </w:r>
            <w:r w:rsidRPr="004E7E5A">
              <w:rPr>
                <w:rFonts w:ascii="Times New Roman" w:hAnsi="Times New Roman"/>
                <w:color w:val="000000" w:themeColor="text1"/>
                <w:kern w:val="0"/>
                <w:sz w:val="24"/>
                <w:szCs w:val="24"/>
              </w:rPr>
              <w:fldChar w:fldCharType="begin"/>
            </w:r>
            <w:r w:rsidR="00317C6A" w:rsidRPr="004E7E5A">
              <w:rPr>
                <w:rFonts w:ascii="Times New Roman" w:hAnsi="Times New Roman"/>
                <w:color w:val="000000" w:themeColor="text1"/>
                <w:kern w:val="0"/>
                <w:sz w:val="24"/>
                <w:szCs w:val="24"/>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ascii="Times New Roman" w:hAnsi="Times New Roman"/>
                <w:color w:val="000000" w:themeColor="text1"/>
                <w:kern w:val="0"/>
                <w:sz w:val="24"/>
                <w:szCs w:val="24"/>
              </w:rPr>
              <w:fldChar w:fldCharType="separate"/>
            </w:r>
            <w:r w:rsidRPr="004E7E5A">
              <w:rPr>
                <w:rFonts w:ascii="Times New Roman" w:hAnsi="Times New Roman"/>
                <w:noProof/>
                <w:color w:val="000000" w:themeColor="text1"/>
                <w:kern w:val="0"/>
                <w:sz w:val="24"/>
                <w:szCs w:val="24"/>
              </w:rPr>
              <w:t>(Omer et al. 2019)</w:t>
            </w:r>
            <w:r w:rsidRPr="004E7E5A">
              <w:rPr>
                <w:rFonts w:ascii="Times New Roman" w:hAnsi="Times New Roman"/>
                <w:color w:val="000000" w:themeColor="text1"/>
                <w:kern w:val="0"/>
                <w:sz w:val="24"/>
                <w:szCs w:val="24"/>
              </w:rPr>
              <w:fldChar w:fldCharType="end"/>
            </w:r>
            <w:r w:rsidRPr="004E7E5A">
              <w:rPr>
                <w:rFonts w:ascii="Times New Roman" w:eastAsia="宋体" w:hAnsi="Times New Roman"/>
                <w:color w:val="000000" w:themeColor="text1"/>
                <w:sz w:val="24"/>
                <w:szCs w:val="24"/>
              </w:rPr>
              <w:t xml:space="preserve">. </w:t>
            </w:r>
            <w:r w:rsidRPr="004E7E5A">
              <w:rPr>
                <w:rFonts w:ascii="Times New Roman" w:hAnsi="Times New Roman"/>
                <w:color w:val="000000" w:themeColor="text1"/>
                <w:kern w:val="0"/>
                <w:sz w:val="24"/>
                <w:szCs w:val="24"/>
              </w:rPr>
              <w:t>Please refer to Appendix B for details.</w:t>
            </w:r>
          </w:p>
        </w:tc>
      </w:tr>
      <w:tr w:rsidR="001E3466" w:rsidRPr="004E7E5A" w14:paraId="065F3D69" w14:textId="77777777" w:rsidTr="007A277D">
        <w:trPr>
          <w:trHeight w:val="20"/>
        </w:trPr>
        <w:tc>
          <w:tcPr>
            <w:tcW w:w="2694" w:type="dxa"/>
            <w:tcBorders>
              <w:top w:val="nil"/>
              <w:left w:val="nil"/>
              <w:bottom w:val="nil"/>
              <w:right w:val="nil"/>
            </w:tcBorders>
            <w:shd w:val="clear" w:color="auto" w:fill="auto"/>
            <w:noWrap/>
          </w:tcPr>
          <w:p w14:paraId="1279F3DB"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Closeness Centrality</w:t>
            </w:r>
          </w:p>
        </w:tc>
        <w:tc>
          <w:tcPr>
            <w:tcW w:w="289" w:type="dxa"/>
            <w:tcBorders>
              <w:top w:val="nil"/>
              <w:left w:val="nil"/>
              <w:bottom w:val="nil"/>
              <w:right w:val="nil"/>
            </w:tcBorders>
            <w:shd w:val="clear" w:color="auto" w:fill="auto"/>
            <w:noWrap/>
          </w:tcPr>
          <w:p w14:paraId="6B8CC37D"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123495B0"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eastAsia="宋体" w:hAnsi="Times New Roman"/>
                <w:color w:val="000000" w:themeColor="text1"/>
                <w:sz w:val="24"/>
                <w:szCs w:val="24"/>
              </w:rPr>
              <w:t xml:space="preserve">The inverse of the average distance between one director and other directors </w:t>
            </w:r>
            <w:r w:rsidRPr="004E7E5A">
              <w:rPr>
                <w:rFonts w:ascii="Times New Roman" w:eastAsia="宋体" w:hAnsi="Times New Roman"/>
                <w:color w:val="000000" w:themeColor="text1"/>
                <w:sz w:val="24"/>
                <w:szCs w:val="24"/>
              </w:rPr>
              <w:fldChar w:fldCharType="begin"/>
            </w:r>
            <w:r w:rsidRPr="004E7E5A">
              <w:rPr>
                <w:rFonts w:ascii="Times New Roman" w:eastAsia="宋体" w:hAnsi="Times New Roman"/>
                <w:color w:val="000000" w:themeColor="text1"/>
                <w:sz w:val="24"/>
                <w:szCs w:val="24"/>
              </w:rPr>
              <w:instrText xml:space="preserve"> ADDIN EN.CITE &lt;EndNote&gt;&lt;Cite&gt;&lt;Author&gt;Larcker&lt;/Author&gt;&lt;Year&gt;2013&lt;/Year&gt;&lt;RecNum&gt;801&lt;/RecNum&gt;&lt;DisplayText&gt;(Larcker et al. 2013)&lt;/DisplayText&gt;&lt;record&gt;&lt;rec-number&gt;801&lt;/rec-number&gt;&lt;foreign-keys&gt;&lt;key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EndNote&gt;</w:instrText>
            </w:r>
            <w:r w:rsidRPr="004E7E5A">
              <w:rPr>
                <w:rFonts w:ascii="Times New Roman" w:eastAsia="宋体" w:hAnsi="Times New Roman"/>
                <w:color w:val="000000" w:themeColor="text1"/>
                <w:sz w:val="24"/>
                <w:szCs w:val="24"/>
              </w:rPr>
              <w:fldChar w:fldCharType="separate"/>
            </w:r>
            <w:r w:rsidRPr="004E7E5A">
              <w:rPr>
                <w:rFonts w:ascii="Times New Roman" w:eastAsia="宋体" w:hAnsi="Times New Roman"/>
                <w:noProof/>
                <w:color w:val="000000" w:themeColor="text1"/>
                <w:sz w:val="24"/>
                <w:szCs w:val="24"/>
              </w:rPr>
              <w:t>(Larcker et al. 2013)</w:t>
            </w:r>
            <w:r w:rsidRPr="004E7E5A">
              <w:rPr>
                <w:rFonts w:ascii="Times New Roman" w:eastAsia="宋体" w:hAnsi="Times New Roman"/>
                <w:color w:val="000000" w:themeColor="text1"/>
                <w:sz w:val="24"/>
                <w:szCs w:val="24"/>
              </w:rPr>
              <w:fldChar w:fldCharType="end"/>
            </w:r>
            <w:r w:rsidRPr="004E7E5A">
              <w:rPr>
                <w:rFonts w:ascii="Times New Roman" w:eastAsia="宋体" w:hAnsi="Times New Roman"/>
                <w:color w:val="000000" w:themeColor="text1"/>
                <w:sz w:val="24"/>
                <w:szCs w:val="24"/>
              </w:rPr>
              <w:t xml:space="preserve">. </w:t>
            </w:r>
            <w:r w:rsidRPr="004E7E5A">
              <w:rPr>
                <w:rFonts w:ascii="Times New Roman" w:hAnsi="Times New Roman"/>
                <w:color w:val="000000" w:themeColor="text1"/>
                <w:kern w:val="0"/>
                <w:sz w:val="24"/>
                <w:szCs w:val="24"/>
              </w:rPr>
              <w:t>Please refer to Appendix B for details.</w:t>
            </w:r>
          </w:p>
        </w:tc>
      </w:tr>
      <w:tr w:rsidR="001E3466" w:rsidRPr="004E7E5A" w14:paraId="6FC9B384" w14:textId="77777777" w:rsidTr="007A277D">
        <w:trPr>
          <w:trHeight w:val="20"/>
        </w:trPr>
        <w:tc>
          <w:tcPr>
            <w:tcW w:w="2694" w:type="dxa"/>
            <w:tcBorders>
              <w:top w:val="nil"/>
              <w:left w:val="nil"/>
              <w:bottom w:val="nil"/>
              <w:right w:val="nil"/>
            </w:tcBorders>
            <w:shd w:val="clear" w:color="auto" w:fill="auto"/>
            <w:noWrap/>
          </w:tcPr>
          <w:p w14:paraId="0EC388AA"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Score_max</w:t>
            </w:r>
            <w:proofErr w:type="spellEnd"/>
          </w:p>
        </w:tc>
        <w:tc>
          <w:tcPr>
            <w:tcW w:w="289" w:type="dxa"/>
            <w:tcBorders>
              <w:top w:val="nil"/>
              <w:left w:val="nil"/>
              <w:bottom w:val="nil"/>
              <w:right w:val="nil"/>
            </w:tcBorders>
            <w:shd w:val="clear" w:color="auto" w:fill="auto"/>
            <w:noWrap/>
          </w:tcPr>
          <w:p w14:paraId="7E5E98FA"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0E1FAA01" w14:textId="77777777" w:rsidR="00222255" w:rsidRPr="004E7E5A" w:rsidRDefault="00222255" w:rsidP="00116073">
            <w:pPr>
              <w:ind w:left="240" w:hangingChars="100" w:hanging="240"/>
              <w:rPr>
                <w:rFonts w:ascii="Times New Roman" w:eastAsia="Times New Roman" w:hAnsi="Times New Roman"/>
                <w:color w:val="000000" w:themeColor="text1"/>
                <w:sz w:val="24"/>
                <w:szCs w:val="24"/>
                <w:lang w:eastAsia="en-GB"/>
              </w:rPr>
            </w:pPr>
            <w:r w:rsidRPr="004E7E5A">
              <w:rPr>
                <w:rFonts w:ascii="Times New Roman" w:hAnsi="Times New Roman"/>
                <w:color w:val="000000" w:themeColor="text1"/>
                <w:kern w:val="0"/>
                <w:sz w:val="24"/>
                <w:szCs w:val="24"/>
              </w:rPr>
              <w:t>The sum of the three centrality measures of the maximum values of each firm’ directors.</w:t>
            </w:r>
          </w:p>
        </w:tc>
      </w:tr>
      <w:tr w:rsidR="001E3466" w:rsidRPr="004E7E5A" w14:paraId="1B16B69D" w14:textId="77777777" w:rsidTr="007A277D">
        <w:trPr>
          <w:trHeight w:val="20"/>
        </w:trPr>
        <w:tc>
          <w:tcPr>
            <w:tcW w:w="2694" w:type="dxa"/>
            <w:tcBorders>
              <w:top w:val="nil"/>
              <w:left w:val="nil"/>
              <w:bottom w:val="nil"/>
              <w:right w:val="nil"/>
            </w:tcBorders>
            <w:shd w:val="clear" w:color="auto" w:fill="auto"/>
            <w:noWrap/>
          </w:tcPr>
          <w:p w14:paraId="27F8AFEA"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Score_mean</w:t>
            </w:r>
            <w:proofErr w:type="spellEnd"/>
          </w:p>
        </w:tc>
        <w:tc>
          <w:tcPr>
            <w:tcW w:w="289" w:type="dxa"/>
            <w:tcBorders>
              <w:top w:val="nil"/>
              <w:left w:val="nil"/>
              <w:bottom w:val="nil"/>
              <w:right w:val="nil"/>
            </w:tcBorders>
            <w:shd w:val="clear" w:color="auto" w:fill="auto"/>
            <w:noWrap/>
          </w:tcPr>
          <w:p w14:paraId="0A815949"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1F4AFE9E" w14:textId="77777777" w:rsidR="00222255" w:rsidRPr="004E7E5A" w:rsidRDefault="00222255" w:rsidP="00116073">
            <w:pPr>
              <w:autoSpaceDE w:val="0"/>
              <w:autoSpaceDN w:val="0"/>
              <w:adjustRightInd w:val="0"/>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sum of the three centrality measures of the mean values of each firm’ directors.</w:t>
            </w:r>
          </w:p>
        </w:tc>
      </w:tr>
      <w:tr w:rsidR="001E3466" w:rsidRPr="004E7E5A" w14:paraId="16E75711" w14:textId="77777777" w:rsidTr="007A277D">
        <w:trPr>
          <w:trHeight w:val="20"/>
        </w:trPr>
        <w:tc>
          <w:tcPr>
            <w:tcW w:w="2694" w:type="dxa"/>
            <w:tcBorders>
              <w:top w:val="nil"/>
              <w:left w:val="nil"/>
              <w:bottom w:val="nil"/>
              <w:right w:val="nil"/>
            </w:tcBorders>
            <w:shd w:val="clear" w:color="auto" w:fill="auto"/>
            <w:noWrap/>
          </w:tcPr>
          <w:p w14:paraId="516855E3"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Score_med</w:t>
            </w:r>
            <w:proofErr w:type="spellEnd"/>
          </w:p>
        </w:tc>
        <w:tc>
          <w:tcPr>
            <w:tcW w:w="289" w:type="dxa"/>
            <w:tcBorders>
              <w:top w:val="nil"/>
              <w:left w:val="nil"/>
              <w:bottom w:val="nil"/>
              <w:right w:val="nil"/>
            </w:tcBorders>
            <w:shd w:val="clear" w:color="auto" w:fill="auto"/>
            <w:noWrap/>
          </w:tcPr>
          <w:p w14:paraId="2AB3CFCA"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4F37488E" w14:textId="77777777" w:rsidR="00222255" w:rsidRPr="004E7E5A" w:rsidRDefault="00222255" w:rsidP="00116073">
            <w:pPr>
              <w:autoSpaceDE w:val="0"/>
              <w:autoSpaceDN w:val="0"/>
              <w:adjustRightInd w:val="0"/>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sum of the three centrality measures of the median values of each firm’ directors.</w:t>
            </w:r>
          </w:p>
        </w:tc>
      </w:tr>
      <w:tr w:rsidR="001E3466" w:rsidRPr="004E7E5A" w14:paraId="342B38D8" w14:textId="77777777" w:rsidTr="007A277D">
        <w:trPr>
          <w:trHeight w:val="20"/>
        </w:trPr>
        <w:tc>
          <w:tcPr>
            <w:tcW w:w="2694" w:type="dxa"/>
            <w:tcBorders>
              <w:top w:val="nil"/>
              <w:left w:val="nil"/>
              <w:right w:val="nil"/>
            </w:tcBorders>
            <w:shd w:val="clear" w:color="auto" w:fill="auto"/>
            <w:noWrap/>
          </w:tcPr>
          <w:p w14:paraId="4403D4BB"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Score_min</w:t>
            </w:r>
            <w:proofErr w:type="spellEnd"/>
          </w:p>
        </w:tc>
        <w:tc>
          <w:tcPr>
            <w:tcW w:w="289" w:type="dxa"/>
            <w:tcBorders>
              <w:top w:val="nil"/>
              <w:left w:val="nil"/>
              <w:bottom w:val="nil"/>
              <w:right w:val="nil"/>
            </w:tcBorders>
            <w:shd w:val="clear" w:color="auto" w:fill="auto"/>
            <w:noWrap/>
          </w:tcPr>
          <w:p w14:paraId="6204F48E"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7326D7A1" w14:textId="77777777" w:rsidR="00222255" w:rsidRPr="004E7E5A" w:rsidRDefault="00222255" w:rsidP="00116073">
            <w:pPr>
              <w:ind w:left="240" w:hangingChars="100" w:hanging="240"/>
              <w:rPr>
                <w:rFonts w:ascii="Times New Roman" w:eastAsia="Times New Roman" w:hAnsi="Times New Roman"/>
                <w:color w:val="000000" w:themeColor="text1"/>
                <w:sz w:val="24"/>
                <w:szCs w:val="24"/>
                <w:lang w:eastAsia="en-GB"/>
              </w:rPr>
            </w:pPr>
            <w:r w:rsidRPr="004E7E5A">
              <w:rPr>
                <w:rFonts w:ascii="Times New Roman" w:hAnsi="Times New Roman"/>
                <w:color w:val="000000" w:themeColor="text1"/>
                <w:kern w:val="0"/>
                <w:sz w:val="24"/>
                <w:szCs w:val="24"/>
              </w:rPr>
              <w:t>The sum of the three centrality measures of the minimum values of each firm’ directors.</w:t>
            </w:r>
          </w:p>
        </w:tc>
      </w:tr>
      <w:tr w:rsidR="001E3466" w:rsidRPr="004E7E5A" w14:paraId="62552059" w14:textId="77777777" w:rsidTr="007A277D">
        <w:trPr>
          <w:trHeight w:val="20"/>
        </w:trPr>
        <w:tc>
          <w:tcPr>
            <w:tcW w:w="2694" w:type="dxa"/>
            <w:tcBorders>
              <w:top w:val="nil"/>
              <w:left w:val="nil"/>
              <w:bottom w:val="single" w:sz="4" w:space="0" w:color="auto"/>
              <w:right w:val="nil"/>
            </w:tcBorders>
            <w:shd w:val="clear" w:color="auto" w:fill="auto"/>
            <w:noWrap/>
          </w:tcPr>
          <w:p w14:paraId="3D1D242F"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color w:val="000000" w:themeColor="text1"/>
                <w:sz w:val="24"/>
                <w:szCs w:val="24"/>
              </w:rPr>
              <w:t xml:space="preserve">Board Characteristic </w:t>
            </w:r>
            <w:r w:rsidRPr="004E7E5A">
              <w:rPr>
                <w:rFonts w:ascii="Times New Roman" w:hAnsi="Times New Roman" w:hint="eastAsia"/>
                <w:color w:val="000000" w:themeColor="text1"/>
                <w:sz w:val="24"/>
                <w:szCs w:val="24"/>
              </w:rPr>
              <w:t>Variables</w:t>
            </w:r>
          </w:p>
        </w:tc>
        <w:tc>
          <w:tcPr>
            <w:tcW w:w="289" w:type="dxa"/>
            <w:tcBorders>
              <w:top w:val="nil"/>
              <w:left w:val="nil"/>
              <w:bottom w:val="nil"/>
              <w:right w:val="nil"/>
            </w:tcBorders>
            <w:shd w:val="clear" w:color="auto" w:fill="auto"/>
            <w:noWrap/>
          </w:tcPr>
          <w:p w14:paraId="2201F7B7"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4088FCC0" w14:textId="77777777" w:rsidR="00222255" w:rsidRPr="004E7E5A" w:rsidRDefault="00222255" w:rsidP="00116073">
            <w:pPr>
              <w:ind w:left="240" w:hangingChars="100" w:hanging="240"/>
              <w:rPr>
                <w:rFonts w:ascii="Times New Roman" w:hAnsi="Times New Roman"/>
                <w:color w:val="000000" w:themeColor="text1"/>
                <w:kern w:val="0"/>
                <w:sz w:val="24"/>
                <w:szCs w:val="24"/>
              </w:rPr>
            </w:pPr>
          </w:p>
        </w:tc>
      </w:tr>
      <w:tr w:rsidR="001E3466" w:rsidRPr="004E7E5A" w14:paraId="308B547F" w14:textId="77777777" w:rsidTr="007A277D">
        <w:trPr>
          <w:trHeight w:val="20"/>
        </w:trPr>
        <w:tc>
          <w:tcPr>
            <w:tcW w:w="2694" w:type="dxa"/>
            <w:tcBorders>
              <w:top w:val="single" w:sz="4" w:space="0" w:color="auto"/>
              <w:left w:val="nil"/>
              <w:bottom w:val="nil"/>
              <w:right w:val="nil"/>
            </w:tcBorders>
            <w:shd w:val="clear" w:color="auto" w:fill="auto"/>
            <w:noWrap/>
          </w:tcPr>
          <w:p w14:paraId="76C6E4EC"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Inddirector</w:t>
            </w:r>
            <w:proofErr w:type="spellEnd"/>
          </w:p>
        </w:tc>
        <w:tc>
          <w:tcPr>
            <w:tcW w:w="289" w:type="dxa"/>
            <w:tcBorders>
              <w:top w:val="nil"/>
              <w:left w:val="nil"/>
              <w:bottom w:val="nil"/>
              <w:right w:val="nil"/>
            </w:tcBorders>
            <w:shd w:val="clear" w:color="auto" w:fill="auto"/>
            <w:noWrap/>
          </w:tcPr>
          <w:p w14:paraId="474935D5"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5EA30F35"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Proportion of independent directors on the board.</w:t>
            </w:r>
          </w:p>
        </w:tc>
      </w:tr>
      <w:tr w:rsidR="001E3466" w:rsidRPr="004E7E5A" w14:paraId="14D933A0" w14:textId="77777777" w:rsidTr="007A277D">
        <w:trPr>
          <w:trHeight w:val="20"/>
        </w:trPr>
        <w:tc>
          <w:tcPr>
            <w:tcW w:w="2694" w:type="dxa"/>
            <w:tcBorders>
              <w:top w:val="nil"/>
              <w:left w:val="nil"/>
              <w:bottom w:val="nil"/>
              <w:right w:val="nil"/>
            </w:tcBorders>
            <w:shd w:val="clear" w:color="auto" w:fill="auto"/>
            <w:noWrap/>
          </w:tcPr>
          <w:p w14:paraId="6C3569B8"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Board size</w:t>
            </w:r>
          </w:p>
        </w:tc>
        <w:tc>
          <w:tcPr>
            <w:tcW w:w="289" w:type="dxa"/>
            <w:tcBorders>
              <w:top w:val="nil"/>
              <w:left w:val="nil"/>
              <w:bottom w:val="nil"/>
              <w:right w:val="nil"/>
            </w:tcBorders>
            <w:shd w:val="clear" w:color="auto" w:fill="auto"/>
            <w:noWrap/>
          </w:tcPr>
          <w:p w14:paraId="5825B306"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3951DEB2" w14:textId="04CF7656" w:rsidR="00222255" w:rsidRPr="004E7E5A" w:rsidRDefault="00431407"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Number of directors serving on the board.</w:t>
            </w:r>
          </w:p>
        </w:tc>
      </w:tr>
      <w:tr w:rsidR="001E3466" w:rsidRPr="004E7E5A" w14:paraId="64D97711" w14:textId="77777777" w:rsidTr="007A277D">
        <w:trPr>
          <w:trHeight w:val="20"/>
        </w:trPr>
        <w:tc>
          <w:tcPr>
            <w:tcW w:w="2694" w:type="dxa"/>
            <w:tcBorders>
              <w:top w:val="nil"/>
              <w:left w:val="nil"/>
              <w:bottom w:val="nil"/>
              <w:right w:val="nil"/>
            </w:tcBorders>
            <w:shd w:val="clear" w:color="auto" w:fill="auto"/>
            <w:noWrap/>
          </w:tcPr>
          <w:p w14:paraId="6B9E363F"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Female</w:t>
            </w:r>
          </w:p>
        </w:tc>
        <w:tc>
          <w:tcPr>
            <w:tcW w:w="289" w:type="dxa"/>
            <w:tcBorders>
              <w:top w:val="nil"/>
              <w:left w:val="nil"/>
              <w:bottom w:val="nil"/>
              <w:right w:val="nil"/>
            </w:tcBorders>
            <w:shd w:val="clear" w:color="auto" w:fill="auto"/>
            <w:noWrap/>
          </w:tcPr>
          <w:p w14:paraId="2F9406C6"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5CD4A562"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Number of female directors</w:t>
            </w:r>
            <w:r w:rsidRPr="004E7E5A">
              <w:rPr>
                <w:rFonts w:ascii="Times New Roman" w:eastAsia="Times New Roman" w:hAnsi="Times New Roman"/>
                <w:color w:val="000000" w:themeColor="text1"/>
                <w:sz w:val="24"/>
                <w:szCs w:val="24"/>
                <w:lang w:eastAsia="en-GB"/>
              </w:rPr>
              <w:t xml:space="preserve"> divided by the total </w:t>
            </w:r>
            <w:r w:rsidRPr="004E7E5A">
              <w:rPr>
                <w:rFonts w:ascii="Times New Roman" w:hAnsi="Times New Roman"/>
                <w:color w:val="000000" w:themeColor="text1"/>
                <w:kern w:val="0"/>
                <w:sz w:val="24"/>
                <w:szCs w:val="24"/>
              </w:rPr>
              <w:t>number of</w:t>
            </w:r>
            <w:r w:rsidRPr="004E7E5A">
              <w:rPr>
                <w:rFonts w:ascii="Times New Roman" w:eastAsia="Times New Roman" w:hAnsi="Times New Roman"/>
                <w:color w:val="000000" w:themeColor="text1"/>
                <w:sz w:val="24"/>
                <w:szCs w:val="24"/>
                <w:lang w:eastAsia="en-GB"/>
              </w:rPr>
              <w:t xml:space="preserve"> </w:t>
            </w:r>
            <w:r w:rsidRPr="004E7E5A">
              <w:rPr>
                <w:rFonts w:ascii="Times New Roman" w:hAnsi="Times New Roman"/>
                <w:color w:val="000000" w:themeColor="text1"/>
                <w:kern w:val="0"/>
                <w:sz w:val="24"/>
                <w:szCs w:val="24"/>
              </w:rPr>
              <w:t>directors.</w:t>
            </w:r>
          </w:p>
        </w:tc>
      </w:tr>
      <w:tr w:rsidR="001E3466" w:rsidRPr="004E7E5A" w14:paraId="6A7EE058" w14:textId="77777777" w:rsidTr="007A277D">
        <w:trPr>
          <w:trHeight w:val="20"/>
        </w:trPr>
        <w:tc>
          <w:tcPr>
            <w:tcW w:w="2694" w:type="dxa"/>
            <w:tcBorders>
              <w:top w:val="nil"/>
              <w:left w:val="nil"/>
              <w:bottom w:val="nil"/>
              <w:right w:val="nil"/>
            </w:tcBorders>
            <w:shd w:val="clear" w:color="auto" w:fill="auto"/>
            <w:noWrap/>
          </w:tcPr>
          <w:p w14:paraId="05B9B88C"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Director age</w:t>
            </w:r>
          </w:p>
        </w:tc>
        <w:tc>
          <w:tcPr>
            <w:tcW w:w="289" w:type="dxa"/>
            <w:tcBorders>
              <w:top w:val="nil"/>
              <w:left w:val="nil"/>
              <w:bottom w:val="nil"/>
              <w:right w:val="nil"/>
            </w:tcBorders>
            <w:shd w:val="clear" w:color="auto" w:fill="auto"/>
            <w:noWrap/>
          </w:tcPr>
          <w:p w14:paraId="40E97F84"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58CDCEAE"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Average age of directors.</w:t>
            </w:r>
          </w:p>
        </w:tc>
      </w:tr>
      <w:tr w:rsidR="001E3466" w:rsidRPr="004E7E5A" w14:paraId="5214B896" w14:textId="77777777" w:rsidTr="007A277D">
        <w:trPr>
          <w:trHeight w:val="20"/>
        </w:trPr>
        <w:tc>
          <w:tcPr>
            <w:tcW w:w="2694" w:type="dxa"/>
            <w:tcBorders>
              <w:top w:val="nil"/>
              <w:left w:val="nil"/>
              <w:bottom w:val="nil"/>
              <w:right w:val="nil"/>
            </w:tcBorders>
            <w:shd w:val="clear" w:color="auto" w:fill="auto"/>
            <w:noWrap/>
          </w:tcPr>
          <w:p w14:paraId="207188D5"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Location</w:t>
            </w:r>
          </w:p>
        </w:tc>
        <w:tc>
          <w:tcPr>
            <w:tcW w:w="289" w:type="dxa"/>
            <w:tcBorders>
              <w:top w:val="nil"/>
              <w:left w:val="nil"/>
              <w:bottom w:val="nil"/>
              <w:right w:val="nil"/>
            </w:tcBorders>
            <w:shd w:val="clear" w:color="auto" w:fill="auto"/>
            <w:noWrap/>
          </w:tcPr>
          <w:p w14:paraId="3E9B0655"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5C4EB222"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An</w:t>
            </w:r>
            <w:r w:rsidRPr="004E7E5A">
              <w:rPr>
                <w:rFonts w:ascii="Times New Roman" w:hAnsi="Times New Roman"/>
                <w:color w:val="000000" w:themeColor="text1"/>
                <w:kern w:val="0"/>
                <w:sz w:val="24"/>
                <w:szCs w:val="24"/>
              </w:rPr>
              <w:t xml:space="preserve"> indicator variable equal to 1 if </w:t>
            </w:r>
            <w:r w:rsidRPr="004E7E5A">
              <w:rPr>
                <w:rFonts w:ascii="Times New Roman" w:eastAsia="Times New Roman" w:hAnsi="Times New Roman"/>
                <w:color w:val="000000" w:themeColor="text1"/>
                <w:sz w:val="24"/>
                <w:szCs w:val="24"/>
                <w:lang w:eastAsia="en-GB"/>
              </w:rPr>
              <w:t xml:space="preserve">independent directors work in the same place as the firm, and </w:t>
            </w:r>
            <w:r w:rsidRPr="004E7E5A">
              <w:rPr>
                <w:rFonts w:ascii="Times New Roman" w:hAnsi="Times New Roman"/>
                <w:color w:val="000000" w:themeColor="text1"/>
                <w:kern w:val="0"/>
                <w:sz w:val="24"/>
                <w:szCs w:val="24"/>
              </w:rPr>
              <w:t>equal to 2 if</w:t>
            </w:r>
            <w:r w:rsidRPr="004E7E5A">
              <w:rPr>
                <w:rFonts w:ascii="Times New Roman" w:eastAsia="Times New Roman" w:hAnsi="Times New Roman"/>
                <w:color w:val="000000" w:themeColor="text1"/>
                <w:sz w:val="24"/>
                <w:szCs w:val="24"/>
                <w:lang w:eastAsia="en-GB"/>
              </w:rPr>
              <w:t xml:space="preserve"> independent directors work in a </w:t>
            </w:r>
            <w:r w:rsidRPr="004E7E5A">
              <w:rPr>
                <w:rFonts w:ascii="Times New Roman" w:eastAsia="Times New Roman" w:hAnsi="Times New Roman"/>
                <w:color w:val="000000" w:themeColor="text1"/>
                <w:sz w:val="24"/>
                <w:szCs w:val="24"/>
              </w:rPr>
              <w:t>different</w:t>
            </w:r>
            <w:r w:rsidRPr="004E7E5A">
              <w:rPr>
                <w:rFonts w:ascii="Times New Roman" w:eastAsia="Times New Roman" w:hAnsi="Times New Roman"/>
                <w:color w:val="000000" w:themeColor="text1"/>
                <w:sz w:val="24"/>
                <w:szCs w:val="24"/>
                <w:lang w:eastAsia="en-GB"/>
              </w:rPr>
              <w:t xml:space="preserve"> place with the firm</w:t>
            </w:r>
            <w:r w:rsidRPr="004E7E5A">
              <w:rPr>
                <w:rFonts w:ascii="Times New Roman" w:hAnsi="Times New Roman"/>
                <w:color w:val="000000" w:themeColor="text1"/>
                <w:kern w:val="0"/>
                <w:sz w:val="24"/>
                <w:szCs w:val="24"/>
              </w:rPr>
              <w:t>.</w:t>
            </w:r>
            <w:r w:rsidRPr="004E7E5A">
              <w:rPr>
                <w:rFonts w:ascii="Times New Roman" w:eastAsia="Times New Roman" w:hAnsi="Times New Roman"/>
                <w:color w:val="000000" w:themeColor="text1"/>
                <w:sz w:val="24"/>
                <w:szCs w:val="24"/>
                <w:lang w:eastAsia="en-GB"/>
              </w:rPr>
              <w:t xml:space="preserve"> In case of uncertainty, the value is 3</w:t>
            </w:r>
            <w:r w:rsidRPr="004E7E5A">
              <w:rPr>
                <w:rFonts w:ascii="Times New Roman" w:hAnsi="Times New Roman"/>
                <w:color w:val="000000" w:themeColor="text1"/>
                <w:kern w:val="0"/>
                <w:sz w:val="24"/>
                <w:szCs w:val="24"/>
              </w:rPr>
              <w:t xml:space="preserve">. Each firm usually employs more than one independent director, and it shall be judged according to the work place of the independent director of accounting specialty. If a company has two independent </w:t>
            </w:r>
            <w:r w:rsidRPr="004E7E5A">
              <w:rPr>
                <w:rFonts w:ascii="Times New Roman" w:hAnsi="Times New Roman"/>
                <w:color w:val="000000" w:themeColor="text1"/>
                <w:kern w:val="0"/>
                <w:sz w:val="24"/>
                <w:szCs w:val="24"/>
              </w:rPr>
              <w:lastRenderedPageBreak/>
              <w:t>directors majoring in accounting, as long as one of them is in a different place from the listed firm, it is considered as different.</w:t>
            </w:r>
          </w:p>
        </w:tc>
      </w:tr>
      <w:tr w:rsidR="001E3466" w:rsidRPr="004E7E5A" w14:paraId="74BE628C" w14:textId="77777777" w:rsidTr="007A277D">
        <w:trPr>
          <w:trHeight w:val="20"/>
        </w:trPr>
        <w:tc>
          <w:tcPr>
            <w:tcW w:w="2694" w:type="dxa"/>
            <w:tcBorders>
              <w:top w:val="nil"/>
              <w:left w:val="nil"/>
              <w:bottom w:val="nil"/>
              <w:right w:val="nil"/>
            </w:tcBorders>
            <w:shd w:val="clear" w:color="auto" w:fill="auto"/>
            <w:noWrap/>
          </w:tcPr>
          <w:p w14:paraId="7FFA4474"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lastRenderedPageBreak/>
              <w:t>Duality</w:t>
            </w:r>
          </w:p>
        </w:tc>
        <w:tc>
          <w:tcPr>
            <w:tcW w:w="289" w:type="dxa"/>
            <w:tcBorders>
              <w:top w:val="nil"/>
              <w:left w:val="nil"/>
              <w:bottom w:val="nil"/>
              <w:right w:val="nil"/>
            </w:tcBorders>
            <w:shd w:val="clear" w:color="auto" w:fill="auto"/>
            <w:noWrap/>
          </w:tcPr>
          <w:p w14:paraId="3F2120E8"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74F84D67"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An indicator variable equal to 1 if the</w:t>
            </w:r>
            <w:r w:rsidRPr="004E7E5A">
              <w:rPr>
                <w:rFonts w:ascii="Times New Roman" w:hAnsi="Times New Roman"/>
                <w:color w:val="000000" w:themeColor="text1"/>
                <w:kern w:val="0"/>
                <w:sz w:val="24"/>
                <w:szCs w:val="24"/>
              </w:rPr>
              <w:t xml:space="preserve"> positions of chairman and CEO are concurrently held by one person</w:t>
            </w:r>
            <w:r w:rsidRPr="004E7E5A">
              <w:rPr>
                <w:rFonts w:ascii="Times New Roman" w:eastAsia="Times New Roman" w:hAnsi="Times New Roman"/>
                <w:color w:val="000000" w:themeColor="text1"/>
                <w:sz w:val="24"/>
                <w:szCs w:val="24"/>
                <w:lang w:eastAsia="en-GB"/>
              </w:rPr>
              <w:t>, and 0 otherwise</w:t>
            </w:r>
            <w:r w:rsidRPr="004E7E5A">
              <w:rPr>
                <w:rFonts w:ascii="Times New Roman" w:hAnsi="Times New Roman"/>
                <w:color w:val="000000" w:themeColor="text1"/>
                <w:kern w:val="0"/>
                <w:sz w:val="24"/>
                <w:szCs w:val="24"/>
              </w:rPr>
              <w:t>.</w:t>
            </w:r>
          </w:p>
        </w:tc>
      </w:tr>
      <w:tr w:rsidR="001E3466" w:rsidRPr="004E7E5A" w14:paraId="333A96EA" w14:textId="77777777" w:rsidTr="007A277D">
        <w:trPr>
          <w:trHeight w:val="20"/>
        </w:trPr>
        <w:tc>
          <w:tcPr>
            <w:tcW w:w="2694" w:type="dxa"/>
            <w:tcBorders>
              <w:top w:val="nil"/>
              <w:left w:val="nil"/>
              <w:bottom w:val="nil"/>
              <w:right w:val="nil"/>
            </w:tcBorders>
            <w:shd w:val="clear" w:color="auto" w:fill="auto"/>
            <w:noWrap/>
          </w:tcPr>
          <w:p w14:paraId="46D7980F"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Compensation</w:t>
            </w:r>
          </w:p>
        </w:tc>
        <w:tc>
          <w:tcPr>
            <w:tcW w:w="289" w:type="dxa"/>
            <w:tcBorders>
              <w:top w:val="nil"/>
              <w:left w:val="nil"/>
              <w:bottom w:val="nil"/>
              <w:right w:val="nil"/>
            </w:tcBorders>
            <w:shd w:val="clear" w:color="auto" w:fill="auto"/>
            <w:noWrap/>
          </w:tcPr>
          <w:p w14:paraId="57F15363"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6018D1EF"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Natural log of</w:t>
            </w:r>
            <w:r w:rsidRPr="004E7E5A">
              <w:rPr>
                <w:rFonts w:ascii="Times New Roman" w:hAnsi="Times New Roman"/>
                <w:color w:val="000000" w:themeColor="text1"/>
                <w:kern w:val="0"/>
                <w:sz w:val="24"/>
                <w:szCs w:val="24"/>
              </w:rPr>
              <w:t xml:space="preserve"> top 3 directors’ compensation.</w:t>
            </w:r>
          </w:p>
        </w:tc>
      </w:tr>
      <w:tr w:rsidR="001E3466" w:rsidRPr="004E7E5A" w14:paraId="7E271CF1" w14:textId="77777777" w:rsidTr="007A277D">
        <w:trPr>
          <w:trHeight w:val="20"/>
        </w:trPr>
        <w:tc>
          <w:tcPr>
            <w:tcW w:w="2694" w:type="dxa"/>
            <w:tcBorders>
              <w:top w:val="nil"/>
              <w:left w:val="nil"/>
              <w:right w:val="nil"/>
            </w:tcBorders>
            <w:shd w:val="clear" w:color="auto" w:fill="auto"/>
            <w:noWrap/>
          </w:tcPr>
          <w:p w14:paraId="69BC67B8"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Dirshare</w:t>
            </w:r>
            <w:proofErr w:type="spellEnd"/>
          </w:p>
        </w:tc>
        <w:tc>
          <w:tcPr>
            <w:tcW w:w="289" w:type="dxa"/>
            <w:tcBorders>
              <w:top w:val="nil"/>
              <w:left w:val="nil"/>
              <w:bottom w:val="nil"/>
              <w:right w:val="nil"/>
            </w:tcBorders>
            <w:shd w:val="clear" w:color="auto" w:fill="auto"/>
            <w:noWrap/>
          </w:tcPr>
          <w:p w14:paraId="7BE40071"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74F1DFE4"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Directors’ ownership</w:t>
            </w:r>
            <w:r w:rsidRPr="004E7E5A">
              <w:rPr>
                <w:rFonts w:ascii="Times New Roman" w:eastAsia="Times New Roman" w:hAnsi="Times New Roman"/>
                <w:color w:val="000000" w:themeColor="text1"/>
                <w:sz w:val="24"/>
                <w:szCs w:val="24"/>
                <w:lang w:eastAsia="en-GB"/>
              </w:rPr>
              <w:t xml:space="preserve"> divided by total</w:t>
            </w:r>
            <w:r w:rsidRPr="004E7E5A">
              <w:rPr>
                <w:rFonts w:ascii="Times New Roman" w:hAnsi="Times New Roman"/>
                <w:color w:val="000000" w:themeColor="text1"/>
                <w:kern w:val="0"/>
                <w:sz w:val="24"/>
                <w:szCs w:val="24"/>
              </w:rPr>
              <w:t xml:space="preserve"> ownership.</w:t>
            </w:r>
          </w:p>
        </w:tc>
      </w:tr>
      <w:tr w:rsidR="001E3466" w:rsidRPr="004E7E5A" w14:paraId="71290530" w14:textId="77777777" w:rsidTr="007A277D">
        <w:trPr>
          <w:trHeight w:val="20"/>
        </w:trPr>
        <w:tc>
          <w:tcPr>
            <w:tcW w:w="2694" w:type="dxa"/>
            <w:tcBorders>
              <w:top w:val="nil"/>
              <w:left w:val="nil"/>
              <w:bottom w:val="single" w:sz="4" w:space="0" w:color="auto"/>
              <w:right w:val="nil"/>
            </w:tcBorders>
            <w:shd w:val="clear" w:color="auto" w:fill="auto"/>
            <w:noWrap/>
          </w:tcPr>
          <w:p w14:paraId="3D8E5824"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hint="eastAsia"/>
                <w:color w:val="000000" w:themeColor="text1"/>
                <w:sz w:val="24"/>
                <w:szCs w:val="24"/>
              </w:rPr>
              <w:t>Firm</w:t>
            </w:r>
            <w:r w:rsidRPr="004E7E5A">
              <w:rPr>
                <w:rFonts w:ascii="Times New Roman" w:hAnsi="Times New Roman"/>
                <w:color w:val="000000" w:themeColor="text1"/>
                <w:sz w:val="24"/>
                <w:szCs w:val="24"/>
              </w:rPr>
              <w:t xml:space="preserve"> Characteristic </w:t>
            </w:r>
            <w:r w:rsidRPr="004E7E5A">
              <w:rPr>
                <w:rFonts w:ascii="Times New Roman" w:hAnsi="Times New Roman" w:hint="eastAsia"/>
                <w:color w:val="000000" w:themeColor="text1"/>
                <w:sz w:val="24"/>
                <w:szCs w:val="24"/>
              </w:rPr>
              <w:t>Variables</w:t>
            </w:r>
          </w:p>
        </w:tc>
        <w:tc>
          <w:tcPr>
            <w:tcW w:w="289" w:type="dxa"/>
            <w:tcBorders>
              <w:top w:val="nil"/>
              <w:left w:val="nil"/>
              <w:bottom w:val="nil"/>
              <w:right w:val="nil"/>
            </w:tcBorders>
            <w:shd w:val="clear" w:color="auto" w:fill="auto"/>
            <w:noWrap/>
          </w:tcPr>
          <w:p w14:paraId="18D82A08"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37D13D4A" w14:textId="77777777" w:rsidR="00222255" w:rsidRPr="004E7E5A" w:rsidRDefault="00222255" w:rsidP="00116073">
            <w:pPr>
              <w:ind w:left="240" w:hangingChars="100" w:hanging="240"/>
              <w:rPr>
                <w:rFonts w:ascii="Times New Roman" w:hAnsi="Times New Roman"/>
                <w:color w:val="000000" w:themeColor="text1"/>
                <w:kern w:val="0"/>
                <w:sz w:val="24"/>
                <w:szCs w:val="24"/>
              </w:rPr>
            </w:pPr>
          </w:p>
        </w:tc>
      </w:tr>
      <w:tr w:rsidR="001E3466" w:rsidRPr="004E7E5A" w14:paraId="5FB53AA0" w14:textId="77777777" w:rsidTr="007A277D">
        <w:trPr>
          <w:trHeight w:val="20"/>
        </w:trPr>
        <w:tc>
          <w:tcPr>
            <w:tcW w:w="2694" w:type="dxa"/>
            <w:tcBorders>
              <w:top w:val="single" w:sz="4" w:space="0" w:color="auto"/>
              <w:left w:val="nil"/>
              <w:bottom w:val="nil"/>
              <w:right w:val="nil"/>
            </w:tcBorders>
            <w:shd w:val="clear" w:color="auto" w:fill="auto"/>
            <w:noWrap/>
          </w:tcPr>
          <w:p w14:paraId="4DB90350"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Firm size</w:t>
            </w:r>
          </w:p>
        </w:tc>
        <w:tc>
          <w:tcPr>
            <w:tcW w:w="289" w:type="dxa"/>
            <w:tcBorders>
              <w:top w:val="nil"/>
              <w:left w:val="nil"/>
              <w:bottom w:val="nil"/>
              <w:right w:val="nil"/>
            </w:tcBorders>
            <w:shd w:val="clear" w:color="auto" w:fill="auto"/>
            <w:noWrap/>
          </w:tcPr>
          <w:p w14:paraId="4DC0FE16"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7FE06CA7"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Natural log of total assets.</w:t>
            </w:r>
          </w:p>
        </w:tc>
      </w:tr>
      <w:tr w:rsidR="001E3466" w:rsidRPr="004E7E5A" w14:paraId="0EC7655F" w14:textId="77777777" w:rsidTr="007A277D">
        <w:trPr>
          <w:trHeight w:val="20"/>
        </w:trPr>
        <w:tc>
          <w:tcPr>
            <w:tcW w:w="2694" w:type="dxa"/>
            <w:tcBorders>
              <w:top w:val="nil"/>
              <w:left w:val="nil"/>
              <w:bottom w:val="nil"/>
              <w:right w:val="nil"/>
            </w:tcBorders>
            <w:shd w:val="clear" w:color="auto" w:fill="auto"/>
            <w:noWrap/>
          </w:tcPr>
          <w:p w14:paraId="469704FC"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Roa</w:t>
            </w:r>
            <w:proofErr w:type="spellEnd"/>
          </w:p>
        </w:tc>
        <w:tc>
          <w:tcPr>
            <w:tcW w:w="289" w:type="dxa"/>
            <w:tcBorders>
              <w:top w:val="nil"/>
              <w:left w:val="nil"/>
              <w:bottom w:val="nil"/>
              <w:right w:val="nil"/>
            </w:tcBorders>
            <w:shd w:val="clear" w:color="auto" w:fill="auto"/>
            <w:noWrap/>
          </w:tcPr>
          <w:p w14:paraId="2AA710DD"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663EB58A"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Return on assets, net profit (loss)</w:t>
            </w:r>
            <w:r w:rsidRPr="004E7E5A">
              <w:rPr>
                <w:rFonts w:ascii="Times New Roman" w:eastAsia="Times New Roman" w:hAnsi="Times New Roman"/>
                <w:color w:val="000000" w:themeColor="text1"/>
                <w:sz w:val="24"/>
                <w:szCs w:val="24"/>
                <w:lang w:eastAsia="en-GB"/>
              </w:rPr>
              <w:t xml:space="preserve"> divided by</w:t>
            </w:r>
            <w:r w:rsidRPr="004E7E5A">
              <w:rPr>
                <w:rFonts w:ascii="Times New Roman" w:hAnsi="Times New Roman"/>
                <w:color w:val="000000" w:themeColor="text1"/>
                <w:kern w:val="0"/>
                <w:sz w:val="24"/>
                <w:szCs w:val="24"/>
              </w:rPr>
              <w:t xml:space="preserve"> total assets.</w:t>
            </w:r>
          </w:p>
        </w:tc>
      </w:tr>
      <w:tr w:rsidR="001E3466" w:rsidRPr="004E7E5A" w14:paraId="2321E9D6" w14:textId="77777777" w:rsidTr="007A277D">
        <w:trPr>
          <w:trHeight w:val="20"/>
        </w:trPr>
        <w:tc>
          <w:tcPr>
            <w:tcW w:w="2694" w:type="dxa"/>
            <w:tcBorders>
              <w:top w:val="nil"/>
              <w:left w:val="nil"/>
              <w:bottom w:val="nil"/>
              <w:right w:val="nil"/>
            </w:tcBorders>
            <w:shd w:val="clear" w:color="auto" w:fill="auto"/>
            <w:noWrap/>
          </w:tcPr>
          <w:p w14:paraId="1288B91E"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Lev</w:t>
            </w:r>
          </w:p>
        </w:tc>
        <w:tc>
          <w:tcPr>
            <w:tcW w:w="289" w:type="dxa"/>
            <w:tcBorders>
              <w:top w:val="nil"/>
              <w:left w:val="nil"/>
              <w:bottom w:val="nil"/>
              <w:right w:val="nil"/>
            </w:tcBorders>
            <w:shd w:val="clear" w:color="auto" w:fill="auto"/>
            <w:noWrap/>
          </w:tcPr>
          <w:p w14:paraId="223271F1"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0449ED51"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Leverage ratio, which is defined as the ratio of total debt divided by total assets.</w:t>
            </w:r>
          </w:p>
        </w:tc>
      </w:tr>
      <w:tr w:rsidR="001E3466" w:rsidRPr="004E7E5A" w14:paraId="760AF665" w14:textId="77777777" w:rsidTr="007A277D">
        <w:trPr>
          <w:trHeight w:val="20"/>
        </w:trPr>
        <w:tc>
          <w:tcPr>
            <w:tcW w:w="2694" w:type="dxa"/>
            <w:tcBorders>
              <w:top w:val="nil"/>
              <w:left w:val="nil"/>
              <w:bottom w:val="nil"/>
              <w:right w:val="nil"/>
            </w:tcBorders>
            <w:shd w:val="clear" w:color="auto" w:fill="auto"/>
            <w:noWrap/>
          </w:tcPr>
          <w:p w14:paraId="67146D10"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Correlation</w:t>
            </w:r>
          </w:p>
        </w:tc>
        <w:tc>
          <w:tcPr>
            <w:tcW w:w="289" w:type="dxa"/>
            <w:tcBorders>
              <w:top w:val="nil"/>
              <w:left w:val="nil"/>
              <w:bottom w:val="nil"/>
              <w:right w:val="nil"/>
            </w:tcBorders>
            <w:shd w:val="clear" w:color="auto" w:fill="auto"/>
            <w:noWrap/>
          </w:tcPr>
          <w:p w14:paraId="15A8F31B"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0D8302B1"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Correlation between the top ten shareholders, an indicator variable equal to 1 if the top ten shareholders are not correlated</w:t>
            </w:r>
            <w:r w:rsidRPr="004E7E5A">
              <w:rPr>
                <w:rFonts w:ascii="Times New Roman" w:eastAsia="Times New Roman" w:hAnsi="Times New Roman"/>
                <w:color w:val="000000" w:themeColor="text1"/>
                <w:sz w:val="24"/>
                <w:szCs w:val="24"/>
                <w:lang w:eastAsia="en-GB"/>
              </w:rPr>
              <w:t xml:space="preserve">, and </w:t>
            </w:r>
            <w:r w:rsidRPr="004E7E5A">
              <w:rPr>
                <w:rFonts w:ascii="Times New Roman" w:hAnsi="Times New Roman"/>
                <w:color w:val="000000" w:themeColor="text1"/>
                <w:kern w:val="0"/>
                <w:sz w:val="24"/>
                <w:szCs w:val="24"/>
              </w:rPr>
              <w:t>equal to 2 if the top ten shareholders are correlated.</w:t>
            </w:r>
            <w:r w:rsidRPr="004E7E5A">
              <w:rPr>
                <w:rFonts w:ascii="Times New Roman" w:eastAsia="Times New Roman" w:hAnsi="Times New Roman"/>
                <w:color w:val="000000" w:themeColor="text1"/>
                <w:sz w:val="24"/>
                <w:szCs w:val="24"/>
                <w:lang w:eastAsia="en-GB"/>
              </w:rPr>
              <w:t xml:space="preserve"> In case of uncertainty, the value is 3</w:t>
            </w:r>
            <w:r w:rsidRPr="004E7E5A">
              <w:rPr>
                <w:rFonts w:ascii="Times New Roman" w:hAnsi="Times New Roman"/>
                <w:color w:val="000000" w:themeColor="text1"/>
                <w:kern w:val="0"/>
                <w:sz w:val="24"/>
                <w:szCs w:val="24"/>
              </w:rPr>
              <w:t>.</w:t>
            </w:r>
          </w:p>
        </w:tc>
      </w:tr>
      <w:tr w:rsidR="001E3466" w:rsidRPr="004E7E5A" w14:paraId="41FE40F8" w14:textId="77777777" w:rsidTr="007A277D">
        <w:trPr>
          <w:trHeight w:val="20"/>
        </w:trPr>
        <w:tc>
          <w:tcPr>
            <w:tcW w:w="2694" w:type="dxa"/>
            <w:tcBorders>
              <w:top w:val="nil"/>
              <w:left w:val="nil"/>
              <w:bottom w:val="nil"/>
              <w:right w:val="nil"/>
            </w:tcBorders>
            <w:shd w:val="clear" w:color="auto" w:fill="auto"/>
            <w:noWrap/>
          </w:tcPr>
          <w:p w14:paraId="1D9B8671"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Fixasset</w:t>
            </w:r>
            <w:proofErr w:type="spellEnd"/>
          </w:p>
        </w:tc>
        <w:tc>
          <w:tcPr>
            <w:tcW w:w="289" w:type="dxa"/>
            <w:tcBorders>
              <w:top w:val="nil"/>
              <w:left w:val="nil"/>
              <w:bottom w:val="nil"/>
              <w:right w:val="nil"/>
            </w:tcBorders>
            <w:shd w:val="clear" w:color="auto" w:fill="auto"/>
            <w:noWrap/>
          </w:tcPr>
          <w:p w14:paraId="7281595E"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674E4D74" w14:textId="77777777" w:rsidR="00222255" w:rsidRPr="004E7E5A" w:rsidRDefault="00222255" w:rsidP="00116073">
            <w:pPr>
              <w:ind w:left="240" w:hangingChars="100" w:hanging="240"/>
              <w:rPr>
                <w:rFonts w:ascii="Times New Roman" w:eastAsia="宋体" w:hAnsi="Times New Roman"/>
                <w:color w:val="000000" w:themeColor="text1"/>
                <w:kern w:val="0"/>
                <w:sz w:val="24"/>
                <w:szCs w:val="24"/>
              </w:rPr>
            </w:pPr>
            <w:r w:rsidRPr="004E7E5A">
              <w:rPr>
                <w:rFonts w:ascii="Times New Roman" w:hAnsi="Times New Roman"/>
                <w:color w:val="000000" w:themeColor="text1"/>
                <w:kern w:val="0"/>
                <w:sz w:val="24"/>
                <w:szCs w:val="24"/>
              </w:rPr>
              <w:t xml:space="preserve">Fixed </w:t>
            </w:r>
            <w:r w:rsidRPr="004E7E5A">
              <w:rPr>
                <w:rFonts w:ascii="Times New Roman" w:eastAsia="Times New Roman" w:hAnsi="Times New Roman"/>
                <w:color w:val="000000" w:themeColor="text1"/>
                <w:sz w:val="24"/>
                <w:szCs w:val="24"/>
                <w:lang w:eastAsia="en-GB"/>
              </w:rPr>
              <w:t>assets divided by total assets</w:t>
            </w:r>
            <w:r w:rsidRPr="004E7E5A">
              <w:rPr>
                <w:rFonts w:ascii="Times New Roman" w:eastAsia="宋体" w:hAnsi="Times New Roman"/>
                <w:color w:val="000000" w:themeColor="text1"/>
                <w:sz w:val="24"/>
                <w:szCs w:val="24"/>
              </w:rPr>
              <w:t>.</w:t>
            </w:r>
          </w:p>
        </w:tc>
      </w:tr>
      <w:tr w:rsidR="001E3466" w:rsidRPr="004E7E5A" w14:paraId="119527A9" w14:textId="77777777" w:rsidTr="007A277D">
        <w:trPr>
          <w:trHeight w:val="20"/>
        </w:trPr>
        <w:tc>
          <w:tcPr>
            <w:tcW w:w="2694" w:type="dxa"/>
            <w:tcBorders>
              <w:top w:val="nil"/>
              <w:left w:val="nil"/>
              <w:bottom w:val="nil"/>
              <w:right w:val="nil"/>
            </w:tcBorders>
            <w:shd w:val="clear" w:color="auto" w:fill="auto"/>
            <w:noWrap/>
          </w:tcPr>
          <w:p w14:paraId="520F3E2A"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Share</w:t>
            </w:r>
          </w:p>
        </w:tc>
        <w:tc>
          <w:tcPr>
            <w:tcW w:w="289" w:type="dxa"/>
            <w:tcBorders>
              <w:top w:val="nil"/>
              <w:left w:val="nil"/>
              <w:bottom w:val="nil"/>
              <w:right w:val="nil"/>
            </w:tcBorders>
            <w:shd w:val="clear" w:color="auto" w:fill="auto"/>
            <w:noWrap/>
          </w:tcPr>
          <w:p w14:paraId="2DD0A375"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381B7CF2"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top ten majority shareholding ratio, which is the sum of top 10 shareholders’ ownership</w:t>
            </w:r>
            <w:r w:rsidRPr="004E7E5A">
              <w:rPr>
                <w:rFonts w:ascii="Times New Roman" w:eastAsia="Times New Roman" w:hAnsi="Times New Roman"/>
                <w:color w:val="000000" w:themeColor="text1"/>
                <w:sz w:val="24"/>
                <w:szCs w:val="24"/>
                <w:lang w:eastAsia="en-GB"/>
              </w:rPr>
              <w:t xml:space="preserve"> divided by total</w:t>
            </w:r>
            <w:r w:rsidRPr="004E7E5A">
              <w:rPr>
                <w:rFonts w:ascii="Times New Roman" w:hAnsi="Times New Roman"/>
                <w:color w:val="000000" w:themeColor="text1"/>
                <w:kern w:val="0"/>
                <w:sz w:val="24"/>
                <w:szCs w:val="24"/>
              </w:rPr>
              <w:t xml:space="preserve"> ownership.</w:t>
            </w:r>
          </w:p>
        </w:tc>
      </w:tr>
      <w:tr w:rsidR="001E3466" w:rsidRPr="004E7E5A" w14:paraId="75F07DEE" w14:textId="77777777" w:rsidTr="007A277D">
        <w:trPr>
          <w:trHeight w:val="20"/>
        </w:trPr>
        <w:tc>
          <w:tcPr>
            <w:tcW w:w="2694" w:type="dxa"/>
            <w:tcBorders>
              <w:top w:val="nil"/>
              <w:left w:val="nil"/>
              <w:right w:val="nil"/>
            </w:tcBorders>
            <w:shd w:val="clear" w:color="auto" w:fill="auto"/>
            <w:noWrap/>
          </w:tcPr>
          <w:p w14:paraId="221F2669" w14:textId="77777777" w:rsidR="00222255" w:rsidRPr="004E7E5A" w:rsidRDefault="00222255" w:rsidP="00116073">
            <w:pPr>
              <w:jc w:val="left"/>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Soe</w:t>
            </w:r>
            <w:proofErr w:type="spellEnd"/>
          </w:p>
        </w:tc>
        <w:tc>
          <w:tcPr>
            <w:tcW w:w="289" w:type="dxa"/>
            <w:tcBorders>
              <w:top w:val="nil"/>
              <w:left w:val="nil"/>
              <w:right w:val="nil"/>
            </w:tcBorders>
            <w:shd w:val="clear" w:color="auto" w:fill="auto"/>
            <w:noWrap/>
          </w:tcPr>
          <w:p w14:paraId="20113D79"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right w:val="nil"/>
            </w:tcBorders>
            <w:shd w:val="clear" w:color="auto" w:fill="auto"/>
          </w:tcPr>
          <w:p w14:paraId="50700EB1"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 xml:space="preserve">The nature of ownership, equal to 1 if the enterprise is state-owned, </w:t>
            </w:r>
            <w:r w:rsidRPr="004E7E5A">
              <w:rPr>
                <w:rFonts w:ascii="Times New Roman" w:eastAsia="Times New Roman" w:hAnsi="Times New Roman"/>
                <w:color w:val="000000" w:themeColor="text1"/>
                <w:sz w:val="24"/>
                <w:szCs w:val="24"/>
                <w:lang w:eastAsia="en-GB"/>
              </w:rPr>
              <w:t>and 0 otherwise.</w:t>
            </w:r>
          </w:p>
        </w:tc>
      </w:tr>
      <w:tr w:rsidR="001E3466" w:rsidRPr="004E7E5A" w14:paraId="6D91903E" w14:textId="77777777" w:rsidTr="007A277D">
        <w:trPr>
          <w:trHeight w:val="20"/>
        </w:trPr>
        <w:tc>
          <w:tcPr>
            <w:tcW w:w="2694" w:type="dxa"/>
            <w:tcBorders>
              <w:top w:val="nil"/>
              <w:left w:val="nil"/>
              <w:right w:val="nil"/>
            </w:tcBorders>
            <w:shd w:val="clear" w:color="auto" w:fill="auto"/>
            <w:noWrap/>
          </w:tcPr>
          <w:p w14:paraId="261C074D" w14:textId="77777777" w:rsidR="00222255" w:rsidRPr="004E7E5A" w:rsidRDefault="00222255" w:rsidP="00116073">
            <w:pPr>
              <w:jc w:val="left"/>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Firm age</w:t>
            </w:r>
          </w:p>
        </w:tc>
        <w:tc>
          <w:tcPr>
            <w:tcW w:w="289" w:type="dxa"/>
            <w:tcBorders>
              <w:top w:val="nil"/>
              <w:left w:val="nil"/>
              <w:bottom w:val="nil"/>
              <w:right w:val="nil"/>
            </w:tcBorders>
            <w:shd w:val="clear" w:color="auto" w:fill="auto"/>
            <w:noWrap/>
          </w:tcPr>
          <w:p w14:paraId="1C50E7EC"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66DDFF21"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year of firm listing.</w:t>
            </w:r>
          </w:p>
        </w:tc>
      </w:tr>
      <w:tr w:rsidR="001E3466" w:rsidRPr="004E7E5A" w14:paraId="6B05DED7" w14:textId="77777777" w:rsidTr="007A277D">
        <w:trPr>
          <w:trHeight w:val="20"/>
        </w:trPr>
        <w:tc>
          <w:tcPr>
            <w:tcW w:w="2694" w:type="dxa"/>
            <w:tcBorders>
              <w:top w:val="nil"/>
              <w:left w:val="nil"/>
              <w:bottom w:val="single" w:sz="4" w:space="0" w:color="auto"/>
              <w:right w:val="nil"/>
            </w:tcBorders>
            <w:shd w:val="clear" w:color="auto" w:fill="auto"/>
            <w:noWrap/>
          </w:tcPr>
          <w:p w14:paraId="6F3D7B33" w14:textId="77777777" w:rsidR="007A277D" w:rsidRPr="004E7E5A" w:rsidRDefault="007A277D" w:rsidP="00B66601">
            <w:pPr>
              <w:jc w:val="left"/>
              <w:rPr>
                <w:rFonts w:ascii="Times New Roman" w:hAnsi="Times New Roman"/>
                <w:i/>
                <w:iCs/>
                <w:color w:val="000000" w:themeColor="text1"/>
                <w:kern w:val="0"/>
                <w:sz w:val="24"/>
                <w:szCs w:val="24"/>
              </w:rPr>
            </w:pPr>
            <w:r w:rsidRPr="004E7E5A">
              <w:rPr>
                <w:rFonts w:ascii="Times New Roman" w:hAnsi="Times New Roman"/>
                <w:color w:val="000000" w:themeColor="text1"/>
                <w:sz w:val="24"/>
                <w:szCs w:val="24"/>
              </w:rPr>
              <w:t>Moderating Variables</w:t>
            </w:r>
          </w:p>
        </w:tc>
        <w:tc>
          <w:tcPr>
            <w:tcW w:w="289" w:type="dxa"/>
            <w:tcBorders>
              <w:top w:val="nil"/>
              <w:left w:val="nil"/>
              <w:bottom w:val="nil"/>
              <w:right w:val="nil"/>
            </w:tcBorders>
            <w:shd w:val="clear" w:color="auto" w:fill="auto"/>
            <w:noWrap/>
          </w:tcPr>
          <w:p w14:paraId="24AC47E5" w14:textId="77777777" w:rsidR="007A277D" w:rsidRPr="004E7E5A" w:rsidRDefault="007A277D" w:rsidP="00B66601">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004ED31E" w14:textId="77777777" w:rsidR="007A277D" w:rsidRPr="004E7E5A" w:rsidRDefault="007A277D" w:rsidP="00B66601">
            <w:pPr>
              <w:ind w:left="240" w:hangingChars="100" w:hanging="240"/>
              <w:rPr>
                <w:rFonts w:ascii="Times New Roman" w:hAnsi="Times New Roman"/>
                <w:color w:val="000000" w:themeColor="text1"/>
                <w:kern w:val="0"/>
                <w:sz w:val="24"/>
                <w:szCs w:val="24"/>
              </w:rPr>
            </w:pPr>
          </w:p>
        </w:tc>
      </w:tr>
      <w:tr w:rsidR="001E3466" w:rsidRPr="004E7E5A" w14:paraId="3D83A4E8" w14:textId="77777777" w:rsidTr="007A277D">
        <w:trPr>
          <w:trHeight w:val="20"/>
        </w:trPr>
        <w:tc>
          <w:tcPr>
            <w:tcW w:w="2694" w:type="dxa"/>
            <w:tcBorders>
              <w:top w:val="single" w:sz="4" w:space="0" w:color="auto"/>
              <w:left w:val="nil"/>
              <w:bottom w:val="nil"/>
              <w:right w:val="nil"/>
            </w:tcBorders>
            <w:shd w:val="clear" w:color="auto" w:fill="auto"/>
            <w:noWrap/>
          </w:tcPr>
          <w:p w14:paraId="5B42E01B" w14:textId="77777777" w:rsidR="007A277D" w:rsidRPr="004E7E5A" w:rsidRDefault="007A277D" w:rsidP="00B66601">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Advertising</w:t>
            </w:r>
          </w:p>
        </w:tc>
        <w:tc>
          <w:tcPr>
            <w:tcW w:w="289" w:type="dxa"/>
            <w:tcBorders>
              <w:top w:val="nil"/>
              <w:left w:val="nil"/>
              <w:bottom w:val="nil"/>
              <w:right w:val="nil"/>
            </w:tcBorders>
            <w:shd w:val="clear" w:color="auto" w:fill="auto"/>
            <w:noWrap/>
          </w:tcPr>
          <w:p w14:paraId="2F9C59BB" w14:textId="77777777" w:rsidR="007A277D" w:rsidRPr="004E7E5A" w:rsidRDefault="007A277D" w:rsidP="00B66601">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1C2B2052" w14:textId="77777777" w:rsidR="007A277D" w:rsidRPr="004E7E5A" w:rsidRDefault="007A277D" w:rsidP="00B66601">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Advertising expenditures divided by sales.</w:t>
            </w:r>
          </w:p>
        </w:tc>
      </w:tr>
      <w:tr w:rsidR="001E3466" w:rsidRPr="004E7E5A" w14:paraId="1BA6BEB9" w14:textId="77777777" w:rsidTr="007A277D">
        <w:trPr>
          <w:trHeight w:val="20"/>
        </w:trPr>
        <w:tc>
          <w:tcPr>
            <w:tcW w:w="2694" w:type="dxa"/>
            <w:tcBorders>
              <w:top w:val="nil"/>
              <w:left w:val="nil"/>
              <w:bottom w:val="nil"/>
              <w:right w:val="nil"/>
            </w:tcBorders>
            <w:shd w:val="clear" w:color="auto" w:fill="auto"/>
            <w:noWrap/>
          </w:tcPr>
          <w:p w14:paraId="7E5A3E2E" w14:textId="77777777" w:rsidR="007A277D" w:rsidRPr="004E7E5A" w:rsidRDefault="007A277D" w:rsidP="00B66601">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Analyst</w:t>
            </w:r>
          </w:p>
        </w:tc>
        <w:tc>
          <w:tcPr>
            <w:tcW w:w="289" w:type="dxa"/>
            <w:tcBorders>
              <w:top w:val="nil"/>
              <w:left w:val="nil"/>
              <w:bottom w:val="nil"/>
              <w:right w:val="nil"/>
            </w:tcBorders>
            <w:shd w:val="clear" w:color="auto" w:fill="auto"/>
            <w:noWrap/>
          </w:tcPr>
          <w:p w14:paraId="67106C1C" w14:textId="77777777" w:rsidR="007A277D" w:rsidRPr="004E7E5A" w:rsidRDefault="007A277D" w:rsidP="00B66601">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7C1062AF" w14:textId="77777777" w:rsidR="007A277D" w:rsidRPr="004E7E5A" w:rsidRDefault="007A277D" w:rsidP="00B66601">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total number of analysts following a firm in a given year.</w:t>
            </w:r>
          </w:p>
        </w:tc>
      </w:tr>
      <w:tr w:rsidR="001E3466" w:rsidRPr="004E7E5A" w14:paraId="17287EE2" w14:textId="77777777" w:rsidTr="007A277D">
        <w:trPr>
          <w:trHeight w:val="20"/>
        </w:trPr>
        <w:tc>
          <w:tcPr>
            <w:tcW w:w="2694" w:type="dxa"/>
            <w:tcBorders>
              <w:top w:val="nil"/>
              <w:left w:val="nil"/>
              <w:bottom w:val="nil"/>
              <w:right w:val="nil"/>
            </w:tcBorders>
            <w:shd w:val="clear" w:color="auto" w:fill="auto"/>
            <w:noWrap/>
          </w:tcPr>
          <w:p w14:paraId="66EF8F74" w14:textId="77777777" w:rsidR="007A277D" w:rsidRPr="004E7E5A" w:rsidRDefault="007A277D" w:rsidP="00B66601">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CSR assurance</w:t>
            </w:r>
          </w:p>
        </w:tc>
        <w:tc>
          <w:tcPr>
            <w:tcW w:w="289" w:type="dxa"/>
            <w:tcBorders>
              <w:top w:val="nil"/>
              <w:left w:val="nil"/>
              <w:bottom w:val="nil"/>
              <w:right w:val="nil"/>
            </w:tcBorders>
            <w:shd w:val="clear" w:color="auto" w:fill="auto"/>
            <w:noWrap/>
          </w:tcPr>
          <w:p w14:paraId="0F5F4397" w14:textId="77777777" w:rsidR="007A277D" w:rsidRPr="004E7E5A" w:rsidRDefault="007A277D" w:rsidP="00B66601">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54B0A14A" w14:textId="068D818D" w:rsidR="007A277D" w:rsidRPr="004E7E5A" w:rsidRDefault="007A277D" w:rsidP="00B66601">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 xml:space="preserve">Indicator variable equal to 1 if </w:t>
            </w:r>
            <w:r w:rsidR="00D951A7" w:rsidRPr="004E7E5A">
              <w:rPr>
                <w:rFonts w:ascii="Times New Roman" w:eastAsia="Times New Roman" w:hAnsi="Times New Roman"/>
                <w:color w:val="000000" w:themeColor="text1"/>
                <w:sz w:val="24"/>
                <w:szCs w:val="24"/>
                <w:lang w:eastAsia="en-GB"/>
              </w:rPr>
              <w:t>Sustainability</w:t>
            </w:r>
            <w:r w:rsidRPr="004E7E5A">
              <w:rPr>
                <w:rFonts w:ascii="Times New Roman" w:eastAsia="Times New Roman" w:hAnsi="Times New Roman"/>
                <w:color w:val="000000" w:themeColor="text1"/>
                <w:sz w:val="24"/>
                <w:szCs w:val="24"/>
                <w:lang w:eastAsia="en-GB"/>
              </w:rPr>
              <w:t xml:space="preserve"> report is assured, and 0 otherwise. </w:t>
            </w:r>
          </w:p>
        </w:tc>
      </w:tr>
      <w:tr w:rsidR="001E3466" w:rsidRPr="004E7E5A" w14:paraId="25FBF94F" w14:textId="77777777" w:rsidTr="007A277D">
        <w:trPr>
          <w:trHeight w:val="20"/>
        </w:trPr>
        <w:tc>
          <w:tcPr>
            <w:tcW w:w="2694" w:type="dxa"/>
            <w:tcBorders>
              <w:top w:val="nil"/>
              <w:left w:val="nil"/>
              <w:bottom w:val="nil"/>
              <w:right w:val="nil"/>
            </w:tcBorders>
            <w:shd w:val="clear" w:color="auto" w:fill="auto"/>
            <w:noWrap/>
          </w:tcPr>
          <w:p w14:paraId="07986644" w14:textId="77777777" w:rsidR="007A277D" w:rsidRPr="004E7E5A" w:rsidRDefault="007A277D" w:rsidP="00B66601">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Punish</w:t>
            </w:r>
          </w:p>
        </w:tc>
        <w:tc>
          <w:tcPr>
            <w:tcW w:w="289" w:type="dxa"/>
            <w:tcBorders>
              <w:top w:val="nil"/>
              <w:left w:val="nil"/>
              <w:bottom w:val="nil"/>
              <w:right w:val="nil"/>
            </w:tcBorders>
            <w:shd w:val="clear" w:color="auto" w:fill="auto"/>
            <w:noWrap/>
          </w:tcPr>
          <w:p w14:paraId="7C980116" w14:textId="77777777" w:rsidR="007A277D" w:rsidRPr="004E7E5A" w:rsidRDefault="007A277D" w:rsidP="00B66601">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6E6EA6A5" w14:textId="77777777" w:rsidR="007A277D" w:rsidRPr="004E7E5A" w:rsidRDefault="007A277D" w:rsidP="00B66601">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 xml:space="preserve">An indicator variable equal to 1 if </w:t>
            </w:r>
            <w:r w:rsidRPr="004E7E5A">
              <w:rPr>
                <w:rFonts w:ascii="Times New Roman" w:hAnsi="Times New Roman"/>
                <w:color w:val="000000" w:themeColor="text1"/>
                <w:kern w:val="0"/>
                <w:sz w:val="24"/>
                <w:szCs w:val="24"/>
              </w:rPr>
              <w:t>there is statement about environmental regulatory penalty with respect to environmental protection in the annual report of the listed firm</w:t>
            </w:r>
            <w:r w:rsidRPr="004E7E5A">
              <w:rPr>
                <w:rFonts w:ascii="Times New Roman" w:eastAsia="Times New Roman" w:hAnsi="Times New Roman"/>
                <w:color w:val="000000" w:themeColor="text1"/>
                <w:sz w:val="24"/>
                <w:szCs w:val="24"/>
                <w:lang w:eastAsia="en-GB"/>
              </w:rPr>
              <w:t>, and 0 otherwise</w:t>
            </w:r>
            <w:r w:rsidRPr="004E7E5A">
              <w:rPr>
                <w:rFonts w:ascii="Times New Roman" w:hAnsi="Times New Roman"/>
                <w:color w:val="000000" w:themeColor="text1"/>
                <w:kern w:val="0"/>
                <w:sz w:val="24"/>
                <w:szCs w:val="24"/>
              </w:rPr>
              <w:t xml:space="preserve">. </w:t>
            </w:r>
          </w:p>
        </w:tc>
      </w:tr>
      <w:tr w:rsidR="001E3466" w:rsidRPr="004E7E5A" w14:paraId="7C63950B" w14:textId="77777777" w:rsidTr="007A277D">
        <w:trPr>
          <w:trHeight w:val="20"/>
        </w:trPr>
        <w:tc>
          <w:tcPr>
            <w:tcW w:w="2694" w:type="dxa"/>
            <w:tcBorders>
              <w:top w:val="nil"/>
              <w:left w:val="nil"/>
              <w:right w:val="nil"/>
            </w:tcBorders>
            <w:shd w:val="clear" w:color="auto" w:fill="auto"/>
            <w:noWrap/>
          </w:tcPr>
          <w:p w14:paraId="4E981ECB" w14:textId="77777777" w:rsidR="007A277D" w:rsidRPr="004E7E5A" w:rsidRDefault="007A277D" w:rsidP="00B66601">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FC index</w:t>
            </w:r>
          </w:p>
        </w:tc>
        <w:tc>
          <w:tcPr>
            <w:tcW w:w="289" w:type="dxa"/>
            <w:tcBorders>
              <w:top w:val="nil"/>
              <w:left w:val="nil"/>
              <w:bottom w:val="nil"/>
              <w:right w:val="nil"/>
            </w:tcBorders>
            <w:shd w:val="clear" w:color="auto" w:fill="auto"/>
            <w:noWrap/>
          </w:tcPr>
          <w:p w14:paraId="3CE23C72" w14:textId="77777777" w:rsidR="007A277D" w:rsidRPr="004E7E5A" w:rsidRDefault="007A277D" w:rsidP="00B66601">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4E35AE11" w14:textId="1B776BA4" w:rsidR="007A277D" w:rsidRPr="004E7E5A" w:rsidRDefault="007A277D" w:rsidP="00B66601">
            <w:pPr>
              <w:ind w:left="240" w:hangingChars="100" w:hanging="240"/>
              <w:rPr>
                <w:rFonts w:ascii="Times New Roman" w:hAnsi="Times New Roman"/>
                <w:color w:val="000000" w:themeColor="text1"/>
              </w:rPr>
            </w:pPr>
            <w:r w:rsidRPr="004E7E5A">
              <w:rPr>
                <w:rFonts w:ascii="Times New Roman" w:hAnsi="Times New Roman"/>
                <w:color w:val="000000" w:themeColor="text1"/>
                <w:kern w:val="0"/>
                <w:sz w:val="24"/>
                <w:szCs w:val="24"/>
              </w:rPr>
              <w:t xml:space="preserve">Financial constraints using KZ index </w:t>
            </w:r>
            <w:r w:rsidRPr="004E7E5A">
              <w:rPr>
                <w:rFonts w:ascii="Times New Roman" w:hAnsi="Times New Roman"/>
                <w:color w:val="000000" w:themeColor="text1"/>
                <w:kern w:val="0"/>
                <w:sz w:val="24"/>
                <w:szCs w:val="24"/>
              </w:rPr>
              <w:fldChar w:fldCharType="begin"/>
            </w:r>
            <w:r w:rsidR="001A1175" w:rsidRPr="004E7E5A">
              <w:rPr>
                <w:rFonts w:ascii="Times New Roman" w:hAnsi="Times New Roman"/>
                <w:color w:val="000000" w:themeColor="text1"/>
                <w:kern w:val="0"/>
                <w:sz w:val="24"/>
                <w:szCs w:val="24"/>
              </w:rPr>
              <w:instrText xml:space="preserve"> ADDIN EN.CITE &lt;EndNote&gt;&lt;Cite&gt;&lt;Author&gt;Kaplan&lt;/Author&gt;&lt;Year&gt;1997&lt;/Year&gt;&lt;RecNum&gt;1757&lt;/RecNum&gt;&lt;DisplayText&gt;(Kaplan and Zingales 1997)&lt;/DisplayText&gt;&lt;record&gt;&lt;rec-number&gt;1757&lt;/rec-number&gt;&lt;foreign-keys&gt;&lt;key app="EN" db-id="trr00pfsbzzex0ezwf6v5swd9fpfpwfa90xp" timestamp="1591689965" guid="fb174a79-9eda-45a3-8902-5dfe80afac4c"&gt;1757&lt;/key&gt;&lt;/foreign-keys&gt;&lt;ref-type name="Journal Article"&gt;17&lt;/ref-type&gt;&lt;contributors&gt;&lt;authors&gt;&lt;author&gt;Kaplan, Steven N.&lt;/author&gt;&lt;author&gt;Zingales, Luigi. &lt;/author&gt;&lt;/authors&gt;&lt;/contributors&gt;&lt;titles&gt;&lt;title&gt;Do investment-cash flow sensitivities provide useful measures of financing constraints?&lt;/title&gt;&lt;secondary-title&gt;Quarterly Journal of Economics&lt;/secondary-title&gt;&lt;/titles&gt;&lt;periodical&gt;&lt;full-title&gt;Quarterly Journal of Economics&lt;/full-title&gt;&lt;/periodical&gt;&lt;pages&gt;169-215&lt;/pages&gt;&lt;volume&gt;112&lt;/volume&gt;&lt;number&gt;1&lt;/number&gt;&lt;dates&gt;&lt;year&gt;1997&lt;/year&gt;&lt;/dates&gt;&lt;urls&gt;&lt;/urls&gt;&lt;electronic-resource-num&gt;10.1162/003355397555163&lt;/electronic-resource-num&gt;&lt;/record&gt;&lt;/Cite&gt;&lt;/EndNote&gt;</w:instrText>
            </w:r>
            <w:r w:rsidRPr="004E7E5A">
              <w:rPr>
                <w:rFonts w:ascii="Times New Roman" w:hAnsi="Times New Roman"/>
                <w:color w:val="000000" w:themeColor="text1"/>
                <w:kern w:val="0"/>
                <w:sz w:val="24"/>
                <w:szCs w:val="24"/>
              </w:rPr>
              <w:fldChar w:fldCharType="separate"/>
            </w:r>
            <w:r w:rsidRPr="004E7E5A">
              <w:rPr>
                <w:rFonts w:ascii="Times New Roman" w:hAnsi="Times New Roman"/>
                <w:noProof/>
                <w:color w:val="000000" w:themeColor="text1"/>
                <w:kern w:val="0"/>
                <w:sz w:val="24"/>
                <w:szCs w:val="24"/>
              </w:rPr>
              <w:t>(Kaplan and Zingales 1997)</w:t>
            </w:r>
            <w:r w:rsidRPr="004E7E5A">
              <w:rPr>
                <w:rFonts w:ascii="Times New Roman" w:hAnsi="Times New Roman"/>
                <w:color w:val="000000" w:themeColor="text1"/>
                <w:kern w:val="0"/>
                <w:sz w:val="24"/>
                <w:szCs w:val="24"/>
              </w:rPr>
              <w:fldChar w:fldCharType="end"/>
            </w:r>
            <w:r w:rsidRPr="004E7E5A">
              <w:rPr>
                <w:rFonts w:ascii="Times New Roman" w:hAnsi="Times New Roman"/>
                <w:color w:val="000000" w:themeColor="text1"/>
                <w:kern w:val="0"/>
                <w:sz w:val="24"/>
                <w:szCs w:val="24"/>
              </w:rPr>
              <w:t>. Kaplan and Zingales’s (1997) index measured at the end of fiscal year t, calculated as minus 1.002 × cash flow plus 0.283 × Tobin’s</w:t>
            </w:r>
            <w:r w:rsidRPr="004E7E5A">
              <w:rPr>
                <w:rFonts w:ascii="Times New Roman" w:hAnsi="Times New Roman" w:hint="eastAsia"/>
                <w:color w:val="000000" w:themeColor="text1"/>
                <w:kern w:val="0"/>
                <w:sz w:val="24"/>
                <w:szCs w:val="24"/>
              </w:rPr>
              <w:t xml:space="preserve"> Q</w:t>
            </w:r>
            <w:r w:rsidRPr="004E7E5A">
              <w:rPr>
                <w:rFonts w:ascii="Times New Roman" w:hAnsi="Times New Roman"/>
                <w:color w:val="000000" w:themeColor="text1"/>
                <w:kern w:val="0"/>
                <w:sz w:val="24"/>
                <w:szCs w:val="24"/>
              </w:rPr>
              <w:t xml:space="preserve"> plus 3.139 × leverage minus 39.36 × dividends minus 1.315 × cash holdings.</w:t>
            </w:r>
            <w:r w:rsidRPr="004E7E5A">
              <w:rPr>
                <w:rFonts w:ascii="Times New Roman" w:hAnsi="Times New Roman"/>
                <w:color w:val="000000" w:themeColor="text1"/>
              </w:rPr>
              <w:t xml:space="preserve"> </w:t>
            </w:r>
          </w:p>
        </w:tc>
      </w:tr>
      <w:tr w:rsidR="001E3466" w:rsidRPr="004E7E5A" w14:paraId="485E4C59" w14:textId="77777777" w:rsidTr="007A277D">
        <w:trPr>
          <w:trHeight w:val="20"/>
        </w:trPr>
        <w:tc>
          <w:tcPr>
            <w:tcW w:w="2694" w:type="dxa"/>
            <w:tcBorders>
              <w:top w:val="nil"/>
              <w:left w:val="nil"/>
              <w:bottom w:val="single" w:sz="4" w:space="0" w:color="auto"/>
              <w:right w:val="nil"/>
            </w:tcBorders>
            <w:shd w:val="clear" w:color="auto" w:fill="auto"/>
            <w:noWrap/>
          </w:tcPr>
          <w:p w14:paraId="04579303"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color w:val="000000" w:themeColor="text1"/>
                <w:sz w:val="24"/>
                <w:szCs w:val="24"/>
              </w:rPr>
              <w:t>Other</w:t>
            </w:r>
            <w:r w:rsidRPr="004E7E5A">
              <w:rPr>
                <w:rFonts w:ascii="Times New Roman" w:hAnsi="Times New Roman"/>
                <w:i/>
                <w:iCs/>
                <w:color w:val="000000" w:themeColor="text1"/>
                <w:kern w:val="0"/>
                <w:sz w:val="24"/>
                <w:szCs w:val="24"/>
              </w:rPr>
              <w:t xml:space="preserve"> </w:t>
            </w:r>
            <w:r w:rsidRPr="004E7E5A">
              <w:rPr>
                <w:rFonts w:ascii="Times New Roman" w:hAnsi="Times New Roman"/>
                <w:color w:val="000000" w:themeColor="text1"/>
                <w:sz w:val="24"/>
                <w:szCs w:val="24"/>
              </w:rPr>
              <w:t>Variables</w:t>
            </w:r>
          </w:p>
        </w:tc>
        <w:tc>
          <w:tcPr>
            <w:tcW w:w="289" w:type="dxa"/>
            <w:tcBorders>
              <w:top w:val="nil"/>
              <w:left w:val="nil"/>
              <w:bottom w:val="nil"/>
              <w:right w:val="nil"/>
            </w:tcBorders>
            <w:shd w:val="clear" w:color="auto" w:fill="auto"/>
            <w:noWrap/>
          </w:tcPr>
          <w:p w14:paraId="2EAF9090"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2049C02D" w14:textId="77777777" w:rsidR="00222255" w:rsidRPr="004E7E5A" w:rsidRDefault="00222255" w:rsidP="00116073">
            <w:pPr>
              <w:ind w:left="240" w:hangingChars="100" w:hanging="240"/>
              <w:rPr>
                <w:rFonts w:ascii="Times New Roman" w:hAnsi="Times New Roman"/>
                <w:color w:val="000000" w:themeColor="text1"/>
                <w:kern w:val="0"/>
                <w:sz w:val="24"/>
                <w:szCs w:val="24"/>
              </w:rPr>
            </w:pPr>
          </w:p>
        </w:tc>
      </w:tr>
      <w:tr w:rsidR="001E3466" w:rsidRPr="004E7E5A" w14:paraId="3190B1BC" w14:textId="77777777" w:rsidTr="007A277D">
        <w:trPr>
          <w:trHeight w:val="20"/>
        </w:trPr>
        <w:tc>
          <w:tcPr>
            <w:tcW w:w="2694" w:type="dxa"/>
            <w:tcBorders>
              <w:top w:val="single" w:sz="4" w:space="0" w:color="auto"/>
              <w:left w:val="nil"/>
              <w:right w:val="nil"/>
            </w:tcBorders>
            <w:shd w:val="clear" w:color="auto" w:fill="auto"/>
            <w:noWrap/>
          </w:tcPr>
          <w:p w14:paraId="64A3CF8A"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Director convenience</w:t>
            </w:r>
          </w:p>
        </w:tc>
        <w:tc>
          <w:tcPr>
            <w:tcW w:w="289" w:type="dxa"/>
            <w:tcBorders>
              <w:top w:val="nil"/>
              <w:left w:val="nil"/>
              <w:bottom w:val="nil"/>
              <w:right w:val="nil"/>
            </w:tcBorders>
            <w:shd w:val="clear" w:color="auto" w:fill="auto"/>
            <w:noWrap/>
          </w:tcPr>
          <w:p w14:paraId="7B5DDFD5"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5B60F480"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annual passenger throughput of the airport near the location of the listed company.</w:t>
            </w:r>
            <w:r w:rsidRPr="004E7E5A">
              <w:rPr>
                <w:rFonts w:ascii="Times New Roman" w:hAnsi="Times New Roman"/>
                <w:color w:val="000000" w:themeColor="text1"/>
              </w:rPr>
              <w:t xml:space="preserve"> </w:t>
            </w:r>
            <w:r w:rsidRPr="004E7E5A">
              <w:rPr>
                <w:rFonts w:ascii="Times New Roman" w:hAnsi="Times New Roman"/>
                <w:color w:val="000000" w:themeColor="text1"/>
                <w:kern w:val="0"/>
                <w:sz w:val="24"/>
                <w:szCs w:val="24"/>
              </w:rPr>
              <w:t>If there is more than one airport in a city, we choose only the airport with the highest throughput.</w:t>
            </w:r>
          </w:p>
        </w:tc>
      </w:tr>
      <w:tr w:rsidR="001E3466" w:rsidRPr="004E7E5A" w14:paraId="0864954C" w14:textId="77777777" w:rsidTr="007A277D">
        <w:trPr>
          <w:trHeight w:val="20"/>
        </w:trPr>
        <w:tc>
          <w:tcPr>
            <w:tcW w:w="2694" w:type="dxa"/>
            <w:tcBorders>
              <w:left w:val="nil"/>
              <w:bottom w:val="nil"/>
              <w:right w:val="nil"/>
            </w:tcBorders>
            <w:shd w:val="clear" w:color="auto" w:fill="auto"/>
            <w:noWrap/>
          </w:tcPr>
          <w:p w14:paraId="16FF4DF8" w14:textId="77777777" w:rsidR="00222255" w:rsidRPr="004E7E5A" w:rsidRDefault="00222255" w:rsidP="00116073">
            <w:pPr>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Score_max_ind</w:t>
            </w:r>
            <w:proofErr w:type="spellEnd"/>
          </w:p>
        </w:tc>
        <w:tc>
          <w:tcPr>
            <w:tcW w:w="289" w:type="dxa"/>
            <w:tcBorders>
              <w:top w:val="nil"/>
              <w:left w:val="nil"/>
              <w:bottom w:val="nil"/>
              <w:right w:val="nil"/>
            </w:tcBorders>
            <w:shd w:val="clear" w:color="auto" w:fill="auto"/>
            <w:noWrap/>
          </w:tcPr>
          <w:p w14:paraId="5B5EE04F"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61D01FE6"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 xml:space="preserve">The sum of the three centrality measures of the maximum </w:t>
            </w:r>
            <w:r w:rsidRPr="004E7E5A">
              <w:rPr>
                <w:rFonts w:ascii="Times New Roman" w:hAnsi="Times New Roman"/>
                <w:color w:val="000000" w:themeColor="text1"/>
                <w:kern w:val="0"/>
                <w:sz w:val="24"/>
                <w:szCs w:val="24"/>
              </w:rPr>
              <w:lastRenderedPageBreak/>
              <w:t>values of each firm’ independent directors.</w:t>
            </w:r>
          </w:p>
        </w:tc>
      </w:tr>
      <w:tr w:rsidR="001E3466" w:rsidRPr="004E7E5A" w14:paraId="78D03094" w14:textId="77777777" w:rsidTr="007A277D">
        <w:trPr>
          <w:trHeight w:val="20"/>
        </w:trPr>
        <w:tc>
          <w:tcPr>
            <w:tcW w:w="2694" w:type="dxa"/>
            <w:tcBorders>
              <w:top w:val="nil"/>
              <w:left w:val="nil"/>
              <w:bottom w:val="nil"/>
              <w:right w:val="nil"/>
            </w:tcBorders>
            <w:shd w:val="clear" w:color="auto" w:fill="auto"/>
            <w:noWrap/>
          </w:tcPr>
          <w:p w14:paraId="15C036D0" w14:textId="77777777" w:rsidR="00222255" w:rsidRPr="004E7E5A" w:rsidRDefault="00222255" w:rsidP="00116073">
            <w:pPr>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lastRenderedPageBreak/>
              <w:t>Score_mean_ind</w:t>
            </w:r>
            <w:proofErr w:type="spellEnd"/>
          </w:p>
        </w:tc>
        <w:tc>
          <w:tcPr>
            <w:tcW w:w="289" w:type="dxa"/>
            <w:tcBorders>
              <w:top w:val="nil"/>
              <w:left w:val="nil"/>
              <w:bottom w:val="nil"/>
              <w:right w:val="nil"/>
            </w:tcBorders>
            <w:shd w:val="clear" w:color="auto" w:fill="auto"/>
            <w:noWrap/>
          </w:tcPr>
          <w:p w14:paraId="0A0397DE"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46E5CC02"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sum of the three centrality measures of the mean values of each firm’ independent directors.</w:t>
            </w:r>
          </w:p>
        </w:tc>
      </w:tr>
      <w:tr w:rsidR="001E3466" w:rsidRPr="004E7E5A" w14:paraId="6585E94C" w14:textId="77777777" w:rsidTr="007A277D">
        <w:trPr>
          <w:trHeight w:val="20"/>
        </w:trPr>
        <w:tc>
          <w:tcPr>
            <w:tcW w:w="2694" w:type="dxa"/>
            <w:tcBorders>
              <w:top w:val="nil"/>
              <w:left w:val="nil"/>
              <w:bottom w:val="nil"/>
              <w:right w:val="nil"/>
            </w:tcBorders>
            <w:shd w:val="clear" w:color="auto" w:fill="auto"/>
            <w:noWrap/>
          </w:tcPr>
          <w:p w14:paraId="65E4A562" w14:textId="77777777" w:rsidR="00222255" w:rsidRPr="004E7E5A" w:rsidRDefault="00222255" w:rsidP="00116073">
            <w:pPr>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Score_med_ind</w:t>
            </w:r>
            <w:proofErr w:type="spellEnd"/>
          </w:p>
        </w:tc>
        <w:tc>
          <w:tcPr>
            <w:tcW w:w="289" w:type="dxa"/>
            <w:tcBorders>
              <w:top w:val="nil"/>
              <w:left w:val="nil"/>
              <w:bottom w:val="nil"/>
              <w:right w:val="nil"/>
            </w:tcBorders>
            <w:shd w:val="clear" w:color="auto" w:fill="auto"/>
            <w:noWrap/>
          </w:tcPr>
          <w:p w14:paraId="0FA9981E"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783D5F82"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sum of the three centrality measures of the median values of each firm’ independent directors.</w:t>
            </w:r>
          </w:p>
        </w:tc>
      </w:tr>
      <w:tr w:rsidR="001E3466" w:rsidRPr="004E7E5A" w14:paraId="76F65AB8" w14:textId="77777777" w:rsidTr="007A277D">
        <w:trPr>
          <w:trHeight w:val="20"/>
        </w:trPr>
        <w:tc>
          <w:tcPr>
            <w:tcW w:w="2694" w:type="dxa"/>
            <w:tcBorders>
              <w:top w:val="nil"/>
              <w:left w:val="nil"/>
              <w:bottom w:val="nil"/>
              <w:right w:val="nil"/>
            </w:tcBorders>
            <w:shd w:val="clear" w:color="auto" w:fill="auto"/>
            <w:noWrap/>
          </w:tcPr>
          <w:p w14:paraId="5D53F82D" w14:textId="77777777" w:rsidR="00222255" w:rsidRPr="004E7E5A" w:rsidRDefault="00222255" w:rsidP="00116073">
            <w:pPr>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Score_min_ind</w:t>
            </w:r>
            <w:proofErr w:type="spellEnd"/>
          </w:p>
        </w:tc>
        <w:tc>
          <w:tcPr>
            <w:tcW w:w="289" w:type="dxa"/>
            <w:tcBorders>
              <w:top w:val="nil"/>
              <w:left w:val="nil"/>
              <w:bottom w:val="nil"/>
              <w:right w:val="nil"/>
            </w:tcBorders>
            <w:shd w:val="clear" w:color="auto" w:fill="auto"/>
            <w:noWrap/>
          </w:tcPr>
          <w:p w14:paraId="7964C1F1"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29713476"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sum of the three centrality measures of the minimum values of each firm’ independent directors.</w:t>
            </w:r>
          </w:p>
        </w:tc>
      </w:tr>
      <w:tr w:rsidR="001E3466" w:rsidRPr="004E7E5A" w14:paraId="7422CCD6" w14:textId="77777777" w:rsidTr="007A277D">
        <w:trPr>
          <w:trHeight w:val="20"/>
        </w:trPr>
        <w:tc>
          <w:tcPr>
            <w:tcW w:w="2694" w:type="dxa"/>
            <w:tcBorders>
              <w:top w:val="nil"/>
              <w:left w:val="nil"/>
              <w:bottom w:val="nil"/>
              <w:right w:val="nil"/>
            </w:tcBorders>
            <w:shd w:val="clear" w:color="auto" w:fill="auto"/>
            <w:noWrap/>
          </w:tcPr>
          <w:p w14:paraId="64034C76"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Political connections</w:t>
            </w:r>
          </w:p>
        </w:tc>
        <w:tc>
          <w:tcPr>
            <w:tcW w:w="289" w:type="dxa"/>
            <w:tcBorders>
              <w:top w:val="nil"/>
              <w:left w:val="nil"/>
              <w:bottom w:val="nil"/>
              <w:right w:val="nil"/>
            </w:tcBorders>
            <w:shd w:val="clear" w:color="auto" w:fill="auto"/>
            <w:noWrap/>
          </w:tcPr>
          <w:p w14:paraId="6D994260"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nil"/>
              <w:right w:val="nil"/>
            </w:tcBorders>
            <w:shd w:val="clear" w:color="auto" w:fill="auto"/>
          </w:tcPr>
          <w:p w14:paraId="2B945237" w14:textId="77777777" w:rsidR="00222255" w:rsidRPr="004E7E5A" w:rsidRDefault="00222255" w:rsidP="00116073">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An indicator variable equal to 1 if one of the</w:t>
            </w:r>
            <w:r w:rsidRPr="004E7E5A">
              <w:rPr>
                <w:rFonts w:ascii="Times New Roman" w:hAnsi="Times New Roman"/>
                <w:color w:val="000000" w:themeColor="text1"/>
                <w:kern w:val="0"/>
                <w:sz w:val="24"/>
                <w:szCs w:val="24"/>
              </w:rPr>
              <w:t xml:space="preserve"> directors, supervisors, and senior executives in a firm is politically connected</w:t>
            </w:r>
            <w:r w:rsidRPr="004E7E5A">
              <w:rPr>
                <w:rFonts w:ascii="Times New Roman" w:eastAsia="Times New Roman" w:hAnsi="Times New Roman"/>
                <w:color w:val="000000" w:themeColor="text1"/>
                <w:sz w:val="24"/>
                <w:szCs w:val="24"/>
                <w:lang w:eastAsia="en-GB"/>
              </w:rPr>
              <w:t>, and 0 otherwise</w:t>
            </w:r>
            <w:r w:rsidRPr="004E7E5A">
              <w:rPr>
                <w:rFonts w:ascii="Times New Roman" w:hAnsi="Times New Roman"/>
                <w:color w:val="000000" w:themeColor="text1"/>
                <w:kern w:val="0"/>
                <w:sz w:val="24"/>
                <w:szCs w:val="24"/>
              </w:rPr>
              <w:t>.</w:t>
            </w:r>
          </w:p>
        </w:tc>
      </w:tr>
      <w:tr w:rsidR="00222255" w:rsidRPr="004E7E5A" w14:paraId="698E4D79" w14:textId="77777777" w:rsidTr="007A277D">
        <w:trPr>
          <w:trHeight w:val="20"/>
        </w:trPr>
        <w:tc>
          <w:tcPr>
            <w:tcW w:w="2694" w:type="dxa"/>
            <w:tcBorders>
              <w:top w:val="nil"/>
              <w:left w:val="nil"/>
              <w:bottom w:val="single" w:sz="4" w:space="0" w:color="auto"/>
              <w:right w:val="nil"/>
            </w:tcBorders>
            <w:shd w:val="clear" w:color="auto" w:fill="auto"/>
            <w:noWrap/>
          </w:tcPr>
          <w:p w14:paraId="76192B2B" w14:textId="77777777" w:rsidR="00222255" w:rsidRPr="004E7E5A" w:rsidRDefault="00222255" w:rsidP="00116073">
            <w:pPr>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Overseas</w:t>
            </w:r>
          </w:p>
        </w:tc>
        <w:tc>
          <w:tcPr>
            <w:tcW w:w="289" w:type="dxa"/>
            <w:tcBorders>
              <w:top w:val="nil"/>
              <w:left w:val="nil"/>
              <w:bottom w:val="single" w:sz="4" w:space="0" w:color="auto"/>
              <w:right w:val="nil"/>
            </w:tcBorders>
            <w:shd w:val="clear" w:color="auto" w:fill="auto"/>
            <w:noWrap/>
          </w:tcPr>
          <w:p w14:paraId="3E9A1385" w14:textId="77777777" w:rsidR="00222255" w:rsidRPr="004E7E5A" w:rsidRDefault="00222255" w:rsidP="00116073">
            <w:pPr>
              <w:jc w:val="center"/>
              <w:rPr>
                <w:rFonts w:ascii="Times New Roman" w:eastAsia="Times New Roman" w:hAnsi="Times New Roman"/>
                <w:color w:val="000000" w:themeColor="text1"/>
                <w:sz w:val="24"/>
                <w:szCs w:val="24"/>
                <w:lang w:eastAsia="en-GB"/>
              </w:rPr>
            </w:pPr>
          </w:p>
        </w:tc>
        <w:tc>
          <w:tcPr>
            <w:tcW w:w="6087" w:type="dxa"/>
            <w:tcBorders>
              <w:top w:val="nil"/>
              <w:left w:val="nil"/>
              <w:bottom w:val="single" w:sz="4" w:space="0" w:color="auto"/>
              <w:right w:val="nil"/>
            </w:tcBorders>
            <w:shd w:val="clear" w:color="auto" w:fill="auto"/>
          </w:tcPr>
          <w:p w14:paraId="37EBBBBF" w14:textId="77777777" w:rsidR="00222255" w:rsidRPr="004E7E5A" w:rsidRDefault="00222255" w:rsidP="00116073">
            <w:pPr>
              <w:ind w:left="240" w:hangingChars="100" w:hanging="240"/>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An indicator variable equal to 1 if one of the</w:t>
            </w:r>
            <w:r w:rsidRPr="004E7E5A">
              <w:rPr>
                <w:rFonts w:ascii="Times New Roman" w:hAnsi="Times New Roman"/>
                <w:color w:val="000000" w:themeColor="text1"/>
                <w:kern w:val="0"/>
                <w:sz w:val="24"/>
                <w:szCs w:val="24"/>
              </w:rPr>
              <w:t xml:space="preserve"> directors has overseas study or working experience,</w:t>
            </w:r>
            <w:r w:rsidRPr="004E7E5A">
              <w:rPr>
                <w:rFonts w:ascii="Times New Roman" w:eastAsia="Times New Roman" w:hAnsi="Times New Roman"/>
                <w:color w:val="000000" w:themeColor="text1"/>
                <w:sz w:val="24"/>
                <w:szCs w:val="24"/>
                <w:lang w:eastAsia="en-GB"/>
              </w:rPr>
              <w:t xml:space="preserve"> and 0 otherwise</w:t>
            </w:r>
            <w:r w:rsidRPr="004E7E5A">
              <w:rPr>
                <w:rFonts w:ascii="Times New Roman" w:hAnsi="Times New Roman"/>
                <w:color w:val="000000" w:themeColor="text1"/>
                <w:kern w:val="0"/>
                <w:sz w:val="24"/>
                <w:szCs w:val="24"/>
              </w:rPr>
              <w:t>.</w:t>
            </w:r>
          </w:p>
        </w:tc>
      </w:tr>
    </w:tbl>
    <w:p w14:paraId="133F18EA" w14:textId="77777777" w:rsidR="00222255" w:rsidRPr="004E7E5A" w:rsidRDefault="00222255" w:rsidP="00222255">
      <w:pPr>
        <w:widowControl/>
        <w:spacing w:line="480" w:lineRule="auto"/>
        <w:jc w:val="center"/>
        <w:rPr>
          <w:rFonts w:ascii="Times New Roman" w:eastAsia="宋体" w:hAnsi="Times New Roman"/>
          <w:color w:val="000000" w:themeColor="text1"/>
          <w:sz w:val="24"/>
          <w:szCs w:val="24"/>
        </w:rPr>
      </w:pPr>
    </w:p>
    <w:p w14:paraId="76AB8971" w14:textId="77777777" w:rsidR="00222255" w:rsidRPr="004E7E5A" w:rsidRDefault="00222255" w:rsidP="00222255">
      <w:pPr>
        <w:pStyle w:val="4"/>
        <w:spacing w:before="0" w:after="0" w:line="480" w:lineRule="auto"/>
        <w:rPr>
          <w:i/>
          <w:iCs/>
          <w:color w:val="000000" w:themeColor="text1"/>
        </w:rPr>
        <w:sectPr w:rsidR="00222255" w:rsidRPr="004E7E5A" w:rsidSect="008F110D">
          <w:pgSz w:w="11906" w:h="16838"/>
          <w:pgMar w:top="1701" w:right="1418" w:bottom="1361" w:left="1418" w:header="1134" w:footer="1134" w:gutter="0"/>
          <w:cols w:space="425"/>
          <w:docGrid w:type="lines" w:linePitch="312"/>
        </w:sectPr>
      </w:pPr>
    </w:p>
    <w:p w14:paraId="2DC4BC59" w14:textId="77777777" w:rsidR="00222255" w:rsidRPr="004E7E5A" w:rsidRDefault="00222255" w:rsidP="00222255">
      <w:pPr>
        <w:pStyle w:val="4"/>
        <w:spacing w:before="0" w:after="0" w:line="480" w:lineRule="auto"/>
        <w:rPr>
          <w:rFonts w:eastAsia="Times New Roman"/>
          <w:color w:val="000000" w:themeColor="text1"/>
          <w:szCs w:val="24"/>
          <w:lang w:eastAsia="en-GB"/>
        </w:rPr>
      </w:pPr>
      <w:r w:rsidRPr="004E7E5A">
        <w:rPr>
          <w:color w:val="000000" w:themeColor="text1"/>
        </w:rPr>
        <w:lastRenderedPageBreak/>
        <w:t xml:space="preserve">Appendix B: </w:t>
      </w:r>
      <w:r w:rsidRPr="004E7E5A">
        <w:rPr>
          <w:rFonts w:eastAsia="Times New Roman"/>
          <w:color w:val="000000" w:themeColor="text1"/>
          <w:szCs w:val="24"/>
          <w:lang w:eastAsia="en-GB"/>
        </w:rPr>
        <w:t xml:space="preserve">Details of </w:t>
      </w:r>
      <w:r w:rsidRPr="004E7E5A">
        <w:rPr>
          <w:color w:val="000000" w:themeColor="text1"/>
          <w:szCs w:val="24"/>
        </w:rPr>
        <w:t xml:space="preserve">Centrality Measures </w:t>
      </w:r>
      <w:r w:rsidRPr="004E7E5A">
        <w:rPr>
          <w:rFonts w:eastAsia="Times New Roman"/>
          <w:color w:val="000000" w:themeColor="text1"/>
          <w:szCs w:val="24"/>
          <w:lang w:eastAsia="en-GB"/>
        </w:rPr>
        <w:t xml:space="preserve">and </w:t>
      </w:r>
      <w:r w:rsidRPr="004E7E5A">
        <w:rPr>
          <w:color w:val="000000" w:themeColor="text1"/>
        </w:rPr>
        <w:t>Process of Generating Networking Data</w:t>
      </w:r>
      <w:r w:rsidRPr="004E7E5A">
        <w:rPr>
          <w:rFonts w:eastAsia="Times New Roman"/>
          <w:color w:val="000000" w:themeColor="text1"/>
          <w:szCs w:val="24"/>
          <w:lang w:eastAsia="en-GB"/>
        </w:rPr>
        <w:t xml:space="preserve"> </w:t>
      </w:r>
    </w:p>
    <w:p w14:paraId="6F7A6564" w14:textId="77777777" w:rsidR="00222255" w:rsidRPr="004E7E5A" w:rsidRDefault="00222255" w:rsidP="00222255">
      <w:pPr>
        <w:pStyle w:val="4"/>
        <w:spacing w:before="0" w:after="0" w:line="480" w:lineRule="auto"/>
        <w:rPr>
          <w:i/>
          <w:iCs/>
          <w:color w:val="000000" w:themeColor="text1"/>
        </w:rPr>
      </w:pPr>
      <w:r w:rsidRPr="004E7E5A">
        <w:rPr>
          <w:i/>
          <w:iCs/>
          <w:color w:val="000000" w:themeColor="text1"/>
        </w:rPr>
        <w:t>Details of Centrality Measures</w:t>
      </w:r>
    </w:p>
    <w:p w14:paraId="45909CF9" w14:textId="3951F15B" w:rsidR="00222255" w:rsidRPr="004E7E5A" w:rsidRDefault="00222255" w:rsidP="00222255">
      <w:pPr>
        <w:pStyle w:val="a7"/>
        <w:spacing w:line="480" w:lineRule="auto"/>
        <w:ind w:firstLine="480"/>
        <w:rPr>
          <w:rFonts w:cs="Times New Roman"/>
        </w:rPr>
      </w:pPr>
      <w:r w:rsidRPr="004E7E5A">
        <w:rPr>
          <w:rFonts w:cs="Times New Roman"/>
        </w:rPr>
        <w:t xml:space="preserve">Following literature </w:t>
      </w:r>
      <w:r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00FA31BA" w:rsidRPr="004E7E5A">
        <w:rPr>
          <w:rFonts w:cs="Times New Roman"/>
          <w:noProof/>
        </w:rPr>
        <w:t>(Freeman 1978; Larcker et al. 2013; Wasserman and Faust 1994)</w:t>
      </w:r>
      <w:r w:rsidRPr="004E7E5A">
        <w:rPr>
          <w:rFonts w:cs="Times New Roman"/>
        </w:rPr>
        <w:fldChar w:fldCharType="end"/>
      </w:r>
      <w:r w:rsidRPr="004E7E5A">
        <w:rPr>
          <w:rFonts w:cs="Times New Roman"/>
        </w:rPr>
        <w:t xml:space="preserve">, we focus on the three commonly used measures of centrality: degree, betweenness, and closeness centrality. We describe each dimension conceptually and how they are measured as follows </w:t>
      </w:r>
      <w:r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00FA31BA" w:rsidRPr="004E7E5A">
        <w:rPr>
          <w:rFonts w:cs="Times New Roman"/>
          <w:noProof/>
        </w:rPr>
        <w:t>(Freeman 1978; Larcker et al. 2013; Wasserman and Faust 1994)</w:t>
      </w:r>
      <w:r w:rsidRPr="004E7E5A">
        <w:rPr>
          <w:rFonts w:cs="Times New Roman"/>
        </w:rPr>
        <w:fldChar w:fldCharType="end"/>
      </w:r>
      <w:r w:rsidRPr="004E7E5A">
        <w:rPr>
          <w:rFonts w:cs="Times New Roman"/>
        </w:rPr>
        <w:t>:</w:t>
      </w:r>
    </w:p>
    <w:p w14:paraId="57E2C8CF" w14:textId="77777777" w:rsidR="00222255" w:rsidRPr="004E7E5A" w:rsidRDefault="00222255" w:rsidP="00222255">
      <w:pPr>
        <w:pStyle w:val="a7"/>
        <w:spacing w:line="480" w:lineRule="auto"/>
        <w:ind w:firstLine="480"/>
        <w:rPr>
          <w:rFonts w:cs="Times New Roman"/>
        </w:rPr>
      </w:pPr>
      <w:r w:rsidRPr="004E7E5A">
        <w:rPr>
          <w:rFonts w:cs="Times New Roman"/>
        </w:rPr>
        <w:t>(1) Degree Centrality</w:t>
      </w:r>
    </w:p>
    <w:p w14:paraId="2C7CC5CD" w14:textId="638AB993" w:rsidR="00197EDB" w:rsidRPr="004E7E5A" w:rsidRDefault="00222255" w:rsidP="00222255">
      <w:pPr>
        <w:pStyle w:val="a7"/>
        <w:spacing w:line="480" w:lineRule="auto"/>
        <w:ind w:firstLine="480"/>
        <w:rPr>
          <w:rFonts w:cs="Times New Roman"/>
        </w:rPr>
      </w:pPr>
      <w:r w:rsidRPr="004E7E5A">
        <w:rPr>
          <w:rFonts w:cs="Times New Roman"/>
        </w:rPr>
        <w:t xml:space="preserve">If a director possesses relatively many channels of communication or resource exchange, this director is well-connected. This concept is measured by degree centrality, which assumes that directors know each other if they sit on the same board of a firm </w:t>
      </w:r>
      <w:r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00FA31BA" w:rsidRPr="004E7E5A">
        <w:rPr>
          <w:rFonts w:cs="Times New Roman"/>
          <w:noProof/>
        </w:rPr>
        <w:t>(Freeman 1978; Larcker et al. 2013; Wasserman and Faust 1994)</w:t>
      </w:r>
      <w:r w:rsidRPr="004E7E5A">
        <w:rPr>
          <w:rFonts w:cs="Times New Roman"/>
        </w:rPr>
        <w:fldChar w:fldCharType="end"/>
      </w:r>
      <w:r w:rsidRPr="004E7E5A">
        <w:rPr>
          <w:rFonts w:cs="Times New Roman"/>
        </w:rPr>
        <w:t xml:space="preserve">. </w:t>
      </w:r>
      <w:r w:rsidR="003C2418" w:rsidRPr="004E7E5A">
        <w:rPr>
          <w:rFonts w:cs="Times New Roman"/>
        </w:rPr>
        <w:t>Degree centrality is computed as follows:</w:t>
      </w:r>
      <w:r w:rsidR="00446B6D" w:rsidRPr="004E7E5A">
        <w:rPr>
          <w:rFonts w:cs="Times New Roman"/>
        </w:rPr>
        <w:t xml:space="preserve"> </w:t>
      </w:r>
    </w:p>
    <w:p w14:paraId="49BD0AE3" w14:textId="766C2D06" w:rsidR="00197EDB" w:rsidRPr="004E7E5A" w:rsidRDefault="00197EDB" w:rsidP="00177F85">
      <w:pPr>
        <w:pStyle w:val="a7"/>
        <w:spacing w:line="480" w:lineRule="auto"/>
        <w:ind w:firstLine="480"/>
        <w:rPr>
          <w:rFonts w:cs="Times New Roman"/>
        </w:rPr>
      </w:pPr>
      <w:r w:rsidRPr="004E7E5A">
        <w:rPr>
          <w:rFonts w:cs="Times New Roman"/>
        </w:rPr>
        <w:t xml:space="preserve">                       </w:t>
      </w:r>
      <m:oMath>
        <m:sSub>
          <m:sSubPr>
            <m:ctrlPr>
              <w:rPr>
                <w:rFonts w:ascii="Cambria Math" w:hAnsi="Cambria Math" w:cs="Times New Roman"/>
                <w:szCs w:val="24"/>
              </w:rPr>
            </m:ctrlPr>
          </m:sSubPr>
          <m:e>
            <m:r>
              <w:rPr>
                <w:rFonts w:ascii="Cambria Math" w:hAnsi="Cambria Math" w:cs="Times New Roman"/>
                <w:szCs w:val="24"/>
              </w:rPr>
              <m:t>Degree</m:t>
            </m:r>
          </m:e>
          <m:sub>
            <m:r>
              <w:rPr>
                <w:rFonts w:ascii="Cambria Math" w:hAnsi="Cambria Math" w:cs="Times New Roman"/>
                <w:szCs w:val="24"/>
              </w:rPr>
              <m:t>i</m:t>
            </m:r>
          </m:sub>
        </m:sSub>
        <m:r>
          <w:rPr>
            <w:rFonts w:ascii="Cambria Math" w:hAnsi="Cambria Math" w:cs="Times New Roman"/>
            <w:szCs w:val="24"/>
          </w:rPr>
          <m:t>=</m:t>
        </m:r>
        <m:f>
          <m:fPr>
            <m:ctrlPr>
              <w:rPr>
                <w:rFonts w:ascii="Cambria Math" w:hAnsi="Cambria Math" w:cs="Times New Roman"/>
                <w:szCs w:val="24"/>
              </w:rPr>
            </m:ctrlPr>
          </m:fPr>
          <m:num>
            <m:nary>
              <m:naryPr>
                <m:chr m:val="∑"/>
                <m:limLoc m:val="undOvr"/>
                <m:supHide m:val="1"/>
                <m:ctrlPr>
                  <w:rPr>
                    <w:rFonts w:ascii="Cambria Math" w:hAnsi="Cambria Math" w:cs="Times New Roman"/>
                    <w:szCs w:val="24"/>
                  </w:rPr>
                </m:ctrlPr>
              </m:naryPr>
              <m:sub>
                <m:r>
                  <w:rPr>
                    <w:rFonts w:ascii="Cambria Math" w:hAnsi="Cambria Math" w:cs="Times New Roman"/>
                    <w:szCs w:val="24"/>
                  </w:rPr>
                  <m:t>j</m:t>
                </m:r>
              </m:sub>
              <m:sup/>
              <m:e>
                <m:sSub>
                  <m:sSubPr>
                    <m:ctrlPr>
                      <w:rPr>
                        <w:rFonts w:ascii="Cambria Math" w:hAnsi="Cambria Math" w:cs="Times New Roman"/>
                        <w:szCs w:val="24"/>
                      </w:rPr>
                    </m:ctrlPr>
                  </m:sSubPr>
                  <m:e>
                    <m:r>
                      <w:rPr>
                        <w:rFonts w:ascii="Cambria Math" w:hAnsi="Cambria Math" w:cs="Times New Roman"/>
                        <w:szCs w:val="24"/>
                      </w:rPr>
                      <m:t>X</m:t>
                    </m:r>
                  </m:e>
                  <m:sub>
                    <m:r>
                      <w:rPr>
                        <w:rFonts w:ascii="Cambria Math" w:hAnsi="Cambria Math" w:cs="Times New Roman"/>
                        <w:szCs w:val="24"/>
                      </w:rPr>
                      <m:t>ij</m:t>
                    </m:r>
                  </m:sub>
                </m:sSub>
              </m:e>
            </m:nary>
          </m:num>
          <m:den>
            <m:r>
              <w:rPr>
                <w:rFonts w:ascii="Cambria Math" w:hAnsi="Cambria Math" w:cs="Times New Roman"/>
                <w:szCs w:val="24"/>
              </w:rPr>
              <m:t>g-1</m:t>
            </m:r>
          </m:den>
        </m:f>
      </m:oMath>
      <w:r w:rsidRPr="004E7E5A">
        <w:rPr>
          <w:rFonts w:cs="Times New Roman"/>
        </w:rPr>
        <w:t xml:space="preserve">                              (</w:t>
      </w:r>
      <w:r w:rsidR="00CF4430" w:rsidRPr="004E7E5A">
        <w:rPr>
          <w:rFonts w:cs="Times New Roman"/>
        </w:rPr>
        <w:t>1</w:t>
      </w:r>
      <w:r w:rsidRPr="004E7E5A">
        <w:rPr>
          <w:rFonts w:cs="Times New Roman"/>
        </w:rPr>
        <w:t>)</w:t>
      </w:r>
    </w:p>
    <w:p w14:paraId="54EF480B" w14:textId="1D97DA38" w:rsidR="00E33C60" w:rsidRPr="004E7E5A" w:rsidRDefault="005E4376" w:rsidP="00197EDB">
      <w:pPr>
        <w:pStyle w:val="a7"/>
        <w:spacing w:line="480" w:lineRule="auto"/>
        <w:ind w:firstLine="480"/>
        <w:rPr>
          <w:rFonts w:cs="Times New Roman"/>
        </w:rPr>
      </w:pPr>
      <w:r w:rsidRPr="004E7E5A">
        <w:rPr>
          <w:rFonts w:cs="Times New Roman"/>
        </w:rPr>
        <w:t xml:space="preserve">Where </w:t>
      </w:r>
      <m:oMath>
        <m:r>
          <w:rPr>
            <w:rFonts w:ascii="Cambria Math" w:hAnsi="Cambria Math" w:cs="Times New Roman"/>
          </w:rPr>
          <m:t>g</m:t>
        </m:r>
      </m:oMath>
      <w:r w:rsidRPr="004E7E5A">
        <w:rPr>
          <w:rFonts w:cs="Times New Roman"/>
        </w:rPr>
        <w:t xml:space="preserve"> is the total number of directors of all the listed firms in the same year, </w:t>
      </w:r>
      <w:proofErr w:type="spellStart"/>
      <w:r w:rsidRPr="004E7E5A">
        <w:rPr>
          <w:rFonts w:cs="Times New Roman"/>
          <w:i/>
          <w:iCs/>
        </w:rPr>
        <w:t>i</w:t>
      </w:r>
      <w:proofErr w:type="spellEnd"/>
      <w:r w:rsidRPr="004E7E5A">
        <w:rPr>
          <w:rFonts w:cs="Times New Roman"/>
        </w:rPr>
        <w:t xml:space="preserve"> is a director, </w:t>
      </w:r>
      <w:r w:rsidRPr="004E7E5A">
        <w:rPr>
          <w:rFonts w:cs="Times New Roman"/>
          <w:i/>
          <w:iCs/>
        </w:rPr>
        <w:t>j</w:t>
      </w:r>
      <w:r w:rsidRPr="004E7E5A">
        <w:rPr>
          <w:rFonts w:cs="Times New Roman"/>
        </w:rPr>
        <w:t xml:space="preserve"> is a director other than</w:t>
      </w:r>
      <w:r w:rsidRPr="004E7E5A">
        <w:rPr>
          <w:rFonts w:cs="Times New Roman"/>
          <w:i/>
          <w:iCs/>
        </w:rPr>
        <w:t xml:space="preserve"> </w:t>
      </w:r>
      <w:proofErr w:type="spellStart"/>
      <w:r w:rsidRPr="004E7E5A">
        <w:rPr>
          <w:rFonts w:cs="Times New Roman"/>
          <w:i/>
          <w:iCs/>
        </w:rPr>
        <w:t>i</w:t>
      </w:r>
      <w:proofErr w:type="spellEnd"/>
      <w:r w:rsidRPr="004E7E5A">
        <w:rPr>
          <w:rFonts w:cs="Times New Roman"/>
        </w:rPr>
        <w:t xml:space="preserve">. If directors </w:t>
      </w:r>
      <w:proofErr w:type="spellStart"/>
      <w:r w:rsidRPr="004E7E5A">
        <w:rPr>
          <w:rFonts w:cs="Times New Roman"/>
          <w:i/>
          <w:iCs/>
        </w:rPr>
        <w:t>i</w:t>
      </w:r>
      <w:proofErr w:type="spellEnd"/>
      <w:r w:rsidRPr="004E7E5A">
        <w:rPr>
          <w:rFonts w:cs="Times New Roman"/>
        </w:rPr>
        <w:t xml:space="preserve"> and </w:t>
      </w:r>
      <w:r w:rsidRPr="004E7E5A">
        <w:rPr>
          <w:rFonts w:cs="Times New Roman"/>
          <w:i/>
          <w:iCs/>
        </w:rPr>
        <w:t>j</w:t>
      </w:r>
      <w:r w:rsidRPr="004E7E5A">
        <w:rPr>
          <w:rFonts w:cs="Times New Roman"/>
        </w:rPr>
        <w:t xml:space="preserve"> both serve on the same board</w:t>
      </w:r>
      <w:r w:rsidR="00197EDB" w:rsidRPr="004E7E5A">
        <w:rPr>
          <w:rFonts w:cs="Times New Roman"/>
        </w:rPr>
        <w:t xml:space="preserve">, </w:t>
      </w:r>
      <m:oMath>
        <m:sSub>
          <m:sSubPr>
            <m:ctrlPr>
              <w:rPr>
                <w:rFonts w:ascii="Cambria Math" w:hAnsi="Cambria Math" w:cs="Times New Roman"/>
                <w:i/>
                <w:iCs/>
              </w:rPr>
            </m:ctrlPr>
          </m:sSubPr>
          <m:e>
            <m:r>
              <w:rPr>
                <w:rFonts w:ascii="Cambria Math" w:hAnsi="Cambria Math" w:cs="Times New Roman"/>
              </w:rPr>
              <m:t>X</m:t>
            </m:r>
          </m:e>
          <m:sub>
            <m:r>
              <w:rPr>
                <w:rFonts w:ascii="Cambria Math" w:hAnsi="Cambria Math" w:cs="Times New Roman"/>
              </w:rPr>
              <m:t>ij</m:t>
            </m:r>
          </m:sub>
        </m:sSub>
      </m:oMath>
      <w:r w:rsidR="00197EDB" w:rsidRPr="004E7E5A">
        <w:rPr>
          <w:rFonts w:cs="Times New Roman"/>
        </w:rPr>
        <w:t xml:space="preserve"> is 1, and otherwise 0.</w:t>
      </w:r>
      <w:r w:rsidR="002778D9" w:rsidRPr="004E7E5A">
        <w:rPr>
          <w:rFonts w:cs="Times New Roman"/>
        </w:rPr>
        <w:t xml:space="preserve"> </w:t>
      </w:r>
    </w:p>
    <w:p w14:paraId="596C7E54" w14:textId="490ED85A" w:rsidR="00197EDB" w:rsidRPr="004E7E5A" w:rsidRDefault="00197EDB" w:rsidP="00197EDB">
      <w:pPr>
        <w:pStyle w:val="a7"/>
        <w:spacing w:line="480" w:lineRule="auto"/>
        <w:ind w:firstLine="480"/>
        <w:rPr>
          <w:rFonts w:cs="Times New Roman"/>
        </w:rPr>
      </w:pPr>
      <w:r w:rsidRPr="004E7E5A">
        <w:rPr>
          <w:rFonts w:cs="Times New Roman"/>
        </w:rPr>
        <w:t>(2)</w:t>
      </w:r>
      <w:r w:rsidR="00DA1EA5" w:rsidRPr="004E7E5A">
        <w:rPr>
          <w:rFonts w:cs="Times New Roman"/>
        </w:rPr>
        <w:t xml:space="preserve"> </w:t>
      </w:r>
      <w:r w:rsidRPr="004E7E5A">
        <w:rPr>
          <w:rFonts w:cs="Times New Roman"/>
        </w:rPr>
        <w:t>Betweenness Centrality</w:t>
      </w:r>
    </w:p>
    <w:p w14:paraId="17D20F42" w14:textId="09EBEF40" w:rsidR="00A53CFE" w:rsidRPr="004E7E5A" w:rsidRDefault="00A53CFE" w:rsidP="00A53CFE">
      <w:pPr>
        <w:pStyle w:val="a7"/>
        <w:spacing w:line="480" w:lineRule="auto"/>
        <w:ind w:firstLine="480"/>
        <w:rPr>
          <w:rFonts w:cs="Times New Roman"/>
        </w:rPr>
      </w:pPr>
      <w:r w:rsidRPr="004E7E5A">
        <w:rPr>
          <w:rFonts w:cs="Times New Roman"/>
        </w:rPr>
        <w:t xml:space="preserve">If a director lies on relatively more paths between pairs of other directors, which is vital in connecting directors to each other and a key broker of information or resource exchange, this director is well-connected. This concept is measured by betweenness centrality, which represents how important a director is in connecting other directors to each other. Betweenness centrality is defined to be the average proportion of paths between two </w:t>
      </w:r>
      <w:proofErr w:type="spellStart"/>
      <w:r w:rsidRPr="004E7E5A">
        <w:rPr>
          <w:rFonts w:cs="Times New Roman"/>
        </w:rPr>
        <w:t>direcoetors</w:t>
      </w:r>
      <w:proofErr w:type="spellEnd"/>
      <w:r w:rsidRPr="004E7E5A">
        <w:rPr>
          <w:rFonts w:cs="Times New Roman"/>
        </w:rPr>
        <w:t xml:space="preserve"> on which a </w:t>
      </w:r>
      <w:proofErr w:type="spellStart"/>
      <w:r w:rsidRPr="004E7E5A">
        <w:rPr>
          <w:rFonts w:cs="Times New Roman"/>
        </w:rPr>
        <w:t>direcoetor</w:t>
      </w:r>
      <w:proofErr w:type="spellEnd"/>
      <w:r w:rsidRPr="004E7E5A">
        <w:rPr>
          <w:rFonts w:cs="Times New Roman"/>
        </w:rPr>
        <w:t xml:space="preserve"> lies </w:t>
      </w:r>
      <w:r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00FA31BA" w:rsidRPr="004E7E5A">
        <w:rPr>
          <w:rFonts w:cs="Times New Roman"/>
          <w:noProof/>
        </w:rPr>
        <w:t>(Freeman 1978; Larcker et al. 2013; Wasserman and Faust 1994)</w:t>
      </w:r>
      <w:r w:rsidRPr="004E7E5A">
        <w:rPr>
          <w:rFonts w:cs="Times New Roman"/>
        </w:rPr>
        <w:fldChar w:fldCharType="end"/>
      </w:r>
      <w:r w:rsidRPr="004E7E5A">
        <w:rPr>
          <w:rFonts w:cs="Times New Roman"/>
        </w:rPr>
        <w:t xml:space="preserve">. Betweenness </w:t>
      </w:r>
      <w:r w:rsidRPr="004E7E5A">
        <w:rPr>
          <w:rFonts w:cs="Times New Roman"/>
        </w:rPr>
        <w:lastRenderedPageBreak/>
        <w:t xml:space="preserve">centrality is computed as follows: </w:t>
      </w:r>
    </w:p>
    <w:p w14:paraId="0E23F097" w14:textId="6AD61FF3" w:rsidR="00197EDB" w:rsidRPr="004E7E5A" w:rsidRDefault="00D1663B" w:rsidP="00900D80">
      <w:pPr>
        <w:jc w:val="right"/>
        <w:rPr>
          <w:rFonts w:ascii="Times New Roman" w:hAnsi="Times New Roman" w:cs="Times New Roman"/>
          <w:color w:val="000000" w:themeColor="text1"/>
        </w:rPr>
      </w:pPr>
      <m:oMath>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Betweenness</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nary>
              <m:naryPr>
                <m:chr m:val="∑"/>
                <m:limLoc m:val="undOvr"/>
                <m:supHide m:val="1"/>
                <m:ctrlPr>
                  <w:rPr>
                    <w:rFonts w:ascii="Cambria Math" w:hAnsi="Cambria Math" w:cs="Times New Roman"/>
                    <w:i/>
                    <w:iCs/>
                    <w:color w:val="000000" w:themeColor="text1"/>
                    <w:sz w:val="24"/>
                    <w:szCs w:val="24"/>
                  </w:rPr>
                </m:ctrlPr>
              </m:naryPr>
              <m:sub>
                <m:r>
                  <w:rPr>
                    <w:rFonts w:ascii="Cambria Math" w:hAnsi="Cambria Math" w:cs="Times New Roman"/>
                    <w:color w:val="000000" w:themeColor="text1"/>
                    <w:sz w:val="24"/>
                    <w:szCs w:val="24"/>
                  </w:rPr>
                  <m:t>j&lt;k</m:t>
                </m:r>
              </m:sub>
              <m:sup/>
              <m:e>
                <m:f>
                  <m:fPr>
                    <m:type m:val="lin"/>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jk</m:t>
                        </m:r>
                        <m:d>
                          <m:dPr>
                            <m:ctrlPr>
                              <w:rPr>
                                <w:rFonts w:ascii="Cambria Math" w:hAnsi="Cambria Math" w:cs="Times New Roman"/>
                                <w:i/>
                                <w:iCs/>
                                <w:color w:val="000000" w:themeColor="text1"/>
                                <w:sz w:val="24"/>
                                <w:szCs w:val="24"/>
                              </w:rPr>
                            </m:ctrlPr>
                          </m:dPr>
                          <m:e>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i</m:t>
                                </m:r>
                              </m:sub>
                            </m:sSub>
                          </m:e>
                        </m:d>
                      </m:sub>
                    </m:sSub>
                  </m:num>
                  <m:den>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jk</m:t>
                        </m:r>
                      </m:sub>
                    </m:sSub>
                  </m:den>
                </m:f>
              </m:e>
            </m:nary>
          </m:num>
          <m:den>
            <m:f>
              <m:fPr>
                <m:type m:val="lin"/>
                <m:ctrlPr>
                  <w:rPr>
                    <w:rFonts w:ascii="Cambria Math" w:hAnsi="Cambria Math" w:cs="Times New Roman"/>
                    <w:i/>
                    <w:iCs/>
                    <w:color w:val="000000" w:themeColor="text1"/>
                    <w:sz w:val="24"/>
                    <w:szCs w:val="24"/>
                  </w:rPr>
                </m:ctrlPr>
              </m:fPr>
              <m:num>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g-1</m:t>
                    </m:r>
                  </m:e>
                </m:d>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g-2</m:t>
                    </m:r>
                  </m:e>
                </m:d>
              </m:num>
              <m:den>
                <m:r>
                  <w:rPr>
                    <w:rFonts w:ascii="Cambria Math" w:hAnsi="Cambria Math" w:cs="Times New Roman"/>
                    <w:color w:val="000000" w:themeColor="text1"/>
                    <w:sz w:val="24"/>
                    <w:szCs w:val="24"/>
                  </w:rPr>
                  <m:t>2</m:t>
                </m:r>
              </m:den>
            </m:f>
          </m:den>
        </m:f>
        <m:r>
          <w:rPr>
            <w:rFonts w:ascii="Cambria Math" w:hAnsi="Cambria Math" w:cs="Times New Roman"/>
            <w:color w:val="000000" w:themeColor="text1"/>
            <w:sz w:val="24"/>
            <w:szCs w:val="24"/>
          </w:rPr>
          <m:t xml:space="preserve">  </m:t>
        </m:r>
      </m:oMath>
      <w:r w:rsidR="00900D80" w:rsidRPr="004E7E5A">
        <w:rPr>
          <w:rFonts w:ascii="Times New Roman" w:hAnsi="Times New Roman" w:cs="Times New Roman"/>
          <w:iCs/>
          <w:color w:val="000000" w:themeColor="text1"/>
        </w:rPr>
        <w:t xml:space="preserve">   </w:t>
      </w:r>
      <w:r w:rsidR="00AA254D" w:rsidRPr="004E7E5A">
        <w:rPr>
          <w:rFonts w:ascii="Times New Roman" w:hAnsi="Times New Roman" w:cs="Times New Roman"/>
          <w:iCs/>
          <w:color w:val="000000" w:themeColor="text1"/>
        </w:rPr>
        <w:t xml:space="preserve">  </w:t>
      </w:r>
      <w:r w:rsidR="00900D80" w:rsidRPr="004E7E5A">
        <w:rPr>
          <w:rFonts w:ascii="Times New Roman" w:hAnsi="Times New Roman" w:cs="Times New Roman"/>
          <w:iCs/>
          <w:color w:val="000000" w:themeColor="text1"/>
        </w:rPr>
        <w:t xml:space="preserve">     </w:t>
      </w:r>
      <w:r w:rsidR="00AA254D" w:rsidRPr="004E7E5A">
        <w:rPr>
          <w:rFonts w:ascii="Times New Roman" w:hAnsi="Times New Roman" w:cs="Times New Roman"/>
          <w:iCs/>
          <w:color w:val="000000" w:themeColor="text1"/>
        </w:rPr>
        <w:t xml:space="preserve"> </w:t>
      </w:r>
      <w:r w:rsidR="00900D80" w:rsidRPr="004E7E5A">
        <w:rPr>
          <w:rFonts w:ascii="Times New Roman" w:hAnsi="Times New Roman" w:cs="Times New Roman"/>
          <w:iCs/>
          <w:color w:val="000000" w:themeColor="text1"/>
        </w:rPr>
        <w:t xml:space="preserve">                (</w:t>
      </w:r>
      <w:r w:rsidR="00CF4430" w:rsidRPr="004E7E5A">
        <w:rPr>
          <w:rFonts w:ascii="Times New Roman" w:hAnsi="Times New Roman" w:cs="Times New Roman"/>
          <w:iCs/>
          <w:color w:val="000000" w:themeColor="text1"/>
        </w:rPr>
        <w:t>2</w:t>
      </w:r>
      <w:r w:rsidR="00900D80" w:rsidRPr="004E7E5A">
        <w:rPr>
          <w:rFonts w:ascii="Times New Roman" w:hAnsi="Times New Roman" w:cs="Times New Roman"/>
          <w:iCs/>
          <w:color w:val="000000" w:themeColor="text1"/>
        </w:rPr>
        <w:t>)</w:t>
      </w:r>
    </w:p>
    <w:p w14:paraId="13D19C76" w14:textId="12C91C7B" w:rsidR="00197EDB" w:rsidRPr="004E7E5A" w:rsidRDefault="007174A4" w:rsidP="00197EDB">
      <w:pPr>
        <w:pStyle w:val="a7"/>
        <w:spacing w:line="480" w:lineRule="auto"/>
        <w:ind w:firstLine="480"/>
        <w:rPr>
          <w:rFonts w:cs="Times New Roman"/>
        </w:rPr>
      </w:pPr>
      <w:r w:rsidRPr="004E7E5A">
        <w:rPr>
          <w:rFonts w:cs="Times New Roman"/>
        </w:rPr>
        <w:t>Where</w:t>
      </w:r>
      <w:r w:rsidRPr="004E7E5A">
        <w:rPr>
          <w:rFonts w:cs="Times New Roman"/>
          <w:i/>
          <w:iCs/>
        </w:rPr>
        <w:t xml:space="preserve"> </w:t>
      </w:r>
      <w:proofErr w:type="spellStart"/>
      <w:r w:rsidRPr="004E7E5A">
        <w:rPr>
          <w:rFonts w:cs="Times New Roman"/>
          <w:i/>
          <w:iCs/>
        </w:rPr>
        <w:t>i</w:t>
      </w:r>
      <w:proofErr w:type="spellEnd"/>
      <w:r w:rsidRPr="004E7E5A">
        <w:rPr>
          <w:rFonts w:cs="Times New Roman"/>
        </w:rPr>
        <w:t xml:space="preserve">, </w:t>
      </w:r>
      <w:r w:rsidRPr="004E7E5A">
        <w:rPr>
          <w:rFonts w:cs="Times New Roman"/>
          <w:i/>
          <w:iCs/>
        </w:rPr>
        <w:t>j</w:t>
      </w:r>
      <w:r w:rsidRPr="004E7E5A">
        <w:rPr>
          <w:rFonts w:cs="Times New Roman"/>
        </w:rPr>
        <w:t xml:space="preserve">, and </w:t>
      </w:r>
      <w:r w:rsidRPr="004E7E5A">
        <w:rPr>
          <w:rFonts w:cs="Times New Roman"/>
          <w:i/>
          <w:iCs/>
        </w:rPr>
        <w:t>k</w:t>
      </w:r>
      <w:r w:rsidRPr="004E7E5A">
        <w:rPr>
          <w:rFonts w:cs="Times New Roman"/>
        </w:rPr>
        <w:t xml:space="preserve"> represent different directors.</w:t>
      </w:r>
      <w:r w:rsidR="00197EDB" w:rsidRPr="004E7E5A">
        <w:rPr>
          <w:rFonts w:cs="Times New Roman"/>
        </w:rPr>
        <w:t xml:space="preserve"> </w:t>
      </w:r>
      <m:oMath>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jk</m:t>
            </m:r>
          </m:sub>
        </m:sSub>
      </m:oMath>
      <w:r w:rsidR="00197EDB" w:rsidRPr="004E7E5A">
        <w:rPr>
          <w:rFonts w:cs="Times New Roman"/>
          <w:i/>
          <w:iCs/>
        </w:rPr>
        <w:t xml:space="preserve"> </w:t>
      </w:r>
      <w:r w:rsidRPr="004E7E5A">
        <w:rPr>
          <w:rFonts w:cs="Times New Roman"/>
        </w:rPr>
        <w:t xml:space="preserve">is the total number of shortest paths between director </w:t>
      </w:r>
      <w:r w:rsidRPr="004E7E5A">
        <w:rPr>
          <w:rFonts w:cs="Times New Roman"/>
          <w:i/>
          <w:iCs/>
        </w:rPr>
        <w:t>k</w:t>
      </w:r>
      <w:r w:rsidRPr="004E7E5A">
        <w:rPr>
          <w:rFonts w:cs="Times New Roman"/>
        </w:rPr>
        <w:t xml:space="preserve"> and director </w:t>
      </w:r>
      <w:r w:rsidRPr="004E7E5A">
        <w:rPr>
          <w:rFonts w:cs="Times New Roman"/>
          <w:i/>
          <w:iCs/>
        </w:rPr>
        <w:t>j</w:t>
      </w:r>
      <w:r w:rsidR="00197EDB" w:rsidRPr="004E7E5A">
        <w:rPr>
          <w:rFonts w:cs="Times New Roman"/>
        </w:rPr>
        <w:t xml:space="preserve">. </w:t>
      </w:r>
      <m:oMath>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jk(</m:t>
            </m:r>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sub>
        </m:sSub>
      </m:oMath>
      <w:r w:rsidR="00197EDB" w:rsidRPr="004E7E5A">
        <w:rPr>
          <w:rFonts w:cs="Times New Roman"/>
        </w:rPr>
        <w:t xml:space="preserve"> </w:t>
      </w:r>
      <w:r w:rsidRPr="004E7E5A">
        <w:rPr>
          <w:rFonts w:cs="Times New Roman"/>
        </w:rPr>
        <w:t xml:space="preserve">denotes the total number of paths that point </w:t>
      </w:r>
      <w:proofErr w:type="spellStart"/>
      <w:r w:rsidRPr="004E7E5A">
        <w:rPr>
          <w:rFonts w:cs="Times New Roman"/>
          <w:i/>
          <w:iCs/>
        </w:rPr>
        <w:t>i</w:t>
      </w:r>
      <w:proofErr w:type="spellEnd"/>
      <w:r w:rsidRPr="004E7E5A">
        <w:rPr>
          <w:rFonts w:cs="Times New Roman"/>
        </w:rPr>
        <w:t xml:space="preserve"> falls on the shortest distance line connecting </w:t>
      </w:r>
      <w:r w:rsidRPr="004E7E5A">
        <w:rPr>
          <w:rFonts w:cs="Times New Roman"/>
          <w:i/>
          <w:iCs/>
        </w:rPr>
        <w:t>j</w:t>
      </w:r>
      <w:r w:rsidRPr="004E7E5A">
        <w:rPr>
          <w:rFonts w:cs="Times New Roman"/>
        </w:rPr>
        <w:t xml:space="preserve"> and </w:t>
      </w:r>
      <w:r w:rsidRPr="004E7E5A">
        <w:rPr>
          <w:rFonts w:cs="Times New Roman"/>
          <w:i/>
          <w:iCs/>
        </w:rPr>
        <w:t>k</w:t>
      </w:r>
      <w:r w:rsidR="00197EDB" w:rsidRPr="004E7E5A">
        <w:rPr>
          <w:rFonts w:cs="Times New Roman"/>
        </w:rPr>
        <w:t>.</w:t>
      </w:r>
    </w:p>
    <w:p w14:paraId="6B6C18E8" w14:textId="452E993C" w:rsidR="00197EDB" w:rsidRPr="004E7E5A" w:rsidRDefault="00197EDB" w:rsidP="00197EDB">
      <w:pPr>
        <w:pStyle w:val="a7"/>
        <w:spacing w:line="480" w:lineRule="auto"/>
        <w:ind w:firstLine="480"/>
        <w:rPr>
          <w:rFonts w:cs="Times New Roman"/>
        </w:rPr>
      </w:pPr>
      <w:r w:rsidRPr="004E7E5A">
        <w:rPr>
          <w:rFonts w:cs="Times New Roman"/>
        </w:rPr>
        <w:t>(3)</w:t>
      </w:r>
      <w:r w:rsidR="003D4240" w:rsidRPr="004E7E5A">
        <w:rPr>
          <w:rFonts w:cs="Times New Roman"/>
        </w:rPr>
        <w:t xml:space="preserve"> </w:t>
      </w:r>
      <w:r w:rsidRPr="004E7E5A">
        <w:rPr>
          <w:rFonts w:cs="Times New Roman"/>
        </w:rPr>
        <w:t>Closeness Centrality</w:t>
      </w:r>
    </w:p>
    <w:p w14:paraId="271213D8" w14:textId="6D1AFB02" w:rsidR="00A53CFE" w:rsidRPr="004E7E5A" w:rsidRDefault="00A53CFE" w:rsidP="00A53CFE">
      <w:pPr>
        <w:pStyle w:val="a7"/>
        <w:spacing w:line="480" w:lineRule="auto"/>
        <w:ind w:firstLine="480"/>
        <w:rPr>
          <w:rFonts w:cs="Times New Roman"/>
        </w:rPr>
      </w:pPr>
      <w:r w:rsidRPr="004E7E5A">
        <w:rPr>
          <w:rFonts w:cs="Times New Roman"/>
        </w:rPr>
        <w:t xml:space="preserve">If a director possesses relatively closer ties to other directors, making information or resource exchange quicker, this director is well-connected. This concept of connectedness is measured by closeness centrality, which represents how easily or quickly a director can reach other directors. It is defined as the inverse of the average distance between a director and any other director </w:t>
      </w:r>
      <w:r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 </w:instrText>
      </w:r>
      <w:r w:rsidR="001A1175"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dCBhbC4gMjAxMzsgV2Fzc2VybWFuIGFuZCBGYXVzdCAxOTk0KTwvRGlzcGxheVRleHQ+PHJlY29y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</w:fldData>
        </w:fldChar>
      </w:r>
      <w:r w:rsidR="001A1175" w:rsidRPr="004E7E5A">
        <w:rPr>
          <w:rFonts w:cs="Times New Roman"/>
        </w:rPr>
        <w:instrText xml:space="preserve"> ADDIN EN.CITE.DATA </w:instrText>
      </w:r>
      <w:r w:rsidR="001A1175" w:rsidRPr="004E7E5A">
        <w:rPr>
          <w:rFonts w:cs="Times New Roman"/>
        </w:rPr>
      </w:r>
      <w:r w:rsidR="001A1175" w:rsidRPr="004E7E5A">
        <w:rPr>
          <w:rFonts w:cs="Times New Roman"/>
        </w:rPr>
        <w:fldChar w:fldCharType="end"/>
      </w:r>
      <w:r w:rsidRPr="004E7E5A">
        <w:rPr>
          <w:rFonts w:cs="Times New Roman"/>
        </w:rPr>
      </w:r>
      <w:r w:rsidRPr="004E7E5A">
        <w:rPr>
          <w:rFonts w:cs="Times New Roman"/>
        </w:rPr>
        <w:fldChar w:fldCharType="separate"/>
      </w:r>
      <w:r w:rsidR="00FA31BA" w:rsidRPr="004E7E5A">
        <w:rPr>
          <w:rFonts w:cs="Times New Roman"/>
          <w:noProof/>
        </w:rPr>
        <w:t>(Freeman 1978; Larcker et al. 2013; Wasserman and Faust 1994)</w:t>
      </w:r>
      <w:r w:rsidRPr="004E7E5A">
        <w:rPr>
          <w:rFonts w:cs="Times New Roman"/>
        </w:rPr>
        <w:fldChar w:fldCharType="end"/>
      </w:r>
      <w:r w:rsidRPr="004E7E5A">
        <w:rPr>
          <w:rFonts w:cs="Times New Roman"/>
        </w:rPr>
        <w:t xml:space="preserve">. Closeness centrality is computed as follows: </w:t>
      </w:r>
    </w:p>
    <w:p w14:paraId="1CB31AA1" w14:textId="670A194C" w:rsidR="00197EDB" w:rsidRPr="004E7E5A" w:rsidRDefault="00D1663B" w:rsidP="00322E25">
      <w:pPr>
        <w:pStyle w:val="a7"/>
        <w:spacing w:line="480" w:lineRule="auto"/>
        <w:ind w:firstLine="480"/>
        <w:jc w:val="right"/>
        <w:rPr>
          <w:rFonts w:cs="Times New Roman"/>
          <w:i/>
          <w:iCs/>
        </w:rPr>
      </w:pPr>
      <m:oMath>
        <m:sSub>
          <m:sSubPr>
            <m:ctrlPr>
              <w:rPr>
                <w:rFonts w:ascii="Cambria Math" w:hAnsi="Cambria Math" w:cs="Times New Roman"/>
                <w:i/>
              </w:rPr>
            </m:ctrlPr>
          </m:sSubPr>
          <m:e>
            <m:r>
              <w:rPr>
                <w:rFonts w:ascii="Cambria Math" w:hAnsi="Cambria Math" w:cs="Times New Roman"/>
              </w:rPr>
              <m:t>Closeness</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g</m:t>
                        </m:r>
                      </m:sup>
                      <m:e>
                        <m:r>
                          <w:rPr>
                            <w:rFonts w:ascii="Cambria Math" w:hAnsi="Cambria Math" w:cs="Times New Roman"/>
                          </w:rPr>
                          <m:t>d(i,k)</m:t>
                        </m:r>
                      </m:e>
                    </m:nary>
                  </m:num>
                  <m:den>
                    <m:r>
                      <w:rPr>
                        <w:rFonts w:ascii="Cambria Math" w:hAnsi="Cambria Math" w:cs="Times New Roman"/>
                      </w:rPr>
                      <m:t>g-1</m:t>
                    </m:r>
                  </m:den>
                </m:f>
              </m:e>
            </m:d>
          </m:e>
          <m:sup>
            <m:r>
              <w:rPr>
                <w:rFonts w:ascii="Cambria Math" w:hAnsi="Cambria Math" w:cs="Times New Roman"/>
              </w:rPr>
              <m:t>-1</m:t>
            </m:r>
          </m:sup>
        </m:sSup>
      </m:oMath>
      <w:r w:rsidR="00322E25" w:rsidRPr="004E7E5A">
        <w:rPr>
          <w:rFonts w:cs="Times New Roman"/>
          <w:i/>
        </w:rPr>
        <w:t xml:space="preserve">   </w:t>
      </w:r>
      <w:r w:rsidR="00AA254D" w:rsidRPr="004E7E5A">
        <w:rPr>
          <w:rFonts w:cs="Times New Roman"/>
          <w:i/>
        </w:rPr>
        <w:t xml:space="preserve">  </w:t>
      </w:r>
      <w:r w:rsidR="00322E25" w:rsidRPr="004E7E5A">
        <w:rPr>
          <w:rFonts w:cs="Times New Roman"/>
          <w:i/>
        </w:rPr>
        <w:t xml:space="preserve">    </w:t>
      </w:r>
      <w:r w:rsidR="00AA254D" w:rsidRPr="004E7E5A">
        <w:rPr>
          <w:rFonts w:cs="Times New Roman"/>
          <w:i/>
        </w:rPr>
        <w:t xml:space="preserve"> </w:t>
      </w:r>
      <w:r w:rsidR="00322E25" w:rsidRPr="004E7E5A">
        <w:rPr>
          <w:rFonts w:cs="Times New Roman"/>
          <w:i/>
        </w:rPr>
        <w:t xml:space="preserve">         </w:t>
      </w:r>
      <w:r w:rsidR="00322E25" w:rsidRPr="004E7E5A">
        <w:rPr>
          <w:rFonts w:cs="Times New Roman"/>
          <w:iCs/>
        </w:rPr>
        <w:t xml:space="preserve">      (</w:t>
      </w:r>
      <w:r w:rsidR="00CF4430" w:rsidRPr="004E7E5A">
        <w:rPr>
          <w:rFonts w:cs="Times New Roman"/>
          <w:iCs/>
        </w:rPr>
        <w:t>3</w:t>
      </w:r>
      <w:r w:rsidR="00322E25" w:rsidRPr="004E7E5A">
        <w:rPr>
          <w:rFonts w:cs="Times New Roman"/>
          <w:iCs/>
        </w:rPr>
        <w:t>)</w:t>
      </w:r>
    </w:p>
    <w:p w14:paraId="79E14C73" w14:textId="77777777" w:rsidR="00A53CFE" w:rsidRPr="004E7E5A" w:rsidRDefault="00A53CFE" w:rsidP="00A53CFE">
      <w:pPr>
        <w:pStyle w:val="a7"/>
        <w:spacing w:line="480" w:lineRule="auto"/>
        <w:ind w:firstLine="480"/>
        <w:rPr>
          <w:rFonts w:cs="Times New Roman"/>
        </w:rPr>
      </w:pPr>
      <w:r w:rsidRPr="004E7E5A">
        <w:rPr>
          <w:rFonts w:cs="Times New Roman"/>
        </w:rPr>
        <w:t>where</w:t>
      </w:r>
      <w:r w:rsidRPr="004E7E5A">
        <w:rPr>
          <w:rFonts w:cs="Times New Roman"/>
          <w:i/>
          <w:iCs/>
        </w:rPr>
        <w:t xml:space="preserve"> </w:t>
      </w:r>
      <w:proofErr w:type="spellStart"/>
      <w:r w:rsidRPr="004E7E5A">
        <w:rPr>
          <w:rFonts w:cs="Times New Roman"/>
          <w:i/>
          <w:iCs/>
        </w:rPr>
        <w:t>i</w:t>
      </w:r>
      <w:proofErr w:type="spellEnd"/>
      <w:r w:rsidRPr="004E7E5A">
        <w:rPr>
          <w:rFonts w:cs="Times New Roman"/>
        </w:rPr>
        <w:t xml:space="preserve"> </w:t>
      </w:r>
      <w:proofErr w:type="spellStart"/>
      <w:r w:rsidRPr="004E7E5A">
        <w:rPr>
          <w:rFonts w:cs="Times New Roman"/>
        </w:rPr>
        <w:t>referes</w:t>
      </w:r>
      <w:proofErr w:type="spellEnd"/>
      <w:r w:rsidRPr="004E7E5A">
        <w:rPr>
          <w:rFonts w:cs="Times New Roman"/>
        </w:rPr>
        <w:t xml:space="preserve"> to a given director and </w:t>
      </w:r>
      <w:r w:rsidRPr="004E7E5A">
        <w:rPr>
          <w:rFonts w:cs="Times New Roman"/>
          <w:i/>
          <w:iCs/>
        </w:rPr>
        <w:t>k</w:t>
      </w:r>
      <w:r w:rsidRPr="004E7E5A">
        <w:rPr>
          <w:rFonts w:cs="Times New Roman"/>
        </w:rPr>
        <w:t xml:space="preserve"> is all the directors other than </w:t>
      </w:r>
      <w:proofErr w:type="spellStart"/>
      <w:r w:rsidRPr="004E7E5A">
        <w:rPr>
          <w:rFonts w:cs="Times New Roman"/>
          <w:i/>
          <w:iCs/>
        </w:rPr>
        <w:t>i</w:t>
      </w:r>
      <w:proofErr w:type="spellEnd"/>
      <w:r w:rsidRPr="004E7E5A">
        <w:rPr>
          <w:rFonts w:cs="Times New Roman"/>
        </w:rPr>
        <w:t xml:space="preserve"> in the same year. </w:t>
      </w:r>
      <w:proofErr w:type="gramStart"/>
      <w:r w:rsidRPr="004E7E5A">
        <w:rPr>
          <w:rFonts w:cs="Times New Roman"/>
          <w:i/>
          <w:iCs/>
        </w:rPr>
        <w:t>d(</w:t>
      </w:r>
      <w:proofErr w:type="spellStart"/>
      <w:proofErr w:type="gramEnd"/>
      <w:r w:rsidRPr="004E7E5A">
        <w:rPr>
          <w:rFonts w:cs="Times New Roman"/>
          <w:i/>
          <w:iCs/>
        </w:rPr>
        <w:t>i</w:t>
      </w:r>
      <w:proofErr w:type="spellEnd"/>
      <w:r w:rsidRPr="004E7E5A">
        <w:rPr>
          <w:rFonts w:cs="Times New Roman"/>
          <w:i/>
          <w:iCs/>
        </w:rPr>
        <w:t xml:space="preserve">, k) </w:t>
      </w:r>
      <w:r w:rsidRPr="004E7E5A">
        <w:rPr>
          <w:rFonts w:cs="Times New Roman"/>
        </w:rPr>
        <w:t xml:space="preserve">is the number of steps in the shortest path between director </w:t>
      </w:r>
      <w:proofErr w:type="spellStart"/>
      <w:r w:rsidRPr="004E7E5A">
        <w:rPr>
          <w:rFonts w:cs="Times New Roman"/>
          <w:i/>
          <w:iCs/>
        </w:rPr>
        <w:t>i</w:t>
      </w:r>
      <w:proofErr w:type="spellEnd"/>
      <w:r w:rsidRPr="004E7E5A">
        <w:rPr>
          <w:rFonts w:cs="Times New Roman"/>
        </w:rPr>
        <w:t xml:space="preserve"> and director </w:t>
      </w:r>
      <w:r w:rsidRPr="004E7E5A">
        <w:rPr>
          <w:rFonts w:cs="Times New Roman"/>
          <w:i/>
          <w:iCs/>
        </w:rPr>
        <w:t>k</w:t>
      </w:r>
      <w:r w:rsidRPr="004E7E5A">
        <w:rPr>
          <w:rFonts w:cs="Times New Roman"/>
        </w:rPr>
        <w:t>.</w:t>
      </w:r>
    </w:p>
    <w:p w14:paraId="6BAF6CD4" w14:textId="448AF466" w:rsidR="00A53CFE" w:rsidRPr="004E7E5A" w:rsidRDefault="006E6E25" w:rsidP="00A53CFE">
      <w:pPr>
        <w:pStyle w:val="4"/>
        <w:spacing w:before="0" w:after="0" w:line="480" w:lineRule="auto"/>
        <w:rPr>
          <w:i/>
          <w:iCs/>
          <w:color w:val="000000" w:themeColor="text1"/>
        </w:rPr>
      </w:pPr>
      <w:r w:rsidRPr="004E7E5A">
        <w:rPr>
          <w:i/>
          <w:iCs/>
          <w:color w:val="000000" w:themeColor="text1"/>
        </w:rPr>
        <w:t xml:space="preserve">Process of Generating </w:t>
      </w:r>
      <w:r w:rsidR="00902393" w:rsidRPr="004E7E5A">
        <w:rPr>
          <w:i/>
          <w:iCs/>
          <w:color w:val="000000" w:themeColor="text1"/>
        </w:rPr>
        <w:t>Network</w:t>
      </w:r>
      <w:r w:rsidR="001C1663" w:rsidRPr="004E7E5A">
        <w:rPr>
          <w:i/>
          <w:iCs/>
          <w:color w:val="000000" w:themeColor="text1"/>
        </w:rPr>
        <w:t>ing</w:t>
      </w:r>
      <w:r w:rsidR="00902393" w:rsidRPr="004E7E5A">
        <w:rPr>
          <w:i/>
          <w:iCs/>
          <w:color w:val="000000" w:themeColor="text1"/>
        </w:rPr>
        <w:t xml:space="preserve"> </w:t>
      </w:r>
      <w:r w:rsidRPr="004E7E5A">
        <w:rPr>
          <w:i/>
          <w:iCs/>
          <w:color w:val="000000" w:themeColor="text1"/>
        </w:rPr>
        <w:t>Data through Software</w:t>
      </w:r>
    </w:p>
    <w:p w14:paraId="546AD408" w14:textId="7C1C7B34" w:rsidR="00A53CFE" w:rsidRPr="004E7E5A" w:rsidRDefault="00A53CFE" w:rsidP="00A53CFE">
      <w:pPr>
        <w:pStyle w:val="a7"/>
        <w:spacing w:line="480" w:lineRule="auto"/>
        <w:ind w:firstLine="480"/>
        <w:rPr>
          <w:rFonts w:cs="Times New Roman"/>
        </w:rPr>
      </w:pPr>
      <w:r w:rsidRPr="004E7E5A">
        <w:rPr>
          <w:rFonts w:cs="Times New Roman"/>
        </w:rPr>
        <w:t>To map the directors’ network, for each annual volume of the data during the year 2010-2018, we construct the entire boardroom network and compute each of the three centrality measures (degree, betweenness, and closeness centrality) for every firm. We obtain information on board of directors from CSMAR</w:t>
      </w:r>
      <w:r w:rsidRPr="004E7E5A">
        <w:rPr>
          <w:rFonts w:cs="Times New Roman"/>
          <w:szCs w:val="24"/>
        </w:rPr>
        <w:t xml:space="preserve"> and generate data through network analysis software </w:t>
      </w:r>
      <w:proofErr w:type="spellStart"/>
      <w:r w:rsidRPr="004E7E5A">
        <w:rPr>
          <w:rFonts w:cs="Times New Roman"/>
          <w:szCs w:val="24"/>
        </w:rPr>
        <w:t>Pajeck</w:t>
      </w:r>
      <w:proofErr w:type="spellEnd"/>
      <w:r w:rsidRPr="004E7E5A">
        <w:rPr>
          <w:rFonts w:cs="Times New Roman"/>
        </w:rPr>
        <w:t xml:space="preserve">. The sample contains 93,008 directors and 432,786 director-year observations. Each director is assigned a unique identifier that was used in the measurement of centrality. </w:t>
      </w:r>
    </w:p>
    <w:p w14:paraId="21550B0E" w14:textId="795CEB6C" w:rsidR="00A53CFE" w:rsidRPr="004E7E5A" w:rsidRDefault="00A53CFE" w:rsidP="00A53CFE">
      <w:pPr>
        <w:pStyle w:val="a7"/>
        <w:spacing w:line="480" w:lineRule="auto"/>
        <w:ind w:firstLine="480"/>
        <w:rPr>
          <w:rFonts w:cs="Times New Roman"/>
        </w:rPr>
      </w:pPr>
      <w:r w:rsidRPr="004E7E5A">
        <w:rPr>
          <w:rFonts w:cs="Times New Roman"/>
        </w:rPr>
        <w:lastRenderedPageBreak/>
        <w:t xml:space="preserve">Following prior literature </w:t>
      </w:r>
      <w:r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dCBhbC4gMjAxMzsgV2Fzc2VybWFuIGFuZCBGYXVzdCAxOTk0OyBIb21yb3kgYW5kIFNsZWNodGVu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==
</w:fldData>
        </w:fldChar>
      </w:r>
      <w:r w:rsidR="00317C6A" w:rsidRPr="004E7E5A">
        <w:rPr>
          <w:rFonts w:cs="Times New Roman"/>
        </w:rPr>
        <w:instrText xml:space="preserve"> ADDIN EN.CITE </w:instrText>
      </w:r>
      <w:r w:rsidR="00317C6A" w:rsidRPr="004E7E5A">
        <w:rPr>
          <w:rFonts w:cs="Times New Roman"/>
        </w:rPr>
        <w:fldChar w:fldCharType="begin">
          <w:fldData xml:space="preserve">PEVuZE5vdGU+PENpdGU+PEF1dGhvcj5GcmVlbWFuPC9BdXRob3I+PFllYXI+MTk3ODwvWWVhcj48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==
</w:fldData>
        </w:fldChar>
      </w:r>
      <w:r w:rsidR="00317C6A" w:rsidRPr="004E7E5A">
        <w:rPr>
          <w:rFonts w:cs="Times New Roman"/>
        </w:rPr>
        <w:instrText xml:space="preserve"> ADDIN EN.CITE.DATA </w:instrText>
      </w:r>
      <w:r w:rsidR="00317C6A" w:rsidRPr="004E7E5A">
        <w:rPr>
          <w:rFonts w:cs="Times New Roman"/>
        </w:rPr>
      </w:r>
      <w:r w:rsidR="00317C6A" w:rsidRPr="004E7E5A">
        <w:rPr>
          <w:rFonts w:cs="Times New Roman"/>
        </w:rPr>
        <w:fldChar w:fldCharType="end"/>
      </w:r>
      <w:r w:rsidRPr="004E7E5A">
        <w:rPr>
          <w:rFonts w:cs="Times New Roman"/>
        </w:rPr>
      </w:r>
      <w:r w:rsidRPr="004E7E5A">
        <w:rPr>
          <w:rFonts w:cs="Times New Roman"/>
        </w:rPr>
        <w:fldChar w:fldCharType="separate"/>
      </w:r>
      <w:r w:rsidR="00FA31BA" w:rsidRPr="004E7E5A">
        <w:rPr>
          <w:rFonts w:cs="Times New Roman"/>
          <w:noProof/>
        </w:rPr>
        <w:t>(Freeman 1978; Larcker et al. 2013; Wasserman and Faust 1994; Homroy and Slechten 2017; Omer et al. 2019; Goergen et al. 2019)</w:t>
      </w:r>
      <w:r w:rsidRPr="004E7E5A">
        <w:rPr>
          <w:rFonts w:cs="Times New Roman"/>
        </w:rPr>
        <w:fldChar w:fldCharType="end"/>
      </w:r>
      <w:r w:rsidRPr="004E7E5A">
        <w:rPr>
          <w:rFonts w:cs="Times New Roman"/>
        </w:rPr>
        <w:t xml:space="preserve">, we construct our annual networks based on the individual director’s board memberships. For each year, two directors are connected if they sit on at least one board </w:t>
      </w:r>
      <w:r w:rsidRPr="004E7E5A">
        <w:rPr>
          <w:rFonts w:cs="Times New Roman"/>
        </w:rPr>
        <w:fldChar w:fldCharType="begin"/>
      </w:r>
      <w:r w:rsidR="00317C6A" w:rsidRPr="004E7E5A">
        <w:rPr>
          <w:rFonts w:cs="Times New Roman"/>
        </w:rPr>
        <w:instrText xml:space="preserve"> ADDIN EN.CITE &lt;EndNote&gt;&lt;Cite&gt;&lt;Author&gt;Omer&lt;/Author&gt;&lt;Year&gt;2019&lt;/Year&gt;&lt;RecNum&gt;1863&lt;/RecNum&gt;&lt;DisplayText&gt;(Omer et al. 2019)&lt;/DisplayText&gt;&lt;record&gt;&lt;rec-number&gt;1863&lt;/rec-number&gt;&lt;foreign-keys&gt;&lt;key app="EN" db-id="trr00pfsbzzex0ezwf6v5swd9fpfpwfa90xp" timestamp="1598953766" guid="41476dc8-c720-4cad-9bcf-f4de4e0e4c28"&gt;1863&lt;/key&gt;&lt;/foreign-keys&gt;&lt;ref-type name="Journal Article"&gt;17&lt;/ref-type&gt;&lt;contributors&gt;&lt;authors&gt;&lt;author&gt;Thomas C. Omer&lt;/author&gt;&lt;author&gt;Marjorie K. Shelley&lt;/author&gt;&lt;author&gt;Frances M. Tice&lt;/author&gt;&lt;/authors&gt;&lt;/contributors&gt;&lt;titles&gt;&lt;title&gt;Do director networks matter for financial reporting quality? Evidence from audit committee connectedness and restatements&lt;/title&gt;&lt;secondary-title&gt;Management science&lt;/secondary-title&gt;&lt;/titles&gt;&lt;periodical&gt;&lt;full-title&gt;Management Science&lt;/full-title&gt;&lt;/periodical&gt;&lt;pages&gt;3361-3388&lt;/pages&gt;&lt;volume&gt;66&lt;/volume&gt;&lt;number&gt;8&lt;/number&gt;&lt;dates&gt;&lt;year&gt;2019&lt;/year&gt;&lt;/dates&gt;&lt;urls&gt;&lt;/urls&gt;&lt;/record&gt;&lt;/Cite&gt;&lt;/EndNote&gt;</w:instrText>
      </w:r>
      <w:r w:rsidRPr="004E7E5A">
        <w:rPr>
          <w:rFonts w:cs="Times New Roman"/>
        </w:rPr>
        <w:fldChar w:fldCharType="separate"/>
      </w:r>
      <w:r w:rsidRPr="004E7E5A">
        <w:rPr>
          <w:rFonts w:cs="Times New Roman"/>
          <w:noProof/>
        </w:rPr>
        <w:t>(Omer et al. 2019)</w:t>
      </w:r>
      <w:r w:rsidRPr="004E7E5A">
        <w:rPr>
          <w:rFonts w:cs="Times New Roman"/>
        </w:rPr>
        <w:fldChar w:fldCharType="end"/>
      </w:r>
      <w:r w:rsidRPr="004E7E5A">
        <w:rPr>
          <w:rFonts w:cs="Times New Roman"/>
        </w:rPr>
        <w:t xml:space="preserve">. We use Stata’s “Stata2Pajek” command to transfer the data into a network of “company-director” that </w:t>
      </w:r>
      <w:proofErr w:type="spellStart"/>
      <w:r w:rsidRPr="004E7E5A">
        <w:rPr>
          <w:rFonts w:cs="Times New Roman"/>
        </w:rPr>
        <w:t>Pajek</w:t>
      </w:r>
      <w:proofErr w:type="spellEnd"/>
      <w:r w:rsidRPr="004E7E5A">
        <w:rPr>
          <w:rFonts w:cs="Times New Roman"/>
        </w:rPr>
        <w:t xml:space="preserve"> can identify. We use </w:t>
      </w:r>
      <w:proofErr w:type="spellStart"/>
      <w:r w:rsidRPr="004E7E5A">
        <w:rPr>
          <w:rFonts w:cs="Times New Roman"/>
        </w:rPr>
        <w:t>Pajek</w:t>
      </w:r>
      <w:proofErr w:type="spellEnd"/>
      <w:r w:rsidRPr="004E7E5A">
        <w:rPr>
          <w:rFonts w:cs="Times New Roman"/>
        </w:rPr>
        <w:t xml:space="preserve"> to transfer the network of “company-director” into a network of “director-director”, and then generate the value of three centrality measures.</w:t>
      </w:r>
    </w:p>
    <w:p w14:paraId="5695CAE3" w14:textId="161B7129" w:rsidR="00A53CFE" w:rsidRPr="004E7E5A" w:rsidRDefault="00A53CFE" w:rsidP="0084228F">
      <w:pPr>
        <w:pStyle w:val="a7"/>
        <w:spacing w:line="480" w:lineRule="auto"/>
        <w:ind w:firstLine="480"/>
        <w:rPr>
          <w:rFonts w:cs="Times New Roman"/>
        </w:rPr>
      </w:pPr>
      <w:r w:rsidRPr="004E7E5A">
        <w:rPr>
          <w:rFonts w:cs="Times New Roman"/>
        </w:rPr>
        <w:t xml:space="preserve">Larger firms tend to have better-networked boards, giving rise to a mechanical positive relationship between firm size and board connectedness </w:t>
      </w:r>
      <w:r w:rsidRPr="004E7E5A">
        <w:rPr>
          <w:rFonts w:cs="Times New Roman"/>
        </w:rPr>
        <w:fldChar w:fldCharType="begin"/>
      </w:r>
      <w:r w:rsidRPr="004E7E5A">
        <w:rPr>
          <w:rFonts w:cs="Times New Roman"/>
        </w:rPr>
        <w:instrText xml:space="preserve"> ADDIN EN.CITE &lt;EndNote&gt;&lt;Cite&gt;&lt;Author&gt;Larcker&lt;/Author&gt;&lt;Year&gt;2013&lt;/Year&gt;&lt;RecNum&gt;801&lt;/RecNum&gt;&lt;DisplayText&gt;(Larcker et al. 2013)&lt;/DisplayText&gt;&lt;record&gt;&lt;rec-number&gt;801&lt;/rec-number&gt;&lt;foreign-keys&gt;&lt;key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EndNote&gt;</w:instrText>
      </w:r>
      <w:r w:rsidRPr="004E7E5A">
        <w:rPr>
          <w:rFonts w:cs="Times New Roman"/>
        </w:rPr>
        <w:fldChar w:fldCharType="separate"/>
      </w:r>
      <w:r w:rsidRPr="004E7E5A">
        <w:rPr>
          <w:rFonts w:cs="Times New Roman"/>
          <w:noProof/>
        </w:rPr>
        <w:t>(Larcker et al. 2013)</w:t>
      </w:r>
      <w:r w:rsidRPr="004E7E5A">
        <w:rPr>
          <w:rFonts w:cs="Times New Roman"/>
        </w:rPr>
        <w:fldChar w:fldCharType="end"/>
      </w:r>
      <w:r w:rsidRPr="004E7E5A">
        <w:rPr>
          <w:rFonts w:cs="Times New Roman"/>
        </w:rPr>
        <w:t xml:space="preserve">. To separate the effects of size and board connectedness on CSR disclosure quality, we take ranked versions of the centrality measures that attempt to purge the “size” effect </w:t>
      </w:r>
      <w:r w:rsidRPr="004E7E5A">
        <w:rPr>
          <w:rFonts w:cs="Times New Roman"/>
        </w:rPr>
        <w:fldChar w:fldCharType="begin"/>
      </w:r>
      <w:r w:rsidRPr="004E7E5A">
        <w:rPr>
          <w:rFonts w:cs="Times New Roman"/>
        </w:rPr>
        <w:instrText xml:space="preserve"> ADDIN EN.CITE &lt;EndNote&gt;&lt;Cite&gt;&lt;Author&gt;Larcker&lt;/Author&gt;&lt;Year&gt;2013&lt;/Year&gt;&lt;RecNum&gt;801&lt;/RecNum&gt;&lt;DisplayText&gt;(Larcker et al. 2013)&lt;/DisplayText&gt;&lt;record&gt;&lt;rec-number&gt;801&lt;/rec-number&gt;&lt;foreign-keys&gt;&lt;key app="EN" db-id="trr00pfsbzzex0ezwf6v5swd9fpfpwfa90xp" timestamp="1581080358" guid="644e687f-faa5-4c59-82e5-85277d77eb78"&gt;801&lt;/key&gt;&lt;/foreign-keys&gt;&lt;ref-type name="Journal Article"&gt;17&lt;/ref-type&gt;&lt;contributors&gt;&lt;authors&gt;&lt;author&gt;Larcker, David F.&lt;/author&gt;&lt;author&gt;So, Eric C.&lt;/author&gt;&lt;author&gt;Wang, Charles C. Y.&lt;/author&gt;&lt;/authors&gt;&lt;/contributors&gt;&lt;titles&gt;&lt;title&gt;Boardroom centrality and firm performance&lt;/title&gt;&lt;secondary-title&gt;Journal of Accounting and Economics&lt;/secondary-title&gt;&lt;/titles&gt;&lt;periodical&gt;&lt;full-title&gt;Journal of Accounting and Economics&lt;/full-title&gt;&lt;/periodical&gt;&lt;pages&gt;225-250&lt;/pages&gt;&lt;volume&gt;55&lt;/volume&gt;&lt;number&gt;2-3&lt;/number&gt;&lt;section&gt;225&lt;/section&gt;&lt;dates&gt;&lt;year&gt;2013&lt;/year&gt;&lt;/dates&gt;&lt;isbn&gt;01654101&lt;/isbn&gt;&lt;urls&gt;&lt;/urls&gt;&lt;electronic-resource-num&gt;10.1016/j.jacceco.2013.01.006&lt;/electronic-resource-num&gt;&lt;/record&gt;&lt;/Cite&gt;&lt;/EndNote&gt;</w:instrText>
      </w:r>
      <w:r w:rsidRPr="004E7E5A">
        <w:rPr>
          <w:rFonts w:cs="Times New Roman"/>
        </w:rPr>
        <w:fldChar w:fldCharType="separate"/>
      </w:r>
      <w:r w:rsidRPr="004E7E5A">
        <w:rPr>
          <w:rFonts w:cs="Times New Roman"/>
          <w:noProof/>
        </w:rPr>
        <w:t>(Larcker et al. 2013)</w:t>
      </w:r>
      <w:r w:rsidRPr="004E7E5A">
        <w:rPr>
          <w:rFonts w:cs="Times New Roman"/>
        </w:rPr>
        <w:fldChar w:fldCharType="end"/>
      </w:r>
      <w:r w:rsidRPr="004E7E5A">
        <w:rPr>
          <w:rFonts w:cs="Times New Roman"/>
        </w:rPr>
        <w:t xml:space="preserve">. Specifically, in each year, all firms are ranked into tenths based on firm size. Within each size tenths, firms are sorted into tenths based on the </w:t>
      </w:r>
      <w:r w:rsidR="0084228F" w:rsidRPr="004E7E5A">
        <w:rPr>
          <w:rFonts w:cs="Times New Roman"/>
        </w:rPr>
        <w:t>maximum (</w:t>
      </w:r>
      <w:proofErr w:type="spellStart"/>
      <w:r w:rsidR="0084228F" w:rsidRPr="004E7E5A">
        <w:rPr>
          <w:rFonts w:cs="Times New Roman"/>
        </w:rPr>
        <w:t>Score_max</w:t>
      </w:r>
      <w:proofErr w:type="spellEnd"/>
      <w:r w:rsidR="0084228F" w:rsidRPr="004E7E5A">
        <w:rPr>
          <w:rFonts w:cs="Times New Roman"/>
        </w:rPr>
        <w:t>), mean (</w:t>
      </w:r>
      <w:proofErr w:type="spellStart"/>
      <w:r w:rsidR="0084228F" w:rsidRPr="004E7E5A">
        <w:rPr>
          <w:rFonts w:cs="Times New Roman"/>
        </w:rPr>
        <w:t>Score_mean</w:t>
      </w:r>
      <w:proofErr w:type="spellEnd"/>
      <w:r w:rsidR="0084228F" w:rsidRPr="004E7E5A">
        <w:rPr>
          <w:rFonts w:cs="Times New Roman"/>
        </w:rPr>
        <w:t>), median (</w:t>
      </w:r>
      <w:proofErr w:type="spellStart"/>
      <w:r w:rsidR="0084228F" w:rsidRPr="004E7E5A">
        <w:rPr>
          <w:rFonts w:cs="Times New Roman"/>
        </w:rPr>
        <w:t>Score_med</w:t>
      </w:r>
      <w:proofErr w:type="spellEnd"/>
      <w:r w:rsidR="0084228F" w:rsidRPr="004E7E5A">
        <w:rPr>
          <w:rFonts w:cs="Times New Roman"/>
        </w:rPr>
        <w:t>) and minimum (</w:t>
      </w:r>
      <w:proofErr w:type="spellStart"/>
      <w:r w:rsidR="0084228F" w:rsidRPr="004E7E5A">
        <w:rPr>
          <w:rFonts w:cs="Times New Roman"/>
        </w:rPr>
        <w:t>Score_min</w:t>
      </w:r>
      <w:proofErr w:type="spellEnd"/>
      <w:r w:rsidR="0084228F" w:rsidRPr="004E7E5A">
        <w:rPr>
          <w:rFonts w:cs="Times New Roman"/>
        </w:rPr>
        <w:t>) values of the three centrality measures of each firm</w:t>
      </w:r>
      <w:r w:rsidRPr="004E7E5A">
        <w:rPr>
          <w:rFonts w:cs="Times New Roman"/>
        </w:rPr>
        <w:t xml:space="preserve">, where highest (lowest) values of centrality assume a value of ten (one). The centrality measures are calculated at the director level. </w:t>
      </w:r>
    </w:p>
    <w:p w14:paraId="4B954626" w14:textId="77777777" w:rsidR="00A53CFE" w:rsidRPr="004E7E5A" w:rsidRDefault="00A53CFE" w:rsidP="00A53CFE">
      <w:pPr>
        <w:pStyle w:val="a7"/>
        <w:spacing w:line="480" w:lineRule="auto"/>
        <w:ind w:firstLine="480"/>
        <w:rPr>
          <w:rFonts w:cs="Times New Roman"/>
        </w:rPr>
      </w:pPr>
      <w:r w:rsidRPr="004E7E5A">
        <w:rPr>
          <w:rFonts w:cs="Times New Roman"/>
        </w:rPr>
        <w:t>To obtain centrality measures at the board-level, we calculated the sum of the maximum (</w:t>
      </w:r>
      <w:proofErr w:type="spellStart"/>
      <w:r w:rsidRPr="004E7E5A">
        <w:rPr>
          <w:rFonts w:cs="Times New Roman"/>
          <w:i/>
          <w:iCs/>
        </w:rPr>
        <w:t>Score_max</w:t>
      </w:r>
      <w:proofErr w:type="spellEnd"/>
      <w:r w:rsidRPr="004E7E5A">
        <w:rPr>
          <w:rFonts w:cs="Times New Roman"/>
        </w:rPr>
        <w:t>), mean (</w:t>
      </w:r>
      <w:proofErr w:type="spellStart"/>
      <w:r w:rsidRPr="004E7E5A">
        <w:rPr>
          <w:rFonts w:cs="Times New Roman"/>
          <w:i/>
          <w:iCs/>
        </w:rPr>
        <w:t>Score_mean</w:t>
      </w:r>
      <w:proofErr w:type="spellEnd"/>
      <w:r w:rsidRPr="004E7E5A">
        <w:rPr>
          <w:rFonts w:cs="Times New Roman"/>
        </w:rPr>
        <w:t>), median (</w:t>
      </w:r>
      <w:proofErr w:type="spellStart"/>
      <w:r w:rsidRPr="004E7E5A">
        <w:rPr>
          <w:rFonts w:cs="Times New Roman"/>
          <w:i/>
          <w:iCs/>
        </w:rPr>
        <w:t>Score_med</w:t>
      </w:r>
      <w:proofErr w:type="spellEnd"/>
      <w:r w:rsidRPr="004E7E5A">
        <w:rPr>
          <w:rFonts w:cs="Times New Roman"/>
        </w:rPr>
        <w:t>) and minimum (</w:t>
      </w:r>
      <w:proofErr w:type="spellStart"/>
      <w:r w:rsidRPr="004E7E5A">
        <w:rPr>
          <w:rFonts w:cs="Times New Roman"/>
          <w:i/>
          <w:iCs/>
        </w:rPr>
        <w:t>Score_min</w:t>
      </w:r>
      <w:proofErr w:type="spellEnd"/>
      <w:r w:rsidRPr="004E7E5A">
        <w:rPr>
          <w:rFonts w:cs="Times New Roman"/>
        </w:rPr>
        <w:t>) values of the three centrality measures of each firm as independent variables.</w:t>
      </w:r>
    </w:p>
    <w:p w14:paraId="38B0F7EC" w14:textId="77777777" w:rsidR="00A53CFE" w:rsidRPr="004E7E5A" w:rsidRDefault="00A53CFE" w:rsidP="00A53CFE">
      <w:pPr>
        <w:widowControl/>
        <w:spacing w:line="480" w:lineRule="auto"/>
        <w:jc w:val="center"/>
        <w:rPr>
          <w:rFonts w:ascii="Times New Roman" w:eastAsia="宋体" w:hAnsi="Times New Roman"/>
          <w:color w:val="000000" w:themeColor="text1"/>
          <w:sz w:val="24"/>
          <w:szCs w:val="24"/>
        </w:rPr>
      </w:pPr>
    </w:p>
    <w:p w14:paraId="7823E396" w14:textId="77777777" w:rsidR="00A53CFE" w:rsidRPr="004E7E5A" w:rsidRDefault="00A53CFE" w:rsidP="00A53CFE">
      <w:pPr>
        <w:widowControl/>
        <w:spacing w:line="480" w:lineRule="auto"/>
        <w:jc w:val="center"/>
        <w:rPr>
          <w:rFonts w:ascii="Times New Roman" w:eastAsia="宋体" w:hAnsi="Times New Roman"/>
          <w:color w:val="000000" w:themeColor="text1"/>
          <w:sz w:val="24"/>
          <w:szCs w:val="24"/>
        </w:rPr>
      </w:pPr>
    </w:p>
    <w:p w14:paraId="13DEDCF1" w14:textId="77777777" w:rsidR="00A53CFE" w:rsidRPr="004E7E5A" w:rsidRDefault="00A53CFE" w:rsidP="00A53CFE">
      <w:pPr>
        <w:widowControl/>
        <w:spacing w:line="480" w:lineRule="auto"/>
        <w:jc w:val="center"/>
        <w:rPr>
          <w:rFonts w:ascii="Times New Roman" w:eastAsia="宋体" w:hAnsi="Times New Roman"/>
          <w:color w:val="000000" w:themeColor="text1"/>
          <w:sz w:val="24"/>
          <w:szCs w:val="24"/>
        </w:rPr>
      </w:pPr>
    </w:p>
    <w:p w14:paraId="67CECF4F" w14:textId="77777777" w:rsidR="00A53CFE" w:rsidRPr="004E7E5A" w:rsidRDefault="00A53CFE" w:rsidP="00A53CFE">
      <w:pPr>
        <w:pStyle w:val="4"/>
        <w:spacing w:before="0" w:after="0" w:line="240" w:lineRule="auto"/>
        <w:jc w:val="center"/>
        <w:rPr>
          <w:color w:val="000000" w:themeColor="text1"/>
        </w:rPr>
        <w:sectPr w:rsidR="00A53CFE" w:rsidRPr="004E7E5A" w:rsidSect="008F110D">
          <w:pgSz w:w="11906" w:h="16838"/>
          <w:pgMar w:top="1701" w:right="1418" w:bottom="1361" w:left="1418" w:header="1134" w:footer="1134" w:gutter="0"/>
          <w:cols w:space="425"/>
          <w:docGrid w:type="lines" w:linePitch="312"/>
        </w:sectPr>
      </w:pPr>
    </w:p>
    <w:p w14:paraId="535039C3" w14:textId="77777777" w:rsidR="004862D7" w:rsidRPr="004E7E5A" w:rsidRDefault="004862D7" w:rsidP="004862D7">
      <w:pPr>
        <w:pStyle w:val="4"/>
        <w:spacing w:before="0" w:after="0" w:line="240" w:lineRule="auto"/>
        <w:jc w:val="center"/>
        <w:rPr>
          <w:color w:val="000000" w:themeColor="text1"/>
        </w:rPr>
      </w:pPr>
      <w:r w:rsidRPr="004E7E5A">
        <w:rPr>
          <w:color w:val="000000" w:themeColor="text1"/>
        </w:rPr>
        <w:lastRenderedPageBreak/>
        <w:t>Table 1</w:t>
      </w:r>
    </w:p>
    <w:p w14:paraId="47C4D803" w14:textId="58AB69FA" w:rsidR="004862D7" w:rsidRPr="004E7E5A" w:rsidRDefault="005E0222" w:rsidP="004862D7">
      <w:pPr>
        <w:autoSpaceDE w:val="0"/>
        <w:autoSpaceDN w:val="0"/>
        <w:adjustRightInd w:val="0"/>
        <w:spacing w:afterLines="50" w:after="156"/>
        <w:jc w:val="center"/>
        <w:rPr>
          <w:rFonts w:ascii="Times New Roman" w:hAnsi="Times New Roman"/>
          <w:b/>
          <w:bCs/>
          <w:color w:val="000000" w:themeColor="text1"/>
          <w:sz w:val="24"/>
          <w:szCs w:val="24"/>
        </w:rPr>
      </w:pPr>
      <w:r w:rsidRPr="004E7E5A">
        <w:rPr>
          <w:rFonts w:ascii="Times New Roman" w:hAnsi="Times New Roman" w:hint="eastAsia"/>
          <w:b/>
          <w:bCs/>
          <w:color w:val="000000" w:themeColor="text1"/>
          <w:sz w:val="24"/>
          <w:szCs w:val="24"/>
        </w:rPr>
        <w:t>Control</w:t>
      </w:r>
      <w:r w:rsidRPr="004E7E5A">
        <w:rPr>
          <w:rFonts w:ascii="Times New Roman" w:hAnsi="Times New Roman"/>
          <w:b/>
          <w:bCs/>
          <w:color w:val="000000" w:themeColor="text1"/>
          <w:sz w:val="24"/>
          <w:szCs w:val="24"/>
        </w:rPr>
        <w:t xml:space="preserve"> </w:t>
      </w:r>
      <w:r w:rsidR="004862D7" w:rsidRPr="004E7E5A">
        <w:rPr>
          <w:rFonts w:ascii="Times New Roman" w:hAnsi="Times New Roman"/>
          <w:b/>
          <w:bCs/>
          <w:color w:val="000000" w:themeColor="text1"/>
          <w:sz w:val="24"/>
          <w:szCs w:val="24"/>
        </w:rPr>
        <w:t xml:space="preserve">Variable Definitions and </w:t>
      </w:r>
      <w:r w:rsidRPr="004E7E5A">
        <w:rPr>
          <w:rFonts w:ascii="Times New Roman" w:hAnsi="Times New Roman"/>
          <w:b/>
          <w:bCs/>
          <w:color w:val="000000" w:themeColor="text1"/>
          <w:sz w:val="24"/>
          <w:szCs w:val="24"/>
        </w:rPr>
        <w:t xml:space="preserve">Related Studies </w:t>
      </w:r>
    </w:p>
    <w:tbl>
      <w:tblPr>
        <w:tblW w:w="4991" w:type="pct"/>
        <w:tblLayout w:type="fixed"/>
        <w:tblLook w:val="04A0" w:firstRow="1" w:lastRow="0" w:firstColumn="1" w:lastColumn="0" w:noHBand="0" w:noVBand="1"/>
      </w:tblPr>
      <w:tblGrid>
        <w:gridCol w:w="3183"/>
        <w:gridCol w:w="238"/>
        <w:gridCol w:w="1676"/>
        <w:gridCol w:w="282"/>
        <w:gridCol w:w="5019"/>
        <w:gridCol w:w="283"/>
        <w:gridCol w:w="3070"/>
      </w:tblGrid>
      <w:tr w:rsidR="001E3466" w:rsidRPr="004E7E5A" w14:paraId="740D8BB0" w14:textId="24B2FD64" w:rsidTr="00C65E02">
        <w:trPr>
          <w:trHeight w:val="20"/>
        </w:trPr>
        <w:tc>
          <w:tcPr>
            <w:tcW w:w="3183" w:type="dxa"/>
            <w:tcBorders>
              <w:top w:val="single" w:sz="4" w:space="0" w:color="auto"/>
              <w:left w:val="nil"/>
              <w:bottom w:val="single" w:sz="4" w:space="0" w:color="auto"/>
              <w:right w:val="nil"/>
            </w:tcBorders>
            <w:shd w:val="clear" w:color="auto" w:fill="auto"/>
            <w:noWrap/>
          </w:tcPr>
          <w:p w14:paraId="38059610" w14:textId="77777777" w:rsidR="00065F7C" w:rsidRPr="004E7E5A" w:rsidRDefault="00065F7C" w:rsidP="00B66601">
            <w:pPr>
              <w:jc w:val="left"/>
              <w:rPr>
                <w:rFonts w:ascii="Times New Roman" w:hAnsi="Times New Roman"/>
                <w:b/>
                <w:bCs/>
                <w:color w:val="000000" w:themeColor="text1"/>
                <w:sz w:val="24"/>
                <w:szCs w:val="24"/>
              </w:rPr>
            </w:pPr>
            <w:r w:rsidRPr="004E7E5A">
              <w:rPr>
                <w:rFonts w:ascii="Times New Roman" w:hAnsi="Times New Roman"/>
                <w:b/>
                <w:bCs/>
                <w:color w:val="000000" w:themeColor="text1"/>
                <w:sz w:val="24"/>
                <w:szCs w:val="24"/>
              </w:rPr>
              <w:t>Variables</w:t>
            </w:r>
          </w:p>
        </w:tc>
        <w:tc>
          <w:tcPr>
            <w:tcW w:w="238" w:type="dxa"/>
            <w:tcBorders>
              <w:top w:val="single" w:sz="4" w:space="0" w:color="auto"/>
              <w:left w:val="nil"/>
              <w:right w:val="nil"/>
            </w:tcBorders>
          </w:tcPr>
          <w:p w14:paraId="56C74466" w14:textId="77777777" w:rsidR="00065F7C" w:rsidRPr="004E7E5A" w:rsidRDefault="00065F7C" w:rsidP="00B66601">
            <w:pPr>
              <w:jc w:val="center"/>
              <w:rPr>
                <w:rFonts w:ascii="Times New Roman" w:eastAsia="Times New Roman" w:hAnsi="Times New Roman"/>
                <w:b/>
                <w:bCs/>
                <w:color w:val="000000" w:themeColor="text1"/>
                <w:sz w:val="24"/>
                <w:szCs w:val="24"/>
                <w:lang w:eastAsia="en-GB"/>
              </w:rPr>
            </w:pPr>
          </w:p>
        </w:tc>
        <w:tc>
          <w:tcPr>
            <w:tcW w:w="1676" w:type="dxa"/>
            <w:tcBorders>
              <w:top w:val="single" w:sz="4" w:space="0" w:color="auto"/>
              <w:left w:val="nil"/>
              <w:bottom w:val="single" w:sz="4" w:space="0" w:color="auto"/>
              <w:right w:val="nil"/>
            </w:tcBorders>
          </w:tcPr>
          <w:p w14:paraId="3597CECD" w14:textId="1AA81247" w:rsidR="00065F7C" w:rsidRPr="004E7E5A" w:rsidRDefault="00065F7C" w:rsidP="00B66601">
            <w:pPr>
              <w:jc w:val="center"/>
              <w:rPr>
                <w:rFonts w:ascii="Times New Roman" w:eastAsia="Times New Roman" w:hAnsi="Times New Roman"/>
                <w:b/>
                <w:bCs/>
                <w:color w:val="000000" w:themeColor="text1"/>
                <w:sz w:val="24"/>
                <w:szCs w:val="24"/>
                <w:lang w:eastAsia="en-GB"/>
              </w:rPr>
            </w:pPr>
            <w:r w:rsidRPr="004E7E5A">
              <w:rPr>
                <w:rFonts w:ascii="Times New Roman" w:eastAsia="Times New Roman" w:hAnsi="Times New Roman" w:hint="eastAsia"/>
                <w:b/>
                <w:bCs/>
                <w:color w:val="000000" w:themeColor="text1"/>
                <w:sz w:val="24"/>
                <w:szCs w:val="24"/>
                <w:lang w:eastAsia="en-GB"/>
              </w:rPr>
              <w:t>C</w:t>
            </w:r>
            <w:r w:rsidRPr="004E7E5A">
              <w:rPr>
                <w:rFonts w:ascii="Times New Roman" w:eastAsia="Times New Roman" w:hAnsi="Times New Roman"/>
                <w:b/>
                <w:bCs/>
                <w:color w:val="000000" w:themeColor="text1"/>
                <w:sz w:val="24"/>
                <w:szCs w:val="24"/>
                <w:lang w:eastAsia="en-GB"/>
              </w:rPr>
              <w:t>ode</w:t>
            </w:r>
          </w:p>
        </w:tc>
        <w:tc>
          <w:tcPr>
            <w:tcW w:w="282" w:type="dxa"/>
            <w:tcBorders>
              <w:top w:val="single" w:sz="4" w:space="0" w:color="auto"/>
              <w:left w:val="nil"/>
              <w:right w:val="nil"/>
            </w:tcBorders>
            <w:shd w:val="clear" w:color="auto" w:fill="auto"/>
            <w:noWrap/>
          </w:tcPr>
          <w:p w14:paraId="495AAC0B" w14:textId="78EA7CEB" w:rsidR="00065F7C" w:rsidRPr="004E7E5A" w:rsidRDefault="00065F7C" w:rsidP="00B66601">
            <w:pPr>
              <w:jc w:val="center"/>
              <w:rPr>
                <w:rFonts w:ascii="Times New Roman" w:eastAsia="Times New Roman" w:hAnsi="Times New Roman"/>
                <w:b/>
                <w:bCs/>
                <w:color w:val="000000" w:themeColor="text1"/>
                <w:sz w:val="24"/>
                <w:szCs w:val="24"/>
                <w:lang w:eastAsia="en-GB"/>
              </w:rPr>
            </w:pPr>
          </w:p>
        </w:tc>
        <w:tc>
          <w:tcPr>
            <w:tcW w:w="5019" w:type="dxa"/>
            <w:tcBorders>
              <w:top w:val="single" w:sz="4" w:space="0" w:color="auto"/>
              <w:left w:val="nil"/>
              <w:bottom w:val="nil"/>
              <w:right w:val="nil"/>
            </w:tcBorders>
            <w:shd w:val="clear" w:color="auto" w:fill="auto"/>
          </w:tcPr>
          <w:p w14:paraId="3686FFBB" w14:textId="1DF1934B" w:rsidR="00065F7C" w:rsidRPr="004E7E5A" w:rsidRDefault="00302B57" w:rsidP="00B66601">
            <w:pPr>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Proxies</w:t>
            </w:r>
          </w:p>
        </w:tc>
        <w:tc>
          <w:tcPr>
            <w:tcW w:w="283" w:type="dxa"/>
            <w:tcBorders>
              <w:top w:val="single" w:sz="4" w:space="0" w:color="auto"/>
              <w:left w:val="nil"/>
              <w:right w:val="nil"/>
            </w:tcBorders>
          </w:tcPr>
          <w:p w14:paraId="0E6A8940" w14:textId="77777777" w:rsidR="00065F7C" w:rsidRPr="004E7E5A" w:rsidRDefault="00065F7C" w:rsidP="00B66601">
            <w:pPr>
              <w:rPr>
                <w:rFonts w:ascii="Times New Roman" w:eastAsia="Times New Roman" w:hAnsi="Times New Roman"/>
                <w:b/>
                <w:bCs/>
                <w:color w:val="000000" w:themeColor="text1"/>
                <w:sz w:val="24"/>
                <w:szCs w:val="24"/>
                <w:lang w:eastAsia="en-GB"/>
              </w:rPr>
            </w:pPr>
          </w:p>
        </w:tc>
        <w:tc>
          <w:tcPr>
            <w:tcW w:w="3070" w:type="dxa"/>
            <w:tcBorders>
              <w:top w:val="single" w:sz="4" w:space="0" w:color="auto"/>
              <w:left w:val="nil"/>
              <w:bottom w:val="nil"/>
              <w:right w:val="nil"/>
            </w:tcBorders>
          </w:tcPr>
          <w:p w14:paraId="01AFB3DB" w14:textId="2BE793D3" w:rsidR="00065F7C" w:rsidRPr="004E7E5A" w:rsidRDefault="00065F7C" w:rsidP="00EB3E3F">
            <w:pPr>
              <w:jc w:val="left"/>
              <w:rPr>
                <w:rFonts w:ascii="Times New Roman" w:eastAsia="Times New Roman" w:hAnsi="Times New Roman" w:cs="Times New Roman"/>
                <w:b/>
                <w:bCs/>
                <w:color w:val="000000" w:themeColor="text1"/>
                <w:sz w:val="24"/>
                <w:szCs w:val="24"/>
                <w:lang w:eastAsia="en-GB"/>
              </w:rPr>
            </w:pPr>
            <w:r w:rsidRPr="004E7E5A">
              <w:rPr>
                <w:rFonts w:ascii="Times New Roman" w:eastAsia="Times New Roman" w:hAnsi="Times New Roman" w:cs="Times New Roman"/>
                <w:b/>
                <w:bCs/>
                <w:color w:val="000000" w:themeColor="text1"/>
                <w:sz w:val="24"/>
                <w:szCs w:val="24"/>
                <w:lang w:eastAsia="en-GB"/>
              </w:rPr>
              <w:t>Studies Using the Measure</w:t>
            </w:r>
          </w:p>
        </w:tc>
      </w:tr>
      <w:tr w:rsidR="001E3466" w:rsidRPr="004E7E5A" w14:paraId="0C35F8B3" w14:textId="0DF13041" w:rsidTr="00C65E02">
        <w:trPr>
          <w:trHeight w:val="20"/>
        </w:trPr>
        <w:tc>
          <w:tcPr>
            <w:tcW w:w="3183" w:type="dxa"/>
            <w:tcBorders>
              <w:top w:val="nil"/>
              <w:left w:val="nil"/>
              <w:bottom w:val="single" w:sz="4" w:space="0" w:color="auto"/>
              <w:right w:val="nil"/>
            </w:tcBorders>
            <w:shd w:val="clear" w:color="auto" w:fill="auto"/>
            <w:noWrap/>
          </w:tcPr>
          <w:p w14:paraId="0FEE3D6C" w14:textId="666F93DD" w:rsidR="009119CF" w:rsidRPr="004E7E5A" w:rsidRDefault="00172F77" w:rsidP="009119CF">
            <w:pPr>
              <w:jc w:val="left"/>
              <w:rPr>
                <w:rFonts w:ascii="Times New Roman" w:hAnsi="Times New Roman"/>
                <w:i/>
                <w:iCs/>
                <w:color w:val="000000" w:themeColor="text1"/>
                <w:kern w:val="0"/>
                <w:sz w:val="24"/>
                <w:szCs w:val="24"/>
              </w:rPr>
            </w:pPr>
            <w:r w:rsidRPr="004E7E5A">
              <w:rPr>
                <w:rFonts w:ascii="Times New Roman" w:hAnsi="Times New Roman"/>
                <w:color w:val="000000" w:themeColor="text1"/>
                <w:sz w:val="24"/>
                <w:szCs w:val="24"/>
              </w:rPr>
              <w:t>Director-level control variables</w:t>
            </w:r>
          </w:p>
        </w:tc>
        <w:tc>
          <w:tcPr>
            <w:tcW w:w="238" w:type="dxa"/>
            <w:tcBorders>
              <w:top w:val="nil"/>
              <w:left w:val="nil"/>
              <w:bottom w:val="nil"/>
              <w:right w:val="nil"/>
            </w:tcBorders>
          </w:tcPr>
          <w:p w14:paraId="57C563E4"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4A960DCD"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282" w:type="dxa"/>
            <w:tcBorders>
              <w:top w:val="nil"/>
              <w:left w:val="nil"/>
              <w:bottom w:val="nil"/>
              <w:right w:val="nil"/>
            </w:tcBorders>
            <w:shd w:val="clear" w:color="auto" w:fill="auto"/>
            <w:noWrap/>
          </w:tcPr>
          <w:p w14:paraId="41B70D22" w14:textId="2EB7AF1B"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267FB455"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283" w:type="dxa"/>
            <w:tcBorders>
              <w:top w:val="nil"/>
              <w:left w:val="nil"/>
              <w:bottom w:val="nil"/>
              <w:right w:val="nil"/>
            </w:tcBorders>
          </w:tcPr>
          <w:p w14:paraId="78AE0827"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78D4D5C6" w14:textId="77777777" w:rsidR="009119CF" w:rsidRPr="004E7E5A" w:rsidRDefault="009119CF" w:rsidP="00EB3E3F">
            <w:pPr>
              <w:rPr>
                <w:rFonts w:ascii="Times New Roman" w:hAnsi="Times New Roman" w:cs="Times New Roman"/>
                <w:color w:val="000000" w:themeColor="text1"/>
                <w:kern w:val="0"/>
                <w:sz w:val="24"/>
                <w:szCs w:val="24"/>
              </w:rPr>
            </w:pPr>
          </w:p>
        </w:tc>
      </w:tr>
      <w:tr w:rsidR="001E3466" w:rsidRPr="004E7E5A" w14:paraId="104F4FF5" w14:textId="1819F48F" w:rsidTr="00C65E02">
        <w:trPr>
          <w:trHeight w:val="20"/>
        </w:trPr>
        <w:tc>
          <w:tcPr>
            <w:tcW w:w="3183" w:type="dxa"/>
            <w:tcBorders>
              <w:top w:val="single" w:sz="4" w:space="0" w:color="auto"/>
              <w:left w:val="nil"/>
              <w:bottom w:val="nil"/>
              <w:right w:val="nil"/>
            </w:tcBorders>
            <w:shd w:val="clear" w:color="auto" w:fill="auto"/>
            <w:noWrap/>
          </w:tcPr>
          <w:p w14:paraId="0D929A03" w14:textId="3AA85ED0" w:rsidR="009119CF" w:rsidRPr="004E7E5A" w:rsidRDefault="003F659C"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Percentage of independent directors</w:t>
            </w:r>
          </w:p>
        </w:tc>
        <w:tc>
          <w:tcPr>
            <w:tcW w:w="238" w:type="dxa"/>
            <w:tcBorders>
              <w:top w:val="nil"/>
              <w:left w:val="nil"/>
              <w:bottom w:val="nil"/>
              <w:right w:val="nil"/>
            </w:tcBorders>
          </w:tcPr>
          <w:p w14:paraId="7A897EAC"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07CD8F17" w14:textId="2B99EA9B" w:rsidR="009119CF" w:rsidRPr="004E7E5A" w:rsidRDefault="009119CF" w:rsidP="009119CF">
            <w:pPr>
              <w:jc w:val="center"/>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Inddirector</w:t>
            </w:r>
            <w:proofErr w:type="spellEnd"/>
          </w:p>
        </w:tc>
        <w:tc>
          <w:tcPr>
            <w:tcW w:w="282" w:type="dxa"/>
            <w:tcBorders>
              <w:top w:val="nil"/>
              <w:left w:val="nil"/>
              <w:bottom w:val="nil"/>
              <w:right w:val="nil"/>
            </w:tcBorders>
            <w:shd w:val="clear" w:color="auto" w:fill="auto"/>
            <w:noWrap/>
          </w:tcPr>
          <w:p w14:paraId="4C2B144B" w14:textId="799C417E"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2BB66BB9" w14:textId="77777777" w:rsidR="009119CF" w:rsidRPr="004E7E5A" w:rsidRDefault="009119CF" w:rsidP="009119CF">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Proportion of independent directors on the board.</w:t>
            </w:r>
          </w:p>
        </w:tc>
        <w:tc>
          <w:tcPr>
            <w:tcW w:w="283" w:type="dxa"/>
            <w:tcBorders>
              <w:top w:val="nil"/>
              <w:left w:val="nil"/>
              <w:bottom w:val="nil"/>
              <w:right w:val="nil"/>
            </w:tcBorders>
          </w:tcPr>
          <w:p w14:paraId="6DB8BA7C"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36C7CD85" w14:textId="3EEB072A" w:rsidR="009119CF" w:rsidRPr="004E7E5A" w:rsidRDefault="000A18AD"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r>
            <w:r w:rsidR="001A1175" w:rsidRPr="004E7E5A">
              <w:rPr>
                <w:rFonts w:ascii="Times New Roman" w:hAnsi="Times New Roman" w:cs="Times New Roman"/>
                <w:color w:val="000000" w:themeColor="text1"/>
                <w:sz w:val="24"/>
                <w:szCs w:val="24"/>
              </w:rPr>
              <w:instrText xml:space="preserve"> ADDIN EN.CITE &lt;EndNote&gt;&lt;Cite AuthorYear="1"&gt;&lt;Author&gt;Khan&lt;/Author&gt;&lt;Year&gt;2012&lt;/Year&gt;&lt;RecNum&gt;320&lt;/RecNum&gt;&lt;DisplayText&gt;Khan et al. (2012); Harjoto et al. (2014)&lt;/DisplayText&gt;&lt;record&gt;&lt;rec-number&gt;320&lt;/rec-number&gt;&lt;foreign-keys&gt;&lt;key app="EN" db-id="trr00pfsbzzex0ezwf6v5swd9fpfpwfa90xp" timestamp="1581079820" guid="4fa2ed6c-da75-4ad6-9fa2-0ad735a301b8"&gt;320&lt;/key&gt;&lt;/foreign-keys&gt;&lt;ref-type name="Journal Article"&gt;17&lt;/ref-type&gt;&lt;contributors&gt;&lt;authors&gt;&lt;author&gt;Khan, Arifur&lt;/author&gt;&lt;author&gt;Muttakin, Mohammad Badrul&lt;/author&gt;&lt;author&gt;Siddiqui, Javed&lt;/author&gt;&lt;/authors&gt;&lt;/contributors&gt;&lt;titles&gt;&lt;title&gt;Corporate governance and corporate social responsibility disclosures: Evidence from an emerging economy&lt;/title&gt;&lt;secondary-title&gt;Journal of Business Ethics&lt;/secondary-title&gt;&lt;/titles&gt;&lt;periodical&gt;&lt;full-title&gt;Journal of Business Ethics&lt;/full-title&gt;&lt;/periodical&gt;&lt;pages&gt;207-223&lt;/pages&gt;&lt;volume&gt;114&lt;/volume&gt;&lt;number&gt;2&lt;/number&gt;&lt;section&gt;207&lt;/section&gt;&lt;dates&gt;&lt;year&gt;2012&lt;/year&gt;&lt;/dates&gt;&lt;isbn&gt;0167-4544&amp;#xD;1573-0697&lt;/isbn&gt;&lt;urls&gt;&lt;/urls&gt;&lt;electronic-resource-num&gt;10.1007/s10551-012-1336-0&lt;/electronic-resource-num&gt;&lt;/record&gt;&lt;/Cite&gt;&lt;Cite AuthorYear="1"&gt;&lt;Author&gt;Harjoto&lt;/Author&gt;&lt;Year&gt;2014&lt;/Year&gt;&lt;RecNum&gt;322&lt;/RecNum&gt;&lt;record&gt;&lt;rec-number&gt;322&lt;/rec-number&gt;&lt;foreign-keys&gt;&lt;key app="EN" db-id="trr00pfsbzzex0ezwf6v5swd9fpfpwfa90xp" timestamp="1581079823" guid="9044b7b2-c56c-418c-b281-495bc4fc754c"&gt;322&lt;/key&gt;&lt;/foreign-keys&gt;&lt;ref-type name="Journal Article"&gt;17&lt;/ref-type&gt;&lt;contributors&gt;&lt;authors&gt;&lt;author&gt;Harjoto, Maretno&lt;/author&gt;&lt;author&gt;Laksmana, Indrarini&lt;/author&gt;&lt;author&gt;Lee, Robert&lt;/author&gt;&lt;/authors&gt;&lt;/contributors&gt;&lt;titles&gt;&lt;title&gt;Board diversity and corporate social responsibility&lt;/title&gt;&lt;secondary-title&gt;Journal of Business Ethics&lt;/secondary-title&gt;&lt;/titles&gt;&lt;periodical&gt;&lt;full-title&gt;Journal of Business Ethics&lt;/full-title&gt;&lt;/periodical&gt;&lt;pages&gt;641-660&lt;/pages&gt;&lt;volume&gt;132&lt;/volume&gt;&lt;number&gt;4&lt;/number&gt;&lt;section&gt;641&lt;/section&gt;&lt;dates&gt;&lt;year&gt;2014&lt;/year&gt;&lt;/dates&gt;&lt;isbn&gt;0167-4544&amp;#xD;1573-0697&lt;/isbn&gt;&lt;urls&gt;&lt;/urls&gt;&lt;electronic-resource-num&gt;10.1007/s10551-014-2343-0&lt;/electronic-resource-num&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Khan et al. (2012); Harjoto et al. (2014)</w:t>
            </w:r>
            <w:r w:rsidRPr="004E7E5A">
              <w:rPr>
                <w:rFonts w:ascii="Times New Roman" w:hAnsi="Times New Roman" w:cs="Times New Roman"/>
                <w:color w:val="000000" w:themeColor="text1"/>
                <w:sz w:val="24"/>
                <w:szCs w:val="24"/>
              </w:rPr>
              <w:fldChar w:fldCharType="end"/>
            </w:r>
          </w:p>
        </w:tc>
      </w:tr>
      <w:tr w:rsidR="001E3466" w:rsidRPr="004E7E5A" w14:paraId="07B4759B" w14:textId="2A242A4E" w:rsidTr="00C65E02">
        <w:trPr>
          <w:trHeight w:val="20"/>
        </w:trPr>
        <w:tc>
          <w:tcPr>
            <w:tcW w:w="3183" w:type="dxa"/>
            <w:tcBorders>
              <w:top w:val="nil"/>
              <w:left w:val="nil"/>
              <w:bottom w:val="nil"/>
              <w:right w:val="nil"/>
            </w:tcBorders>
            <w:shd w:val="clear" w:color="auto" w:fill="auto"/>
            <w:noWrap/>
          </w:tcPr>
          <w:p w14:paraId="4DBB22E0" w14:textId="35A78031" w:rsidR="009119CF" w:rsidRPr="004E7E5A" w:rsidRDefault="000A18AD"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Board size</w:t>
            </w:r>
          </w:p>
        </w:tc>
        <w:tc>
          <w:tcPr>
            <w:tcW w:w="238" w:type="dxa"/>
            <w:tcBorders>
              <w:top w:val="nil"/>
              <w:left w:val="nil"/>
              <w:bottom w:val="nil"/>
              <w:right w:val="nil"/>
            </w:tcBorders>
          </w:tcPr>
          <w:p w14:paraId="67360F6E"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1FFAEB92" w14:textId="4ACA1326" w:rsidR="009119CF" w:rsidRPr="004E7E5A" w:rsidRDefault="009119CF" w:rsidP="009119CF">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Board size</w:t>
            </w:r>
          </w:p>
        </w:tc>
        <w:tc>
          <w:tcPr>
            <w:tcW w:w="282" w:type="dxa"/>
            <w:tcBorders>
              <w:top w:val="nil"/>
              <w:left w:val="nil"/>
              <w:bottom w:val="nil"/>
              <w:right w:val="nil"/>
            </w:tcBorders>
            <w:shd w:val="clear" w:color="auto" w:fill="auto"/>
            <w:noWrap/>
          </w:tcPr>
          <w:p w14:paraId="1F35C00C" w14:textId="73F7098B"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6C154993" w14:textId="4777557B" w:rsidR="009119CF" w:rsidRPr="004E7E5A" w:rsidRDefault="00431407" w:rsidP="009119CF">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Number of directors serving on the board.</w:t>
            </w:r>
          </w:p>
        </w:tc>
        <w:tc>
          <w:tcPr>
            <w:tcW w:w="283" w:type="dxa"/>
            <w:tcBorders>
              <w:top w:val="nil"/>
              <w:left w:val="nil"/>
              <w:bottom w:val="nil"/>
              <w:right w:val="nil"/>
            </w:tcBorders>
          </w:tcPr>
          <w:p w14:paraId="728279FF"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4877B4A6" w14:textId="1DC02F11" w:rsidR="009119CF" w:rsidRPr="004E7E5A" w:rsidRDefault="000A18AD"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r>
            <w:r w:rsidR="001A1175" w:rsidRPr="004E7E5A">
              <w:rPr>
                <w:rFonts w:ascii="Times New Roman" w:hAnsi="Times New Roman" w:cs="Times New Roman"/>
                <w:color w:val="000000" w:themeColor="text1"/>
                <w:sz w:val="24"/>
                <w:szCs w:val="24"/>
              </w:rPr>
              <w:instrText xml:space="preserve"> ADDIN EN.CITE &lt;EndNote&gt;&lt;Cite AuthorYear="1"&gt;&lt;Author&gt;Beji&lt;/Author&gt;&lt;Year&gt;2020&lt;/Year&gt;&lt;RecNum&gt;1933&lt;/RecNum&gt;&lt;DisplayText&gt;Beji et al. (2020)&lt;/DisplayText&gt;&lt;record&gt;&lt;rec-number&gt;1933&lt;/rec-number&gt;&lt;foreign-keys&gt;&lt;key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Beji et al. (2020)</w:t>
            </w:r>
            <w:r w:rsidRPr="004E7E5A">
              <w:rPr>
                <w:rFonts w:ascii="Times New Roman" w:hAnsi="Times New Roman" w:cs="Times New Roman"/>
                <w:color w:val="000000" w:themeColor="text1"/>
                <w:sz w:val="24"/>
                <w:szCs w:val="24"/>
              </w:rPr>
              <w:fldChar w:fldCharType="end"/>
            </w:r>
          </w:p>
        </w:tc>
      </w:tr>
      <w:tr w:rsidR="001E3466" w:rsidRPr="004E7E5A" w14:paraId="054B2FF7" w14:textId="335A14A1" w:rsidTr="00C65E02">
        <w:trPr>
          <w:trHeight w:val="20"/>
        </w:trPr>
        <w:tc>
          <w:tcPr>
            <w:tcW w:w="3183" w:type="dxa"/>
            <w:tcBorders>
              <w:top w:val="nil"/>
              <w:left w:val="nil"/>
              <w:bottom w:val="nil"/>
              <w:right w:val="nil"/>
            </w:tcBorders>
            <w:shd w:val="clear" w:color="auto" w:fill="auto"/>
            <w:noWrap/>
          </w:tcPr>
          <w:p w14:paraId="31106FAF" w14:textId="6CE476DC" w:rsidR="009119CF" w:rsidRPr="004E7E5A" w:rsidRDefault="006C236D"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Gender</w:t>
            </w:r>
          </w:p>
        </w:tc>
        <w:tc>
          <w:tcPr>
            <w:tcW w:w="238" w:type="dxa"/>
            <w:tcBorders>
              <w:top w:val="nil"/>
              <w:left w:val="nil"/>
              <w:bottom w:val="nil"/>
              <w:right w:val="nil"/>
            </w:tcBorders>
          </w:tcPr>
          <w:p w14:paraId="498E7C19"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7A3BADC2" w14:textId="454D86A6" w:rsidR="009119CF" w:rsidRPr="004E7E5A" w:rsidRDefault="009119CF" w:rsidP="009119CF">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Female</w:t>
            </w:r>
          </w:p>
        </w:tc>
        <w:tc>
          <w:tcPr>
            <w:tcW w:w="282" w:type="dxa"/>
            <w:tcBorders>
              <w:top w:val="nil"/>
              <w:left w:val="nil"/>
              <w:bottom w:val="nil"/>
              <w:right w:val="nil"/>
            </w:tcBorders>
            <w:shd w:val="clear" w:color="auto" w:fill="auto"/>
            <w:noWrap/>
          </w:tcPr>
          <w:p w14:paraId="5E996523" w14:textId="782BF622"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3DC9E461" w14:textId="77777777" w:rsidR="009119CF" w:rsidRPr="004E7E5A" w:rsidRDefault="009119CF" w:rsidP="009119CF">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Number of female directors</w:t>
            </w:r>
            <w:r w:rsidRPr="004E7E5A">
              <w:rPr>
                <w:rFonts w:ascii="Times New Roman" w:eastAsia="Times New Roman" w:hAnsi="Times New Roman"/>
                <w:color w:val="000000" w:themeColor="text1"/>
                <w:sz w:val="24"/>
                <w:szCs w:val="24"/>
                <w:lang w:eastAsia="en-GB"/>
              </w:rPr>
              <w:t xml:space="preserve"> divided by the total </w:t>
            </w:r>
            <w:r w:rsidRPr="004E7E5A">
              <w:rPr>
                <w:rFonts w:ascii="Times New Roman" w:hAnsi="Times New Roman"/>
                <w:color w:val="000000" w:themeColor="text1"/>
                <w:kern w:val="0"/>
                <w:sz w:val="24"/>
                <w:szCs w:val="24"/>
              </w:rPr>
              <w:t>number of</w:t>
            </w:r>
            <w:r w:rsidRPr="004E7E5A">
              <w:rPr>
                <w:rFonts w:ascii="Times New Roman" w:eastAsia="Times New Roman" w:hAnsi="Times New Roman"/>
                <w:color w:val="000000" w:themeColor="text1"/>
                <w:sz w:val="24"/>
                <w:szCs w:val="24"/>
                <w:lang w:eastAsia="en-GB"/>
              </w:rPr>
              <w:t xml:space="preserve"> </w:t>
            </w:r>
            <w:r w:rsidRPr="004E7E5A">
              <w:rPr>
                <w:rFonts w:ascii="Times New Roman" w:hAnsi="Times New Roman"/>
                <w:color w:val="000000" w:themeColor="text1"/>
                <w:kern w:val="0"/>
                <w:sz w:val="24"/>
                <w:szCs w:val="24"/>
              </w:rPr>
              <w:t>directors.</w:t>
            </w:r>
          </w:p>
        </w:tc>
        <w:tc>
          <w:tcPr>
            <w:tcW w:w="283" w:type="dxa"/>
            <w:tcBorders>
              <w:top w:val="nil"/>
              <w:left w:val="nil"/>
              <w:bottom w:val="nil"/>
              <w:right w:val="nil"/>
            </w:tcBorders>
          </w:tcPr>
          <w:p w14:paraId="19C84679"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21D6338A" w14:textId="293F61F5" w:rsidR="009119CF" w:rsidRPr="004E7E5A" w:rsidRDefault="000A18AD"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fldData xml:space="preserve">PEVuZE5vdGU+PENpdGUgQXV0aG9yWWVhcj0iMSI+PEF1dGhvcj5MaWFvPC9BdXRob3I+PFllYXI+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</w:fldData>
              </w:fldChar>
            </w:r>
            <w:r w:rsidR="00317C6A" w:rsidRPr="004E7E5A">
              <w:rPr>
                <w:rFonts w:ascii="Times New Roman" w:hAnsi="Times New Roman" w:cs="Times New Roman"/>
                <w:color w:val="000000" w:themeColor="text1"/>
                <w:sz w:val="24"/>
                <w:szCs w:val="24"/>
              </w:rPr>
              <w:instrText xml:space="preserve"> ADDIN EN.CITE </w:instrText>
            </w:r>
            <w:r w:rsidR="00317C6A" w:rsidRPr="004E7E5A">
              <w:rPr>
                <w:rFonts w:ascii="Times New Roman" w:hAnsi="Times New Roman" w:cs="Times New Roman"/>
                <w:color w:val="000000" w:themeColor="text1"/>
                <w:sz w:val="24"/>
                <w:szCs w:val="24"/>
              </w:rPr>
              <w:fldChar w:fldCharType="begin">
                <w:fldData xml:space="preserve">PEVuZE5vdGU+PENpdGUgQXV0aG9yWWVhcj0iMSI+PEF1dGhvcj5MaWFvPC9BdXRob3I+PFllYXI+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</w:fldData>
              </w:fldChar>
            </w:r>
            <w:r w:rsidR="00317C6A" w:rsidRPr="004E7E5A">
              <w:rPr>
                <w:rFonts w:ascii="Times New Roman" w:hAnsi="Times New Roman" w:cs="Times New Roman"/>
                <w:color w:val="000000" w:themeColor="text1"/>
                <w:sz w:val="24"/>
                <w:szCs w:val="24"/>
              </w:rPr>
              <w:instrText xml:space="preserve"> ADDIN EN.CITE.DATA </w:instrText>
            </w:r>
            <w:r w:rsidR="00317C6A" w:rsidRPr="004E7E5A">
              <w:rPr>
                <w:rFonts w:ascii="Times New Roman" w:hAnsi="Times New Roman" w:cs="Times New Roman"/>
                <w:color w:val="000000" w:themeColor="text1"/>
                <w:sz w:val="24"/>
                <w:szCs w:val="24"/>
              </w:rPr>
            </w:r>
            <w:r w:rsidR="00317C6A" w:rsidRPr="004E7E5A">
              <w:rPr>
                <w:rFonts w:ascii="Times New Roman" w:hAnsi="Times New Roman" w:cs="Times New Roman"/>
                <w:color w:val="000000" w:themeColor="text1"/>
                <w:sz w:val="24"/>
                <w:szCs w:val="24"/>
              </w:rPr>
              <w:fldChar w:fldCharType="end"/>
            </w:r>
            <w:r w:rsidRPr="004E7E5A">
              <w:rPr>
                <w:rFonts w:ascii="Times New Roman" w:hAnsi="Times New Roman" w:cs="Times New Roman"/>
                <w:color w:val="000000" w:themeColor="text1"/>
                <w:sz w:val="24"/>
                <w:szCs w:val="24"/>
              </w:rPr>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Liao et al. (2016); Katmon et al. (2017); Yuan et al. (2017)</w:t>
            </w:r>
            <w:r w:rsidRPr="004E7E5A">
              <w:rPr>
                <w:rFonts w:ascii="Times New Roman" w:hAnsi="Times New Roman" w:cs="Times New Roman"/>
                <w:color w:val="000000" w:themeColor="text1"/>
                <w:sz w:val="24"/>
                <w:szCs w:val="24"/>
              </w:rPr>
              <w:fldChar w:fldCharType="end"/>
            </w:r>
          </w:p>
        </w:tc>
      </w:tr>
      <w:tr w:rsidR="001E3466" w:rsidRPr="004E7E5A" w14:paraId="0CB565FA" w14:textId="318400D0" w:rsidTr="00C65E02">
        <w:trPr>
          <w:trHeight w:val="20"/>
        </w:trPr>
        <w:tc>
          <w:tcPr>
            <w:tcW w:w="3183" w:type="dxa"/>
            <w:tcBorders>
              <w:top w:val="nil"/>
              <w:left w:val="nil"/>
              <w:bottom w:val="nil"/>
              <w:right w:val="nil"/>
            </w:tcBorders>
            <w:shd w:val="clear" w:color="auto" w:fill="auto"/>
            <w:noWrap/>
          </w:tcPr>
          <w:p w14:paraId="307BB83A" w14:textId="7E41A566" w:rsidR="009119CF" w:rsidRPr="004E7E5A" w:rsidRDefault="00EB3E3F"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Average age of directors</w:t>
            </w:r>
          </w:p>
        </w:tc>
        <w:tc>
          <w:tcPr>
            <w:tcW w:w="238" w:type="dxa"/>
            <w:tcBorders>
              <w:top w:val="nil"/>
              <w:left w:val="nil"/>
              <w:bottom w:val="nil"/>
              <w:right w:val="nil"/>
            </w:tcBorders>
          </w:tcPr>
          <w:p w14:paraId="53F41545"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55E0CC23" w14:textId="4A337315" w:rsidR="009119CF" w:rsidRPr="004E7E5A" w:rsidRDefault="009119CF" w:rsidP="009119CF">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Director age</w:t>
            </w:r>
          </w:p>
        </w:tc>
        <w:tc>
          <w:tcPr>
            <w:tcW w:w="282" w:type="dxa"/>
            <w:tcBorders>
              <w:top w:val="nil"/>
              <w:left w:val="nil"/>
              <w:bottom w:val="nil"/>
              <w:right w:val="nil"/>
            </w:tcBorders>
            <w:shd w:val="clear" w:color="auto" w:fill="auto"/>
            <w:noWrap/>
          </w:tcPr>
          <w:p w14:paraId="155743F8" w14:textId="5E85F425"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4FD72BBA" w14:textId="77777777" w:rsidR="009119CF" w:rsidRPr="004E7E5A" w:rsidRDefault="009119CF" w:rsidP="009119CF">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Average age of directors.</w:t>
            </w:r>
          </w:p>
        </w:tc>
        <w:tc>
          <w:tcPr>
            <w:tcW w:w="283" w:type="dxa"/>
            <w:tcBorders>
              <w:top w:val="nil"/>
              <w:left w:val="nil"/>
              <w:bottom w:val="nil"/>
              <w:right w:val="nil"/>
            </w:tcBorders>
          </w:tcPr>
          <w:p w14:paraId="5EA4D66F"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301FF093" w14:textId="4965768B" w:rsidR="009119CF" w:rsidRPr="004E7E5A" w:rsidRDefault="00EB3E3F"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r>
            <w:r w:rsidR="001A1175" w:rsidRPr="004E7E5A">
              <w:rPr>
                <w:rFonts w:ascii="Times New Roman" w:hAnsi="Times New Roman" w:cs="Times New Roman"/>
                <w:color w:val="000000" w:themeColor="text1"/>
                <w:sz w:val="24"/>
                <w:szCs w:val="24"/>
              </w:rPr>
              <w:instrText xml:space="preserve"> ADDIN EN.CITE &lt;EndNote&gt;&lt;Cite AuthorYear="1"&gt;&lt;Author&gt;Beji&lt;/Author&gt;&lt;Year&gt;2020&lt;/Year&gt;&lt;RecNum&gt;1933&lt;/RecNum&gt;&lt;DisplayText&gt;Beji et al. (2020)&lt;/DisplayText&gt;&lt;record&gt;&lt;rec-number&gt;1933&lt;/rec-number&gt;&lt;foreign-keys&gt;&lt;key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Beji et al. (2020)</w:t>
            </w:r>
            <w:r w:rsidRPr="004E7E5A">
              <w:rPr>
                <w:rFonts w:ascii="Times New Roman" w:hAnsi="Times New Roman" w:cs="Times New Roman"/>
                <w:color w:val="000000" w:themeColor="text1"/>
                <w:sz w:val="24"/>
                <w:szCs w:val="24"/>
              </w:rPr>
              <w:fldChar w:fldCharType="end"/>
            </w:r>
          </w:p>
        </w:tc>
      </w:tr>
      <w:tr w:rsidR="001E3466" w:rsidRPr="004E7E5A" w14:paraId="404C0136" w14:textId="545CF60B" w:rsidTr="00C65E02">
        <w:trPr>
          <w:trHeight w:val="20"/>
        </w:trPr>
        <w:tc>
          <w:tcPr>
            <w:tcW w:w="3183" w:type="dxa"/>
            <w:tcBorders>
              <w:top w:val="nil"/>
              <w:left w:val="nil"/>
              <w:bottom w:val="nil"/>
              <w:right w:val="nil"/>
            </w:tcBorders>
            <w:shd w:val="clear" w:color="auto" w:fill="auto"/>
            <w:noWrap/>
          </w:tcPr>
          <w:p w14:paraId="2615CE69" w14:textId="1F87D096" w:rsidR="009119CF" w:rsidRPr="004E7E5A" w:rsidRDefault="006249FF"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Geographic consistency between independent director and firm</w:t>
            </w:r>
          </w:p>
        </w:tc>
        <w:tc>
          <w:tcPr>
            <w:tcW w:w="238" w:type="dxa"/>
            <w:tcBorders>
              <w:top w:val="nil"/>
              <w:left w:val="nil"/>
              <w:bottom w:val="nil"/>
              <w:right w:val="nil"/>
            </w:tcBorders>
          </w:tcPr>
          <w:p w14:paraId="373BCA73"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0BD27586" w14:textId="32D2D23C" w:rsidR="009119CF" w:rsidRPr="004E7E5A" w:rsidRDefault="009119CF" w:rsidP="009119CF">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Location</w:t>
            </w:r>
          </w:p>
        </w:tc>
        <w:tc>
          <w:tcPr>
            <w:tcW w:w="282" w:type="dxa"/>
            <w:tcBorders>
              <w:top w:val="nil"/>
              <w:left w:val="nil"/>
              <w:bottom w:val="nil"/>
              <w:right w:val="nil"/>
            </w:tcBorders>
            <w:shd w:val="clear" w:color="auto" w:fill="auto"/>
            <w:noWrap/>
          </w:tcPr>
          <w:p w14:paraId="2D9C5A87" w14:textId="2C042CEA"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6249B25A" w14:textId="5F97AE3A" w:rsidR="009119CF" w:rsidRPr="004E7E5A" w:rsidRDefault="009119CF" w:rsidP="009119CF">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An</w:t>
            </w:r>
            <w:r w:rsidRPr="004E7E5A">
              <w:rPr>
                <w:rFonts w:ascii="Times New Roman" w:hAnsi="Times New Roman"/>
                <w:color w:val="000000" w:themeColor="text1"/>
                <w:kern w:val="0"/>
                <w:sz w:val="24"/>
                <w:szCs w:val="24"/>
              </w:rPr>
              <w:t xml:space="preserve"> indicator variable equal to 1 if </w:t>
            </w:r>
            <w:r w:rsidRPr="004E7E5A">
              <w:rPr>
                <w:rFonts w:ascii="Times New Roman" w:eastAsia="Times New Roman" w:hAnsi="Times New Roman"/>
                <w:color w:val="000000" w:themeColor="text1"/>
                <w:sz w:val="24"/>
                <w:szCs w:val="24"/>
                <w:lang w:eastAsia="en-GB"/>
              </w:rPr>
              <w:t xml:space="preserve">independent directors work in the same place as the firm, and </w:t>
            </w:r>
            <w:r w:rsidRPr="004E7E5A">
              <w:rPr>
                <w:rFonts w:ascii="Times New Roman" w:hAnsi="Times New Roman"/>
                <w:color w:val="000000" w:themeColor="text1"/>
                <w:kern w:val="0"/>
                <w:sz w:val="24"/>
                <w:szCs w:val="24"/>
              </w:rPr>
              <w:t>equal to 2 if</w:t>
            </w:r>
            <w:r w:rsidRPr="004E7E5A">
              <w:rPr>
                <w:rFonts w:ascii="Times New Roman" w:eastAsia="Times New Roman" w:hAnsi="Times New Roman"/>
                <w:color w:val="000000" w:themeColor="text1"/>
                <w:sz w:val="24"/>
                <w:szCs w:val="24"/>
                <w:lang w:eastAsia="en-GB"/>
              </w:rPr>
              <w:t xml:space="preserve"> independent directors work in a </w:t>
            </w:r>
            <w:r w:rsidRPr="004E7E5A">
              <w:rPr>
                <w:rFonts w:ascii="Times New Roman" w:eastAsia="Times New Roman" w:hAnsi="Times New Roman"/>
                <w:color w:val="000000" w:themeColor="text1"/>
                <w:sz w:val="24"/>
                <w:szCs w:val="24"/>
              </w:rPr>
              <w:t>different</w:t>
            </w:r>
            <w:r w:rsidRPr="004E7E5A">
              <w:rPr>
                <w:rFonts w:ascii="Times New Roman" w:eastAsia="Times New Roman" w:hAnsi="Times New Roman"/>
                <w:color w:val="000000" w:themeColor="text1"/>
                <w:sz w:val="24"/>
                <w:szCs w:val="24"/>
                <w:lang w:eastAsia="en-GB"/>
              </w:rPr>
              <w:t xml:space="preserve"> place with the firm</w:t>
            </w:r>
            <w:r w:rsidRPr="004E7E5A">
              <w:rPr>
                <w:rFonts w:ascii="Times New Roman" w:hAnsi="Times New Roman"/>
                <w:color w:val="000000" w:themeColor="text1"/>
                <w:kern w:val="0"/>
                <w:sz w:val="24"/>
                <w:szCs w:val="24"/>
              </w:rPr>
              <w:t>.</w:t>
            </w:r>
            <w:r w:rsidRPr="004E7E5A">
              <w:rPr>
                <w:rFonts w:ascii="Times New Roman" w:eastAsia="Times New Roman" w:hAnsi="Times New Roman"/>
                <w:color w:val="000000" w:themeColor="text1"/>
                <w:sz w:val="24"/>
                <w:szCs w:val="24"/>
                <w:lang w:eastAsia="en-GB"/>
              </w:rPr>
              <w:t xml:space="preserve"> In case of uncertainty, the value is 3</w:t>
            </w:r>
            <w:r w:rsidRPr="004E7E5A">
              <w:rPr>
                <w:rFonts w:ascii="Times New Roman" w:hAnsi="Times New Roman"/>
                <w:color w:val="000000" w:themeColor="text1"/>
                <w:kern w:val="0"/>
                <w:sz w:val="24"/>
                <w:szCs w:val="24"/>
              </w:rPr>
              <w:t xml:space="preserve">. </w:t>
            </w:r>
          </w:p>
        </w:tc>
        <w:tc>
          <w:tcPr>
            <w:tcW w:w="283" w:type="dxa"/>
            <w:tcBorders>
              <w:top w:val="nil"/>
              <w:left w:val="nil"/>
              <w:bottom w:val="nil"/>
              <w:right w:val="nil"/>
            </w:tcBorders>
          </w:tcPr>
          <w:p w14:paraId="00141503" w14:textId="77777777" w:rsidR="009119CF" w:rsidRPr="004E7E5A" w:rsidRDefault="009119CF" w:rsidP="009119CF">
            <w:pPr>
              <w:ind w:left="240" w:hangingChars="100" w:hanging="240"/>
              <w:rPr>
                <w:rFonts w:ascii="Times New Roman" w:eastAsia="Times New Roman" w:hAnsi="Times New Roman"/>
                <w:color w:val="000000" w:themeColor="text1"/>
                <w:sz w:val="24"/>
                <w:szCs w:val="24"/>
                <w:lang w:eastAsia="en-GB"/>
              </w:rPr>
            </w:pPr>
          </w:p>
        </w:tc>
        <w:tc>
          <w:tcPr>
            <w:tcW w:w="3070" w:type="dxa"/>
            <w:tcBorders>
              <w:top w:val="nil"/>
              <w:left w:val="nil"/>
              <w:bottom w:val="nil"/>
              <w:right w:val="nil"/>
            </w:tcBorders>
          </w:tcPr>
          <w:p w14:paraId="0D57D825" w14:textId="40B93AD6" w:rsidR="009119CF" w:rsidRPr="004E7E5A" w:rsidRDefault="00D02791" w:rsidP="00EB3E3F">
            <w:pPr>
              <w:rPr>
                <w:rFonts w:ascii="Times New Roman" w:eastAsia="Times New Roman" w:hAnsi="Times New Roman" w:cs="Times New Roman"/>
                <w:color w:val="000000" w:themeColor="text1"/>
                <w:sz w:val="24"/>
                <w:szCs w:val="24"/>
                <w:lang w:eastAsia="en-GB"/>
              </w:rPr>
            </w:pPr>
            <w:r w:rsidRPr="004E7E5A">
              <w:rPr>
                <w:rFonts w:ascii="Times New Roman" w:hAnsi="Times New Roman" w:cs="Times New Roman"/>
                <w:color w:val="000000" w:themeColor="text1"/>
                <w:sz w:val="24"/>
                <w:szCs w:val="24"/>
              </w:rPr>
              <w:fldChar w:fldCharType="begin"/>
            </w:r>
            <w:r w:rsidR="001A1175" w:rsidRPr="004E7E5A">
              <w:rPr>
                <w:rFonts w:ascii="Times New Roman" w:hAnsi="Times New Roman" w:cs="Times New Roman"/>
                <w:color w:val="000000" w:themeColor="text1"/>
                <w:sz w:val="24"/>
                <w:szCs w:val="24"/>
              </w:rPr>
              <w:instrText xml:space="preserve"> ADDIN EN.CITE &lt;EndNote&gt;&lt;Cite AuthorYear="1"&gt;&lt;Author&gt;Alam&lt;/Author&gt;&lt;Year&gt;2014&lt;/Year&gt;&lt;RecNum&gt;2066&lt;/RecNum&gt;&lt;DisplayText&gt;Alam et al. (2014)&lt;/DisplayText&gt;&lt;record&gt;&lt;rec-number&gt;2066&lt;/rec-number&gt;&lt;foreign-keys&gt;&lt;key app="EN" db-id="trr00pfsbzzex0ezwf6v5swd9fpfpwfa90xp" timestamp="1627910831" guid="c1fd2146-b2ed-4e27-9961-b25a86faa246"&gt;2066&lt;/key&gt;&lt;/foreign-keys&gt;&lt;ref-type name="Journal Article"&gt;17&lt;/ref-type&gt;&lt;contributors&gt;&lt;authors&gt;&lt;author&gt;Zinat S. Alam&lt;/author&gt;&lt;author&gt;Mark A. Chen&lt;/author&gt;&lt;author&gt;Conrad S. Ciccotello&lt;/author&gt;&lt;author&gt;Harley E. Ryan&lt;/author&gt;&lt;/authors&gt;&lt;/contributors&gt;&lt;titles&gt;&lt;title&gt;Does the location of directors matter? Information acquisition and board decisions&lt;/title&gt;&lt;secondary-title&gt;Journal of Financial &amp;amp; Quantitative Analysis&lt;/secondary-title&gt;&lt;/titles&gt;&lt;periodical&gt;&lt;full-title&gt;Journal of Financial &amp;amp; Quantitative Analysis&lt;/full-title&gt;&lt;/periodical&gt;&lt;pages&gt;131-164&lt;/pages&gt;&lt;volume&gt;49&lt;/volume&gt;&lt;number&gt;1&lt;/number&gt;&lt;dates&gt;&lt;year&gt;2014&lt;/year&gt;&lt;/dates&gt;&lt;urls&gt;&lt;/urls&gt;&lt;/record&gt;&lt;/Cite&gt;&lt;/EndNote&gt;</w:instrText>
            </w:r>
            <w:r w:rsidRPr="004E7E5A">
              <w:rPr>
                <w:rFonts w:ascii="Times New Roman" w:hAnsi="Times New Roman" w:cs="Times New Roman"/>
                <w:color w:val="000000" w:themeColor="text1"/>
                <w:sz w:val="24"/>
                <w:szCs w:val="24"/>
              </w:rPr>
              <w:fldChar w:fldCharType="separate"/>
            </w:r>
            <w:r w:rsidRPr="004E7E5A">
              <w:rPr>
                <w:rFonts w:ascii="Times New Roman" w:hAnsi="Times New Roman" w:cs="Times New Roman"/>
                <w:noProof/>
                <w:color w:val="000000" w:themeColor="text1"/>
                <w:sz w:val="24"/>
                <w:szCs w:val="24"/>
              </w:rPr>
              <w:t>Alam et al. (2014)</w:t>
            </w:r>
            <w:r w:rsidRPr="004E7E5A">
              <w:rPr>
                <w:rFonts w:ascii="Times New Roman" w:hAnsi="Times New Roman" w:cs="Times New Roman"/>
                <w:color w:val="000000" w:themeColor="text1"/>
                <w:sz w:val="24"/>
                <w:szCs w:val="24"/>
              </w:rPr>
              <w:fldChar w:fldCharType="end"/>
            </w:r>
          </w:p>
        </w:tc>
      </w:tr>
      <w:tr w:rsidR="001E3466" w:rsidRPr="004E7E5A" w14:paraId="1BDF6FDE" w14:textId="7E0BB63D" w:rsidTr="00C65E02">
        <w:trPr>
          <w:trHeight w:val="20"/>
        </w:trPr>
        <w:tc>
          <w:tcPr>
            <w:tcW w:w="3183" w:type="dxa"/>
            <w:tcBorders>
              <w:top w:val="nil"/>
              <w:left w:val="nil"/>
              <w:bottom w:val="nil"/>
              <w:right w:val="nil"/>
            </w:tcBorders>
            <w:shd w:val="clear" w:color="auto" w:fill="auto"/>
            <w:noWrap/>
          </w:tcPr>
          <w:p w14:paraId="3ED73847" w14:textId="38A1196E" w:rsidR="009119CF" w:rsidRPr="004E7E5A" w:rsidRDefault="00517D40"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Board</w:t>
            </w:r>
            <w:r w:rsidR="00B80A32" w:rsidRPr="004E7E5A">
              <w:rPr>
                <w:rFonts w:ascii="Times New Roman" w:eastAsia="Times New Roman" w:hAnsi="Times New Roman"/>
                <w:color w:val="000000" w:themeColor="text1"/>
                <w:sz w:val="24"/>
                <w:szCs w:val="24"/>
                <w:lang w:eastAsia="en-GB"/>
              </w:rPr>
              <w:t xml:space="preserve"> duality</w:t>
            </w:r>
          </w:p>
        </w:tc>
        <w:tc>
          <w:tcPr>
            <w:tcW w:w="238" w:type="dxa"/>
            <w:tcBorders>
              <w:top w:val="nil"/>
              <w:left w:val="nil"/>
              <w:bottom w:val="nil"/>
              <w:right w:val="nil"/>
            </w:tcBorders>
          </w:tcPr>
          <w:p w14:paraId="459288FD"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219E3C03" w14:textId="5256EE43" w:rsidR="009119CF" w:rsidRPr="004E7E5A" w:rsidRDefault="009119CF" w:rsidP="009119CF">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Duality</w:t>
            </w:r>
          </w:p>
        </w:tc>
        <w:tc>
          <w:tcPr>
            <w:tcW w:w="282" w:type="dxa"/>
            <w:tcBorders>
              <w:top w:val="nil"/>
              <w:left w:val="nil"/>
              <w:bottom w:val="nil"/>
              <w:right w:val="nil"/>
            </w:tcBorders>
            <w:shd w:val="clear" w:color="auto" w:fill="auto"/>
            <w:noWrap/>
          </w:tcPr>
          <w:p w14:paraId="6196D674" w14:textId="23F33DB2"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72AE1819" w14:textId="77777777" w:rsidR="009119CF" w:rsidRPr="004E7E5A" w:rsidRDefault="009119CF" w:rsidP="009119CF">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An indicator variable equal to 1 if the</w:t>
            </w:r>
            <w:r w:rsidRPr="004E7E5A">
              <w:rPr>
                <w:rFonts w:ascii="Times New Roman" w:hAnsi="Times New Roman"/>
                <w:color w:val="000000" w:themeColor="text1"/>
                <w:kern w:val="0"/>
                <w:sz w:val="24"/>
                <w:szCs w:val="24"/>
              </w:rPr>
              <w:t xml:space="preserve"> positions of chairman and CEO are concurrently held by one person</w:t>
            </w:r>
            <w:r w:rsidRPr="004E7E5A">
              <w:rPr>
                <w:rFonts w:ascii="Times New Roman" w:eastAsia="Times New Roman" w:hAnsi="Times New Roman"/>
                <w:color w:val="000000" w:themeColor="text1"/>
                <w:sz w:val="24"/>
                <w:szCs w:val="24"/>
                <w:lang w:eastAsia="en-GB"/>
              </w:rPr>
              <w:t>, and 0 otherwise</w:t>
            </w:r>
            <w:r w:rsidRPr="004E7E5A">
              <w:rPr>
                <w:rFonts w:ascii="Times New Roman" w:hAnsi="Times New Roman"/>
                <w:color w:val="000000" w:themeColor="text1"/>
                <w:kern w:val="0"/>
                <w:sz w:val="24"/>
                <w:szCs w:val="24"/>
              </w:rPr>
              <w:t>.</w:t>
            </w:r>
          </w:p>
        </w:tc>
        <w:tc>
          <w:tcPr>
            <w:tcW w:w="283" w:type="dxa"/>
            <w:tcBorders>
              <w:top w:val="nil"/>
              <w:left w:val="nil"/>
              <w:bottom w:val="nil"/>
              <w:right w:val="nil"/>
            </w:tcBorders>
          </w:tcPr>
          <w:p w14:paraId="710C54C3" w14:textId="77777777" w:rsidR="009119CF" w:rsidRPr="004E7E5A" w:rsidRDefault="009119CF" w:rsidP="009119CF">
            <w:pPr>
              <w:ind w:left="240" w:hangingChars="100" w:hanging="240"/>
              <w:rPr>
                <w:rFonts w:ascii="Times New Roman" w:eastAsia="Times New Roman" w:hAnsi="Times New Roman"/>
                <w:color w:val="000000" w:themeColor="text1"/>
                <w:sz w:val="24"/>
                <w:szCs w:val="24"/>
                <w:lang w:eastAsia="en-GB"/>
              </w:rPr>
            </w:pPr>
          </w:p>
        </w:tc>
        <w:tc>
          <w:tcPr>
            <w:tcW w:w="3070" w:type="dxa"/>
            <w:tcBorders>
              <w:top w:val="nil"/>
              <w:left w:val="nil"/>
              <w:bottom w:val="nil"/>
              <w:right w:val="nil"/>
            </w:tcBorders>
          </w:tcPr>
          <w:p w14:paraId="225B4836" w14:textId="65144E04" w:rsidR="009119CF" w:rsidRPr="004E7E5A" w:rsidRDefault="00B80A32" w:rsidP="00EB3E3F">
            <w:pPr>
              <w:rPr>
                <w:rFonts w:ascii="Times New Roman" w:eastAsia="Times New Roman" w:hAnsi="Times New Roman" w:cs="Times New Roman"/>
                <w:color w:val="000000" w:themeColor="text1"/>
                <w:sz w:val="24"/>
                <w:szCs w:val="24"/>
                <w:lang w:eastAsia="en-GB"/>
              </w:rPr>
            </w:pPr>
            <w:r w:rsidRPr="004E7E5A">
              <w:rPr>
                <w:rFonts w:ascii="Times New Roman" w:hAnsi="Times New Roman" w:cs="Times New Roman"/>
                <w:color w:val="000000" w:themeColor="text1"/>
                <w:sz w:val="24"/>
                <w:szCs w:val="24"/>
              </w:rPr>
              <w:fldChar w:fldCharType="begin"/>
            </w:r>
            <w:r w:rsidR="001A1175" w:rsidRPr="004E7E5A">
              <w:rPr>
                <w:rFonts w:ascii="Times New Roman" w:hAnsi="Times New Roman" w:cs="Times New Roman"/>
                <w:color w:val="000000" w:themeColor="text1"/>
                <w:sz w:val="24"/>
                <w:szCs w:val="24"/>
              </w:rPr>
              <w:instrText xml:space="preserve"> ADDIN EN.CITE &lt;EndNote&gt;&lt;Cite AuthorYear="1"&gt;&lt;Author&gt;Beji&lt;/Author&gt;&lt;Year&gt;2020&lt;/Year&gt;&lt;RecNum&gt;1933&lt;/RecNum&gt;&lt;DisplayText&gt;Beji et al. (2020)&lt;/DisplayText&gt;&lt;record&gt;&lt;rec-number&gt;1933&lt;/rec-number&gt;&lt;foreign-keys&gt;&lt;key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Beji et al. (2020)</w:t>
            </w:r>
            <w:r w:rsidRPr="004E7E5A">
              <w:rPr>
                <w:rFonts w:ascii="Times New Roman" w:hAnsi="Times New Roman" w:cs="Times New Roman"/>
                <w:color w:val="000000" w:themeColor="text1"/>
                <w:sz w:val="24"/>
                <w:szCs w:val="24"/>
              </w:rPr>
              <w:fldChar w:fldCharType="end"/>
            </w:r>
          </w:p>
        </w:tc>
      </w:tr>
      <w:tr w:rsidR="001E3466" w:rsidRPr="004E7E5A" w14:paraId="202FC6D8" w14:textId="22EDF172" w:rsidTr="00C65E02">
        <w:trPr>
          <w:trHeight w:val="20"/>
        </w:trPr>
        <w:tc>
          <w:tcPr>
            <w:tcW w:w="3183" w:type="dxa"/>
            <w:tcBorders>
              <w:top w:val="nil"/>
              <w:left w:val="nil"/>
              <w:bottom w:val="nil"/>
              <w:right w:val="nil"/>
            </w:tcBorders>
            <w:shd w:val="clear" w:color="auto" w:fill="auto"/>
            <w:noWrap/>
          </w:tcPr>
          <w:p w14:paraId="65D369FE" w14:textId="625C88C1" w:rsidR="009119CF" w:rsidRPr="004E7E5A" w:rsidRDefault="00517D40"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Directors’ compensation</w:t>
            </w:r>
          </w:p>
        </w:tc>
        <w:tc>
          <w:tcPr>
            <w:tcW w:w="238" w:type="dxa"/>
            <w:tcBorders>
              <w:top w:val="nil"/>
              <w:left w:val="nil"/>
              <w:bottom w:val="nil"/>
              <w:right w:val="nil"/>
            </w:tcBorders>
          </w:tcPr>
          <w:p w14:paraId="5F4168E5"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6B621259" w14:textId="6BFF5921" w:rsidR="009119CF" w:rsidRPr="004E7E5A" w:rsidRDefault="009119CF" w:rsidP="009119CF">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Compensation</w:t>
            </w:r>
          </w:p>
        </w:tc>
        <w:tc>
          <w:tcPr>
            <w:tcW w:w="282" w:type="dxa"/>
            <w:tcBorders>
              <w:top w:val="nil"/>
              <w:left w:val="nil"/>
              <w:bottom w:val="nil"/>
              <w:right w:val="nil"/>
            </w:tcBorders>
            <w:shd w:val="clear" w:color="auto" w:fill="auto"/>
            <w:noWrap/>
          </w:tcPr>
          <w:p w14:paraId="7A962703" w14:textId="4E70FA5C"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6D6393F3" w14:textId="77777777" w:rsidR="009119CF" w:rsidRPr="004E7E5A" w:rsidRDefault="009119CF" w:rsidP="009119CF">
            <w:pPr>
              <w:ind w:left="240" w:hangingChars="100" w:hanging="240"/>
              <w:rPr>
                <w:rFonts w:ascii="Times New Roman" w:hAnsi="Times New Roman"/>
                <w:color w:val="000000" w:themeColor="text1"/>
                <w:kern w:val="0"/>
                <w:sz w:val="24"/>
                <w:szCs w:val="24"/>
              </w:rPr>
            </w:pPr>
            <w:r w:rsidRPr="004E7E5A">
              <w:rPr>
                <w:rFonts w:ascii="Times New Roman" w:eastAsia="Times New Roman" w:hAnsi="Times New Roman"/>
                <w:color w:val="000000" w:themeColor="text1"/>
                <w:sz w:val="24"/>
                <w:szCs w:val="24"/>
                <w:lang w:eastAsia="en-GB"/>
              </w:rPr>
              <w:t>Natural log of</w:t>
            </w:r>
            <w:r w:rsidRPr="004E7E5A">
              <w:rPr>
                <w:rFonts w:ascii="Times New Roman" w:hAnsi="Times New Roman"/>
                <w:color w:val="000000" w:themeColor="text1"/>
                <w:kern w:val="0"/>
                <w:sz w:val="24"/>
                <w:szCs w:val="24"/>
              </w:rPr>
              <w:t xml:space="preserve"> top 3 directors’ compensation.</w:t>
            </w:r>
          </w:p>
        </w:tc>
        <w:tc>
          <w:tcPr>
            <w:tcW w:w="283" w:type="dxa"/>
            <w:tcBorders>
              <w:top w:val="nil"/>
              <w:left w:val="nil"/>
              <w:bottom w:val="nil"/>
              <w:right w:val="nil"/>
            </w:tcBorders>
          </w:tcPr>
          <w:p w14:paraId="41ECD606" w14:textId="77777777" w:rsidR="009119CF" w:rsidRPr="004E7E5A" w:rsidRDefault="009119CF" w:rsidP="009119CF">
            <w:pPr>
              <w:ind w:left="240" w:hangingChars="100" w:hanging="240"/>
              <w:rPr>
                <w:rFonts w:ascii="Times New Roman" w:eastAsia="Times New Roman" w:hAnsi="Times New Roman"/>
                <w:color w:val="000000" w:themeColor="text1"/>
                <w:sz w:val="24"/>
                <w:szCs w:val="24"/>
                <w:lang w:eastAsia="en-GB"/>
              </w:rPr>
            </w:pPr>
          </w:p>
        </w:tc>
        <w:tc>
          <w:tcPr>
            <w:tcW w:w="3070" w:type="dxa"/>
            <w:tcBorders>
              <w:top w:val="nil"/>
              <w:left w:val="nil"/>
              <w:bottom w:val="nil"/>
              <w:right w:val="nil"/>
            </w:tcBorders>
          </w:tcPr>
          <w:p w14:paraId="1D54743D" w14:textId="5C02306D" w:rsidR="009119CF" w:rsidRPr="004E7E5A" w:rsidRDefault="00517D40" w:rsidP="00EB3E3F">
            <w:pPr>
              <w:rPr>
                <w:rFonts w:ascii="Times New Roman" w:eastAsia="Times New Roman" w:hAnsi="Times New Roman" w:cs="Times New Roman"/>
                <w:color w:val="000000" w:themeColor="text1"/>
                <w:sz w:val="24"/>
                <w:szCs w:val="24"/>
                <w:lang w:eastAsia="en-GB"/>
              </w:rPr>
            </w:pPr>
            <w:r w:rsidRPr="004E7E5A">
              <w:rPr>
                <w:rFonts w:ascii="Times New Roman" w:hAnsi="Times New Roman" w:cs="Times New Roman"/>
                <w:color w:val="000000" w:themeColor="text1"/>
                <w:sz w:val="24"/>
                <w:szCs w:val="24"/>
              </w:rPr>
              <w:fldChar w:fldCharType="begin"/>
            </w:r>
            <w:r w:rsidR="006F6C86" w:rsidRPr="004E7E5A">
              <w:rPr>
                <w:rFonts w:ascii="Times New Roman" w:hAnsi="Times New Roman" w:cs="Times New Roman"/>
                <w:color w:val="000000" w:themeColor="text1"/>
                <w:sz w:val="24"/>
                <w:szCs w:val="24"/>
              </w:rPr>
              <w:instrText xml:space="preserve"> ADDIN EN.CITE &lt;EndNote&gt;&lt;Cite AuthorYear="1"&gt;&lt;Author&gt;Brick&lt;/Author&gt;&lt;Year&gt;2006&lt;/Year&gt;&lt;RecNum&gt;2121&lt;/RecNum&gt;&lt;DisplayText&gt;Brick et al. (2006)&lt;/DisplayText&gt;&lt;record&gt;&lt;rec-number&gt;2121&lt;/rec-number&gt;&lt;foreign-keys&gt;&lt;key app="EN" db-id="trr00pfsbzzex0ezwf6v5swd9fpfpwfa90xp" timestamp="1631351070" guid="00628ca8-5adf-44b6-9bdc-704577d2c3c9"&gt;2121&lt;/key&gt;&lt;/foreign-keys&gt;&lt;ref-type name="Journal Article"&gt;17&lt;/ref-type&gt;&lt;contributors&gt;&lt;authors&gt;&lt;author&gt;Brick, I. E.&lt;/author&gt;&lt;author&gt;Palmon, O.&lt;/author&gt;&lt;author&gt;Wald, J. K.&lt;/author&gt;&lt;/authors&gt;&lt;/contributors&gt;&lt;titles&gt;&lt;title&gt;CEO compensation, director compensation, and firm performance: Evidence of cronyism&lt;/title&gt;&lt;secondary-title&gt;Journal of Corporate Finance&lt;/secondary-title&gt;&lt;/titles&gt;&lt;periodical&gt;&lt;full-title&gt;Journal of Corporate Finance&lt;/full-title&gt;&lt;/periodical&gt;&lt;pages&gt;403-423&lt;/pages&gt;&lt;volume&gt;12&lt;/volume&gt;&lt;number&gt;3&lt;/number&gt;&lt;dates&gt;&lt;year&gt;2006&lt;/year&gt;&lt;/dates&gt;&lt;urls&gt;&lt;/urls&gt;&lt;/record&gt;&lt;/Cite&gt;&lt;/EndNote&gt;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Brick et al. (2006)</w:t>
            </w:r>
            <w:r w:rsidRPr="004E7E5A">
              <w:rPr>
                <w:rFonts w:ascii="Times New Roman" w:hAnsi="Times New Roman" w:cs="Times New Roman"/>
                <w:color w:val="000000" w:themeColor="text1"/>
                <w:sz w:val="24"/>
                <w:szCs w:val="24"/>
              </w:rPr>
              <w:fldChar w:fldCharType="end"/>
            </w:r>
          </w:p>
        </w:tc>
      </w:tr>
      <w:tr w:rsidR="001E3466" w:rsidRPr="004E7E5A" w14:paraId="6F9BAAFE" w14:textId="4BFC091F" w:rsidTr="00C65E02">
        <w:trPr>
          <w:trHeight w:val="20"/>
        </w:trPr>
        <w:tc>
          <w:tcPr>
            <w:tcW w:w="3183" w:type="dxa"/>
            <w:tcBorders>
              <w:top w:val="nil"/>
              <w:left w:val="nil"/>
              <w:right w:val="nil"/>
            </w:tcBorders>
            <w:shd w:val="clear" w:color="auto" w:fill="auto"/>
            <w:noWrap/>
          </w:tcPr>
          <w:p w14:paraId="63EBFFCB" w14:textId="3028585D" w:rsidR="009119CF" w:rsidRPr="004E7E5A" w:rsidRDefault="00517D40" w:rsidP="009119CF">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Directors’ ownership</w:t>
            </w:r>
          </w:p>
        </w:tc>
        <w:tc>
          <w:tcPr>
            <w:tcW w:w="238" w:type="dxa"/>
            <w:tcBorders>
              <w:top w:val="nil"/>
              <w:left w:val="nil"/>
              <w:right w:val="nil"/>
            </w:tcBorders>
          </w:tcPr>
          <w:p w14:paraId="001A2C75"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right w:val="nil"/>
            </w:tcBorders>
          </w:tcPr>
          <w:p w14:paraId="07282F84" w14:textId="3E0B2A32" w:rsidR="009119CF" w:rsidRPr="004E7E5A" w:rsidRDefault="009119CF" w:rsidP="009119CF">
            <w:pPr>
              <w:jc w:val="center"/>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Dirshare</w:t>
            </w:r>
            <w:proofErr w:type="spellEnd"/>
          </w:p>
        </w:tc>
        <w:tc>
          <w:tcPr>
            <w:tcW w:w="282" w:type="dxa"/>
            <w:tcBorders>
              <w:top w:val="nil"/>
              <w:left w:val="nil"/>
              <w:bottom w:val="nil"/>
              <w:right w:val="nil"/>
            </w:tcBorders>
            <w:shd w:val="clear" w:color="auto" w:fill="auto"/>
            <w:noWrap/>
          </w:tcPr>
          <w:p w14:paraId="6FC0F8D8" w14:textId="2C66D585"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59175819" w14:textId="77777777" w:rsidR="009119CF" w:rsidRPr="004E7E5A" w:rsidRDefault="009119CF" w:rsidP="009119CF">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Directors’ ownership</w:t>
            </w:r>
            <w:r w:rsidRPr="004E7E5A">
              <w:rPr>
                <w:rFonts w:ascii="Times New Roman" w:eastAsia="Times New Roman" w:hAnsi="Times New Roman"/>
                <w:color w:val="000000" w:themeColor="text1"/>
                <w:sz w:val="24"/>
                <w:szCs w:val="24"/>
                <w:lang w:eastAsia="en-GB"/>
              </w:rPr>
              <w:t xml:space="preserve"> divided by total</w:t>
            </w:r>
            <w:r w:rsidRPr="004E7E5A">
              <w:rPr>
                <w:rFonts w:ascii="Times New Roman" w:hAnsi="Times New Roman"/>
                <w:color w:val="000000" w:themeColor="text1"/>
                <w:kern w:val="0"/>
                <w:sz w:val="24"/>
                <w:szCs w:val="24"/>
              </w:rPr>
              <w:t xml:space="preserve"> ownership.</w:t>
            </w:r>
          </w:p>
        </w:tc>
        <w:tc>
          <w:tcPr>
            <w:tcW w:w="283" w:type="dxa"/>
            <w:tcBorders>
              <w:top w:val="nil"/>
              <w:left w:val="nil"/>
              <w:bottom w:val="nil"/>
              <w:right w:val="nil"/>
            </w:tcBorders>
          </w:tcPr>
          <w:p w14:paraId="42F3E6A1"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1EF6D69C" w14:textId="67FC05D5" w:rsidR="009119CF" w:rsidRPr="004E7E5A" w:rsidRDefault="005058CB"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r>
            <w:r w:rsidR="00E12D2F">
              <w:rPr>
                <w:rFonts w:ascii="Times New Roman" w:hAnsi="Times New Roman" w:cs="Times New Roman"/>
                <w:color w:val="000000" w:themeColor="text1"/>
                <w:sz w:val="24"/>
                <w:szCs w:val="24"/>
              </w:rPr>
              <w:instrText xml:space="preserve"> ADDIN EN.CITE &lt;EndNote&gt;&lt;Cite AuthorYear="1"&gt;&lt;Author&gt;Johnson&lt;/Author&gt;&lt;Year&gt;1999&lt;/Year&gt;&lt;RecNum&gt;2120&lt;/RecNum&gt;&lt;DisplayText&gt;Johnson and Greening (1999); Zhang et al. (2012)&lt;/DisplayText&gt;&lt;record&gt;&lt;rec-number&gt;2120&lt;/rec-number&gt;&lt;foreign-keys&gt;&lt;key app="EN" db-id="trr00pfsbzzex0ezwf6v5swd9fpfpwfa90xp" timestamp="1631328685" guid="73e9d6c9-ca4f-4cf0-adca-68f257a42cf7"&gt;2120&lt;/key&gt;&lt;/foreign-keys&gt;&lt;ref-type name="Journal Article"&gt;17&lt;/ref-type&gt;&lt;contributors&gt;&lt;authors&gt;&lt;author&gt;Richard A. Johnson&lt;/author&gt;&lt;author&gt;Daniel W. Greening&lt;/author&gt;&lt;/authors&gt;&lt;/contributors&gt;&lt;titles&gt;&lt;title&gt;The effects of corporate governance and institutional ownership types on corporate social performance&lt;/title&gt;&lt;secondary-title&gt;Academy of Management Journal&lt;/secondary-title&gt;&lt;/titles&gt;&lt;periodical&gt;&lt;full-title&gt;Academy of management Journal&lt;/full-title&gt;&lt;/periodical&gt;&lt;pages&gt;564-576&lt;/pages&gt;&lt;volume&gt;42&lt;/volume&gt;&lt;number&gt;5&lt;/number&gt;&lt;dates&gt;&lt;year&gt;1999&lt;/year&gt;&lt;/dates&gt;&lt;urls&gt;&lt;/urls&gt;&lt;/record&gt;&lt;/Cite&gt;&lt;Cite AuthorYear="1"&gt;&lt;Author&gt;Zhang&lt;/Author&gt;&lt;Year&gt;2012&lt;/Year&gt;&lt;RecNum&gt;323&lt;/RecNum&gt;&lt;record&gt;&lt;rec-number&gt;323&lt;/rec-number&gt;&lt;foreign-keys&gt;&lt;key app="EN" db-id="trr00pfsbzzex0ezwf6v5swd9fpfpwfa90xp" timestamp="1581079825" guid="6669ddf9-0587-4adf-ac17-f03d3b29b509"&gt;323&lt;/key&gt;&lt;/foreign-keys&gt;&lt;ref-type name="Journal Article"&gt;17&lt;/ref-type&gt;&lt;contributors&gt;&lt;authors&gt;&lt;author&gt;Zhang, Jason Q.&lt;/author&gt;&lt;author&gt;Zhu, Hong&lt;/author&gt;&lt;author&gt;Ding, Hungbin&lt;/author&gt;&lt;/authors&gt;&lt;/contributors&gt;&lt;titles&gt;&lt;title&gt;Board composition and corporate social responsibility: An empirical investigation in the post sarbanes-oxley era&lt;/title&gt;&lt;secondary-title&gt;Journal of Business Ethics&lt;/secondary-title&gt;&lt;/titles&gt;&lt;periodical&gt;&lt;full-title&gt;Journal of Business Ethics&lt;/full-title&gt;&lt;/periodical&gt;&lt;pages&gt;381-392&lt;/pages&gt;&lt;volume&gt;114&lt;/volume&gt;&lt;number&gt;3&lt;/number&gt;&lt;section&gt;381&lt;/section&gt;&lt;dates&gt;&lt;year&gt;2012&lt;/year&gt;&lt;/dates&gt;&lt;isbn&gt;0167-4544&amp;#xD;1573-0697&lt;/isbn&gt;&lt;urls&gt;&lt;/urls&gt;&lt;electronic-resource-num&gt;10.1007/s10551-012-1352-0&lt;/electronic-resource-num&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Johnson and Greening (1999); Zhang et al. (2012)</w:t>
            </w:r>
            <w:r w:rsidRPr="004E7E5A">
              <w:rPr>
                <w:rFonts w:ascii="Times New Roman" w:hAnsi="Times New Roman" w:cs="Times New Roman"/>
                <w:color w:val="000000" w:themeColor="text1"/>
                <w:sz w:val="24"/>
                <w:szCs w:val="24"/>
              </w:rPr>
              <w:fldChar w:fldCharType="end"/>
            </w:r>
          </w:p>
        </w:tc>
      </w:tr>
      <w:tr w:rsidR="001E3466" w:rsidRPr="004E7E5A" w14:paraId="68562BB6" w14:textId="7E93EB2C" w:rsidTr="00C65E02">
        <w:trPr>
          <w:trHeight w:val="20"/>
        </w:trPr>
        <w:tc>
          <w:tcPr>
            <w:tcW w:w="3183" w:type="dxa"/>
            <w:tcBorders>
              <w:top w:val="nil"/>
              <w:left w:val="nil"/>
              <w:bottom w:val="single" w:sz="4" w:space="0" w:color="auto"/>
              <w:right w:val="nil"/>
            </w:tcBorders>
            <w:shd w:val="clear" w:color="auto" w:fill="auto"/>
            <w:noWrap/>
          </w:tcPr>
          <w:p w14:paraId="41FBD267" w14:textId="61887573" w:rsidR="009119CF" w:rsidRPr="004E7E5A" w:rsidRDefault="00172F77" w:rsidP="009119CF">
            <w:pPr>
              <w:jc w:val="left"/>
              <w:rPr>
                <w:rFonts w:ascii="Times New Roman" w:hAnsi="Times New Roman"/>
                <w:i/>
                <w:iCs/>
                <w:color w:val="000000" w:themeColor="text1"/>
                <w:kern w:val="0"/>
                <w:sz w:val="24"/>
                <w:szCs w:val="24"/>
              </w:rPr>
            </w:pPr>
            <w:r w:rsidRPr="004E7E5A">
              <w:rPr>
                <w:rFonts w:ascii="Times New Roman" w:eastAsia="宋体" w:hAnsi="Times New Roman" w:cs="Times New Roman"/>
                <w:color w:val="000000" w:themeColor="text1"/>
                <w:kern w:val="0"/>
                <w:sz w:val="24"/>
                <w:szCs w:val="24"/>
              </w:rPr>
              <w:t>Firm-level control variables</w:t>
            </w:r>
          </w:p>
        </w:tc>
        <w:tc>
          <w:tcPr>
            <w:tcW w:w="238" w:type="dxa"/>
            <w:tcBorders>
              <w:top w:val="nil"/>
              <w:left w:val="nil"/>
              <w:bottom w:val="nil"/>
              <w:right w:val="nil"/>
            </w:tcBorders>
          </w:tcPr>
          <w:p w14:paraId="23ED20AF"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5B0B8FC9" w14:textId="77777777"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282" w:type="dxa"/>
            <w:tcBorders>
              <w:top w:val="nil"/>
              <w:left w:val="nil"/>
              <w:bottom w:val="nil"/>
              <w:right w:val="nil"/>
            </w:tcBorders>
            <w:shd w:val="clear" w:color="auto" w:fill="auto"/>
            <w:noWrap/>
          </w:tcPr>
          <w:p w14:paraId="74C38445" w14:textId="2BB39879" w:rsidR="009119CF" w:rsidRPr="004E7E5A" w:rsidRDefault="009119CF" w:rsidP="009119CF">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0BB63684"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283" w:type="dxa"/>
            <w:tcBorders>
              <w:top w:val="nil"/>
              <w:left w:val="nil"/>
              <w:bottom w:val="nil"/>
              <w:right w:val="nil"/>
            </w:tcBorders>
          </w:tcPr>
          <w:p w14:paraId="32677F60" w14:textId="77777777" w:rsidR="009119CF" w:rsidRPr="004E7E5A" w:rsidRDefault="009119CF" w:rsidP="009119CF">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0BB1E249" w14:textId="77777777" w:rsidR="009119CF" w:rsidRPr="004E7E5A" w:rsidRDefault="009119CF" w:rsidP="00EB3E3F">
            <w:pPr>
              <w:rPr>
                <w:rFonts w:ascii="Times New Roman" w:hAnsi="Times New Roman" w:cs="Times New Roman"/>
                <w:color w:val="000000" w:themeColor="text1"/>
                <w:kern w:val="0"/>
                <w:sz w:val="24"/>
                <w:szCs w:val="24"/>
              </w:rPr>
            </w:pPr>
          </w:p>
        </w:tc>
      </w:tr>
      <w:tr w:rsidR="001E3466" w:rsidRPr="004E7E5A" w14:paraId="78E79989" w14:textId="4242C231" w:rsidTr="00C65E02">
        <w:trPr>
          <w:trHeight w:val="20"/>
        </w:trPr>
        <w:tc>
          <w:tcPr>
            <w:tcW w:w="3183" w:type="dxa"/>
            <w:tcBorders>
              <w:top w:val="single" w:sz="4" w:space="0" w:color="auto"/>
              <w:left w:val="nil"/>
              <w:bottom w:val="nil"/>
              <w:right w:val="nil"/>
            </w:tcBorders>
            <w:shd w:val="clear" w:color="auto" w:fill="auto"/>
            <w:noWrap/>
          </w:tcPr>
          <w:p w14:paraId="4CD7C314" w14:textId="613A9AC0" w:rsidR="001C2CDB" w:rsidRPr="004E7E5A" w:rsidRDefault="000F2FE8"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Firm size</w:t>
            </w:r>
          </w:p>
        </w:tc>
        <w:tc>
          <w:tcPr>
            <w:tcW w:w="238" w:type="dxa"/>
            <w:tcBorders>
              <w:top w:val="nil"/>
              <w:left w:val="nil"/>
              <w:bottom w:val="nil"/>
              <w:right w:val="nil"/>
            </w:tcBorders>
          </w:tcPr>
          <w:p w14:paraId="0FC5FE21"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39B30431" w14:textId="2A50FB8B" w:rsidR="001C2CDB" w:rsidRPr="004E7E5A" w:rsidRDefault="001C2CDB" w:rsidP="001C2CDB">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Firm size</w:t>
            </w:r>
          </w:p>
        </w:tc>
        <w:tc>
          <w:tcPr>
            <w:tcW w:w="282" w:type="dxa"/>
            <w:tcBorders>
              <w:top w:val="nil"/>
              <w:left w:val="nil"/>
              <w:bottom w:val="nil"/>
              <w:right w:val="nil"/>
            </w:tcBorders>
            <w:shd w:val="clear" w:color="auto" w:fill="auto"/>
            <w:noWrap/>
          </w:tcPr>
          <w:p w14:paraId="0C63A791" w14:textId="6597E8AC"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66201C39" w14:textId="77777777" w:rsidR="001C2CDB" w:rsidRPr="004E7E5A" w:rsidRDefault="001C2CDB" w:rsidP="001C2CDB">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Natural log of total assets.</w:t>
            </w:r>
          </w:p>
        </w:tc>
        <w:tc>
          <w:tcPr>
            <w:tcW w:w="283" w:type="dxa"/>
            <w:tcBorders>
              <w:top w:val="nil"/>
              <w:left w:val="nil"/>
              <w:bottom w:val="nil"/>
              <w:right w:val="nil"/>
            </w:tcBorders>
          </w:tcPr>
          <w:p w14:paraId="3C1D3F9A"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1620AA12" w14:textId="64A0B5EA" w:rsidR="001C2CDB" w:rsidRPr="004E7E5A" w:rsidRDefault="0093609B"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r>
            <w:r w:rsidR="001A1175" w:rsidRPr="004E7E5A">
              <w:rPr>
                <w:rFonts w:ascii="Times New Roman" w:hAnsi="Times New Roman" w:cs="Times New Roman"/>
                <w:color w:val="000000" w:themeColor="text1"/>
                <w:sz w:val="24"/>
                <w:szCs w:val="24"/>
              </w:rPr>
              <w:instrText xml:space="preserve"> ADDIN EN.CITE &lt;EndNote&gt;&lt;Cite AuthorYear="1"&gt;&lt;Author&gt;Johnson&lt;/Author&gt;&lt;Year&gt;1999&lt;/Year&gt;&lt;RecNum&gt;2120&lt;/RecNum&gt;&lt;DisplayText&gt;Johnson and Greening (1999)&lt;/DisplayText&gt;&lt;record&gt;&lt;rec-number&gt;2120&lt;/rec-number&gt;&lt;foreign-keys&gt;&lt;key app="EN" db-id="trr00pfsbzzex0ezwf6v5swd9fpfpwfa90xp" timestamp="1631328685" guid="73e9d6c9-ca4f-4cf0-adca-68f257a42cf7"&gt;2120&lt;/key&gt;&lt;/foreign-keys&gt;&lt;ref-type name="Journal Article"&gt;17&lt;/ref-type&gt;&lt;contributors&gt;&lt;authors&gt;&lt;author&gt;Richard A. Johnson&lt;/author&gt;&lt;author&gt;Daniel W. Greening&lt;/author&gt;&lt;/authors&gt;&lt;/contributors&gt;&lt;titles&gt;&lt;title&gt;The effects of corporate governance and institutional ownership types on corporate social performance&lt;/title&gt;&lt;secondary-title&gt;Academy of Management Journal&lt;/secondary-title&gt;&lt;/titles&gt;&lt;periodical&gt;&lt;full-title&gt;Academy of management Journal&lt;/full-title&gt;&lt;/periodical&gt;&lt;pages&gt;564-576&lt;/pages&gt;&lt;volume&gt;42&lt;/volume&gt;&lt;number&gt;5&lt;/number&gt;&lt;dates&gt;&lt;year&gt;1999&lt;/year&gt;&lt;/dates&gt;&lt;urls&gt;&lt;/urls&gt;&lt;/record&gt;&lt;/Cite&gt;&lt;/EndNote&gt;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Johnson and Greening (1999)</w:t>
            </w:r>
            <w:r w:rsidRPr="004E7E5A">
              <w:rPr>
                <w:rFonts w:ascii="Times New Roman" w:hAnsi="Times New Roman" w:cs="Times New Roman"/>
                <w:color w:val="000000" w:themeColor="text1"/>
                <w:sz w:val="24"/>
                <w:szCs w:val="24"/>
              </w:rPr>
              <w:fldChar w:fldCharType="end"/>
            </w:r>
          </w:p>
        </w:tc>
      </w:tr>
      <w:tr w:rsidR="001E3466" w:rsidRPr="004E7E5A" w14:paraId="6FFB6D34" w14:textId="7E2926F6" w:rsidTr="00C65E02">
        <w:trPr>
          <w:trHeight w:val="20"/>
        </w:trPr>
        <w:tc>
          <w:tcPr>
            <w:tcW w:w="3183" w:type="dxa"/>
            <w:tcBorders>
              <w:top w:val="nil"/>
              <w:left w:val="nil"/>
              <w:bottom w:val="nil"/>
              <w:right w:val="nil"/>
            </w:tcBorders>
            <w:shd w:val="clear" w:color="auto" w:fill="auto"/>
            <w:noWrap/>
          </w:tcPr>
          <w:p w14:paraId="67FA0D03" w14:textId="39DB31FE" w:rsidR="001C2CDB" w:rsidRPr="004E7E5A" w:rsidRDefault="0093609B"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Profitability</w:t>
            </w:r>
          </w:p>
        </w:tc>
        <w:tc>
          <w:tcPr>
            <w:tcW w:w="238" w:type="dxa"/>
            <w:tcBorders>
              <w:top w:val="nil"/>
              <w:left w:val="nil"/>
              <w:bottom w:val="nil"/>
              <w:right w:val="nil"/>
            </w:tcBorders>
          </w:tcPr>
          <w:p w14:paraId="62B3C839"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26152FD7" w14:textId="7FCEBA57" w:rsidR="001C2CDB" w:rsidRPr="004E7E5A" w:rsidRDefault="001C2CDB" w:rsidP="001C2CDB">
            <w:pPr>
              <w:jc w:val="center"/>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Roa</w:t>
            </w:r>
            <w:proofErr w:type="spellEnd"/>
          </w:p>
        </w:tc>
        <w:tc>
          <w:tcPr>
            <w:tcW w:w="282" w:type="dxa"/>
            <w:tcBorders>
              <w:top w:val="nil"/>
              <w:left w:val="nil"/>
              <w:bottom w:val="nil"/>
              <w:right w:val="nil"/>
            </w:tcBorders>
            <w:shd w:val="clear" w:color="auto" w:fill="auto"/>
            <w:noWrap/>
          </w:tcPr>
          <w:p w14:paraId="7ED209D2" w14:textId="23B49B3A"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5ACFC668" w14:textId="6EDD15C0" w:rsidR="001C2CDB" w:rsidRPr="004E7E5A" w:rsidRDefault="001C2CDB" w:rsidP="001C2CDB">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 xml:space="preserve">Return </w:t>
            </w:r>
            <w:r w:rsidRPr="004E7E5A">
              <w:rPr>
                <w:rFonts w:ascii="Times New Roman" w:eastAsia="Times New Roman" w:hAnsi="Times New Roman"/>
                <w:color w:val="000000" w:themeColor="text1"/>
                <w:sz w:val="24"/>
                <w:szCs w:val="24"/>
                <w:lang w:eastAsia="en-GB"/>
              </w:rPr>
              <w:t>divided by</w:t>
            </w:r>
            <w:r w:rsidRPr="004E7E5A">
              <w:rPr>
                <w:rFonts w:ascii="Times New Roman" w:hAnsi="Times New Roman"/>
                <w:color w:val="000000" w:themeColor="text1"/>
                <w:kern w:val="0"/>
                <w:sz w:val="24"/>
                <w:szCs w:val="24"/>
              </w:rPr>
              <w:t xml:space="preserve"> total assets.</w:t>
            </w:r>
          </w:p>
        </w:tc>
        <w:tc>
          <w:tcPr>
            <w:tcW w:w="283" w:type="dxa"/>
            <w:tcBorders>
              <w:top w:val="nil"/>
              <w:left w:val="nil"/>
              <w:bottom w:val="nil"/>
              <w:right w:val="nil"/>
            </w:tcBorders>
          </w:tcPr>
          <w:p w14:paraId="1624D49C"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0BC8B4F0" w14:textId="4A1FCC2C" w:rsidR="001C2CDB" w:rsidRPr="004E7E5A" w:rsidRDefault="00F07097"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r>
            <w:r w:rsidR="006F6C86" w:rsidRPr="004E7E5A">
              <w:rPr>
                <w:rFonts w:ascii="Times New Roman" w:hAnsi="Times New Roman" w:cs="Times New Roman"/>
                <w:color w:val="000000" w:themeColor="text1"/>
                <w:sz w:val="24"/>
                <w:szCs w:val="24"/>
              </w:rPr>
              <w:instrText xml:space="preserve"> ADDIN EN.CITE &lt;EndNote&gt;&lt;Cite AuthorYear="1"&gt;&lt;Author&gt;Julian&lt;/Author&gt;&lt;Year&gt;2013&lt;/Year&gt;&lt;RecNum&gt;2111&lt;/RecNum&gt;&lt;DisplayText&gt;Julian and Ofori-Dankwa (2013)&lt;/DisplayText&gt;&lt;record&gt;&lt;rec-number&gt;2111&lt;/rec-number&gt;&lt;foreign-keys&gt;&lt;key app="EN" db-id="trr00pfsbzzex0ezwf6v5swd9fpfpwfa90xp" timestamp="1630918864" guid="3fcf582f-faa8-427f-be95-7171a1400095"&gt;2111&lt;/key&gt;&lt;/foreign-keys&gt;&lt;ref-type name="Journal Article"&gt;17&lt;/ref-type&gt;&lt;contributors&gt;&lt;authors&gt;&lt;author&gt;Julian, Scott D.&lt;/author&gt;&lt;author&gt;Ofori-Dankwa, Joseph C.&lt;/author&gt;&lt;/a</w:instrText>
            </w:r>
            <w:r w:rsidR="006F6C86" w:rsidRPr="004E7E5A">
              <w:rPr>
                <w:rFonts w:ascii="Times New Roman" w:hAnsi="Times New Roman" w:cs="Times New Roman" w:hint="eastAsia"/>
                <w:color w:val="000000" w:themeColor="text1"/>
                <w:sz w:val="24"/>
                <w:szCs w:val="24"/>
              </w:rPr>
              <w:instrText>uthors&gt;&lt;/contributors&gt;&lt;titles&gt;&lt;title&gt;Financial resource availability and corporate social responsibility expenditures in a sub</w:instrText>
            </w:r>
            <w:r w:rsidR="006F6C86" w:rsidRPr="004E7E5A">
              <w:rPr>
                <w:rFonts w:ascii="Times New Roman" w:hAnsi="Times New Roman" w:cs="Times New Roman" w:hint="eastAsia"/>
                <w:color w:val="000000" w:themeColor="text1"/>
                <w:sz w:val="24"/>
                <w:szCs w:val="24"/>
              </w:rPr>
              <w:instrText>‐</w:instrText>
            </w:r>
            <w:r w:rsidR="006F6C86" w:rsidRPr="004E7E5A">
              <w:rPr>
                <w:rFonts w:ascii="Times New Roman" w:hAnsi="Times New Roman" w:cs="Times New Roman" w:hint="eastAsia"/>
                <w:color w:val="000000" w:themeColor="text1"/>
                <w:sz w:val="24"/>
                <w:szCs w:val="24"/>
              </w:rPr>
              <w:instrText>Saharan economy: The institutional difference hypothesis&lt;/title&gt;&lt;secondary-title&gt;Strategic Management Journal&lt;/secondary-title&gt;&lt;</w:instrText>
            </w:r>
            <w:r w:rsidR="006F6C86" w:rsidRPr="004E7E5A">
              <w:rPr>
                <w:rFonts w:ascii="Times New Roman" w:hAnsi="Times New Roman" w:cs="Times New Roman"/>
                <w:color w:val="000000" w:themeColor="text1"/>
                <w:sz w:val="24"/>
                <w:szCs w:val="24"/>
              </w:rPr>
              <w:instrText>/titles&gt;&lt;periodical&gt;&lt;full-title&gt;Strategic Management Journal&lt;/full-title&gt;&lt;/periodical&gt;&lt;pages&gt;1314-1330&lt;/pages&gt;&lt;volume&gt;34&lt;/volume&gt;&lt;number&gt;11&lt;/number&gt;&lt;dates&gt;&lt;year&gt;2013&lt;/year&gt;&lt;/dates&gt;&lt;urls&gt;&lt;/urls&gt;&lt;/record&gt;&lt;/Cite&gt;&lt;/EndNote&gt;</w:instrText>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Julian and Ofori-Dankwa (2013)</w:t>
            </w:r>
            <w:r w:rsidRPr="004E7E5A">
              <w:rPr>
                <w:rFonts w:ascii="Times New Roman" w:hAnsi="Times New Roman" w:cs="Times New Roman"/>
                <w:color w:val="000000" w:themeColor="text1"/>
                <w:sz w:val="24"/>
                <w:szCs w:val="24"/>
              </w:rPr>
              <w:fldChar w:fldCharType="end"/>
            </w:r>
            <w:r w:rsidR="0050104A" w:rsidRPr="004E7E5A">
              <w:rPr>
                <w:rFonts w:ascii="Times New Roman" w:hAnsi="Times New Roman" w:cs="Times New Roman"/>
                <w:noProof/>
                <w:color w:val="000000" w:themeColor="text1"/>
                <w:sz w:val="24"/>
                <w:szCs w:val="24"/>
              </w:rPr>
              <w:t xml:space="preserve">; </w:t>
            </w:r>
            <w:r w:rsidR="007E555F" w:rsidRPr="004E7E5A">
              <w:rPr>
                <w:rFonts w:ascii="Times New Roman" w:hAnsi="Times New Roman" w:cs="Times New Roman"/>
                <w:color w:val="000000" w:themeColor="text1"/>
                <w:sz w:val="24"/>
                <w:szCs w:val="24"/>
              </w:rPr>
              <w:fldChar w:fldCharType="begin"/>
            </w:r>
            <w:r w:rsidR="00E12D2F">
              <w:rPr>
                <w:rFonts w:ascii="Times New Roman" w:hAnsi="Times New Roman" w:cs="Times New Roman"/>
                <w:color w:val="000000" w:themeColor="text1"/>
                <w:sz w:val="24"/>
                <w:szCs w:val="24"/>
              </w:rPr>
              <w:instrText xml:space="preserve"> ADDIN EN.CITE &lt;EndNote&gt;&lt;Cite AuthorYear="1"&gt;&lt;Author&gt;Duan&lt;/Author&gt;&lt;Year&gt;2018&lt;/Year&gt;&lt;RecNum&gt;2021&lt;/RecNum&gt;&lt;DisplayText&gt;Duan et al. (2018)&lt;/DisplayText&gt;&lt;record&gt;&lt;rec-number&gt;2021&lt;/rec-number&gt;&lt;foreign-keys&gt;&lt;key app="EN" db-id="trr00pfsbzzex0ezwf6v5swd9fpfpwfa90xp" timestamp="1627289800" guid="e127145a-c7e4-44af-be15-a9874a9d23bb"&gt;2021&lt;/key&gt;&lt;/foreign-keys&gt;&lt;ref-type name="Journal Article"&gt;17&lt;/ref-type&gt;&lt;contributors&gt;&lt;authors&gt;&lt;author&gt;Tinghua Duan&lt;/author&gt;&lt;author&gt;Rong Ding&lt;/author&gt;&lt;author&gt;Wenxuan Hou&lt;/author&gt;&lt;author&gt;John Ziyang Zhang&lt;/author&gt;&lt;/authors&gt;&lt;/contributors&gt;&lt;titles&gt;&lt;title&gt;The burden of attention: CEO publicity and tax avoidance&lt;/title&gt;&lt;secondary-title&gt;Journal of Business Research&lt;/secondary-title&gt;&lt;/titles&gt;&lt;periodical&gt;&lt;full-title&gt;Journal of Business Research&lt;/full-title&gt;&lt;/periodical&gt;&lt;pages&gt;90-101&lt;/pages&gt;&lt;volume&gt;87&lt;/volume&gt;&lt;number&gt;6&lt;/number&gt;&lt;dates&gt;&lt;year&gt;2018&lt;/year&gt;&lt;/dates&gt;&lt;urls&gt;&lt;/urls&gt;&lt;/record&gt;&lt;/Cite&gt;&lt;/EndNote&gt;</w:instrText>
            </w:r>
            <w:r w:rsidR="007E555F" w:rsidRPr="004E7E5A">
              <w:rPr>
                <w:rFonts w:ascii="Times New Roman" w:hAnsi="Times New Roman" w:cs="Times New Roman"/>
                <w:color w:val="000000" w:themeColor="text1"/>
                <w:sz w:val="24"/>
                <w:szCs w:val="24"/>
              </w:rPr>
              <w:fldChar w:fldCharType="separate"/>
            </w:r>
            <w:r w:rsidR="00A64CC5" w:rsidRPr="004E7E5A">
              <w:rPr>
                <w:rFonts w:ascii="Times New Roman" w:hAnsi="Times New Roman" w:cs="Times New Roman"/>
                <w:noProof/>
                <w:color w:val="000000" w:themeColor="text1"/>
                <w:sz w:val="24"/>
                <w:szCs w:val="24"/>
              </w:rPr>
              <w:t>Duan et al. (2018)</w:t>
            </w:r>
            <w:r w:rsidR="007E555F" w:rsidRPr="004E7E5A">
              <w:rPr>
                <w:rFonts w:ascii="Times New Roman" w:hAnsi="Times New Roman" w:cs="Times New Roman"/>
                <w:color w:val="000000" w:themeColor="text1"/>
                <w:sz w:val="24"/>
                <w:szCs w:val="24"/>
              </w:rPr>
              <w:fldChar w:fldCharType="end"/>
            </w:r>
          </w:p>
        </w:tc>
      </w:tr>
      <w:tr w:rsidR="001E3466" w:rsidRPr="004E7E5A" w14:paraId="59D2870A" w14:textId="2DD2218C" w:rsidTr="00C65E02">
        <w:trPr>
          <w:trHeight w:val="20"/>
        </w:trPr>
        <w:tc>
          <w:tcPr>
            <w:tcW w:w="3183" w:type="dxa"/>
            <w:tcBorders>
              <w:top w:val="nil"/>
              <w:left w:val="nil"/>
              <w:bottom w:val="nil"/>
              <w:right w:val="nil"/>
            </w:tcBorders>
            <w:shd w:val="clear" w:color="auto" w:fill="auto"/>
            <w:noWrap/>
          </w:tcPr>
          <w:p w14:paraId="1B995389" w14:textId="6BC61D20" w:rsidR="001C2CDB" w:rsidRPr="004E7E5A" w:rsidRDefault="007F4CE1"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Financial leverage</w:t>
            </w:r>
          </w:p>
        </w:tc>
        <w:tc>
          <w:tcPr>
            <w:tcW w:w="238" w:type="dxa"/>
            <w:tcBorders>
              <w:top w:val="nil"/>
              <w:left w:val="nil"/>
              <w:bottom w:val="nil"/>
              <w:right w:val="nil"/>
            </w:tcBorders>
          </w:tcPr>
          <w:p w14:paraId="429F954C"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7F2F69D5" w14:textId="38CF9A4F" w:rsidR="001C2CDB" w:rsidRPr="004E7E5A" w:rsidRDefault="001C2CDB" w:rsidP="001C2CDB">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Lev</w:t>
            </w:r>
          </w:p>
        </w:tc>
        <w:tc>
          <w:tcPr>
            <w:tcW w:w="282" w:type="dxa"/>
            <w:tcBorders>
              <w:top w:val="nil"/>
              <w:left w:val="nil"/>
              <w:bottom w:val="nil"/>
              <w:right w:val="nil"/>
            </w:tcBorders>
            <w:shd w:val="clear" w:color="auto" w:fill="auto"/>
            <w:noWrap/>
          </w:tcPr>
          <w:p w14:paraId="64267B1F" w14:textId="15D90B9F"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334E31A0" w14:textId="460D43FD" w:rsidR="001C2CDB" w:rsidRPr="004E7E5A" w:rsidRDefault="00AC0E5A" w:rsidP="001C2CDB">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Total financial debt to total assets ratio</w:t>
            </w:r>
          </w:p>
        </w:tc>
        <w:tc>
          <w:tcPr>
            <w:tcW w:w="283" w:type="dxa"/>
            <w:tcBorders>
              <w:top w:val="nil"/>
              <w:left w:val="nil"/>
              <w:bottom w:val="nil"/>
              <w:right w:val="nil"/>
            </w:tcBorders>
          </w:tcPr>
          <w:p w14:paraId="14A2184E"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715DC0D6" w14:textId="0E84E99C" w:rsidR="001C2CDB" w:rsidRPr="004E7E5A" w:rsidRDefault="007F4CE1"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fldChar w:fldCharType="begin">
                <w:fldData xml:space="preserve">PEVuZE5vdGU+PENpdGUgQXV0aG9yWWVhcj0iMSI+PEF1dGhvcj5aaGFuZzwvQXV0aG9yPjxZZWFy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</w:fldData>
              </w:fldChar>
            </w:r>
            <w:r w:rsidR="00E12D2F">
              <w:rPr>
                <w:rFonts w:ascii="Times New Roman" w:hAnsi="Times New Roman" w:cs="Times New Roman"/>
                <w:color w:val="000000" w:themeColor="text1"/>
                <w:sz w:val="24"/>
                <w:szCs w:val="24"/>
              </w:rPr>
              <w:instrText xml:space="preserve"> ADDIN EN.CITE </w:instrText>
            </w:r>
            <w:r w:rsidR="00E12D2F">
              <w:rPr>
                <w:rFonts w:ascii="Times New Roman" w:hAnsi="Times New Roman" w:cs="Times New Roman"/>
                <w:color w:val="000000" w:themeColor="text1"/>
                <w:sz w:val="24"/>
                <w:szCs w:val="24"/>
              </w:rPr>
              <w:fldChar w:fldCharType="begin">
                <w:fldData xml:space="preserve">PEVuZE5vdGU+PENpdGUgQXV0aG9yWWVhcj0iMSI+PEF1dGhvcj5aaGFuZzwvQXV0aG9yPjxZZWFy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</w:fldData>
              </w:fldChar>
            </w:r>
            <w:r w:rsidR="00E12D2F">
              <w:rPr>
                <w:rFonts w:ascii="Times New Roman" w:hAnsi="Times New Roman" w:cs="Times New Roman"/>
                <w:color w:val="000000" w:themeColor="text1"/>
                <w:sz w:val="24"/>
                <w:szCs w:val="24"/>
              </w:rPr>
              <w:instrText xml:space="preserve"> ADDIN EN.CITE.DATA </w:instrText>
            </w:r>
            <w:r w:rsidR="00E12D2F">
              <w:rPr>
                <w:rFonts w:ascii="Times New Roman" w:hAnsi="Times New Roman" w:cs="Times New Roman"/>
                <w:color w:val="000000" w:themeColor="text1"/>
                <w:sz w:val="24"/>
                <w:szCs w:val="24"/>
              </w:rPr>
            </w:r>
            <w:r w:rsidR="00E12D2F">
              <w:rPr>
                <w:rFonts w:ascii="Times New Roman" w:hAnsi="Times New Roman" w:cs="Times New Roman"/>
                <w:color w:val="000000" w:themeColor="text1"/>
                <w:sz w:val="24"/>
                <w:szCs w:val="24"/>
              </w:rPr>
              <w:fldChar w:fldCharType="end"/>
            </w:r>
            <w:r w:rsidRPr="004E7E5A">
              <w:rPr>
                <w:rFonts w:ascii="Times New Roman" w:hAnsi="Times New Roman" w:cs="Times New Roman"/>
                <w:color w:val="000000" w:themeColor="text1"/>
                <w:sz w:val="24"/>
                <w:szCs w:val="24"/>
              </w:rPr>
            </w:r>
            <w:r w:rsidRPr="004E7E5A">
              <w:rPr>
                <w:rFonts w:ascii="Times New Roman" w:hAnsi="Times New Roman" w:cs="Times New Roman"/>
                <w:color w:val="000000" w:themeColor="text1"/>
                <w:sz w:val="24"/>
                <w:szCs w:val="24"/>
              </w:rPr>
              <w:fldChar w:fldCharType="separate"/>
            </w:r>
            <w:r w:rsidR="00927A78" w:rsidRPr="004E7E5A">
              <w:rPr>
                <w:rFonts w:ascii="Times New Roman" w:hAnsi="Times New Roman" w:cs="Times New Roman"/>
                <w:noProof/>
                <w:color w:val="000000" w:themeColor="text1"/>
                <w:sz w:val="24"/>
                <w:szCs w:val="24"/>
              </w:rPr>
              <w:t>Zhang et al. (2012); Katmon et al. (2017)</w:t>
            </w:r>
            <w:r w:rsidRPr="004E7E5A">
              <w:rPr>
                <w:rFonts w:ascii="Times New Roman" w:hAnsi="Times New Roman" w:cs="Times New Roman"/>
                <w:color w:val="000000" w:themeColor="text1"/>
                <w:sz w:val="24"/>
                <w:szCs w:val="24"/>
              </w:rPr>
              <w:fldChar w:fldCharType="end"/>
            </w:r>
          </w:p>
        </w:tc>
      </w:tr>
      <w:tr w:rsidR="001E3466" w:rsidRPr="004E7E5A" w14:paraId="010CE38D" w14:textId="34BBCECC" w:rsidTr="00C65E02">
        <w:trPr>
          <w:trHeight w:val="20"/>
        </w:trPr>
        <w:tc>
          <w:tcPr>
            <w:tcW w:w="3183" w:type="dxa"/>
            <w:tcBorders>
              <w:top w:val="nil"/>
              <w:left w:val="nil"/>
              <w:bottom w:val="nil"/>
              <w:right w:val="nil"/>
            </w:tcBorders>
            <w:shd w:val="clear" w:color="auto" w:fill="auto"/>
            <w:noWrap/>
          </w:tcPr>
          <w:p w14:paraId="7C936225" w14:textId="7E6B8EC2" w:rsidR="001C2CDB" w:rsidRPr="004E7E5A" w:rsidRDefault="007F4CE1"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lastRenderedPageBreak/>
              <w:t>Correlation between the top ten shareholders</w:t>
            </w:r>
          </w:p>
        </w:tc>
        <w:tc>
          <w:tcPr>
            <w:tcW w:w="238" w:type="dxa"/>
            <w:tcBorders>
              <w:top w:val="nil"/>
              <w:left w:val="nil"/>
              <w:bottom w:val="nil"/>
              <w:right w:val="nil"/>
            </w:tcBorders>
          </w:tcPr>
          <w:p w14:paraId="5B5C7BB2"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06024A69" w14:textId="0F5FA889" w:rsidR="001C2CDB" w:rsidRPr="004E7E5A" w:rsidRDefault="001C2CDB" w:rsidP="001C2CDB">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Correlation</w:t>
            </w:r>
          </w:p>
        </w:tc>
        <w:tc>
          <w:tcPr>
            <w:tcW w:w="282" w:type="dxa"/>
            <w:tcBorders>
              <w:top w:val="nil"/>
              <w:left w:val="nil"/>
              <w:bottom w:val="nil"/>
              <w:right w:val="nil"/>
            </w:tcBorders>
            <w:shd w:val="clear" w:color="auto" w:fill="auto"/>
            <w:noWrap/>
          </w:tcPr>
          <w:p w14:paraId="3D292BA3" w14:textId="58FC1FCA"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6F7BF257" w14:textId="183FF805" w:rsidR="001C2CDB" w:rsidRPr="004E7E5A" w:rsidRDefault="00AC0E5A" w:rsidP="001C2CDB">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A</w:t>
            </w:r>
            <w:r w:rsidR="001C2CDB" w:rsidRPr="004E7E5A">
              <w:rPr>
                <w:rFonts w:ascii="Times New Roman" w:hAnsi="Times New Roman"/>
                <w:color w:val="000000" w:themeColor="text1"/>
                <w:kern w:val="0"/>
                <w:sz w:val="24"/>
                <w:szCs w:val="24"/>
              </w:rPr>
              <w:t>n indicator variable equal to 1 if the top ten shareholders are not correlated</w:t>
            </w:r>
            <w:r w:rsidR="001C2CDB" w:rsidRPr="004E7E5A">
              <w:rPr>
                <w:rFonts w:ascii="Times New Roman" w:eastAsia="Times New Roman" w:hAnsi="Times New Roman"/>
                <w:color w:val="000000" w:themeColor="text1"/>
                <w:sz w:val="24"/>
                <w:szCs w:val="24"/>
                <w:lang w:eastAsia="en-GB"/>
              </w:rPr>
              <w:t xml:space="preserve">, and </w:t>
            </w:r>
            <w:r w:rsidR="001C2CDB" w:rsidRPr="004E7E5A">
              <w:rPr>
                <w:rFonts w:ascii="Times New Roman" w:hAnsi="Times New Roman"/>
                <w:color w:val="000000" w:themeColor="text1"/>
                <w:kern w:val="0"/>
                <w:sz w:val="24"/>
                <w:szCs w:val="24"/>
              </w:rPr>
              <w:t>equal to 2 if the top ten shareholders are correlated.</w:t>
            </w:r>
            <w:r w:rsidR="001C2CDB" w:rsidRPr="004E7E5A">
              <w:rPr>
                <w:rFonts w:ascii="Times New Roman" w:eastAsia="Times New Roman" w:hAnsi="Times New Roman"/>
                <w:color w:val="000000" w:themeColor="text1"/>
                <w:sz w:val="24"/>
                <w:szCs w:val="24"/>
                <w:lang w:eastAsia="en-GB"/>
              </w:rPr>
              <w:t xml:space="preserve"> In case of uncertainty, the value is 3</w:t>
            </w:r>
            <w:r w:rsidR="001C2CDB" w:rsidRPr="004E7E5A">
              <w:rPr>
                <w:rFonts w:ascii="Times New Roman" w:hAnsi="Times New Roman"/>
                <w:color w:val="000000" w:themeColor="text1"/>
                <w:kern w:val="0"/>
                <w:sz w:val="24"/>
                <w:szCs w:val="24"/>
              </w:rPr>
              <w:t>.</w:t>
            </w:r>
          </w:p>
        </w:tc>
        <w:tc>
          <w:tcPr>
            <w:tcW w:w="283" w:type="dxa"/>
            <w:tcBorders>
              <w:top w:val="nil"/>
              <w:left w:val="nil"/>
              <w:bottom w:val="nil"/>
              <w:right w:val="nil"/>
            </w:tcBorders>
          </w:tcPr>
          <w:p w14:paraId="57639B7E"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23F94818" w14:textId="06BBD26D" w:rsidR="001C2CDB" w:rsidRPr="004E7E5A" w:rsidRDefault="009865A1"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kern w:val="0"/>
                <w:sz w:val="24"/>
                <w:szCs w:val="24"/>
              </w:rPr>
              <w:fldChar w:fldCharType="begin"/>
            </w:r>
            <w:r w:rsidR="006F6C86" w:rsidRPr="004E7E5A">
              <w:rPr>
                <w:rFonts w:ascii="Times New Roman" w:hAnsi="Times New Roman" w:cs="Times New Roman"/>
                <w:color w:val="000000" w:themeColor="text1"/>
                <w:kern w:val="0"/>
                <w:sz w:val="24"/>
                <w:szCs w:val="24"/>
              </w:rPr>
              <w:instrText xml:space="preserve"> ADDIN EN.CITE &lt;EndNote&gt;&lt;Cite AuthorYear="1"&gt;&lt;Author&gt;Maury&lt;/Author&gt;&lt;Year&gt;2005&lt;/Year&gt;&lt;RecNum&gt;2122&lt;/RecNum&gt;&lt;DisplayText&gt;Maury and Pajuste (2005)&lt;/DisplayText&gt;&lt;record&gt;&lt;rec-number&gt;2122&lt;/rec-number&gt;&lt;foreign-keys&gt;&lt;key app="EN" db-id="trr00pfsbzzex0ezwf6v5swd9fpfpwfa90xp" timestamp="1631357298" guid="7a1538a9-20ab-45cb-98a3-301ecbb860e3"&gt;2122&lt;/key&gt;&lt;/foreign-keys&gt;&lt;ref-type name="Journal Article"&gt;17&lt;/ref-type&gt;&lt;contributors&gt;&lt;authors&gt;&lt;author&gt;Maury, Benjamin&lt;/author&gt;&lt;author&gt;Pajuste, Anete&lt;/author&gt;&lt;/authors&gt;&lt;/contributors&gt;&lt;titles&gt;&lt;title&gt;Multiple large shareholders and firm value&lt;/title&gt;&lt;secondary-title&gt;Journal of Banking &amp;amp; Finance&lt;/secondary-title&gt;&lt;/titles&gt;&lt;periodical&gt;&lt;full-title&gt;Journal of Banking &amp;amp; Finance&lt;/full-title&gt;&lt;/periodical&gt;&lt;pages&gt;1813-1834&lt;/pages&gt;&lt;volume&gt;29&lt;/volume&gt;&lt;number&gt;7&lt;/number&gt;&lt;keywords&gt;&lt;keyword&gt;Corporate governance&lt;/keyword&gt;&lt;keyword&gt;Ownership structure&lt;/keyword&gt;&lt;keyword&gt;Multiple blockholders&lt;/keyword&gt;&lt;keyword&gt;Firm value&lt;/keyword&gt;&lt;/keywords&gt;&lt;dates&gt;&lt;year&gt;2005&lt;/year&gt;&lt;pub-dates&gt;&lt;date&gt;2005/07/01/&lt;/date&gt;&lt;/pub-dates&gt;&lt;/dates&gt;&lt;isbn&gt;0378-4266&lt;/isbn&gt;&lt;urls&gt;&lt;related-urls&gt;&lt;url&gt;https://www.sciencedirect.com/science/article/pii/S0378426604001396&lt;/url&gt;&lt;/related-urls&gt;&lt;/urls&gt;&lt;electronic-resource-num&gt;https://doi.org/10.1016/j.jbankfin.2004.07.002&lt;/electronic-resource-num&gt;&lt;/record&gt;&lt;/Cite&gt;&lt;/EndNote&gt;</w:instrText>
            </w:r>
            <w:r w:rsidRPr="004E7E5A">
              <w:rPr>
                <w:rFonts w:ascii="Times New Roman" w:hAnsi="Times New Roman" w:cs="Times New Roman"/>
                <w:color w:val="000000" w:themeColor="text1"/>
                <w:kern w:val="0"/>
                <w:sz w:val="24"/>
                <w:szCs w:val="24"/>
              </w:rPr>
              <w:fldChar w:fldCharType="separate"/>
            </w:r>
            <w:r w:rsidR="00806B5E" w:rsidRPr="004E7E5A">
              <w:rPr>
                <w:rFonts w:ascii="Times New Roman" w:hAnsi="Times New Roman" w:cs="Times New Roman"/>
                <w:noProof/>
                <w:color w:val="000000" w:themeColor="text1"/>
                <w:kern w:val="0"/>
                <w:sz w:val="24"/>
                <w:szCs w:val="24"/>
              </w:rPr>
              <w:t>Maury and Pajuste (2005)</w:t>
            </w:r>
            <w:r w:rsidRPr="004E7E5A">
              <w:rPr>
                <w:rFonts w:ascii="Times New Roman" w:hAnsi="Times New Roman" w:cs="Times New Roman"/>
                <w:color w:val="000000" w:themeColor="text1"/>
                <w:kern w:val="0"/>
                <w:sz w:val="24"/>
                <w:szCs w:val="24"/>
              </w:rPr>
              <w:fldChar w:fldCharType="end"/>
            </w:r>
          </w:p>
        </w:tc>
      </w:tr>
      <w:tr w:rsidR="001E3466" w:rsidRPr="004E7E5A" w14:paraId="6559813D" w14:textId="2D4F8E59" w:rsidTr="00C65E02">
        <w:trPr>
          <w:trHeight w:val="20"/>
        </w:trPr>
        <w:tc>
          <w:tcPr>
            <w:tcW w:w="3183" w:type="dxa"/>
            <w:tcBorders>
              <w:top w:val="nil"/>
              <w:left w:val="nil"/>
              <w:bottom w:val="nil"/>
              <w:right w:val="nil"/>
            </w:tcBorders>
            <w:shd w:val="clear" w:color="auto" w:fill="auto"/>
            <w:noWrap/>
          </w:tcPr>
          <w:p w14:paraId="66825A15" w14:textId="76E131A9" w:rsidR="001C2CDB" w:rsidRPr="004E7E5A" w:rsidRDefault="00BB5010"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Capital expenditures</w:t>
            </w:r>
          </w:p>
        </w:tc>
        <w:tc>
          <w:tcPr>
            <w:tcW w:w="238" w:type="dxa"/>
            <w:tcBorders>
              <w:top w:val="nil"/>
              <w:left w:val="nil"/>
              <w:bottom w:val="nil"/>
              <w:right w:val="nil"/>
            </w:tcBorders>
          </w:tcPr>
          <w:p w14:paraId="4E0D33A7"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6B8377B0" w14:textId="63D14F75" w:rsidR="001C2CDB" w:rsidRPr="004E7E5A" w:rsidRDefault="001C2CDB" w:rsidP="001C2CDB">
            <w:pPr>
              <w:jc w:val="center"/>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Fixasset</w:t>
            </w:r>
            <w:proofErr w:type="spellEnd"/>
          </w:p>
        </w:tc>
        <w:tc>
          <w:tcPr>
            <w:tcW w:w="282" w:type="dxa"/>
            <w:tcBorders>
              <w:top w:val="nil"/>
              <w:left w:val="nil"/>
              <w:bottom w:val="nil"/>
              <w:right w:val="nil"/>
            </w:tcBorders>
            <w:shd w:val="clear" w:color="auto" w:fill="auto"/>
            <w:noWrap/>
          </w:tcPr>
          <w:p w14:paraId="31C6CADF" w14:textId="20ED6375"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326199E4" w14:textId="77777777" w:rsidR="001C2CDB" w:rsidRPr="004E7E5A" w:rsidRDefault="001C2CDB" w:rsidP="001C2CDB">
            <w:pPr>
              <w:ind w:left="240" w:hangingChars="100" w:hanging="240"/>
              <w:rPr>
                <w:rFonts w:ascii="Times New Roman" w:eastAsia="宋体" w:hAnsi="Times New Roman"/>
                <w:color w:val="000000" w:themeColor="text1"/>
                <w:kern w:val="0"/>
                <w:sz w:val="24"/>
                <w:szCs w:val="24"/>
              </w:rPr>
            </w:pPr>
            <w:r w:rsidRPr="004E7E5A">
              <w:rPr>
                <w:rFonts w:ascii="Times New Roman" w:hAnsi="Times New Roman"/>
                <w:color w:val="000000" w:themeColor="text1"/>
                <w:kern w:val="0"/>
                <w:sz w:val="24"/>
                <w:szCs w:val="24"/>
              </w:rPr>
              <w:t xml:space="preserve">Fixed </w:t>
            </w:r>
            <w:r w:rsidRPr="004E7E5A">
              <w:rPr>
                <w:rFonts w:ascii="Times New Roman" w:eastAsia="Times New Roman" w:hAnsi="Times New Roman"/>
                <w:color w:val="000000" w:themeColor="text1"/>
                <w:sz w:val="24"/>
                <w:szCs w:val="24"/>
                <w:lang w:eastAsia="en-GB"/>
              </w:rPr>
              <w:t>assets divided by total assets</w:t>
            </w:r>
            <w:r w:rsidRPr="004E7E5A">
              <w:rPr>
                <w:rFonts w:ascii="Times New Roman" w:eastAsia="宋体" w:hAnsi="Times New Roman"/>
                <w:color w:val="000000" w:themeColor="text1"/>
                <w:sz w:val="24"/>
                <w:szCs w:val="24"/>
              </w:rPr>
              <w:t>.</w:t>
            </w:r>
          </w:p>
        </w:tc>
        <w:tc>
          <w:tcPr>
            <w:tcW w:w="283" w:type="dxa"/>
            <w:tcBorders>
              <w:top w:val="nil"/>
              <w:left w:val="nil"/>
              <w:bottom w:val="nil"/>
              <w:right w:val="nil"/>
            </w:tcBorders>
          </w:tcPr>
          <w:p w14:paraId="7AE24EBC"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6014A6B3" w14:textId="7271DDD9" w:rsidR="001C2CDB" w:rsidRPr="004E7E5A" w:rsidRDefault="00BB5010"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t>Shaukat et al. (2016)</w:t>
            </w:r>
          </w:p>
        </w:tc>
      </w:tr>
      <w:tr w:rsidR="001E3466" w:rsidRPr="004E7E5A" w14:paraId="0D5C4E04" w14:textId="134C0DFA" w:rsidTr="00C65E02">
        <w:trPr>
          <w:trHeight w:val="20"/>
        </w:trPr>
        <w:tc>
          <w:tcPr>
            <w:tcW w:w="3183" w:type="dxa"/>
            <w:tcBorders>
              <w:top w:val="nil"/>
              <w:left w:val="nil"/>
              <w:bottom w:val="nil"/>
              <w:right w:val="nil"/>
            </w:tcBorders>
            <w:shd w:val="clear" w:color="auto" w:fill="auto"/>
            <w:noWrap/>
          </w:tcPr>
          <w:p w14:paraId="35BFF0F4" w14:textId="242ADE5B" w:rsidR="001C2CDB" w:rsidRPr="004E7E5A" w:rsidRDefault="000C2629"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Top 10 block holders</w:t>
            </w:r>
          </w:p>
        </w:tc>
        <w:tc>
          <w:tcPr>
            <w:tcW w:w="238" w:type="dxa"/>
            <w:tcBorders>
              <w:top w:val="nil"/>
              <w:left w:val="nil"/>
              <w:bottom w:val="nil"/>
              <w:right w:val="nil"/>
            </w:tcBorders>
          </w:tcPr>
          <w:p w14:paraId="12D3247B"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nil"/>
              <w:right w:val="nil"/>
            </w:tcBorders>
          </w:tcPr>
          <w:p w14:paraId="492B3CAE" w14:textId="6FE2247A" w:rsidR="001C2CDB" w:rsidRPr="004E7E5A" w:rsidRDefault="001C2CDB" w:rsidP="001C2CDB">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Share</w:t>
            </w:r>
          </w:p>
        </w:tc>
        <w:tc>
          <w:tcPr>
            <w:tcW w:w="282" w:type="dxa"/>
            <w:tcBorders>
              <w:top w:val="nil"/>
              <w:left w:val="nil"/>
              <w:bottom w:val="nil"/>
              <w:right w:val="nil"/>
            </w:tcBorders>
            <w:shd w:val="clear" w:color="auto" w:fill="auto"/>
            <w:noWrap/>
          </w:tcPr>
          <w:p w14:paraId="1F8B9AC8" w14:textId="2D939BF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nil"/>
              <w:right w:val="nil"/>
            </w:tcBorders>
            <w:shd w:val="clear" w:color="auto" w:fill="auto"/>
          </w:tcPr>
          <w:p w14:paraId="49BDB1D6" w14:textId="0CC5DEF2" w:rsidR="001C2CDB" w:rsidRPr="004E7E5A" w:rsidRDefault="001C2CDB" w:rsidP="001C2CDB">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sum of top 10 shareholders’ ownership</w:t>
            </w:r>
            <w:r w:rsidRPr="004E7E5A">
              <w:rPr>
                <w:rFonts w:ascii="Times New Roman" w:eastAsia="Times New Roman" w:hAnsi="Times New Roman"/>
                <w:color w:val="000000" w:themeColor="text1"/>
                <w:sz w:val="24"/>
                <w:szCs w:val="24"/>
                <w:lang w:eastAsia="en-GB"/>
              </w:rPr>
              <w:t xml:space="preserve"> divided by total</w:t>
            </w:r>
            <w:r w:rsidRPr="004E7E5A">
              <w:rPr>
                <w:rFonts w:ascii="Times New Roman" w:hAnsi="Times New Roman"/>
                <w:color w:val="000000" w:themeColor="text1"/>
                <w:kern w:val="0"/>
                <w:sz w:val="24"/>
                <w:szCs w:val="24"/>
              </w:rPr>
              <w:t xml:space="preserve"> ownership.</w:t>
            </w:r>
          </w:p>
        </w:tc>
        <w:tc>
          <w:tcPr>
            <w:tcW w:w="283" w:type="dxa"/>
            <w:tcBorders>
              <w:top w:val="nil"/>
              <w:left w:val="nil"/>
              <w:bottom w:val="nil"/>
              <w:right w:val="nil"/>
            </w:tcBorders>
          </w:tcPr>
          <w:p w14:paraId="53CE9DAE"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bottom w:val="nil"/>
              <w:right w:val="nil"/>
            </w:tcBorders>
          </w:tcPr>
          <w:p w14:paraId="67C0E757" w14:textId="1D28CFC0" w:rsidR="001C2CDB" w:rsidRPr="004E7E5A" w:rsidRDefault="000C2629"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t>Johnson and Greening (1999)</w:t>
            </w:r>
          </w:p>
        </w:tc>
      </w:tr>
      <w:tr w:rsidR="001E3466" w:rsidRPr="004E7E5A" w14:paraId="60330EE0" w14:textId="6E77E54C" w:rsidTr="009E0F07">
        <w:trPr>
          <w:trHeight w:val="20"/>
        </w:trPr>
        <w:tc>
          <w:tcPr>
            <w:tcW w:w="3183" w:type="dxa"/>
            <w:tcBorders>
              <w:top w:val="nil"/>
              <w:left w:val="nil"/>
              <w:right w:val="nil"/>
            </w:tcBorders>
            <w:shd w:val="clear" w:color="auto" w:fill="auto"/>
            <w:noWrap/>
          </w:tcPr>
          <w:p w14:paraId="292998D1" w14:textId="3AEB23F6" w:rsidR="001C2CDB" w:rsidRPr="004E7E5A" w:rsidRDefault="00E4411B"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The nature of ownership</w:t>
            </w:r>
          </w:p>
        </w:tc>
        <w:tc>
          <w:tcPr>
            <w:tcW w:w="238" w:type="dxa"/>
            <w:tcBorders>
              <w:top w:val="nil"/>
              <w:left w:val="nil"/>
              <w:right w:val="nil"/>
            </w:tcBorders>
          </w:tcPr>
          <w:p w14:paraId="5F43548D"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right w:val="nil"/>
            </w:tcBorders>
          </w:tcPr>
          <w:p w14:paraId="350F940B" w14:textId="37204798" w:rsidR="001C2CDB" w:rsidRPr="004E7E5A" w:rsidRDefault="001C2CDB" w:rsidP="001C2CDB">
            <w:pPr>
              <w:jc w:val="center"/>
              <w:rPr>
                <w:rFonts w:ascii="Times New Roman" w:eastAsia="Times New Roman" w:hAnsi="Times New Roman"/>
                <w:color w:val="000000" w:themeColor="text1"/>
                <w:sz w:val="24"/>
                <w:szCs w:val="24"/>
                <w:lang w:eastAsia="en-GB"/>
              </w:rPr>
            </w:pPr>
            <w:proofErr w:type="spellStart"/>
            <w:r w:rsidRPr="004E7E5A">
              <w:rPr>
                <w:rFonts w:ascii="Times New Roman" w:hAnsi="Times New Roman"/>
                <w:i/>
                <w:iCs/>
                <w:color w:val="000000" w:themeColor="text1"/>
                <w:kern w:val="0"/>
                <w:sz w:val="24"/>
                <w:szCs w:val="24"/>
              </w:rPr>
              <w:t>Soe</w:t>
            </w:r>
            <w:proofErr w:type="spellEnd"/>
          </w:p>
        </w:tc>
        <w:tc>
          <w:tcPr>
            <w:tcW w:w="282" w:type="dxa"/>
            <w:tcBorders>
              <w:top w:val="nil"/>
              <w:left w:val="nil"/>
              <w:right w:val="nil"/>
            </w:tcBorders>
            <w:shd w:val="clear" w:color="auto" w:fill="auto"/>
            <w:noWrap/>
          </w:tcPr>
          <w:p w14:paraId="3BD84798" w14:textId="1AC3A951"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right w:val="nil"/>
            </w:tcBorders>
            <w:shd w:val="clear" w:color="auto" w:fill="auto"/>
          </w:tcPr>
          <w:p w14:paraId="733F5880" w14:textId="3563198B" w:rsidR="001C2CDB" w:rsidRPr="004E7E5A" w:rsidRDefault="00A9290D" w:rsidP="001C2CDB">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 xml:space="preserve">An indicator variable </w:t>
            </w:r>
            <w:r w:rsidR="001C2CDB" w:rsidRPr="004E7E5A">
              <w:rPr>
                <w:rFonts w:ascii="Times New Roman" w:hAnsi="Times New Roman"/>
                <w:color w:val="000000" w:themeColor="text1"/>
                <w:kern w:val="0"/>
                <w:sz w:val="24"/>
                <w:szCs w:val="24"/>
              </w:rPr>
              <w:t xml:space="preserve">equal to 1 if the enterprise is state-owned, </w:t>
            </w:r>
            <w:r w:rsidR="001C2CDB" w:rsidRPr="004E7E5A">
              <w:rPr>
                <w:rFonts w:ascii="Times New Roman" w:eastAsia="Times New Roman" w:hAnsi="Times New Roman"/>
                <w:color w:val="000000" w:themeColor="text1"/>
                <w:sz w:val="24"/>
                <w:szCs w:val="24"/>
                <w:lang w:eastAsia="en-GB"/>
              </w:rPr>
              <w:t>and 0 otherwise.</w:t>
            </w:r>
          </w:p>
        </w:tc>
        <w:tc>
          <w:tcPr>
            <w:tcW w:w="283" w:type="dxa"/>
            <w:tcBorders>
              <w:top w:val="nil"/>
              <w:left w:val="nil"/>
              <w:right w:val="nil"/>
            </w:tcBorders>
          </w:tcPr>
          <w:p w14:paraId="3CFB5A6F"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right w:val="nil"/>
            </w:tcBorders>
          </w:tcPr>
          <w:p w14:paraId="08A475A5" w14:textId="4CAD5041" w:rsidR="001C2CDB" w:rsidRPr="004E7E5A" w:rsidRDefault="00E4411B"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t>Liao et al. (2016)</w:t>
            </w:r>
          </w:p>
        </w:tc>
      </w:tr>
      <w:tr w:rsidR="00113A81" w:rsidRPr="004E7E5A" w14:paraId="16AA1C84" w14:textId="2841F71C" w:rsidTr="009E0F07">
        <w:trPr>
          <w:trHeight w:val="20"/>
        </w:trPr>
        <w:tc>
          <w:tcPr>
            <w:tcW w:w="3183" w:type="dxa"/>
            <w:tcBorders>
              <w:top w:val="nil"/>
              <w:left w:val="nil"/>
              <w:bottom w:val="single" w:sz="4" w:space="0" w:color="auto"/>
              <w:right w:val="nil"/>
            </w:tcBorders>
            <w:shd w:val="clear" w:color="auto" w:fill="auto"/>
            <w:noWrap/>
          </w:tcPr>
          <w:p w14:paraId="21CE8244" w14:textId="42484FF0" w:rsidR="001C2CDB" w:rsidRPr="004E7E5A" w:rsidRDefault="00A65ED3" w:rsidP="001C2CDB">
            <w:pPr>
              <w:jc w:val="left"/>
              <w:rPr>
                <w:rFonts w:ascii="Times New Roman" w:eastAsia="Times New Roman" w:hAnsi="Times New Roman"/>
                <w:color w:val="000000" w:themeColor="text1"/>
                <w:sz w:val="24"/>
                <w:szCs w:val="24"/>
                <w:lang w:eastAsia="en-GB"/>
              </w:rPr>
            </w:pPr>
            <w:r w:rsidRPr="004E7E5A">
              <w:rPr>
                <w:rFonts w:ascii="Times New Roman" w:eastAsia="Times New Roman" w:hAnsi="Times New Roman"/>
                <w:color w:val="000000" w:themeColor="text1"/>
                <w:sz w:val="24"/>
                <w:szCs w:val="24"/>
                <w:lang w:eastAsia="en-GB"/>
              </w:rPr>
              <w:t>F</w:t>
            </w:r>
            <w:r w:rsidR="00E4411B" w:rsidRPr="004E7E5A">
              <w:rPr>
                <w:rFonts w:ascii="Times New Roman" w:eastAsia="Times New Roman" w:hAnsi="Times New Roman"/>
                <w:color w:val="000000" w:themeColor="text1"/>
                <w:sz w:val="24"/>
                <w:szCs w:val="24"/>
                <w:lang w:eastAsia="en-GB"/>
              </w:rPr>
              <w:t>irm listing</w:t>
            </w:r>
          </w:p>
        </w:tc>
        <w:tc>
          <w:tcPr>
            <w:tcW w:w="238" w:type="dxa"/>
            <w:tcBorders>
              <w:top w:val="nil"/>
              <w:left w:val="nil"/>
              <w:bottom w:val="single" w:sz="4" w:space="0" w:color="auto"/>
              <w:right w:val="nil"/>
            </w:tcBorders>
          </w:tcPr>
          <w:p w14:paraId="29C1F1D3" w14:textId="77777777"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1676" w:type="dxa"/>
            <w:tcBorders>
              <w:top w:val="nil"/>
              <w:left w:val="nil"/>
              <w:bottom w:val="single" w:sz="4" w:space="0" w:color="auto"/>
              <w:right w:val="nil"/>
            </w:tcBorders>
          </w:tcPr>
          <w:p w14:paraId="1066EFB1" w14:textId="6C676DC7" w:rsidR="001C2CDB" w:rsidRPr="004E7E5A" w:rsidRDefault="001C2CDB" w:rsidP="001C2CDB">
            <w:pPr>
              <w:jc w:val="center"/>
              <w:rPr>
                <w:rFonts w:ascii="Times New Roman" w:eastAsia="Times New Roman" w:hAnsi="Times New Roman"/>
                <w:color w:val="000000" w:themeColor="text1"/>
                <w:sz w:val="24"/>
                <w:szCs w:val="24"/>
                <w:lang w:eastAsia="en-GB"/>
              </w:rPr>
            </w:pPr>
            <w:r w:rsidRPr="004E7E5A">
              <w:rPr>
                <w:rFonts w:ascii="Times New Roman" w:hAnsi="Times New Roman"/>
                <w:i/>
                <w:iCs/>
                <w:color w:val="000000" w:themeColor="text1"/>
                <w:kern w:val="0"/>
                <w:sz w:val="24"/>
                <w:szCs w:val="24"/>
              </w:rPr>
              <w:t>Firm age</w:t>
            </w:r>
          </w:p>
        </w:tc>
        <w:tc>
          <w:tcPr>
            <w:tcW w:w="282" w:type="dxa"/>
            <w:tcBorders>
              <w:top w:val="nil"/>
              <w:left w:val="nil"/>
              <w:bottom w:val="single" w:sz="4" w:space="0" w:color="auto"/>
              <w:right w:val="nil"/>
            </w:tcBorders>
            <w:shd w:val="clear" w:color="auto" w:fill="auto"/>
            <w:noWrap/>
          </w:tcPr>
          <w:p w14:paraId="0A682AD8" w14:textId="31AF3646" w:rsidR="001C2CDB" w:rsidRPr="004E7E5A" w:rsidRDefault="001C2CDB" w:rsidP="001C2CDB">
            <w:pPr>
              <w:jc w:val="center"/>
              <w:rPr>
                <w:rFonts w:ascii="Times New Roman" w:eastAsia="Times New Roman" w:hAnsi="Times New Roman"/>
                <w:color w:val="000000" w:themeColor="text1"/>
                <w:sz w:val="24"/>
                <w:szCs w:val="24"/>
                <w:lang w:eastAsia="en-GB"/>
              </w:rPr>
            </w:pPr>
          </w:p>
        </w:tc>
        <w:tc>
          <w:tcPr>
            <w:tcW w:w="5019" w:type="dxa"/>
            <w:tcBorders>
              <w:top w:val="nil"/>
              <w:left w:val="nil"/>
              <w:bottom w:val="single" w:sz="4" w:space="0" w:color="auto"/>
              <w:right w:val="nil"/>
            </w:tcBorders>
            <w:shd w:val="clear" w:color="auto" w:fill="auto"/>
          </w:tcPr>
          <w:p w14:paraId="59406687" w14:textId="77777777" w:rsidR="001C2CDB" w:rsidRPr="004E7E5A" w:rsidRDefault="001C2CDB" w:rsidP="001C2CDB">
            <w:pPr>
              <w:ind w:left="240" w:hangingChars="100" w:hanging="240"/>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The year of firm listing.</w:t>
            </w:r>
          </w:p>
        </w:tc>
        <w:tc>
          <w:tcPr>
            <w:tcW w:w="283" w:type="dxa"/>
            <w:tcBorders>
              <w:top w:val="nil"/>
              <w:left w:val="nil"/>
              <w:bottom w:val="single" w:sz="4" w:space="0" w:color="auto"/>
              <w:right w:val="nil"/>
            </w:tcBorders>
          </w:tcPr>
          <w:p w14:paraId="6CCF0082" w14:textId="77777777" w:rsidR="001C2CDB" w:rsidRPr="004E7E5A" w:rsidRDefault="001C2CDB" w:rsidP="001C2CDB">
            <w:pPr>
              <w:ind w:left="240" w:hangingChars="100" w:hanging="240"/>
              <w:rPr>
                <w:rFonts w:ascii="Times New Roman" w:hAnsi="Times New Roman"/>
                <w:color w:val="000000" w:themeColor="text1"/>
                <w:kern w:val="0"/>
                <w:sz w:val="24"/>
                <w:szCs w:val="24"/>
              </w:rPr>
            </w:pPr>
          </w:p>
        </w:tc>
        <w:tc>
          <w:tcPr>
            <w:tcW w:w="3070" w:type="dxa"/>
            <w:tcBorders>
              <w:top w:val="nil"/>
              <w:left w:val="nil"/>
              <w:bottom w:val="single" w:sz="4" w:space="0" w:color="auto"/>
              <w:right w:val="nil"/>
            </w:tcBorders>
          </w:tcPr>
          <w:p w14:paraId="05B1C18C" w14:textId="098E13BB" w:rsidR="001C2CDB" w:rsidRPr="004E7E5A" w:rsidRDefault="00E4411B" w:rsidP="00EB3E3F">
            <w:pPr>
              <w:rPr>
                <w:rFonts w:ascii="Times New Roman" w:hAnsi="Times New Roman" w:cs="Times New Roman"/>
                <w:color w:val="000000" w:themeColor="text1"/>
                <w:kern w:val="0"/>
                <w:sz w:val="24"/>
                <w:szCs w:val="24"/>
              </w:rPr>
            </w:pPr>
            <w:r w:rsidRPr="004E7E5A">
              <w:rPr>
                <w:rFonts w:ascii="Times New Roman" w:hAnsi="Times New Roman" w:cs="Times New Roman"/>
                <w:color w:val="000000" w:themeColor="text1"/>
                <w:sz w:val="24"/>
                <w:szCs w:val="24"/>
              </w:rPr>
              <w:t>Liao et al. (2016)</w:t>
            </w:r>
          </w:p>
        </w:tc>
      </w:tr>
    </w:tbl>
    <w:p w14:paraId="3F484A1E" w14:textId="77777777" w:rsidR="004862D7" w:rsidRPr="004E7E5A" w:rsidRDefault="004862D7" w:rsidP="00A53CFE">
      <w:pPr>
        <w:pStyle w:val="4"/>
        <w:spacing w:before="0" w:after="0" w:line="240" w:lineRule="auto"/>
        <w:jc w:val="center"/>
        <w:rPr>
          <w:color w:val="000000" w:themeColor="text1"/>
        </w:rPr>
        <w:sectPr w:rsidR="004862D7" w:rsidRPr="004E7E5A" w:rsidSect="009F040D">
          <w:pgSz w:w="16838" w:h="11906" w:orient="landscape"/>
          <w:pgMar w:top="1418" w:right="1361" w:bottom="1418" w:left="1701" w:header="1134" w:footer="1134" w:gutter="0"/>
          <w:cols w:space="425"/>
          <w:docGrid w:type="lines" w:linePitch="312"/>
        </w:sectPr>
      </w:pPr>
    </w:p>
    <w:p w14:paraId="03F3E7AA" w14:textId="11DEC04C" w:rsidR="00A53CFE" w:rsidRPr="004E7E5A" w:rsidRDefault="00A53CFE" w:rsidP="00A53CFE">
      <w:pPr>
        <w:pStyle w:val="4"/>
        <w:spacing w:before="0" w:after="0" w:line="240" w:lineRule="auto"/>
        <w:jc w:val="center"/>
        <w:rPr>
          <w:color w:val="000000" w:themeColor="text1"/>
        </w:rPr>
      </w:pPr>
      <w:r w:rsidRPr="004E7E5A">
        <w:rPr>
          <w:color w:val="000000" w:themeColor="text1"/>
        </w:rPr>
        <w:lastRenderedPageBreak/>
        <w:t xml:space="preserve">Table </w:t>
      </w:r>
      <w:r w:rsidR="0071114F" w:rsidRPr="004E7E5A">
        <w:rPr>
          <w:color w:val="000000" w:themeColor="text1"/>
        </w:rPr>
        <w:t>2</w:t>
      </w:r>
    </w:p>
    <w:p w14:paraId="3F0B0FB1"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hAnsi="Times New Roman"/>
          <w:b/>
          <w:bCs/>
          <w:color w:val="000000" w:themeColor="text1"/>
          <w:sz w:val="24"/>
          <w:szCs w:val="24"/>
        </w:rPr>
        <w:t>Descriptive Statistic</w:t>
      </w:r>
      <w:r w:rsidRPr="004E7E5A">
        <w:rPr>
          <w:rFonts w:ascii="Times New Roman" w:eastAsia="宋体" w:hAnsi="Times New Roman"/>
          <w:b/>
          <w:bCs/>
          <w:color w:val="000000" w:themeColor="text1"/>
          <w:sz w:val="24"/>
          <w:szCs w:val="24"/>
        </w:rPr>
        <w:t>s</w:t>
      </w:r>
    </w:p>
    <w:tbl>
      <w:tblPr>
        <w:tblW w:w="5000" w:type="pct"/>
        <w:jc w:val="center"/>
        <w:tblBorders>
          <w:top w:val="single" w:sz="12" w:space="0" w:color="auto"/>
          <w:bottom w:val="single" w:sz="12" w:space="0" w:color="auto"/>
        </w:tblBorders>
        <w:tblCellMar>
          <w:left w:w="75" w:type="dxa"/>
          <w:right w:w="75" w:type="dxa"/>
        </w:tblCellMar>
        <w:tblLook w:val="0000" w:firstRow="0" w:lastRow="0" w:firstColumn="0" w:lastColumn="0" w:noHBand="0" w:noVBand="0"/>
      </w:tblPr>
      <w:tblGrid>
        <w:gridCol w:w="2243"/>
        <w:gridCol w:w="194"/>
        <w:gridCol w:w="1158"/>
        <w:gridCol w:w="184"/>
        <w:gridCol w:w="1158"/>
        <w:gridCol w:w="190"/>
        <w:gridCol w:w="1158"/>
        <w:gridCol w:w="178"/>
        <w:gridCol w:w="1280"/>
        <w:gridCol w:w="168"/>
        <w:gridCol w:w="1159"/>
      </w:tblGrid>
      <w:tr w:rsidR="001E3466" w:rsidRPr="004E7E5A" w14:paraId="5171B84D" w14:textId="77777777" w:rsidTr="00116073">
        <w:trPr>
          <w:jc w:val="center"/>
        </w:trPr>
        <w:tc>
          <w:tcPr>
            <w:tcW w:w="2243" w:type="dxa"/>
            <w:tcBorders>
              <w:top w:val="single" w:sz="4" w:space="0" w:color="auto"/>
              <w:bottom w:val="single" w:sz="4" w:space="0" w:color="auto"/>
            </w:tcBorders>
          </w:tcPr>
          <w:p w14:paraId="2665D637"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Variables</w:t>
            </w:r>
          </w:p>
        </w:tc>
        <w:tc>
          <w:tcPr>
            <w:tcW w:w="194" w:type="dxa"/>
            <w:tcBorders>
              <w:top w:val="single" w:sz="4" w:space="0" w:color="auto"/>
              <w:bottom w:val="nil"/>
            </w:tcBorders>
          </w:tcPr>
          <w:p w14:paraId="2BD7B87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158" w:type="dxa"/>
            <w:tcBorders>
              <w:top w:val="single" w:sz="4" w:space="0" w:color="auto"/>
              <w:bottom w:val="single" w:sz="4" w:space="0" w:color="auto"/>
            </w:tcBorders>
          </w:tcPr>
          <w:p w14:paraId="0DCBDDA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Mean</w:t>
            </w:r>
          </w:p>
        </w:tc>
        <w:tc>
          <w:tcPr>
            <w:tcW w:w="184" w:type="dxa"/>
            <w:tcBorders>
              <w:top w:val="single" w:sz="4" w:space="0" w:color="auto"/>
              <w:bottom w:val="nil"/>
            </w:tcBorders>
          </w:tcPr>
          <w:p w14:paraId="6103539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158" w:type="dxa"/>
            <w:tcBorders>
              <w:top w:val="single" w:sz="4" w:space="0" w:color="auto"/>
              <w:bottom w:val="single" w:sz="4" w:space="0" w:color="auto"/>
            </w:tcBorders>
          </w:tcPr>
          <w:p w14:paraId="57ABA93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STD</w:t>
            </w:r>
          </w:p>
        </w:tc>
        <w:tc>
          <w:tcPr>
            <w:tcW w:w="190" w:type="dxa"/>
            <w:tcBorders>
              <w:top w:val="single" w:sz="4" w:space="0" w:color="auto"/>
              <w:bottom w:val="nil"/>
            </w:tcBorders>
          </w:tcPr>
          <w:p w14:paraId="6F87947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158" w:type="dxa"/>
            <w:tcBorders>
              <w:top w:val="single" w:sz="4" w:space="0" w:color="auto"/>
              <w:bottom w:val="single" w:sz="4" w:space="0" w:color="auto"/>
            </w:tcBorders>
          </w:tcPr>
          <w:p w14:paraId="3F58AD1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P25</w:t>
            </w:r>
          </w:p>
        </w:tc>
        <w:tc>
          <w:tcPr>
            <w:tcW w:w="178" w:type="dxa"/>
            <w:tcBorders>
              <w:top w:val="single" w:sz="4" w:space="0" w:color="auto"/>
              <w:bottom w:val="nil"/>
            </w:tcBorders>
          </w:tcPr>
          <w:p w14:paraId="47F54D5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280" w:type="dxa"/>
            <w:tcBorders>
              <w:top w:val="single" w:sz="4" w:space="0" w:color="auto"/>
              <w:bottom w:val="single" w:sz="4" w:space="0" w:color="auto"/>
            </w:tcBorders>
          </w:tcPr>
          <w:p w14:paraId="28A57B8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Median</w:t>
            </w:r>
          </w:p>
        </w:tc>
        <w:tc>
          <w:tcPr>
            <w:tcW w:w="168" w:type="dxa"/>
            <w:tcBorders>
              <w:top w:val="single" w:sz="4" w:space="0" w:color="auto"/>
              <w:bottom w:val="nil"/>
            </w:tcBorders>
          </w:tcPr>
          <w:p w14:paraId="6F80608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159" w:type="dxa"/>
            <w:tcBorders>
              <w:top w:val="single" w:sz="4" w:space="0" w:color="auto"/>
              <w:bottom w:val="single" w:sz="4" w:space="0" w:color="auto"/>
            </w:tcBorders>
          </w:tcPr>
          <w:p w14:paraId="2B03F24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P75</w:t>
            </w:r>
          </w:p>
        </w:tc>
      </w:tr>
      <w:tr w:rsidR="001E3466" w:rsidRPr="004E7E5A" w14:paraId="0B14FEB1" w14:textId="77777777" w:rsidTr="00116073">
        <w:trPr>
          <w:jc w:val="center"/>
        </w:trPr>
        <w:tc>
          <w:tcPr>
            <w:tcW w:w="2243" w:type="dxa"/>
            <w:tcBorders>
              <w:top w:val="single" w:sz="4" w:space="0" w:color="auto"/>
              <w:bottom w:val="nil"/>
            </w:tcBorders>
          </w:tcPr>
          <w:p w14:paraId="12B8322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Csr</w:t>
            </w:r>
            <w:proofErr w:type="spellEnd"/>
          </w:p>
        </w:tc>
        <w:tc>
          <w:tcPr>
            <w:tcW w:w="194" w:type="dxa"/>
            <w:tcBorders>
              <w:top w:val="nil"/>
              <w:bottom w:val="nil"/>
            </w:tcBorders>
          </w:tcPr>
          <w:p w14:paraId="3F689CE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single" w:sz="4" w:space="0" w:color="auto"/>
              <w:bottom w:val="nil"/>
            </w:tcBorders>
          </w:tcPr>
          <w:p w14:paraId="2B58B74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40.310 </w:t>
            </w:r>
          </w:p>
        </w:tc>
        <w:tc>
          <w:tcPr>
            <w:tcW w:w="184" w:type="dxa"/>
            <w:tcBorders>
              <w:top w:val="nil"/>
              <w:bottom w:val="nil"/>
            </w:tcBorders>
          </w:tcPr>
          <w:p w14:paraId="057C7C8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single" w:sz="4" w:space="0" w:color="auto"/>
              <w:bottom w:val="nil"/>
            </w:tcBorders>
          </w:tcPr>
          <w:p w14:paraId="13C14CE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11.520 </w:t>
            </w:r>
          </w:p>
        </w:tc>
        <w:tc>
          <w:tcPr>
            <w:tcW w:w="190" w:type="dxa"/>
            <w:tcBorders>
              <w:top w:val="nil"/>
              <w:bottom w:val="nil"/>
            </w:tcBorders>
          </w:tcPr>
          <w:p w14:paraId="79B05DA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single" w:sz="4" w:space="0" w:color="auto"/>
              <w:bottom w:val="nil"/>
            </w:tcBorders>
          </w:tcPr>
          <w:p w14:paraId="7E050B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32.230 </w:t>
            </w:r>
          </w:p>
        </w:tc>
        <w:tc>
          <w:tcPr>
            <w:tcW w:w="178" w:type="dxa"/>
            <w:tcBorders>
              <w:top w:val="nil"/>
              <w:bottom w:val="nil"/>
            </w:tcBorders>
          </w:tcPr>
          <w:p w14:paraId="229C226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single" w:sz="4" w:space="0" w:color="auto"/>
              <w:bottom w:val="nil"/>
            </w:tcBorders>
          </w:tcPr>
          <w:p w14:paraId="5AE0166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37.900 </w:t>
            </w:r>
          </w:p>
        </w:tc>
        <w:tc>
          <w:tcPr>
            <w:tcW w:w="168" w:type="dxa"/>
            <w:tcBorders>
              <w:top w:val="nil"/>
              <w:bottom w:val="nil"/>
            </w:tcBorders>
          </w:tcPr>
          <w:p w14:paraId="61C7DFC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single" w:sz="4" w:space="0" w:color="auto"/>
              <w:bottom w:val="nil"/>
            </w:tcBorders>
          </w:tcPr>
          <w:p w14:paraId="4BE0D3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46.020 </w:t>
            </w:r>
          </w:p>
        </w:tc>
      </w:tr>
      <w:tr w:rsidR="001E3466" w:rsidRPr="004E7E5A" w14:paraId="54C43F9A" w14:textId="77777777" w:rsidTr="00116073">
        <w:trPr>
          <w:jc w:val="center"/>
        </w:trPr>
        <w:tc>
          <w:tcPr>
            <w:tcW w:w="2243" w:type="dxa"/>
            <w:tcBorders>
              <w:top w:val="nil"/>
            </w:tcBorders>
          </w:tcPr>
          <w:p w14:paraId="3F7B87D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194" w:type="dxa"/>
            <w:tcBorders>
              <w:top w:val="nil"/>
            </w:tcBorders>
          </w:tcPr>
          <w:p w14:paraId="0118390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tcBorders>
          </w:tcPr>
          <w:p w14:paraId="194F77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5.914 </w:t>
            </w:r>
          </w:p>
        </w:tc>
        <w:tc>
          <w:tcPr>
            <w:tcW w:w="184" w:type="dxa"/>
            <w:tcBorders>
              <w:top w:val="nil"/>
            </w:tcBorders>
          </w:tcPr>
          <w:p w14:paraId="18A1086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tcBorders>
          </w:tcPr>
          <w:p w14:paraId="74CB988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2.631 </w:t>
            </w:r>
          </w:p>
        </w:tc>
        <w:tc>
          <w:tcPr>
            <w:tcW w:w="190" w:type="dxa"/>
            <w:tcBorders>
              <w:top w:val="nil"/>
            </w:tcBorders>
          </w:tcPr>
          <w:p w14:paraId="41A6DA4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tcBorders>
          </w:tcPr>
          <w:p w14:paraId="3910C1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3.667 </w:t>
            </w:r>
          </w:p>
        </w:tc>
        <w:tc>
          <w:tcPr>
            <w:tcW w:w="178" w:type="dxa"/>
            <w:tcBorders>
              <w:top w:val="nil"/>
            </w:tcBorders>
          </w:tcPr>
          <w:p w14:paraId="52E08C7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tcBorders>
          </w:tcPr>
          <w:p w14:paraId="0B7A52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6.000 </w:t>
            </w:r>
          </w:p>
        </w:tc>
        <w:tc>
          <w:tcPr>
            <w:tcW w:w="168" w:type="dxa"/>
            <w:tcBorders>
              <w:top w:val="nil"/>
            </w:tcBorders>
          </w:tcPr>
          <w:p w14:paraId="6EC86A6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tcBorders>
          </w:tcPr>
          <w:p w14:paraId="19A7C8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8.333 </w:t>
            </w:r>
          </w:p>
        </w:tc>
      </w:tr>
      <w:tr w:rsidR="001E3466" w:rsidRPr="004E7E5A" w14:paraId="1B113120" w14:textId="77777777" w:rsidTr="00116073">
        <w:trPr>
          <w:jc w:val="center"/>
        </w:trPr>
        <w:tc>
          <w:tcPr>
            <w:tcW w:w="2243" w:type="dxa"/>
          </w:tcPr>
          <w:p w14:paraId="07C8D40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194" w:type="dxa"/>
          </w:tcPr>
          <w:p w14:paraId="3E7A1B2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D6FA8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6.104 </w:t>
            </w:r>
          </w:p>
        </w:tc>
        <w:tc>
          <w:tcPr>
            <w:tcW w:w="184" w:type="dxa"/>
          </w:tcPr>
          <w:p w14:paraId="6FB2D03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39EBCE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2.522 </w:t>
            </w:r>
          </w:p>
        </w:tc>
        <w:tc>
          <w:tcPr>
            <w:tcW w:w="190" w:type="dxa"/>
          </w:tcPr>
          <w:p w14:paraId="2666F80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57454C4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4.333 </w:t>
            </w:r>
          </w:p>
        </w:tc>
        <w:tc>
          <w:tcPr>
            <w:tcW w:w="178" w:type="dxa"/>
          </w:tcPr>
          <w:p w14:paraId="188C1AA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51E86B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6.333 </w:t>
            </w:r>
          </w:p>
        </w:tc>
        <w:tc>
          <w:tcPr>
            <w:tcW w:w="168" w:type="dxa"/>
          </w:tcPr>
          <w:p w14:paraId="5C79118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2BA2AE9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8.333 </w:t>
            </w:r>
          </w:p>
        </w:tc>
      </w:tr>
      <w:tr w:rsidR="001E3466" w:rsidRPr="004E7E5A" w14:paraId="0507A7F1" w14:textId="77777777" w:rsidTr="00116073">
        <w:trPr>
          <w:jc w:val="center"/>
        </w:trPr>
        <w:tc>
          <w:tcPr>
            <w:tcW w:w="2243" w:type="dxa"/>
          </w:tcPr>
          <w:p w14:paraId="7D9650A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194" w:type="dxa"/>
          </w:tcPr>
          <w:p w14:paraId="0AA1AB3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7732BA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4.307 </w:t>
            </w:r>
          </w:p>
        </w:tc>
        <w:tc>
          <w:tcPr>
            <w:tcW w:w="184" w:type="dxa"/>
          </w:tcPr>
          <w:p w14:paraId="7031045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380A1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1.609 </w:t>
            </w:r>
          </w:p>
        </w:tc>
        <w:tc>
          <w:tcPr>
            <w:tcW w:w="190" w:type="dxa"/>
          </w:tcPr>
          <w:p w14:paraId="18BF826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5F9EB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3.000 </w:t>
            </w:r>
          </w:p>
        </w:tc>
        <w:tc>
          <w:tcPr>
            <w:tcW w:w="178" w:type="dxa"/>
          </w:tcPr>
          <w:p w14:paraId="5FC1F30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2E9611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4.333 </w:t>
            </w:r>
          </w:p>
        </w:tc>
        <w:tc>
          <w:tcPr>
            <w:tcW w:w="168" w:type="dxa"/>
          </w:tcPr>
          <w:p w14:paraId="4E2BB07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7D1E0D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5.667 </w:t>
            </w:r>
          </w:p>
        </w:tc>
      </w:tr>
      <w:tr w:rsidR="001E3466" w:rsidRPr="004E7E5A" w14:paraId="77A507BD" w14:textId="77777777" w:rsidTr="00116073">
        <w:trPr>
          <w:jc w:val="center"/>
        </w:trPr>
        <w:tc>
          <w:tcPr>
            <w:tcW w:w="2243" w:type="dxa"/>
          </w:tcPr>
          <w:p w14:paraId="11C2806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194" w:type="dxa"/>
          </w:tcPr>
          <w:p w14:paraId="6DC3A2B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546170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4.271 </w:t>
            </w:r>
          </w:p>
        </w:tc>
        <w:tc>
          <w:tcPr>
            <w:tcW w:w="184" w:type="dxa"/>
          </w:tcPr>
          <w:p w14:paraId="6CEE4B9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CD60C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1.581 </w:t>
            </w:r>
          </w:p>
        </w:tc>
        <w:tc>
          <w:tcPr>
            <w:tcW w:w="190" w:type="dxa"/>
          </w:tcPr>
          <w:p w14:paraId="0AB17E1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563F6D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3.000 </w:t>
            </w:r>
          </w:p>
        </w:tc>
        <w:tc>
          <w:tcPr>
            <w:tcW w:w="178" w:type="dxa"/>
          </w:tcPr>
          <w:p w14:paraId="5A655BA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7D7AA06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4.333 </w:t>
            </w:r>
          </w:p>
        </w:tc>
        <w:tc>
          <w:tcPr>
            <w:tcW w:w="168" w:type="dxa"/>
          </w:tcPr>
          <w:p w14:paraId="6468CE8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23C92B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5.667 </w:t>
            </w:r>
          </w:p>
        </w:tc>
      </w:tr>
      <w:tr w:rsidR="001E3466" w:rsidRPr="004E7E5A" w14:paraId="2A7E5577" w14:textId="77777777" w:rsidTr="00116073">
        <w:trPr>
          <w:jc w:val="center"/>
        </w:trPr>
        <w:tc>
          <w:tcPr>
            <w:tcW w:w="2243" w:type="dxa"/>
          </w:tcPr>
          <w:p w14:paraId="1126D5E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Inddirector</w:t>
            </w:r>
            <w:proofErr w:type="spellEnd"/>
          </w:p>
        </w:tc>
        <w:tc>
          <w:tcPr>
            <w:tcW w:w="194" w:type="dxa"/>
          </w:tcPr>
          <w:p w14:paraId="19E986B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EE2EFD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0.375 </w:t>
            </w:r>
          </w:p>
        </w:tc>
        <w:tc>
          <w:tcPr>
            <w:tcW w:w="184" w:type="dxa"/>
          </w:tcPr>
          <w:p w14:paraId="53186D5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B267E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0.055 </w:t>
            </w:r>
          </w:p>
        </w:tc>
        <w:tc>
          <w:tcPr>
            <w:tcW w:w="190" w:type="dxa"/>
          </w:tcPr>
          <w:p w14:paraId="3EC4C9E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E81F57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0.333 </w:t>
            </w:r>
          </w:p>
        </w:tc>
        <w:tc>
          <w:tcPr>
            <w:tcW w:w="178" w:type="dxa"/>
          </w:tcPr>
          <w:p w14:paraId="7AB199B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0A62B4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0.364 </w:t>
            </w:r>
          </w:p>
        </w:tc>
        <w:tc>
          <w:tcPr>
            <w:tcW w:w="168" w:type="dxa"/>
          </w:tcPr>
          <w:p w14:paraId="07B96D4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6FA1BA8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0.400 </w:t>
            </w:r>
          </w:p>
        </w:tc>
      </w:tr>
      <w:tr w:rsidR="001E3466" w:rsidRPr="004E7E5A" w14:paraId="6E599DB3" w14:textId="77777777" w:rsidTr="00116073">
        <w:trPr>
          <w:jc w:val="center"/>
        </w:trPr>
        <w:tc>
          <w:tcPr>
            <w:tcW w:w="2243" w:type="dxa"/>
          </w:tcPr>
          <w:p w14:paraId="4BA1908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Board size</w:t>
            </w:r>
          </w:p>
        </w:tc>
        <w:tc>
          <w:tcPr>
            <w:tcW w:w="194" w:type="dxa"/>
          </w:tcPr>
          <w:p w14:paraId="1032137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C2070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9.148 </w:t>
            </w:r>
          </w:p>
        </w:tc>
        <w:tc>
          <w:tcPr>
            <w:tcW w:w="184" w:type="dxa"/>
          </w:tcPr>
          <w:p w14:paraId="3382FD2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433737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1.891 </w:t>
            </w:r>
          </w:p>
        </w:tc>
        <w:tc>
          <w:tcPr>
            <w:tcW w:w="190" w:type="dxa"/>
          </w:tcPr>
          <w:p w14:paraId="3862DED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440C0E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8.000 </w:t>
            </w:r>
          </w:p>
        </w:tc>
        <w:tc>
          <w:tcPr>
            <w:tcW w:w="178" w:type="dxa"/>
          </w:tcPr>
          <w:p w14:paraId="1D9D3AD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33E6A14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9.000 </w:t>
            </w:r>
          </w:p>
        </w:tc>
        <w:tc>
          <w:tcPr>
            <w:tcW w:w="168" w:type="dxa"/>
          </w:tcPr>
          <w:p w14:paraId="31C5AE2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07B60E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10.000 </w:t>
            </w:r>
          </w:p>
        </w:tc>
      </w:tr>
      <w:tr w:rsidR="001E3466" w:rsidRPr="004E7E5A" w14:paraId="0B8805F2" w14:textId="77777777" w:rsidTr="00116073">
        <w:trPr>
          <w:jc w:val="center"/>
        </w:trPr>
        <w:tc>
          <w:tcPr>
            <w:tcW w:w="2243" w:type="dxa"/>
          </w:tcPr>
          <w:p w14:paraId="7F03D1B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Female</w:t>
            </w:r>
          </w:p>
        </w:tc>
        <w:tc>
          <w:tcPr>
            <w:tcW w:w="194" w:type="dxa"/>
          </w:tcPr>
          <w:p w14:paraId="5092274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1F9FD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0.119 </w:t>
            </w:r>
          </w:p>
        </w:tc>
        <w:tc>
          <w:tcPr>
            <w:tcW w:w="184" w:type="dxa"/>
          </w:tcPr>
          <w:p w14:paraId="3E7D0E2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5E93CA4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0.113 </w:t>
            </w:r>
          </w:p>
        </w:tc>
        <w:tc>
          <w:tcPr>
            <w:tcW w:w="190" w:type="dxa"/>
          </w:tcPr>
          <w:p w14:paraId="66C4BC4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4787E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0.000 </w:t>
            </w:r>
          </w:p>
        </w:tc>
        <w:tc>
          <w:tcPr>
            <w:tcW w:w="178" w:type="dxa"/>
          </w:tcPr>
          <w:p w14:paraId="3D9FE51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3A23CE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0.100 </w:t>
            </w:r>
          </w:p>
        </w:tc>
        <w:tc>
          <w:tcPr>
            <w:tcW w:w="168" w:type="dxa"/>
          </w:tcPr>
          <w:p w14:paraId="0AC5A5A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5B70A5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0.182 </w:t>
            </w:r>
          </w:p>
        </w:tc>
      </w:tr>
      <w:tr w:rsidR="001E3466" w:rsidRPr="004E7E5A" w14:paraId="6EA0C401" w14:textId="77777777" w:rsidTr="00116073">
        <w:trPr>
          <w:jc w:val="center"/>
        </w:trPr>
        <w:tc>
          <w:tcPr>
            <w:tcW w:w="2243" w:type="dxa"/>
          </w:tcPr>
          <w:p w14:paraId="7C58CE3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Director age</w:t>
            </w:r>
          </w:p>
        </w:tc>
        <w:tc>
          <w:tcPr>
            <w:tcW w:w="194" w:type="dxa"/>
          </w:tcPr>
          <w:p w14:paraId="75ECABE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38BFA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52.070 </w:t>
            </w:r>
          </w:p>
        </w:tc>
        <w:tc>
          <w:tcPr>
            <w:tcW w:w="184" w:type="dxa"/>
          </w:tcPr>
          <w:p w14:paraId="7C23B57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0F4A2F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3.427 </w:t>
            </w:r>
          </w:p>
        </w:tc>
        <w:tc>
          <w:tcPr>
            <w:tcW w:w="190" w:type="dxa"/>
          </w:tcPr>
          <w:p w14:paraId="441DB65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42E8760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49.750 </w:t>
            </w:r>
          </w:p>
        </w:tc>
        <w:tc>
          <w:tcPr>
            <w:tcW w:w="178" w:type="dxa"/>
          </w:tcPr>
          <w:p w14:paraId="6B03E03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0EBDDF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51.930 </w:t>
            </w:r>
          </w:p>
        </w:tc>
        <w:tc>
          <w:tcPr>
            <w:tcW w:w="168" w:type="dxa"/>
          </w:tcPr>
          <w:p w14:paraId="252392D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60C487F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54.360 </w:t>
            </w:r>
          </w:p>
        </w:tc>
      </w:tr>
      <w:tr w:rsidR="001E3466" w:rsidRPr="004E7E5A" w14:paraId="4DFA8C9F" w14:textId="77777777" w:rsidTr="00116073">
        <w:trPr>
          <w:jc w:val="center"/>
        </w:trPr>
        <w:tc>
          <w:tcPr>
            <w:tcW w:w="2243" w:type="dxa"/>
          </w:tcPr>
          <w:p w14:paraId="288C39D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Location</w:t>
            </w:r>
          </w:p>
        </w:tc>
        <w:tc>
          <w:tcPr>
            <w:tcW w:w="194" w:type="dxa"/>
          </w:tcPr>
          <w:p w14:paraId="2693170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73E6B33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1.509 </w:t>
            </w:r>
          </w:p>
        </w:tc>
        <w:tc>
          <w:tcPr>
            <w:tcW w:w="184" w:type="dxa"/>
          </w:tcPr>
          <w:p w14:paraId="7477339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C0392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0.500 </w:t>
            </w:r>
          </w:p>
        </w:tc>
        <w:tc>
          <w:tcPr>
            <w:tcW w:w="190" w:type="dxa"/>
          </w:tcPr>
          <w:p w14:paraId="5010A1D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91C7C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1.000 </w:t>
            </w:r>
          </w:p>
        </w:tc>
        <w:tc>
          <w:tcPr>
            <w:tcW w:w="178" w:type="dxa"/>
          </w:tcPr>
          <w:p w14:paraId="44E0654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6F9B4D6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2.000 </w:t>
            </w:r>
          </w:p>
        </w:tc>
        <w:tc>
          <w:tcPr>
            <w:tcW w:w="168" w:type="dxa"/>
          </w:tcPr>
          <w:p w14:paraId="33F47F9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45CFBF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2.000 </w:t>
            </w:r>
          </w:p>
        </w:tc>
      </w:tr>
      <w:tr w:rsidR="001E3466" w:rsidRPr="004E7E5A" w14:paraId="1C09D7E3" w14:textId="77777777" w:rsidTr="00116073">
        <w:trPr>
          <w:jc w:val="center"/>
        </w:trPr>
        <w:tc>
          <w:tcPr>
            <w:tcW w:w="2243" w:type="dxa"/>
          </w:tcPr>
          <w:p w14:paraId="1FF191F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Duality</w:t>
            </w:r>
          </w:p>
        </w:tc>
        <w:tc>
          <w:tcPr>
            <w:tcW w:w="194" w:type="dxa"/>
          </w:tcPr>
          <w:p w14:paraId="117A9C2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7C49C8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0.185 </w:t>
            </w:r>
          </w:p>
        </w:tc>
        <w:tc>
          <w:tcPr>
            <w:tcW w:w="184" w:type="dxa"/>
          </w:tcPr>
          <w:p w14:paraId="3CB6525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3980D4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0.388 </w:t>
            </w:r>
          </w:p>
        </w:tc>
        <w:tc>
          <w:tcPr>
            <w:tcW w:w="190" w:type="dxa"/>
          </w:tcPr>
          <w:p w14:paraId="1E6EB61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84CA9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0.000 </w:t>
            </w:r>
          </w:p>
        </w:tc>
        <w:tc>
          <w:tcPr>
            <w:tcW w:w="178" w:type="dxa"/>
          </w:tcPr>
          <w:p w14:paraId="5012A46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763AC7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0.000 </w:t>
            </w:r>
          </w:p>
        </w:tc>
        <w:tc>
          <w:tcPr>
            <w:tcW w:w="168" w:type="dxa"/>
          </w:tcPr>
          <w:p w14:paraId="48096A1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2C38D9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0.000 </w:t>
            </w:r>
          </w:p>
        </w:tc>
      </w:tr>
      <w:tr w:rsidR="001E3466" w:rsidRPr="004E7E5A" w14:paraId="78570781" w14:textId="77777777" w:rsidTr="00116073">
        <w:trPr>
          <w:jc w:val="center"/>
        </w:trPr>
        <w:tc>
          <w:tcPr>
            <w:tcW w:w="2243" w:type="dxa"/>
          </w:tcPr>
          <w:p w14:paraId="40ABDD9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Compensation</w:t>
            </w:r>
          </w:p>
        </w:tc>
        <w:tc>
          <w:tcPr>
            <w:tcW w:w="194" w:type="dxa"/>
          </w:tcPr>
          <w:p w14:paraId="1C6066D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3956D5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14.300 </w:t>
            </w:r>
          </w:p>
        </w:tc>
        <w:tc>
          <w:tcPr>
            <w:tcW w:w="184" w:type="dxa"/>
          </w:tcPr>
          <w:p w14:paraId="534C1F1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A51F2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0.815 </w:t>
            </w:r>
          </w:p>
        </w:tc>
        <w:tc>
          <w:tcPr>
            <w:tcW w:w="190" w:type="dxa"/>
          </w:tcPr>
          <w:p w14:paraId="24DE56D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0B607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13.780 </w:t>
            </w:r>
          </w:p>
        </w:tc>
        <w:tc>
          <w:tcPr>
            <w:tcW w:w="178" w:type="dxa"/>
          </w:tcPr>
          <w:p w14:paraId="6252C54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1C663D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14.300 </w:t>
            </w:r>
          </w:p>
        </w:tc>
        <w:tc>
          <w:tcPr>
            <w:tcW w:w="168" w:type="dxa"/>
          </w:tcPr>
          <w:p w14:paraId="1949E35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42A2BD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14.800 </w:t>
            </w:r>
          </w:p>
        </w:tc>
      </w:tr>
      <w:tr w:rsidR="001E3466" w:rsidRPr="004E7E5A" w14:paraId="0A3EE55D" w14:textId="77777777" w:rsidTr="00116073">
        <w:trPr>
          <w:jc w:val="center"/>
        </w:trPr>
        <w:tc>
          <w:tcPr>
            <w:tcW w:w="2243" w:type="dxa"/>
          </w:tcPr>
          <w:p w14:paraId="3DC7D10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Dirshare</w:t>
            </w:r>
            <w:proofErr w:type="spellEnd"/>
          </w:p>
        </w:tc>
        <w:tc>
          <w:tcPr>
            <w:tcW w:w="194" w:type="dxa"/>
          </w:tcPr>
          <w:p w14:paraId="35A9F7F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549BA2F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0.059 </w:t>
            </w:r>
          </w:p>
        </w:tc>
        <w:tc>
          <w:tcPr>
            <w:tcW w:w="184" w:type="dxa"/>
          </w:tcPr>
          <w:p w14:paraId="71C6BEF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70989A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0.137 </w:t>
            </w:r>
          </w:p>
        </w:tc>
        <w:tc>
          <w:tcPr>
            <w:tcW w:w="190" w:type="dxa"/>
          </w:tcPr>
          <w:p w14:paraId="2978074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7CBC60B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0.000 </w:t>
            </w:r>
          </w:p>
        </w:tc>
        <w:tc>
          <w:tcPr>
            <w:tcW w:w="178" w:type="dxa"/>
          </w:tcPr>
          <w:p w14:paraId="61D8686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462B5DA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0.000 </w:t>
            </w:r>
          </w:p>
        </w:tc>
        <w:tc>
          <w:tcPr>
            <w:tcW w:w="168" w:type="dxa"/>
          </w:tcPr>
          <w:p w14:paraId="08B424F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01FAB6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0.010 </w:t>
            </w:r>
          </w:p>
        </w:tc>
      </w:tr>
      <w:tr w:rsidR="001E3466" w:rsidRPr="004E7E5A" w14:paraId="66CB24C8" w14:textId="77777777" w:rsidTr="00116073">
        <w:trPr>
          <w:jc w:val="center"/>
        </w:trPr>
        <w:tc>
          <w:tcPr>
            <w:tcW w:w="2243" w:type="dxa"/>
          </w:tcPr>
          <w:p w14:paraId="29F1E47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Firm size</w:t>
            </w:r>
          </w:p>
        </w:tc>
        <w:tc>
          <w:tcPr>
            <w:tcW w:w="194" w:type="dxa"/>
          </w:tcPr>
          <w:p w14:paraId="3FD5DB1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A4221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23.050 </w:t>
            </w:r>
          </w:p>
        </w:tc>
        <w:tc>
          <w:tcPr>
            <w:tcW w:w="184" w:type="dxa"/>
          </w:tcPr>
          <w:p w14:paraId="25FFEFE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6A4277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1.366 </w:t>
            </w:r>
          </w:p>
        </w:tc>
        <w:tc>
          <w:tcPr>
            <w:tcW w:w="190" w:type="dxa"/>
          </w:tcPr>
          <w:p w14:paraId="428C092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1480B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22.030 </w:t>
            </w:r>
          </w:p>
        </w:tc>
        <w:tc>
          <w:tcPr>
            <w:tcW w:w="178" w:type="dxa"/>
          </w:tcPr>
          <w:p w14:paraId="13DE36B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4EE6D2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22.930 </w:t>
            </w:r>
          </w:p>
        </w:tc>
        <w:tc>
          <w:tcPr>
            <w:tcW w:w="168" w:type="dxa"/>
          </w:tcPr>
          <w:p w14:paraId="081894F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32183C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23.920 </w:t>
            </w:r>
          </w:p>
        </w:tc>
      </w:tr>
      <w:tr w:rsidR="001E3466" w:rsidRPr="004E7E5A" w14:paraId="2753F67E" w14:textId="77777777" w:rsidTr="00116073">
        <w:trPr>
          <w:jc w:val="center"/>
        </w:trPr>
        <w:tc>
          <w:tcPr>
            <w:tcW w:w="2243" w:type="dxa"/>
          </w:tcPr>
          <w:p w14:paraId="1A4EF0D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Roa</w:t>
            </w:r>
            <w:proofErr w:type="spellEnd"/>
          </w:p>
        </w:tc>
        <w:tc>
          <w:tcPr>
            <w:tcW w:w="194" w:type="dxa"/>
          </w:tcPr>
          <w:p w14:paraId="617A15F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3A95E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0.042 </w:t>
            </w:r>
          </w:p>
        </w:tc>
        <w:tc>
          <w:tcPr>
            <w:tcW w:w="184" w:type="dxa"/>
          </w:tcPr>
          <w:p w14:paraId="339B301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38FAE4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0.050 </w:t>
            </w:r>
          </w:p>
        </w:tc>
        <w:tc>
          <w:tcPr>
            <w:tcW w:w="190" w:type="dxa"/>
          </w:tcPr>
          <w:p w14:paraId="1A1EADA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25F94F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0.015 </w:t>
            </w:r>
          </w:p>
        </w:tc>
        <w:tc>
          <w:tcPr>
            <w:tcW w:w="178" w:type="dxa"/>
          </w:tcPr>
          <w:p w14:paraId="687D7E3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315FC26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0.036 </w:t>
            </w:r>
          </w:p>
        </w:tc>
        <w:tc>
          <w:tcPr>
            <w:tcW w:w="168" w:type="dxa"/>
          </w:tcPr>
          <w:p w14:paraId="41B1824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51E05C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0.066 </w:t>
            </w:r>
          </w:p>
        </w:tc>
      </w:tr>
      <w:tr w:rsidR="001E3466" w:rsidRPr="004E7E5A" w14:paraId="178E8EAC" w14:textId="77777777" w:rsidTr="00116073">
        <w:trPr>
          <w:jc w:val="center"/>
        </w:trPr>
        <w:tc>
          <w:tcPr>
            <w:tcW w:w="2243" w:type="dxa"/>
          </w:tcPr>
          <w:p w14:paraId="5B23FC1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Lev</w:t>
            </w:r>
          </w:p>
        </w:tc>
        <w:tc>
          <w:tcPr>
            <w:tcW w:w="194" w:type="dxa"/>
          </w:tcPr>
          <w:p w14:paraId="0E8AE0A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0D9993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0.484 </w:t>
            </w:r>
          </w:p>
        </w:tc>
        <w:tc>
          <w:tcPr>
            <w:tcW w:w="184" w:type="dxa"/>
          </w:tcPr>
          <w:p w14:paraId="36D7F3C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5AFEB7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0.201 </w:t>
            </w:r>
          </w:p>
        </w:tc>
        <w:tc>
          <w:tcPr>
            <w:tcW w:w="190" w:type="dxa"/>
          </w:tcPr>
          <w:p w14:paraId="18EA09A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58227E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0.331 </w:t>
            </w:r>
          </w:p>
        </w:tc>
        <w:tc>
          <w:tcPr>
            <w:tcW w:w="178" w:type="dxa"/>
          </w:tcPr>
          <w:p w14:paraId="4D42DFD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19929A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0.497 </w:t>
            </w:r>
          </w:p>
        </w:tc>
        <w:tc>
          <w:tcPr>
            <w:tcW w:w="168" w:type="dxa"/>
          </w:tcPr>
          <w:p w14:paraId="284B127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6310D37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0.640 </w:t>
            </w:r>
          </w:p>
        </w:tc>
      </w:tr>
      <w:tr w:rsidR="001E3466" w:rsidRPr="004E7E5A" w14:paraId="5AF245F2" w14:textId="77777777" w:rsidTr="00116073">
        <w:trPr>
          <w:jc w:val="center"/>
        </w:trPr>
        <w:tc>
          <w:tcPr>
            <w:tcW w:w="2243" w:type="dxa"/>
          </w:tcPr>
          <w:p w14:paraId="530426A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Correlation</w:t>
            </w:r>
          </w:p>
        </w:tc>
        <w:tc>
          <w:tcPr>
            <w:tcW w:w="194" w:type="dxa"/>
          </w:tcPr>
          <w:p w14:paraId="614C1AD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3FAF07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2.377 </w:t>
            </w:r>
          </w:p>
        </w:tc>
        <w:tc>
          <w:tcPr>
            <w:tcW w:w="184" w:type="dxa"/>
          </w:tcPr>
          <w:p w14:paraId="38CEA8D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B30395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0.537 </w:t>
            </w:r>
          </w:p>
        </w:tc>
        <w:tc>
          <w:tcPr>
            <w:tcW w:w="190" w:type="dxa"/>
          </w:tcPr>
          <w:p w14:paraId="3414946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48DE6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2.000 </w:t>
            </w:r>
          </w:p>
        </w:tc>
        <w:tc>
          <w:tcPr>
            <w:tcW w:w="178" w:type="dxa"/>
          </w:tcPr>
          <w:p w14:paraId="22C2F22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2BD0C4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2.000 </w:t>
            </w:r>
          </w:p>
        </w:tc>
        <w:tc>
          <w:tcPr>
            <w:tcW w:w="168" w:type="dxa"/>
          </w:tcPr>
          <w:p w14:paraId="0319840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04EB88F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3.000 </w:t>
            </w:r>
          </w:p>
        </w:tc>
      </w:tr>
      <w:tr w:rsidR="001E3466" w:rsidRPr="004E7E5A" w14:paraId="4EAB4F43" w14:textId="77777777" w:rsidTr="00116073">
        <w:trPr>
          <w:jc w:val="center"/>
        </w:trPr>
        <w:tc>
          <w:tcPr>
            <w:tcW w:w="2243" w:type="dxa"/>
          </w:tcPr>
          <w:p w14:paraId="1B723A0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Fixasset</w:t>
            </w:r>
            <w:proofErr w:type="spellEnd"/>
          </w:p>
        </w:tc>
        <w:tc>
          <w:tcPr>
            <w:tcW w:w="194" w:type="dxa"/>
          </w:tcPr>
          <w:p w14:paraId="082A244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53BD53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0.238 </w:t>
            </w:r>
          </w:p>
        </w:tc>
        <w:tc>
          <w:tcPr>
            <w:tcW w:w="184" w:type="dxa"/>
          </w:tcPr>
          <w:p w14:paraId="21414A4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60CA70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0.183 </w:t>
            </w:r>
          </w:p>
        </w:tc>
        <w:tc>
          <w:tcPr>
            <w:tcW w:w="190" w:type="dxa"/>
          </w:tcPr>
          <w:p w14:paraId="515D576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04EFCF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0.090 </w:t>
            </w:r>
          </w:p>
        </w:tc>
        <w:tc>
          <w:tcPr>
            <w:tcW w:w="178" w:type="dxa"/>
          </w:tcPr>
          <w:p w14:paraId="7EF0D3F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780011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0.195 </w:t>
            </w:r>
          </w:p>
        </w:tc>
        <w:tc>
          <w:tcPr>
            <w:tcW w:w="168" w:type="dxa"/>
          </w:tcPr>
          <w:p w14:paraId="35B40D1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576812E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0.348 </w:t>
            </w:r>
          </w:p>
        </w:tc>
      </w:tr>
      <w:tr w:rsidR="001E3466" w:rsidRPr="004E7E5A" w14:paraId="601F6426" w14:textId="77777777" w:rsidTr="00116073">
        <w:trPr>
          <w:jc w:val="center"/>
        </w:trPr>
        <w:tc>
          <w:tcPr>
            <w:tcW w:w="2243" w:type="dxa"/>
          </w:tcPr>
          <w:p w14:paraId="1D0CA18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Share</w:t>
            </w:r>
          </w:p>
        </w:tc>
        <w:tc>
          <w:tcPr>
            <w:tcW w:w="194" w:type="dxa"/>
          </w:tcPr>
          <w:p w14:paraId="089D3F8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139B4A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58.720 </w:t>
            </w:r>
          </w:p>
        </w:tc>
        <w:tc>
          <w:tcPr>
            <w:tcW w:w="184" w:type="dxa"/>
          </w:tcPr>
          <w:p w14:paraId="47955B7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47E3562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16.070 </w:t>
            </w:r>
          </w:p>
        </w:tc>
        <w:tc>
          <w:tcPr>
            <w:tcW w:w="190" w:type="dxa"/>
          </w:tcPr>
          <w:p w14:paraId="776DC3A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Pr>
          <w:p w14:paraId="48F8C1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47.360 </w:t>
            </w:r>
          </w:p>
        </w:tc>
        <w:tc>
          <w:tcPr>
            <w:tcW w:w="178" w:type="dxa"/>
          </w:tcPr>
          <w:p w14:paraId="0A12FDA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Pr>
          <w:p w14:paraId="1599685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58.870 </w:t>
            </w:r>
          </w:p>
        </w:tc>
        <w:tc>
          <w:tcPr>
            <w:tcW w:w="168" w:type="dxa"/>
          </w:tcPr>
          <w:p w14:paraId="394419A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Pr>
          <w:p w14:paraId="049841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70.280 </w:t>
            </w:r>
          </w:p>
        </w:tc>
      </w:tr>
      <w:tr w:rsidR="001E3466" w:rsidRPr="004E7E5A" w14:paraId="1CF945D4" w14:textId="77777777" w:rsidTr="00116073">
        <w:trPr>
          <w:jc w:val="center"/>
        </w:trPr>
        <w:tc>
          <w:tcPr>
            <w:tcW w:w="2243" w:type="dxa"/>
            <w:tcBorders>
              <w:bottom w:val="nil"/>
            </w:tcBorders>
          </w:tcPr>
          <w:p w14:paraId="2F51FA3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Soe</w:t>
            </w:r>
            <w:proofErr w:type="spellEnd"/>
          </w:p>
        </w:tc>
        <w:tc>
          <w:tcPr>
            <w:tcW w:w="194" w:type="dxa"/>
            <w:tcBorders>
              <w:bottom w:val="nil"/>
            </w:tcBorders>
          </w:tcPr>
          <w:p w14:paraId="76FA00B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bottom w:val="nil"/>
            </w:tcBorders>
          </w:tcPr>
          <w:p w14:paraId="6FF9CD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0.586 </w:t>
            </w:r>
          </w:p>
        </w:tc>
        <w:tc>
          <w:tcPr>
            <w:tcW w:w="184" w:type="dxa"/>
            <w:tcBorders>
              <w:bottom w:val="nil"/>
            </w:tcBorders>
          </w:tcPr>
          <w:p w14:paraId="5D51B9C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bottom w:val="nil"/>
            </w:tcBorders>
          </w:tcPr>
          <w:p w14:paraId="2351EF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0.493 </w:t>
            </w:r>
          </w:p>
        </w:tc>
        <w:tc>
          <w:tcPr>
            <w:tcW w:w="190" w:type="dxa"/>
            <w:tcBorders>
              <w:bottom w:val="nil"/>
            </w:tcBorders>
          </w:tcPr>
          <w:p w14:paraId="195CD46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bottom w:val="nil"/>
            </w:tcBorders>
          </w:tcPr>
          <w:p w14:paraId="194DD0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0.000 </w:t>
            </w:r>
          </w:p>
        </w:tc>
        <w:tc>
          <w:tcPr>
            <w:tcW w:w="178" w:type="dxa"/>
            <w:tcBorders>
              <w:bottom w:val="nil"/>
            </w:tcBorders>
          </w:tcPr>
          <w:p w14:paraId="59348CD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bottom w:val="nil"/>
            </w:tcBorders>
          </w:tcPr>
          <w:p w14:paraId="500C24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1.000 </w:t>
            </w:r>
          </w:p>
        </w:tc>
        <w:tc>
          <w:tcPr>
            <w:tcW w:w="168" w:type="dxa"/>
            <w:tcBorders>
              <w:bottom w:val="nil"/>
            </w:tcBorders>
          </w:tcPr>
          <w:p w14:paraId="7CEC4FE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bottom w:val="nil"/>
            </w:tcBorders>
          </w:tcPr>
          <w:p w14:paraId="10C2D1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1.000 </w:t>
            </w:r>
          </w:p>
        </w:tc>
      </w:tr>
      <w:tr w:rsidR="001E3466" w:rsidRPr="004E7E5A" w14:paraId="2B3DCCE0" w14:textId="77777777" w:rsidTr="00116073">
        <w:trPr>
          <w:jc w:val="center"/>
        </w:trPr>
        <w:tc>
          <w:tcPr>
            <w:tcW w:w="2243" w:type="dxa"/>
            <w:tcBorders>
              <w:top w:val="nil"/>
              <w:bottom w:val="nil"/>
            </w:tcBorders>
          </w:tcPr>
          <w:p w14:paraId="21F8A13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Firm age</w:t>
            </w:r>
          </w:p>
        </w:tc>
        <w:tc>
          <w:tcPr>
            <w:tcW w:w="194" w:type="dxa"/>
            <w:tcBorders>
              <w:top w:val="nil"/>
              <w:bottom w:val="nil"/>
            </w:tcBorders>
          </w:tcPr>
          <w:p w14:paraId="5A4EAF7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tcPr>
          <w:p w14:paraId="17ADA6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12.100 </w:t>
            </w:r>
          </w:p>
        </w:tc>
        <w:tc>
          <w:tcPr>
            <w:tcW w:w="184" w:type="dxa"/>
            <w:tcBorders>
              <w:top w:val="nil"/>
              <w:bottom w:val="nil"/>
            </w:tcBorders>
          </w:tcPr>
          <w:p w14:paraId="7BCBAB5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tcPr>
          <w:p w14:paraId="4F78F0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6.176 </w:t>
            </w:r>
          </w:p>
        </w:tc>
        <w:tc>
          <w:tcPr>
            <w:tcW w:w="190" w:type="dxa"/>
            <w:tcBorders>
              <w:top w:val="nil"/>
              <w:bottom w:val="nil"/>
            </w:tcBorders>
          </w:tcPr>
          <w:p w14:paraId="6DB09FF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tcPr>
          <w:p w14:paraId="2BF6C6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7.000 </w:t>
            </w:r>
          </w:p>
        </w:tc>
        <w:tc>
          <w:tcPr>
            <w:tcW w:w="178" w:type="dxa"/>
            <w:tcBorders>
              <w:top w:val="nil"/>
              <w:bottom w:val="nil"/>
            </w:tcBorders>
          </w:tcPr>
          <w:p w14:paraId="352A778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tcPr>
          <w:p w14:paraId="3937DA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13.000 </w:t>
            </w:r>
          </w:p>
        </w:tc>
        <w:tc>
          <w:tcPr>
            <w:tcW w:w="168" w:type="dxa"/>
            <w:tcBorders>
              <w:top w:val="nil"/>
              <w:bottom w:val="nil"/>
            </w:tcBorders>
          </w:tcPr>
          <w:p w14:paraId="2EBF4DB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tcPr>
          <w:p w14:paraId="7C1420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17.000 </w:t>
            </w:r>
          </w:p>
        </w:tc>
      </w:tr>
      <w:tr w:rsidR="001E3466" w:rsidRPr="004E7E5A" w14:paraId="1AE8F9AF" w14:textId="77777777" w:rsidTr="00116073">
        <w:trPr>
          <w:jc w:val="center"/>
        </w:trPr>
        <w:tc>
          <w:tcPr>
            <w:tcW w:w="2243" w:type="dxa"/>
            <w:tcBorders>
              <w:top w:val="nil"/>
              <w:bottom w:val="nil"/>
            </w:tcBorders>
          </w:tcPr>
          <w:p w14:paraId="7CE97A5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Advertising</w:t>
            </w:r>
          </w:p>
        </w:tc>
        <w:tc>
          <w:tcPr>
            <w:tcW w:w="194" w:type="dxa"/>
            <w:tcBorders>
              <w:top w:val="nil"/>
              <w:bottom w:val="nil"/>
            </w:tcBorders>
          </w:tcPr>
          <w:p w14:paraId="2406B0E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2FBD2D0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0.016 </w:t>
            </w:r>
          </w:p>
        </w:tc>
        <w:tc>
          <w:tcPr>
            <w:tcW w:w="184" w:type="dxa"/>
            <w:tcBorders>
              <w:top w:val="nil"/>
              <w:bottom w:val="nil"/>
            </w:tcBorders>
          </w:tcPr>
          <w:p w14:paraId="0774B48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233EF3E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0.037 </w:t>
            </w:r>
          </w:p>
        </w:tc>
        <w:tc>
          <w:tcPr>
            <w:tcW w:w="190" w:type="dxa"/>
            <w:tcBorders>
              <w:top w:val="nil"/>
              <w:bottom w:val="nil"/>
            </w:tcBorders>
          </w:tcPr>
          <w:p w14:paraId="4120336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0B6180C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0.001 </w:t>
            </w:r>
          </w:p>
        </w:tc>
        <w:tc>
          <w:tcPr>
            <w:tcW w:w="178" w:type="dxa"/>
            <w:tcBorders>
              <w:top w:val="nil"/>
              <w:bottom w:val="nil"/>
            </w:tcBorders>
          </w:tcPr>
          <w:p w14:paraId="369694F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49DD511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0.003 </w:t>
            </w:r>
          </w:p>
        </w:tc>
        <w:tc>
          <w:tcPr>
            <w:tcW w:w="168" w:type="dxa"/>
            <w:tcBorders>
              <w:top w:val="nil"/>
              <w:bottom w:val="nil"/>
            </w:tcBorders>
          </w:tcPr>
          <w:p w14:paraId="4A7CFA9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37A6F3E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0.013 </w:t>
            </w:r>
          </w:p>
        </w:tc>
      </w:tr>
      <w:tr w:rsidR="001E3466" w:rsidRPr="004E7E5A" w14:paraId="1CFEDC67" w14:textId="77777777" w:rsidTr="00116073">
        <w:trPr>
          <w:jc w:val="center"/>
        </w:trPr>
        <w:tc>
          <w:tcPr>
            <w:tcW w:w="2243" w:type="dxa"/>
            <w:tcBorders>
              <w:top w:val="nil"/>
              <w:bottom w:val="nil"/>
            </w:tcBorders>
          </w:tcPr>
          <w:p w14:paraId="76BF6A9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Analyst</w:t>
            </w:r>
          </w:p>
        </w:tc>
        <w:tc>
          <w:tcPr>
            <w:tcW w:w="194" w:type="dxa"/>
            <w:tcBorders>
              <w:top w:val="nil"/>
              <w:bottom w:val="nil"/>
            </w:tcBorders>
          </w:tcPr>
          <w:p w14:paraId="28690FA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618A499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26.094 </w:t>
            </w:r>
          </w:p>
        </w:tc>
        <w:tc>
          <w:tcPr>
            <w:tcW w:w="184" w:type="dxa"/>
            <w:tcBorders>
              <w:top w:val="nil"/>
              <w:bottom w:val="nil"/>
            </w:tcBorders>
          </w:tcPr>
          <w:p w14:paraId="113704F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06C67E6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26.182 </w:t>
            </w:r>
          </w:p>
        </w:tc>
        <w:tc>
          <w:tcPr>
            <w:tcW w:w="190" w:type="dxa"/>
            <w:tcBorders>
              <w:top w:val="nil"/>
              <w:bottom w:val="nil"/>
            </w:tcBorders>
          </w:tcPr>
          <w:p w14:paraId="07EB126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602CBD1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6.000 </w:t>
            </w:r>
          </w:p>
        </w:tc>
        <w:tc>
          <w:tcPr>
            <w:tcW w:w="178" w:type="dxa"/>
            <w:tcBorders>
              <w:top w:val="nil"/>
              <w:bottom w:val="nil"/>
            </w:tcBorders>
          </w:tcPr>
          <w:p w14:paraId="2F603CB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1A05BB8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17.000 </w:t>
            </w:r>
          </w:p>
        </w:tc>
        <w:tc>
          <w:tcPr>
            <w:tcW w:w="168" w:type="dxa"/>
            <w:tcBorders>
              <w:top w:val="nil"/>
              <w:bottom w:val="nil"/>
            </w:tcBorders>
          </w:tcPr>
          <w:p w14:paraId="68F8FB3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32CA7BD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38.000 </w:t>
            </w:r>
          </w:p>
        </w:tc>
      </w:tr>
      <w:tr w:rsidR="001E3466" w:rsidRPr="004E7E5A" w14:paraId="3D10FD24" w14:textId="77777777" w:rsidTr="00116073">
        <w:trPr>
          <w:jc w:val="center"/>
        </w:trPr>
        <w:tc>
          <w:tcPr>
            <w:tcW w:w="2243" w:type="dxa"/>
            <w:tcBorders>
              <w:top w:val="nil"/>
              <w:bottom w:val="nil"/>
            </w:tcBorders>
          </w:tcPr>
          <w:p w14:paraId="785A0C58" w14:textId="7D52DADB" w:rsidR="00A53CFE" w:rsidRPr="004E7E5A" w:rsidRDefault="00E91567"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hint="eastAsia"/>
                <w:i/>
                <w:iCs/>
                <w:color w:val="000000" w:themeColor="text1"/>
                <w:kern w:val="0"/>
                <w:sz w:val="24"/>
                <w:szCs w:val="24"/>
              </w:rPr>
              <w:t>CSR</w:t>
            </w:r>
            <w:r w:rsidRPr="004E7E5A">
              <w:rPr>
                <w:rFonts w:ascii="Times New Roman" w:hAnsi="Times New Roman"/>
                <w:i/>
                <w:iCs/>
                <w:color w:val="000000" w:themeColor="text1"/>
                <w:kern w:val="0"/>
                <w:sz w:val="24"/>
                <w:szCs w:val="24"/>
              </w:rPr>
              <w:t xml:space="preserve"> assurance</w:t>
            </w:r>
          </w:p>
        </w:tc>
        <w:tc>
          <w:tcPr>
            <w:tcW w:w="194" w:type="dxa"/>
            <w:tcBorders>
              <w:top w:val="nil"/>
              <w:bottom w:val="nil"/>
            </w:tcBorders>
          </w:tcPr>
          <w:p w14:paraId="31987D4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420A3F64" w14:textId="35EAA444" w:rsidR="00A53CFE" w:rsidRPr="004E7E5A" w:rsidRDefault="00E91567"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0.020</w:t>
            </w:r>
          </w:p>
        </w:tc>
        <w:tc>
          <w:tcPr>
            <w:tcW w:w="184" w:type="dxa"/>
            <w:tcBorders>
              <w:top w:val="nil"/>
              <w:bottom w:val="nil"/>
            </w:tcBorders>
          </w:tcPr>
          <w:p w14:paraId="1E2EC72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039C001D" w14:textId="0D677D6E"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0.</w:t>
            </w:r>
            <w:r w:rsidR="00E91567" w:rsidRPr="004E7E5A">
              <w:rPr>
                <w:rFonts w:ascii="Times New Roman" w:hAnsi="Times New Roman"/>
                <w:color w:val="000000" w:themeColor="text1"/>
                <w:sz w:val="24"/>
                <w:szCs w:val="24"/>
              </w:rPr>
              <w:t>14</w:t>
            </w:r>
            <w:r w:rsidR="000F1340" w:rsidRPr="004E7E5A">
              <w:rPr>
                <w:rFonts w:ascii="Times New Roman" w:hAnsi="Times New Roman"/>
                <w:color w:val="000000" w:themeColor="text1"/>
                <w:sz w:val="24"/>
                <w:szCs w:val="24"/>
              </w:rPr>
              <w:t>2</w:t>
            </w:r>
            <w:r w:rsidRPr="004E7E5A">
              <w:rPr>
                <w:rFonts w:ascii="Times New Roman" w:hAnsi="Times New Roman"/>
                <w:color w:val="000000" w:themeColor="text1"/>
                <w:sz w:val="24"/>
                <w:szCs w:val="24"/>
              </w:rPr>
              <w:t xml:space="preserve"> </w:t>
            </w:r>
          </w:p>
        </w:tc>
        <w:tc>
          <w:tcPr>
            <w:tcW w:w="190" w:type="dxa"/>
            <w:tcBorders>
              <w:top w:val="nil"/>
              <w:bottom w:val="nil"/>
            </w:tcBorders>
          </w:tcPr>
          <w:p w14:paraId="12BD083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78F0075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0.000 </w:t>
            </w:r>
          </w:p>
        </w:tc>
        <w:tc>
          <w:tcPr>
            <w:tcW w:w="178" w:type="dxa"/>
            <w:tcBorders>
              <w:top w:val="nil"/>
              <w:bottom w:val="nil"/>
            </w:tcBorders>
          </w:tcPr>
          <w:p w14:paraId="2B5719C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4785D57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0.000 </w:t>
            </w:r>
          </w:p>
        </w:tc>
        <w:tc>
          <w:tcPr>
            <w:tcW w:w="168" w:type="dxa"/>
            <w:tcBorders>
              <w:top w:val="nil"/>
              <w:bottom w:val="nil"/>
            </w:tcBorders>
          </w:tcPr>
          <w:p w14:paraId="745B2A1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6869C75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0.000 </w:t>
            </w:r>
          </w:p>
        </w:tc>
      </w:tr>
      <w:tr w:rsidR="001E3466" w:rsidRPr="004E7E5A" w14:paraId="4AD360B0" w14:textId="77777777" w:rsidTr="00116073">
        <w:trPr>
          <w:jc w:val="center"/>
        </w:trPr>
        <w:tc>
          <w:tcPr>
            <w:tcW w:w="2243" w:type="dxa"/>
            <w:tcBorders>
              <w:top w:val="nil"/>
              <w:bottom w:val="nil"/>
            </w:tcBorders>
          </w:tcPr>
          <w:p w14:paraId="4FCC322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Punish</w:t>
            </w:r>
          </w:p>
        </w:tc>
        <w:tc>
          <w:tcPr>
            <w:tcW w:w="194" w:type="dxa"/>
            <w:tcBorders>
              <w:top w:val="nil"/>
              <w:bottom w:val="nil"/>
            </w:tcBorders>
          </w:tcPr>
          <w:p w14:paraId="67AE025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199C0E6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0.122 </w:t>
            </w:r>
          </w:p>
        </w:tc>
        <w:tc>
          <w:tcPr>
            <w:tcW w:w="184" w:type="dxa"/>
            <w:tcBorders>
              <w:top w:val="nil"/>
              <w:bottom w:val="nil"/>
            </w:tcBorders>
          </w:tcPr>
          <w:p w14:paraId="12E186F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7103B41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0.327 </w:t>
            </w:r>
          </w:p>
        </w:tc>
        <w:tc>
          <w:tcPr>
            <w:tcW w:w="190" w:type="dxa"/>
            <w:tcBorders>
              <w:top w:val="nil"/>
              <w:bottom w:val="nil"/>
            </w:tcBorders>
          </w:tcPr>
          <w:p w14:paraId="36214BB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3663B36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0.000 </w:t>
            </w:r>
          </w:p>
        </w:tc>
        <w:tc>
          <w:tcPr>
            <w:tcW w:w="178" w:type="dxa"/>
            <w:tcBorders>
              <w:top w:val="nil"/>
              <w:bottom w:val="nil"/>
            </w:tcBorders>
          </w:tcPr>
          <w:p w14:paraId="29E7630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2CCE8B6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0.000 </w:t>
            </w:r>
          </w:p>
        </w:tc>
        <w:tc>
          <w:tcPr>
            <w:tcW w:w="168" w:type="dxa"/>
            <w:tcBorders>
              <w:top w:val="nil"/>
              <w:bottom w:val="nil"/>
            </w:tcBorders>
          </w:tcPr>
          <w:p w14:paraId="0AC717C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12E7347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0.000 </w:t>
            </w:r>
          </w:p>
        </w:tc>
      </w:tr>
      <w:tr w:rsidR="001E3466" w:rsidRPr="004E7E5A" w14:paraId="1BD77D92" w14:textId="77777777" w:rsidTr="00116073">
        <w:trPr>
          <w:jc w:val="center"/>
        </w:trPr>
        <w:tc>
          <w:tcPr>
            <w:tcW w:w="2243" w:type="dxa"/>
            <w:tcBorders>
              <w:top w:val="nil"/>
              <w:bottom w:val="nil"/>
            </w:tcBorders>
          </w:tcPr>
          <w:p w14:paraId="2A311C0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FC index</w:t>
            </w:r>
          </w:p>
        </w:tc>
        <w:tc>
          <w:tcPr>
            <w:tcW w:w="194" w:type="dxa"/>
            <w:tcBorders>
              <w:top w:val="nil"/>
              <w:bottom w:val="nil"/>
            </w:tcBorders>
          </w:tcPr>
          <w:p w14:paraId="390CF51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41231DD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1.315 </w:t>
            </w:r>
          </w:p>
        </w:tc>
        <w:tc>
          <w:tcPr>
            <w:tcW w:w="184" w:type="dxa"/>
            <w:tcBorders>
              <w:top w:val="nil"/>
              <w:bottom w:val="nil"/>
            </w:tcBorders>
          </w:tcPr>
          <w:p w14:paraId="7B3C9A9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5F02A83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1.</w:t>
            </w:r>
            <w:r w:rsidRPr="004E7E5A">
              <w:rPr>
                <w:rFonts w:ascii="Times New Roman" w:hAnsi="Times New Roman"/>
                <w:color w:val="000000" w:themeColor="text1"/>
              </w:rPr>
              <w:t xml:space="preserve"> </w:t>
            </w:r>
            <w:r w:rsidRPr="004E7E5A">
              <w:rPr>
                <w:rFonts w:ascii="Times New Roman" w:hAnsi="Times New Roman"/>
                <w:color w:val="000000" w:themeColor="text1"/>
                <w:sz w:val="24"/>
                <w:szCs w:val="24"/>
              </w:rPr>
              <w:t xml:space="preserve">226 </w:t>
            </w:r>
          </w:p>
        </w:tc>
        <w:tc>
          <w:tcPr>
            <w:tcW w:w="190" w:type="dxa"/>
            <w:tcBorders>
              <w:top w:val="nil"/>
              <w:bottom w:val="nil"/>
            </w:tcBorders>
          </w:tcPr>
          <w:p w14:paraId="03FCCD8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1464A13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0.756 </w:t>
            </w:r>
          </w:p>
        </w:tc>
        <w:tc>
          <w:tcPr>
            <w:tcW w:w="178" w:type="dxa"/>
            <w:tcBorders>
              <w:top w:val="nil"/>
              <w:bottom w:val="nil"/>
            </w:tcBorders>
          </w:tcPr>
          <w:p w14:paraId="7388615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520A20B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1.461 </w:t>
            </w:r>
          </w:p>
        </w:tc>
        <w:tc>
          <w:tcPr>
            <w:tcW w:w="168" w:type="dxa"/>
            <w:tcBorders>
              <w:top w:val="nil"/>
              <w:bottom w:val="nil"/>
            </w:tcBorders>
          </w:tcPr>
          <w:p w14:paraId="6995E09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35D7334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2.062 </w:t>
            </w:r>
          </w:p>
        </w:tc>
      </w:tr>
      <w:tr w:rsidR="001E3466" w:rsidRPr="004E7E5A" w14:paraId="1B9C4556" w14:textId="77777777" w:rsidTr="00116073">
        <w:trPr>
          <w:jc w:val="center"/>
        </w:trPr>
        <w:tc>
          <w:tcPr>
            <w:tcW w:w="2243" w:type="dxa"/>
            <w:tcBorders>
              <w:top w:val="nil"/>
              <w:bottom w:val="nil"/>
            </w:tcBorders>
          </w:tcPr>
          <w:p w14:paraId="34F8FBC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Director convenience</w:t>
            </w:r>
          </w:p>
        </w:tc>
        <w:tc>
          <w:tcPr>
            <w:tcW w:w="194" w:type="dxa"/>
            <w:tcBorders>
              <w:top w:val="nil"/>
              <w:bottom w:val="nil"/>
            </w:tcBorders>
          </w:tcPr>
          <w:p w14:paraId="4EE0659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11A68A0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12.474</w:t>
            </w:r>
          </w:p>
        </w:tc>
        <w:tc>
          <w:tcPr>
            <w:tcW w:w="184" w:type="dxa"/>
            <w:tcBorders>
              <w:top w:val="nil"/>
              <w:bottom w:val="nil"/>
            </w:tcBorders>
          </w:tcPr>
          <w:p w14:paraId="3D0A1A8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47A809F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7.254</w:t>
            </w:r>
          </w:p>
        </w:tc>
        <w:tc>
          <w:tcPr>
            <w:tcW w:w="190" w:type="dxa"/>
            <w:tcBorders>
              <w:top w:val="nil"/>
              <w:bottom w:val="nil"/>
            </w:tcBorders>
          </w:tcPr>
          <w:p w14:paraId="1493955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7CD5C69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11.425</w:t>
            </w:r>
          </w:p>
        </w:tc>
        <w:tc>
          <w:tcPr>
            <w:tcW w:w="178" w:type="dxa"/>
            <w:tcBorders>
              <w:top w:val="nil"/>
              <w:bottom w:val="nil"/>
            </w:tcBorders>
          </w:tcPr>
          <w:p w14:paraId="30302C0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4314EF2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16.273</w:t>
            </w:r>
          </w:p>
        </w:tc>
        <w:tc>
          <w:tcPr>
            <w:tcW w:w="168" w:type="dxa"/>
            <w:tcBorders>
              <w:top w:val="nil"/>
              <w:bottom w:val="nil"/>
            </w:tcBorders>
          </w:tcPr>
          <w:p w14:paraId="1527FF1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3A70FCB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17.616</w:t>
            </w:r>
          </w:p>
        </w:tc>
      </w:tr>
      <w:tr w:rsidR="001E3466" w:rsidRPr="004E7E5A" w14:paraId="04D4314D" w14:textId="77777777" w:rsidTr="00116073">
        <w:trPr>
          <w:jc w:val="center"/>
        </w:trPr>
        <w:tc>
          <w:tcPr>
            <w:tcW w:w="2243" w:type="dxa"/>
            <w:tcBorders>
              <w:top w:val="nil"/>
              <w:bottom w:val="nil"/>
            </w:tcBorders>
          </w:tcPr>
          <w:p w14:paraId="551CBEF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Score_max_ind</w:t>
            </w:r>
            <w:proofErr w:type="spellEnd"/>
          </w:p>
        </w:tc>
        <w:tc>
          <w:tcPr>
            <w:tcW w:w="194" w:type="dxa"/>
            <w:tcBorders>
              <w:top w:val="nil"/>
              <w:bottom w:val="nil"/>
            </w:tcBorders>
          </w:tcPr>
          <w:p w14:paraId="4AD6276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14B34E7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5.822 </w:t>
            </w:r>
          </w:p>
        </w:tc>
        <w:tc>
          <w:tcPr>
            <w:tcW w:w="184" w:type="dxa"/>
            <w:tcBorders>
              <w:top w:val="nil"/>
              <w:bottom w:val="nil"/>
            </w:tcBorders>
          </w:tcPr>
          <w:p w14:paraId="3DD5610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3DF9104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2.670 </w:t>
            </w:r>
          </w:p>
        </w:tc>
        <w:tc>
          <w:tcPr>
            <w:tcW w:w="190" w:type="dxa"/>
            <w:tcBorders>
              <w:top w:val="nil"/>
              <w:bottom w:val="nil"/>
            </w:tcBorders>
          </w:tcPr>
          <w:p w14:paraId="16F35F5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119D991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3.667 </w:t>
            </w:r>
          </w:p>
        </w:tc>
        <w:tc>
          <w:tcPr>
            <w:tcW w:w="178" w:type="dxa"/>
            <w:tcBorders>
              <w:top w:val="nil"/>
              <w:bottom w:val="nil"/>
            </w:tcBorders>
          </w:tcPr>
          <w:p w14:paraId="66071DA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3A09C47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6.000 </w:t>
            </w:r>
          </w:p>
        </w:tc>
        <w:tc>
          <w:tcPr>
            <w:tcW w:w="168" w:type="dxa"/>
            <w:tcBorders>
              <w:top w:val="nil"/>
              <w:bottom w:val="nil"/>
            </w:tcBorders>
          </w:tcPr>
          <w:p w14:paraId="23C314E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0E05853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8.000 </w:t>
            </w:r>
          </w:p>
        </w:tc>
      </w:tr>
      <w:tr w:rsidR="001E3466" w:rsidRPr="004E7E5A" w14:paraId="36275011" w14:textId="77777777" w:rsidTr="00116073">
        <w:trPr>
          <w:jc w:val="center"/>
        </w:trPr>
        <w:tc>
          <w:tcPr>
            <w:tcW w:w="2243" w:type="dxa"/>
            <w:tcBorders>
              <w:top w:val="nil"/>
              <w:bottom w:val="nil"/>
            </w:tcBorders>
          </w:tcPr>
          <w:p w14:paraId="5B7411C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Score_mean_ind</w:t>
            </w:r>
            <w:proofErr w:type="spellEnd"/>
          </w:p>
        </w:tc>
        <w:tc>
          <w:tcPr>
            <w:tcW w:w="194" w:type="dxa"/>
            <w:tcBorders>
              <w:top w:val="nil"/>
              <w:bottom w:val="nil"/>
            </w:tcBorders>
          </w:tcPr>
          <w:p w14:paraId="0EDB62C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1169317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5.903 </w:t>
            </w:r>
          </w:p>
        </w:tc>
        <w:tc>
          <w:tcPr>
            <w:tcW w:w="184" w:type="dxa"/>
            <w:tcBorders>
              <w:top w:val="nil"/>
              <w:bottom w:val="nil"/>
            </w:tcBorders>
          </w:tcPr>
          <w:p w14:paraId="0B9AFBB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53B78DB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2.627 </w:t>
            </w:r>
          </w:p>
        </w:tc>
        <w:tc>
          <w:tcPr>
            <w:tcW w:w="190" w:type="dxa"/>
            <w:tcBorders>
              <w:top w:val="nil"/>
              <w:bottom w:val="nil"/>
            </w:tcBorders>
          </w:tcPr>
          <w:p w14:paraId="43C5B24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12560C9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3.667 </w:t>
            </w:r>
          </w:p>
        </w:tc>
        <w:tc>
          <w:tcPr>
            <w:tcW w:w="178" w:type="dxa"/>
            <w:tcBorders>
              <w:top w:val="nil"/>
              <w:bottom w:val="nil"/>
            </w:tcBorders>
          </w:tcPr>
          <w:p w14:paraId="0A2EB84F"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3D6156F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6.000 </w:t>
            </w:r>
          </w:p>
        </w:tc>
        <w:tc>
          <w:tcPr>
            <w:tcW w:w="168" w:type="dxa"/>
            <w:tcBorders>
              <w:top w:val="nil"/>
              <w:bottom w:val="nil"/>
            </w:tcBorders>
          </w:tcPr>
          <w:p w14:paraId="5A50FD6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7016CF9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8.333 </w:t>
            </w:r>
          </w:p>
        </w:tc>
      </w:tr>
      <w:tr w:rsidR="001E3466" w:rsidRPr="004E7E5A" w14:paraId="5A35937B" w14:textId="77777777" w:rsidTr="00116073">
        <w:trPr>
          <w:jc w:val="center"/>
        </w:trPr>
        <w:tc>
          <w:tcPr>
            <w:tcW w:w="2243" w:type="dxa"/>
            <w:tcBorders>
              <w:top w:val="nil"/>
              <w:bottom w:val="nil"/>
            </w:tcBorders>
          </w:tcPr>
          <w:p w14:paraId="1D375F3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Score_med_ind</w:t>
            </w:r>
            <w:proofErr w:type="spellEnd"/>
          </w:p>
        </w:tc>
        <w:tc>
          <w:tcPr>
            <w:tcW w:w="194" w:type="dxa"/>
            <w:tcBorders>
              <w:top w:val="nil"/>
              <w:bottom w:val="nil"/>
            </w:tcBorders>
          </w:tcPr>
          <w:p w14:paraId="704D707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65DF6B4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5.612 </w:t>
            </w:r>
          </w:p>
        </w:tc>
        <w:tc>
          <w:tcPr>
            <w:tcW w:w="184" w:type="dxa"/>
            <w:tcBorders>
              <w:top w:val="nil"/>
              <w:bottom w:val="nil"/>
            </w:tcBorders>
          </w:tcPr>
          <w:p w14:paraId="47226C1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0E9A63A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2.755 </w:t>
            </w:r>
          </w:p>
        </w:tc>
        <w:tc>
          <w:tcPr>
            <w:tcW w:w="190" w:type="dxa"/>
            <w:tcBorders>
              <w:top w:val="nil"/>
              <w:bottom w:val="nil"/>
            </w:tcBorders>
          </w:tcPr>
          <w:p w14:paraId="53EE1D0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70DCEFE2"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3.000 </w:t>
            </w:r>
          </w:p>
        </w:tc>
        <w:tc>
          <w:tcPr>
            <w:tcW w:w="178" w:type="dxa"/>
            <w:tcBorders>
              <w:top w:val="nil"/>
              <w:bottom w:val="nil"/>
            </w:tcBorders>
          </w:tcPr>
          <w:p w14:paraId="66EB967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76F8BD6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5.667 </w:t>
            </w:r>
          </w:p>
        </w:tc>
        <w:tc>
          <w:tcPr>
            <w:tcW w:w="168" w:type="dxa"/>
            <w:tcBorders>
              <w:top w:val="nil"/>
              <w:bottom w:val="nil"/>
            </w:tcBorders>
          </w:tcPr>
          <w:p w14:paraId="3F862421"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1824E36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8.000 </w:t>
            </w:r>
          </w:p>
        </w:tc>
      </w:tr>
      <w:tr w:rsidR="001E3466" w:rsidRPr="004E7E5A" w14:paraId="2642F282" w14:textId="77777777" w:rsidTr="00116073">
        <w:trPr>
          <w:jc w:val="center"/>
        </w:trPr>
        <w:tc>
          <w:tcPr>
            <w:tcW w:w="2243" w:type="dxa"/>
            <w:tcBorders>
              <w:top w:val="nil"/>
              <w:bottom w:val="nil"/>
            </w:tcBorders>
          </w:tcPr>
          <w:p w14:paraId="5467A91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Score_min_ind</w:t>
            </w:r>
            <w:proofErr w:type="spellEnd"/>
          </w:p>
        </w:tc>
        <w:tc>
          <w:tcPr>
            <w:tcW w:w="194" w:type="dxa"/>
            <w:tcBorders>
              <w:top w:val="nil"/>
              <w:bottom w:val="nil"/>
            </w:tcBorders>
          </w:tcPr>
          <w:p w14:paraId="27CE447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2F25B87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4.650 </w:t>
            </w:r>
          </w:p>
        </w:tc>
        <w:tc>
          <w:tcPr>
            <w:tcW w:w="184" w:type="dxa"/>
            <w:tcBorders>
              <w:top w:val="nil"/>
              <w:bottom w:val="nil"/>
            </w:tcBorders>
          </w:tcPr>
          <w:p w14:paraId="552367C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4A512B5D"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2.250 </w:t>
            </w:r>
          </w:p>
        </w:tc>
        <w:tc>
          <w:tcPr>
            <w:tcW w:w="190" w:type="dxa"/>
            <w:tcBorders>
              <w:top w:val="nil"/>
              <w:bottom w:val="nil"/>
            </w:tcBorders>
          </w:tcPr>
          <w:p w14:paraId="26F9621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48357F0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3.000 </w:t>
            </w:r>
          </w:p>
        </w:tc>
        <w:tc>
          <w:tcPr>
            <w:tcW w:w="178" w:type="dxa"/>
            <w:tcBorders>
              <w:top w:val="nil"/>
              <w:bottom w:val="nil"/>
            </w:tcBorders>
          </w:tcPr>
          <w:p w14:paraId="4757D603"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0FBA0516"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4.333 </w:t>
            </w:r>
          </w:p>
        </w:tc>
        <w:tc>
          <w:tcPr>
            <w:tcW w:w="168" w:type="dxa"/>
            <w:tcBorders>
              <w:top w:val="nil"/>
              <w:bottom w:val="nil"/>
            </w:tcBorders>
          </w:tcPr>
          <w:p w14:paraId="6E61E83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3D16944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5.667 </w:t>
            </w:r>
          </w:p>
        </w:tc>
      </w:tr>
      <w:tr w:rsidR="001E3466" w:rsidRPr="004E7E5A" w14:paraId="778DD8EB" w14:textId="77777777" w:rsidTr="00116073">
        <w:trPr>
          <w:jc w:val="center"/>
        </w:trPr>
        <w:tc>
          <w:tcPr>
            <w:tcW w:w="2243" w:type="dxa"/>
            <w:tcBorders>
              <w:top w:val="nil"/>
              <w:bottom w:val="nil"/>
            </w:tcBorders>
          </w:tcPr>
          <w:p w14:paraId="715E3E1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Political connections</w:t>
            </w:r>
          </w:p>
        </w:tc>
        <w:tc>
          <w:tcPr>
            <w:tcW w:w="194" w:type="dxa"/>
            <w:tcBorders>
              <w:top w:val="nil"/>
              <w:bottom w:val="nil"/>
            </w:tcBorders>
          </w:tcPr>
          <w:p w14:paraId="4780E28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367F3DB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0.742 </w:t>
            </w:r>
          </w:p>
        </w:tc>
        <w:tc>
          <w:tcPr>
            <w:tcW w:w="184" w:type="dxa"/>
            <w:tcBorders>
              <w:top w:val="nil"/>
              <w:bottom w:val="nil"/>
            </w:tcBorders>
          </w:tcPr>
          <w:p w14:paraId="4A6F8C2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34611CA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0.438 </w:t>
            </w:r>
          </w:p>
        </w:tc>
        <w:tc>
          <w:tcPr>
            <w:tcW w:w="190" w:type="dxa"/>
            <w:tcBorders>
              <w:top w:val="nil"/>
              <w:bottom w:val="nil"/>
            </w:tcBorders>
          </w:tcPr>
          <w:p w14:paraId="0C95BE2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nil"/>
            </w:tcBorders>
            <w:vAlign w:val="center"/>
          </w:tcPr>
          <w:p w14:paraId="67AD164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0.000 </w:t>
            </w:r>
          </w:p>
        </w:tc>
        <w:tc>
          <w:tcPr>
            <w:tcW w:w="178" w:type="dxa"/>
            <w:tcBorders>
              <w:top w:val="nil"/>
              <w:bottom w:val="nil"/>
            </w:tcBorders>
          </w:tcPr>
          <w:p w14:paraId="763C13B4"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nil"/>
            </w:tcBorders>
            <w:vAlign w:val="center"/>
          </w:tcPr>
          <w:p w14:paraId="79CCDAE5"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1.000 </w:t>
            </w:r>
          </w:p>
        </w:tc>
        <w:tc>
          <w:tcPr>
            <w:tcW w:w="168" w:type="dxa"/>
            <w:tcBorders>
              <w:top w:val="nil"/>
              <w:bottom w:val="nil"/>
            </w:tcBorders>
          </w:tcPr>
          <w:p w14:paraId="42F682C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nil"/>
            </w:tcBorders>
            <w:vAlign w:val="center"/>
          </w:tcPr>
          <w:p w14:paraId="06048C7A"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 xml:space="preserve">1.000 </w:t>
            </w:r>
          </w:p>
        </w:tc>
      </w:tr>
      <w:tr w:rsidR="001E3466" w:rsidRPr="004E7E5A" w14:paraId="7CE6A138" w14:textId="77777777" w:rsidTr="00116073">
        <w:trPr>
          <w:jc w:val="center"/>
        </w:trPr>
        <w:tc>
          <w:tcPr>
            <w:tcW w:w="2243" w:type="dxa"/>
            <w:tcBorders>
              <w:top w:val="nil"/>
              <w:bottom w:val="single" w:sz="4" w:space="0" w:color="auto"/>
            </w:tcBorders>
          </w:tcPr>
          <w:p w14:paraId="17C79CD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Overseas</w:t>
            </w:r>
          </w:p>
        </w:tc>
        <w:tc>
          <w:tcPr>
            <w:tcW w:w="194" w:type="dxa"/>
            <w:tcBorders>
              <w:top w:val="nil"/>
              <w:bottom w:val="single" w:sz="4" w:space="0" w:color="auto"/>
            </w:tcBorders>
          </w:tcPr>
          <w:p w14:paraId="5FD8CC7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single" w:sz="4" w:space="0" w:color="auto"/>
            </w:tcBorders>
            <w:vAlign w:val="center"/>
          </w:tcPr>
          <w:p w14:paraId="1B296580"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0.610</w:t>
            </w:r>
          </w:p>
        </w:tc>
        <w:tc>
          <w:tcPr>
            <w:tcW w:w="184" w:type="dxa"/>
            <w:tcBorders>
              <w:top w:val="nil"/>
              <w:bottom w:val="single" w:sz="4" w:space="0" w:color="auto"/>
            </w:tcBorders>
          </w:tcPr>
          <w:p w14:paraId="1E2798A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single" w:sz="4" w:space="0" w:color="auto"/>
            </w:tcBorders>
            <w:vAlign w:val="center"/>
          </w:tcPr>
          <w:p w14:paraId="7018C8A9"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0.488</w:t>
            </w:r>
          </w:p>
        </w:tc>
        <w:tc>
          <w:tcPr>
            <w:tcW w:w="190" w:type="dxa"/>
            <w:tcBorders>
              <w:top w:val="nil"/>
              <w:bottom w:val="single" w:sz="4" w:space="0" w:color="auto"/>
            </w:tcBorders>
          </w:tcPr>
          <w:p w14:paraId="01D6F4DB"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8" w:type="dxa"/>
            <w:tcBorders>
              <w:top w:val="nil"/>
              <w:bottom w:val="single" w:sz="4" w:space="0" w:color="auto"/>
            </w:tcBorders>
            <w:vAlign w:val="center"/>
          </w:tcPr>
          <w:p w14:paraId="2E7C39F8"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0.000</w:t>
            </w:r>
          </w:p>
        </w:tc>
        <w:tc>
          <w:tcPr>
            <w:tcW w:w="178" w:type="dxa"/>
            <w:tcBorders>
              <w:top w:val="nil"/>
              <w:bottom w:val="single" w:sz="4" w:space="0" w:color="auto"/>
            </w:tcBorders>
          </w:tcPr>
          <w:p w14:paraId="6EC8B2B7"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280" w:type="dxa"/>
            <w:tcBorders>
              <w:top w:val="nil"/>
              <w:bottom w:val="single" w:sz="4" w:space="0" w:color="auto"/>
            </w:tcBorders>
            <w:vAlign w:val="center"/>
          </w:tcPr>
          <w:p w14:paraId="247CFC3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1.000</w:t>
            </w:r>
          </w:p>
        </w:tc>
        <w:tc>
          <w:tcPr>
            <w:tcW w:w="168" w:type="dxa"/>
            <w:tcBorders>
              <w:top w:val="nil"/>
              <w:bottom w:val="single" w:sz="4" w:space="0" w:color="auto"/>
            </w:tcBorders>
          </w:tcPr>
          <w:p w14:paraId="69E5570C"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p>
        </w:tc>
        <w:tc>
          <w:tcPr>
            <w:tcW w:w="1159" w:type="dxa"/>
            <w:tcBorders>
              <w:top w:val="nil"/>
              <w:bottom w:val="single" w:sz="4" w:space="0" w:color="auto"/>
            </w:tcBorders>
            <w:vAlign w:val="center"/>
          </w:tcPr>
          <w:p w14:paraId="1E494B9E" w14:textId="77777777" w:rsidR="00A53CFE" w:rsidRPr="004E7E5A" w:rsidRDefault="00A53CFE" w:rsidP="00116073">
            <w:pPr>
              <w:autoSpaceDE w:val="0"/>
              <w:autoSpaceDN w:val="0"/>
              <w:adjustRightInd w:val="0"/>
              <w:jc w:val="center"/>
              <w:rPr>
                <w:rFonts w:ascii="Times New Roman" w:hAnsi="Times New Roman"/>
                <w:color w:val="000000" w:themeColor="text1"/>
                <w:sz w:val="24"/>
                <w:szCs w:val="24"/>
              </w:rPr>
            </w:pPr>
            <w:r w:rsidRPr="004E7E5A">
              <w:rPr>
                <w:rFonts w:ascii="Times New Roman" w:hAnsi="Times New Roman"/>
                <w:color w:val="000000" w:themeColor="text1"/>
                <w:sz w:val="24"/>
                <w:szCs w:val="24"/>
              </w:rPr>
              <w:t>1.000</w:t>
            </w:r>
          </w:p>
        </w:tc>
      </w:tr>
    </w:tbl>
    <w:p w14:paraId="36C3E3B8" w14:textId="176C8DF1" w:rsidR="00A53CFE" w:rsidRPr="004E7E5A" w:rsidRDefault="00A53CFE" w:rsidP="00A53CFE">
      <w:pPr>
        <w:pStyle w:val="a7"/>
        <w:spacing w:line="240" w:lineRule="auto"/>
        <w:ind w:leftChars="50" w:left="105" w:rightChars="50" w:right="105" w:firstLineChars="0" w:firstLine="0"/>
        <w:rPr>
          <w:rFonts w:cs="Times New Roman"/>
          <w:szCs w:val="24"/>
        </w:rPr>
      </w:pPr>
      <w:r w:rsidRPr="004E7E5A">
        <w:rPr>
          <w:rFonts w:cs="Times New Roman"/>
          <w:szCs w:val="24"/>
        </w:rPr>
        <w:t xml:space="preserve">This table reports the descriptive statistics of the variables used in the test of the hypotheses on the relation between directors’ network and CSR disclosure quality. All variables are </w:t>
      </w:r>
      <w:proofErr w:type="spellStart"/>
      <w:r w:rsidRPr="004E7E5A">
        <w:rPr>
          <w:rFonts w:cs="Times New Roman"/>
          <w:szCs w:val="24"/>
        </w:rPr>
        <w:t>winsorized</w:t>
      </w:r>
      <w:proofErr w:type="spellEnd"/>
      <w:r w:rsidRPr="004E7E5A">
        <w:rPr>
          <w:rFonts w:cs="Times New Roman"/>
          <w:szCs w:val="24"/>
        </w:rPr>
        <w:t xml:space="preserve"> at the 1 and 99 percentiles of the distribution. </w:t>
      </w:r>
      <w:r w:rsidRPr="004E7E5A">
        <w:rPr>
          <w:rFonts w:cs="Times New Roman"/>
        </w:rPr>
        <w:t xml:space="preserve">Due to data availability, </w:t>
      </w:r>
      <w:r w:rsidRPr="004E7E5A">
        <w:rPr>
          <w:rFonts w:cs="Times New Roman"/>
          <w:szCs w:val="24"/>
        </w:rPr>
        <w:t>the number of observations of</w:t>
      </w:r>
      <w:r w:rsidRPr="004E7E5A">
        <w:rPr>
          <w:rFonts w:cs="Times New Roman"/>
          <w:i/>
          <w:iCs/>
          <w:szCs w:val="24"/>
        </w:rPr>
        <w:t xml:space="preserve"> Advertising</w:t>
      </w:r>
      <w:r w:rsidRPr="004E7E5A">
        <w:rPr>
          <w:rFonts w:cs="Times New Roman"/>
          <w:szCs w:val="24"/>
        </w:rPr>
        <w:t xml:space="preserve"> is </w:t>
      </w:r>
      <w:r w:rsidRPr="004E7E5A">
        <w:rPr>
          <w:rFonts w:cs="Times New Roman"/>
        </w:rPr>
        <w:t>2621, t</w:t>
      </w:r>
      <w:r w:rsidRPr="004E7E5A">
        <w:rPr>
          <w:rFonts w:cs="Times New Roman"/>
          <w:szCs w:val="24"/>
        </w:rPr>
        <w:t>he number of observations of</w:t>
      </w:r>
      <w:r w:rsidRPr="004E7E5A">
        <w:rPr>
          <w:rFonts w:cs="Times New Roman"/>
          <w:i/>
          <w:iCs/>
          <w:szCs w:val="24"/>
        </w:rPr>
        <w:t xml:space="preserve"> Analyst </w:t>
      </w:r>
      <w:r w:rsidRPr="004E7E5A">
        <w:rPr>
          <w:rFonts w:cs="Times New Roman"/>
          <w:szCs w:val="24"/>
        </w:rPr>
        <w:t>is 3496</w:t>
      </w:r>
      <w:r w:rsidR="000F1340" w:rsidRPr="004E7E5A">
        <w:rPr>
          <w:rFonts w:cs="Times New Roman"/>
          <w:szCs w:val="24"/>
        </w:rPr>
        <w:t xml:space="preserve">, and </w:t>
      </w:r>
      <w:r w:rsidR="000F1340" w:rsidRPr="004E7E5A">
        <w:rPr>
          <w:rFonts w:cs="Times New Roman"/>
        </w:rPr>
        <w:t>t</w:t>
      </w:r>
      <w:r w:rsidR="000F1340" w:rsidRPr="004E7E5A">
        <w:rPr>
          <w:rFonts w:cs="Times New Roman"/>
          <w:szCs w:val="24"/>
        </w:rPr>
        <w:t>he number of observations of</w:t>
      </w:r>
      <w:r w:rsidR="000F1340" w:rsidRPr="004E7E5A">
        <w:rPr>
          <w:rFonts w:hint="eastAsia"/>
          <w:i/>
          <w:iCs/>
          <w:szCs w:val="24"/>
        </w:rPr>
        <w:t xml:space="preserve"> CSR</w:t>
      </w:r>
      <w:r w:rsidR="000F1340" w:rsidRPr="004E7E5A">
        <w:rPr>
          <w:i/>
          <w:iCs/>
          <w:szCs w:val="24"/>
        </w:rPr>
        <w:t xml:space="preserve"> assurance</w:t>
      </w:r>
      <w:r w:rsidR="000F1340" w:rsidRPr="004E7E5A">
        <w:rPr>
          <w:rFonts w:cs="Times New Roman"/>
          <w:i/>
          <w:iCs/>
          <w:szCs w:val="24"/>
        </w:rPr>
        <w:t xml:space="preserve"> </w:t>
      </w:r>
      <w:r w:rsidR="000F1340" w:rsidRPr="004E7E5A">
        <w:rPr>
          <w:rFonts w:cs="Times New Roman"/>
          <w:szCs w:val="24"/>
        </w:rPr>
        <w:t>is 3956</w:t>
      </w:r>
      <w:r w:rsidRPr="004E7E5A">
        <w:rPr>
          <w:rFonts w:cs="Times New Roman"/>
          <w:szCs w:val="24"/>
        </w:rPr>
        <w:t>. The number of other observations is 3986. All variable definitions are provided in Appendix A.</w:t>
      </w:r>
    </w:p>
    <w:p w14:paraId="1403E5C9" w14:textId="77777777" w:rsidR="00A53CFE" w:rsidRPr="004E7E5A" w:rsidRDefault="00A53CFE" w:rsidP="00A53CFE">
      <w:pPr>
        <w:pStyle w:val="a7"/>
        <w:spacing w:line="480" w:lineRule="auto"/>
        <w:ind w:firstLine="480"/>
        <w:rPr>
          <w:rFonts w:cs="Times New Roman"/>
          <w:szCs w:val="24"/>
        </w:rPr>
      </w:pPr>
    </w:p>
    <w:p w14:paraId="7492FE9F"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sectPr w:rsidR="00A53CFE" w:rsidRPr="004E7E5A" w:rsidSect="008F110D">
          <w:pgSz w:w="11906" w:h="16838"/>
          <w:pgMar w:top="1701" w:right="1418" w:bottom="1361" w:left="1418" w:header="1134" w:footer="1134" w:gutter="0"/>
          <w:cols w:space="425"/>
          <w:docGrid w:type="lines" w:linePitch="312"/>
        </w:sectPr>
      </w:pPr>
    </w:p>
    <w:p w14:paraId="463F1937" w14:textId="4288D109"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3</w:t>
      </w:r>
    </w:p>
    <w:p w14:paraId="7DB72BC4"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Correlations</w:t>
      </w:r>
    </w:p>
    <w:tbl>
      <w:tblPr>
        <w:tblW w:w="5000" w:type="pct"/>
        <w:jc w:val="center"/>
        <w:tblLayout w:type="fixed"/>
        <w:tblCellMar>
          <w:left w:w="75" w:type="dxa"/>
          <w:right w:w="75" w:type="dxa"/>
        </w:tblCellMar>
        <w:tblLook w:val="0000" w:firstRow="0" w:lastRow="0" w:firstColumn="0" w:lastColumn="0" w:noHBand="0" w:noVBand="0"/>
      </w:tblPr>
      <w:tblGrid>
        <w:gridCol w:w="1983"/>
        <w:gridCol w:w="655"/>
        <w:gridCol w:w="655"/>
        <w:gridCol w:w="655"/>
        <w:gridCol w:w="655"/>
        <w:gridCol w:w="656"/>
        <w:gridCol w:w="656"/>
        <w:gridCol w:w="656"/>
        <w:gridCol w:w="656"/>
        <w:gridCol w:w="656"/>
        <w:gridCol w:w="656"/>
        <w:gridCol w:w="656"/>
        <w:gridCol w:w="656"/>
        <w:gridCol w:w="656"/>
        <w:gridCol w:w="656"/>
        <w:gridCol w:w="656"/>
        <w:gridCol w:w="656"/>
        <w:gridCol w:w="656"/>
        <w:gridCol w:w="645"/>
      </w:tblGrid>
      <w:tr w:rsidR="001E3466" w:rsidRPr="004E7E5A" w14:paraId="29724BD6" w14:textId="77777777" w:rsidTr="00116073">
        <w:trPr>
          <w:jc w:val="center"/>
        </w:trPr>
        <w:tc>
          <w:tcPr>
            <w:tcW w:w="720" w:type="pct"/>
            <w:tcBorders>
              <w:top w:val="single" w:sz="4" w:space="0" w:color="auto"/>
              <w:left w:val="nil"/>
              <w:bottom w:val="single" w:sz="4" w:space="0" w:color="auto"/>
              <w:right w:val="nil"/>
            </w:tcBorders>
          </w:tcPr>
          <w:p w14:paraId="771707C5"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p>
        </w:tc>
        <w:tc>
          <w:tcPr>
            <w:tcW w:w="238" w:type="pct"/>
            <w:tcBorders>
              <w:top w:val="single" w:sz="4" w:space="0" w:color="auto"/>
              <w:left w:val="nil"/>
              <w:bottom w:val="single" w:sz="4" w:space="0" w:color="auto"/>
              <w:right w:val="nil"/>
            </w:tcBorders>
          </w:tcPr>
          <w:p w14:paraId="4991FD4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w:t>
            </w:r>
          </w:p>
        </w:tc>
        <w:tc>
          <w:tcPr>
            <w:tcW w:w="238" w:type="pct"/>
            <w:tcBorders>
              <w:top w:val="single" w:sz="4" w:space="0" w:color="auto"/>
              <w:left w:val="nil"/>
              <w:bottom w:val="single" w:sz="4" w:space="0" w:color="auto"/>
              <w:right w:val="nil"/>
            </w:tcBorders>
          </w:tcPr>
          <w:p w14:paraId="00AEC8F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(2)</w:t>
            </w:r>
          </w:p>
        </w:tc>
        <w:tc>
          <w:tcPr>
            <w:tcW w:w="238" w:type="pct"/>
            <w:tcBorders>
              <w:top w:val="single" w:sz="4" w:space="0" w:color="auto"/>
              <w:left w:val="nil"/>
              <w:bottom w:val="single" w:sz="4" w:space="0" w:color="auto"/>
              <w:right w:val="nil"/>
            </w:tcBorders>
          </w:tcPr>
          <w:p w14:paraId="4C5F7CD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(3)</w:t>
            </w:r>
          </w:p>
        </w:tc>
        <w:tc>
          <w:tcPr>
            <w:tcW w:w="238" w:type="pct"/>
            <w:tcBorders>
              <w:top w:val="single" w:sz="4" w:space="0" w:color="auto"/>
              <w:left w:val="nil"/>
              <w:bottom w:val="single" w:sz="4" w:space="0" w:color="auto"/>
              <w:right w:val="nil"/>
            </w:tcBorders>
          </w:tcPr>
          <w:p w14:paraId="06456CA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(4)</w:t>
            </w:r>
          </w:p>
        </w:tc>
        <w:tc>
          <w:tcPr>
            <w:tcW w:w="238" w:type="pct"/>
            <w:tcBorders>
              <w:top w:val="single" w:sz="4" w:space="0" w:color="auto"/>
              <w:left w:val="nil"/>
              <w:bottom w:val="single" w:sz="4" w:space="0" w:color="auto"/>
              <w:right w:val="nil"/>
            </w:tcBorders>
          </w:tcPr>
          <w:p w14:paraId="3064E24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(5)</w:t>
            </w:r>
          </w:p>
        </w:tc>
        <w:tc>
          <w:tcPr>
            <w:tcW w:w="238" w:type="pct"/>
            <w:tcBorders>
              <w:top w:val="single" w:sz="4" w:space="0" w:color="auto"/>
              <w:left w:val="nil"/>
              <w:bottom w:val="single" w:sz="4" w:space="0" w:color="auto"/>
              <w:right w:val="nil"/>
            </w:tcBorders>
          </w:tcPr>
          <w:p w14:paraId="2948D74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(6)</w:t>
            </w:r>
          </w:p>
        </w:tc>
        <w:tc>
          <w:tcPr>
            <w:tcW w:w="238" w:type="pct"/>
            <w:tcBorders>
              <w:top w:val="single" w:sz="4" w:space="0" w:color="auto"/>
              <w:left w:val="nil"/>
              <w:bottom w:val="single" w:sz="4" w:space="0" w:color="auto"/>
              <w:right w:val="nil"/>
            </w:tcBorders>
          </w:tcPr>
          <w:p w14:paraId="6A781F8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(7)</w:t>
            </w:r>
          </w:p>
        </w:tc>
        <w:tc>
          <w:tcPr>
            <w:tcW w:w="238" w:type="pct"/>
            <w:tcBorders>
              <w:top w:val="single" w:sz="4" w:space="0" w:color="auto"/>
              <w:left w:val="nil"/>
              <w:bottom w:val="single" w:sz="4" w:space="0" w:color="auto"/>
              <w:right w:val="nil"/>
            </w:tcBorders>
          </w:tcPr>
          <w:p w14:paraId="1D5D67B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(8)</w:t>
            </w:r>
          </w:p>
        </w:tc>
        <w:tc>
          <w:tcPr>
            <w:tcW w:w="238" w:type="pct"/>
            <w:tcBorders>
              <w:top w:val="single" w:sz="4" w:space="0" w:color="auto"/>
              <w:left w:val="nil"/>
              <w:bottom w:val="single" w:sz="4" w:space="0" w:color="auto"/>
              <w:right w:val="nil"/>
            </w:tcBorders>
          </w:tcPr>
          <w:p w14:paraId="2361894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(9)</w:t>
            </w:r>
          </w:p>
        </w:tc>
        <w:tc>
          <w:tcPr>
            <w:tcW w:w="238" w:type="pct"/>
            <w:tcBorders>
              <w:top w:val="single" w:sz="4" w:space="0" w:color="auto"/>
              <w:left w:val="nil"/>
              <w:bottom w:val="single" w:sz="4" w:space="0" w:color="auto"/>
              <w:right w:val="nil"/>
            </w:tcBorders>
          </w:tcPr>
          <w:p w14:paraId="6FDBB3B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(10)</w:t>
            </w:r>
          </w:p>
        </w:tc>
        <w:tc>
          <w:tcPr>
            <w:tcW w:w="238" w:type="pct"/>
            <w:tcBorders>
              <w:top w:val="single" w:sz="4" w:space="0" w:color="auto"/>
              <w:left w:val="nil"/>
              <w:bottom w:val="single" w:sz="4" w:space="0" w:color="auto"/>
              <w:right w:val="nil"/>
            </w:tcBorders>
          </w:tcPr>
          <w:p w14:paraId="5A8B692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(11)</w:t>
            </w:r>
          </w:p>
        </w:tc>
        <w:tc>
          <w:tcPr>
            <w:tcW w:w="238" w:type="pct"/>
            <w:tcBorders>
              <w:top w:val="single" w:sz="4" w:space="0" w:color="auto"/>
              <w:left w:val="nil"/>
              <w:bottom w:val="single" w:sz="4" w:space="0" w:color="auto"/>
              <w:right w:val="nil"/>
            </w:tcBorders>
          </w:tcPr>
          <w:p w14:paraId="314DAAA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(12)</w:t>
            </w:r>
          </w:p>
        </w:tc>
        <w:tc>
          <w:tcPr>
            <w:tcW w:w="238" w:type="pct"/>
            <w:tcBorders>
              <w:top w:val="single" w:sz="4" w:space="0" w:color="auto"/>
              <w:left w:val="nil"/>
              <w:bottom w:val="single" w:sz="4" w:space="0" w:color="auto"/>
              <w:right w:val="nil"/>
            </w:tcBorders>
          </w:tcPr>
          <w:p w14:paraId="0B9885F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(13)</w:t>
            </w:r>
          </w:p>
        </w:tc>
        <w:tc>
          <w:tcPr>
            <w:tcW w:w="238" w:type="pct"/>
            <w:tcBorders>
              <w:top w:val="single" w:sz="4" w:space="0" w:color="auto"/>
              <w:left w:val="nil"/>
              <w:bottom w:val="single" w:sz="4" w:space="0" w:color="auto"/>
              <w:right w:val="nil"/>
            </w:tcBorders>
          </w:tcPr>
          <w:p w14:paraId="7557F82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(14)</w:t>
            </w:r>
          </w:p>
        </w:tc>
        <w:tc>
          <w:tcPr>
            <w:tcW w:w="238" w:type="pct"/>
            <w:tcBorders>
              <w:top w:val="single" w:sz="4" w:space="0" w:color="auto"/>
              <w:left w:val="nil"/>
              <w:bottom w:val="single" w:sz="4" w:space="0" w:color="auto"/>
              <w:right w:val="nil"/>
            </w:tcBorders>
          </w:tcPr>
          <w:p w14:paraId="4AD8869A"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(15)</w:t>
            </w:r>
          </w:p>
        </w:tc>
        <w:tc>
          <w:tcPr>
            <w:tcW w:w="238" w:type="pct"/>
            <w:tcBorders>
              <w:top w:val="single" w:sz="4" w:space="0" w:color="auto"/>
              <w:left w:val="nil"/>
              <w:bottom w:val="single" w:sz="4" w:space="0" w:color="auto"/>
              <w:right w:val="nil"/>
            </w:tcBorders>
          </w:tcPr>
          <w:p w14:paraId="6FB09AE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(16)</w:t>
            </w:r>
          </w:p>
        </w:tc>
        <w:tc>
          <w:tcPr>
            <w:tcW w:w="238" w:type="pct"/>
            <w:tcBorders>
              <w:top w:val="single" w:sz="4" w:space="0" w:color="auto"/>
              <w:left w:val="nil"/>
              <w:bottom w:val="single" w:sz="4" w:space="0" w:color="auto"/>
              <w:right w:val="nil"/>
            </w:tcBorders>
          </w:tcPr>
          <w:p w14:paraId="6532C13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(17)</w:t>
            </w:r>
          </w:p>
        </w:tc>
        <w:tc>
          <w:tcPr>
            <w:tcW w:w="238" w:type="pct"/>
            <w:tcBorders>
              <w:top w:val="single" w:sz="4" w:space="0" w:color="auto"/>
              <w:left w:val="nil"/>
              <w:bottom w:val="single" w:sz="4" w:space="0" w:color="auto"/>
              <w:right w:val="nil"/>
            </w:tcBorders>
          </w:tcPr>
          <w:p w14:paraId="672C4C2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i/>
                <w:iCs/>
                <w:color w:val="000000" w:themeColor="text1"/>
                <w:kern w:val="0"/>
                <w:sz w:val="24"/>
                <w:szCs w:val="24"/>
              </w:rPr>
              <w:t>(18)</w:t>
            </w:r>
          </w:p>
        </w:tc>
      </w:tr>
      <w:tr w:rsidR="001E3466" w:rsidRPr="004E7E5A" w14:paraId="31EABE60" w14:textId="77777777" w:rsidTr="00116073">
        <w:trPr>
          <w:jc w:val="center"/>
        </w:trPr>
        <w:tc>
          <w:tcPr>
            <w:tcW w:w="720" w:type="pct"/>
            <w:tcBorders>
              <w:top w:val="single" w:sz="4" w:space="0" w:color="auto"/>
              <w:left w:val="nil"/>
              <w:bottom w:val="nil"/>
              <w:right w:val="nil"/>
            </w:tcBorders>
          </w:tcPr>
          <w:p w14:paraId="20D4182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 xml:space="preserve">(1) </w:t>
            </w:r>
            <w:proofErr w:type="spellStart"/>
            <w:r w:rsidRPr="004E7E5A">
              <w:rPr>
                <w:rFonts w:ascii="Times New Roman" w:hAnsi="Times New Roman"/>
                <w:i/>
                <w:iCs/>
                <w:color w:val="000000" w:themeColor="text1"/>
                <w:kern w:val="0"/>
                <w:sz w:val="24"/>
                <w:szCs w:val="24"/>
              </w:rPr>
              <w:t>Csr</w:t>
            </w:r>
            <w:proofErr w:type="spellEnd"/>
          </w:p>
        </w:tc>
        <w:tc>
          <w:tcPr>
            <w:tcW w:w="238" w:type="pct"/>
            <w:tcBorders>
              <w:top w:val="single" w:sz="4" w:space="0" w:color="auto"/>
              <w:left w:val="nil"/>
              <w:bottom w:val="nil"/>
              <w:right w:val="nil"/>
            </w:tcBorders>
          </w:tcPr>
          <w:p w14:paraId="03AF47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single" w:sz="4" w:space="0" w:color="auto"/>
              <w:left w:val="nil"/>
              <w:bottom w:val="nil"/>
              <w:right w:val="nil"/>
            </w:tcBorders>
          </w:tcPr>
          <w:p w14:paraId="765B3B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251066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013E10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451441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35296E9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1184276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15E8EC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23D1E9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46FA18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0395272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0C0B674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2C8692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41B1BB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5A67EE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6025E2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287471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single" w:sz="4" w:space="0" w:color="auto"/>
              <w:left w:val="nil"/>
              <w:bottom w:val="nil"/>
              <w:right w:val="nil"/>
            </w:tcBorders>
          </w:tcPr>
          <w:p w14:paraId="16400A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7907154" w14:textId="77777777" w:rsidTr="00116073">
        <w:trPr>
          <w:jc w:val="center"/>
        </w:trPr>
        <w:tc>
          <w:tcPr>
            <w:tcW w:w="720" w:type="pct"/>
            <w:tcBorders>
              <w:top w:val="nil"/>
              <w:left w:val="nil"/>
              <w:bottom w:val="nil"/>
              <w:right w:val="nil"/>
            </w:tcBorders>
          </w:tcPr>
          <w:p w14:paraId="15963E4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 xml:space="preserve">(2) </w:t>
            </w:r>
            <w:proofErr w:type="spellStart"/>
            <w:r w:rsidRPr="004E7E5A">
              <w:rPr>
                <w:rFonts w:ascii="Times New Roman" w:hAnsi="Times New Roman"/>
                <w:i/>
                <w:iCs/>
                <w:color w:val="000000" w:themeColor="text1"/>
                <w:kern w:val="0"/>
                <w:sz w:val="24"/>
                <w:szCs w:val="24"/>
              </w:rPr>
              <w:t>Score_max</w:t>
            </w:r>
            <w:proofErr w:type="spellEnd"/>
          </w:p>
        </w:tc>
        <w:tc>
          <w:tcPr>
            <w:tcW w:w="238" w:type="pct"/>
            <w:tcBorders>
              <w:top w:val="nil"/>
              <w:left w:val="nil"/>
              <w:bottom w:val="nil"/>
              <w:right w:val="nil"/>
            </w:tcBorders>
          </w:tcPr>
          <w:p w14:paraId="3FE09FC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0.15 </w:t>
            </w:r>
          </w:p>
        </w:tc>
        <w:tc>
          <w:tcPr>
            <w:tcW w:w="238" w:type="pct"/>
            <w:tcBorders>
              <w:top w:val="nil"/>
              <w:left w:val="nil"/>
              <w:bottom w:val="nil"/>
              <w:right w:val="nil"/>
            </w:tcBorders>
          </w:tcPr>
          <w:p w14:paraId="275EA2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747A053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826C45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246B0F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CFEF30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BBD44F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70B2B8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2914FD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BB1436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A746F4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FDE105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524FA9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6AE8D2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1692B1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AA7E89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693397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9100B5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ECA54DF" w14:textId="77777777" w:rsidTr="00116073">
        <w:trPr>
          <w:jc w:val="center"/>
        </w:trPr>
        <w:tc>
          <w:tcPr>
            <w:tcW w:w="720" w:type="pct"/>
            <w:tcBorders>
              <w:top w:val="nil"/>
              <w:left w:val="nil"/>
              <w:bottom w:val="nil"/>
              <w:right w:val="nil"/>
            </w:tcBorders>
          </w:tcPr>
          <w:p w14:paraId="7B58AA9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 xml:space="preserve">(3) </w:t>
            </w:r>
            <w:proofErr w:type="spellStart"/>
            <w:r w:rsidRPr="004E7E5A">
              <w:rPr>
                <w:rFonts w:ascii="Times New Roman" w:hAnsi="Times New Roman"/>
                <w:i/>
                <w:iCs/>
                <w:color w:val="000000" w:themeColor="text1"/>
                <w:kern w:val="0"/>
                <w:sz w:val="24"/>
                <w:szCs w:val="24"/>
              </w:rPr>
              <w:t>Inddirector</w:t>
            </w:r>
            <w:proofErr w:type="spellEnd"/>
          </w:p>
        </w:tc>
        <w:tc>
          <w:tcPr>
            <w:tcW w:w="238" w:type="pct"/>
            <w:tcBorders>
              <w:top w:val="nil"/>
              <w:left w:val="nil"/>
              <w:bottom w:val="nil"/>
              <w:right w:val="nil"/>
            </w:tcBorders>
          </w:tcPr>
          <w:p w14:paraId="13960FB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7EE4DE3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 </w:t>
            </w:r>
          </w:p>
        </w:tc>
        <w:tc>
          <w:tcPr>
            <w:tcW w:w="238" w:type="pct"/>
            <w:tcBorders>
              <w:top w:val="nil"/>
              <w:left w:val="nil"/>
              <w:bottom w:val="nil"/>
              <w:right w:val="nil"/>
            </w:tcBorders>
          </w:tcPr>
          <w:p w14:paraId="2D2E4A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63F1201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469990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221817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A712BE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2ADAC5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BBA19C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D7C487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3F45D7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0B2511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3DE5F7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50105D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34ABA8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4E21B8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1466E5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60311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06EEC6C" w14:textId="77777777" w:rsidTr="00116073">
        <w:trPr>
          <w:jc w:val="center"/>
        </w:trPr>
        <w:tc>
          <w:tcPr>
            <w:tcW w:w="720" w:type="pct"/>
            <w:tcBorders>
              <w:top w:val="nil"/>
              <w:left w:val="nil"/>
              <w:bottom w:val="nil"/>
              <w:right w:val="nil"/>
            </w:tcBorders>
          </w:tcPr>
          <w:p w14:paraId="7326BC5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(4) Board size</w:t>
            </w:r>
          </w:p>
        </w:tc>
        <w:tc>
          <w:tcPr>
            <w:tcW w:w="238" w:type="pct"/>
            <w:tcBorders>
              <w:top w:val="nil"/>
              <w:left w:val="nil"/>
              <w:bottom w:val="nil"/>
              <w:right w:val="nil"/>
            </w:tcBorders>
          </w:tcPr>
          <w:p w14:paraId="30155C6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0.16 </w:t>
            </w:r>
          </w:p>
        </w:tc>
        <w:tc>
          <w:tcPr>
            <w:tcW w:w="238" w:type="pct"/>
            <w:tcBorders>
              <w:top w:val="nil"/>
              <w:left w:val="nil"/>
              <w:bottom w:val="nil"/>
              <w:right w:val="nil"/>
            </w:tcBorders>
          </w:tcPr>
          <w:p w14:paraId="3E87D29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0.21 </w:t>
            </w:r>
          </w:p>
        </w:tc>
        <w:tc>
          <w:tcPr>
            <w:tcW w:w="238" w:type="pct"/>
            <w:tcBorders>
              <w:top w:val="nil"/>
              <w:left w:val="nil"/>
              <w:bottom w:val="nil"/>
              <w:right w:val="nil"/>
            </w:tcBorders>
          </w:tcPr>
          <w:p w14:paraId="7BA68A2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-0.41 </w:t>
            </w:r>
          </w:p>
        </w:tc>
        <w:tc>
          <w:tcPr>
            <w:tcW w:w="238" w:type="pct"/>
            <w:tcBorders>
              <w:top w:val="nil"/>
              <w:left w:val="nil"/>
              <w:bottom w:val="nil"/>
              <w:right w:val="nil"/>
            </w:tcBorders>
          </w:tcPr>
          <w:p w14:paraId="3F0FB7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58F95A1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102549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173E0B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580F82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FBC5C3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82B695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47474D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2B30DD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A277BC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7C4466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FCCD3D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FE8192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619C78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60888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40201FB5" w14:textId="77777777" w:rsidTr="00116073">
        <w:trPr>
          <w:jc w:val="center"/>
        </w:trPr>
        <w:tc>
          <w:tcPr>
            <w:tcW w:w="720" w:type="pct"/>
            <w:tcBorders>
              <w:top w:val="nil"/>
              <w:left w:val="nil"/>
              <w:bottom w:val="nil"/>
              <w:right w:val="nil"/>
            </w:tcBorders>
          </w:tcPr>
          <w:p w14:paraId="2A70B3D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(5) Female</w:t>
            </w:r>
          </w:p>
        </w:tc>
        <w:tc>
          <w:tcPr>
            <w:tcW w:w="238" w:type="pct"/>
            <w:tcBorders>
              <w:top w:val="nil"/>
              <w:left w:val="nil"/>
              <w:bottom w:val="nil"/>
              <w:right w:val="nil"/>
            </w:tcBorders>
          </w:tcPr>
          <w:p w14:paraId="40B0195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3EC82CF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-0.12 </w:t>
            </w:r>
          </w:p>
        </w:tc>
        <w:tc>
          <w:tcPr>
            <w:tcW w:w="238" w:type="pct"/>
            <w:tcBorders>
              <w:top w:val="nil"/>
              <w:left w:val="nil"/>
              <w:bottom w:val="nil"/>
              <w:right w:val="nil"/>
            </w:tcBorders>
          </w:tcPr>
          <w:p w14:paraId="2070DE5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-0.03 </w:t>
            </w:r>
          </w:p>
        </w:tc>
        <w:tc>
          <w:tcPr>
            <w:tcW w:w="238" w:type="pct"/>
            <w:tcBorders>
              <w:top w:val="nil"/>
              <w:left w:val="nil"/>
              <w:bottom w:val="nil"/>
              <w:right w:val="nil"/>
            </w:tcBorders>
          </w:tcPr>
          <w:p w14:paraId="250E595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-0.10 </w:t>
            </w:r>
          </w:p>
        </w:tc>
        <w:tc>
          <w:tcPr>
            <w:tcW w:w="238" w:type="pct"/>
            <w:tcBorders>
              <w:top w:val="nil"/>
              <w:left w:val="nil"/>
              <w:bottom w:val="nil"/>
              <w:right w:val="nil"/>
            </w:tcBorders>
          </w:tcPr>
          <w:p w14:paraId="32863F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6330139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66BD8A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26347E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5C9219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01B313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E3BF92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DD11AE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A02582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6FBAAA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FCE992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3D5D71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DA86A9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10ECE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9C79096" w14:textId="77777777" w:rsidTr="00116073">
        <w:trPr>
          <w:jc w:val="center"/>
        </w:trPr>
        <w:tc>
          <w:tcPr>
            <w:tcW w:w="720" w:type="pct"/>
            <w:tcBorders>
              <w:top w:val="nil"/>
              <w:left w:val="nil"/>
              <w:bottom w:val="nil"/>
              <w:right w:val="nil"/>
            </w:tcBorders>
          </w:tcPr>
          <w:p w14:paraId="2B6D340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(6) Director age</w:t>
            </w:r>
          </w:p>
        </w:tc>
        <w:tc>
          <w:tcPr>
            <w:tcW w:w="238" w:type="pct"/>
            <w:tcBorders>
              <w:top w:val="nil"/>
              <w:left w:val="nil"/>
              <w:bottom w:val="nil"/>
              <w:right w:val="nil"/>
            </w:tcBorders>
          </w:tcPr>
          <w:p w14:paraId="1772B3A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0.25 </w:t>
            </w:r>
          </w:p>
        </w:tc>
        <w:tc>
          <w:tcPr>
            <w:tcW w:w="238" w:type="pct"/>
            <w:tcBorders>
              <w:top w:val="nil"/>
              <w:left w:val="nil"/>
              <w:bottom w:val="nil"/>
              <w:right w:val="nil"/>
            </w:tcBorders>
          </w:tcPr>
          <w:p w14:paraId="266230A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0.13 </w:t>
            </w:r>
          </w:p>
        </w:tc>
        <w:tc>
          <w:tcPr>
            <w:tcW w:w="238" w:type="pct"/>
            <w:tcBorders>
              <w:top w:val="nil"/>
              <w:left w:val="nil"/>
              <w:bottom w:val="nil"/>
              <w:right w:val="nil"/>
            </w:tcBorders>
          </w:tcPr>
          <w:p w14:paraId="1FF2737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0.17 </w:t>
            </w:r>
          </w:p>
        </w:tc>
        <w:tc>
          <w:tcPr>
            <w:tcW w:w="238" w:type="pct"/>
            <w:tcBorders>
              <w:top w:val="nil"/>
              <w:left w:val="nil"/>
              <w:bottom w:val="nil"/>
              <w:right w:val="nil"/>
            </w:tcBorders>
          </w:tcPr>
          <w:p w14:paraId="334406B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53C2E26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-0.15 </w:t>
            </w:r>
          </w:p>
        </w:tc>
        <w:tc>
          <w:tcPr>
            <w:tcW w:w="238" w:type="pct"/>
            <w:tcBorders>
              <w:top w:val="nil"/>
              <w:left w:val="nil"/>
              <w:bottom w:val="nil"/>
              <w:right w:val="nil"/>
            </w:tcBorders>
          </w:tcPr>
          <w:p w14:paraId="7673E1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569E0CA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857CB3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B1BDC7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6E49E4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B98478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BFDFCE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9DC46E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298874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08A583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667941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EA838B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69413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418082F" w14:textId="77777777" w:rsidTr="00116073">
        <w:trPr>
          <w:jc w:val="center"/>
        </w:trPr>
        <w:tc>
          <w:tcPr>
            <w:tcW w:w="720" w:type="pct"/>
            <w:tcBorders>
              <w:top w:val="nil"/>
              <w:left w:val="nil"/>
              <w:bottom w:val="nil"/>
              <w:right w:val="nil"/>
            </w:tcBorders>
          </w:tcPr>
          <w:p w14:paraId="1802956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(7) Location</w:t>
            </w:r>
          </w:p>
        </w:tc>
        <w:tc>
          <w:tcPr>
            <w:tcW w:w="238" w:type="pct"/>
            <w:tcBorders>
              <w:top w:val="nil"/>
              <w:left w:val="nil"/>
              <w:bottom w:val="nil"/>
              <w:right w:val="nil"/>
            </w:tcBorders>
          </w:tcPr>
          <w:p w14:paraId="362B1C4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2EE9045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-0.05 </w:t>
            </w:r>
          </w:p>
        </w:tc>
        <w:tc>
          <w:tcPr>
            <w:tcW w:w="238" w:type="pct"/>
            <w:tcBorders>
              <w:top w:val="nil"/>
              <w:left w:val="nil"/>
              <w:bottom w:val="nil"/>
              <w:right w:val="nil"/>
            </w:tcBorders>
          </w:tcPr>
          <w:p w14:paraId="3C5980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50B340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 </w:t>
            </w:r>
          </w:p>
        </w:tc>
        <w:tc>
          <w:tcPr>
            <w:tcW w:w="238" w:type="pct"/>
            <w:tcBorders>
              <w:top w:val="nil"/>
              <w:left w:val="nil"/>
              <w:bottom w:val="nil"/>
              <w:right w:val="nil"/>
            </w:tcBorders>
          </w:tcPr>
          <w:p w14:paraId="07C4815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-0.03 </w:t>
            </w:r>
          </w:p>
        </w:tc>
        <w:tc>
          <w:tcPr>
            <w:tcW w:w="238" w:type="pct"/>
            <w:tcBorders>
              <w:top w:val="nil"/>
              <w:left w:val="nil"/>
              <w:bottom w:val="nil"/>
              <w:right w:val="nil"/>
            </w:tcBorders>
          </w:tcPr>
          <w:p w14:paraId="18A1C5D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112E77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3EB234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nil"/>
              <w:left w:val="nil"/>
              <w:bottom w:val="nil"/>
              <w:right w:val="nil"/>
            </w:tcBorders>
          </w:tcPr>
          <w:p w14:paraId="5586179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443307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0A79C7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92BAEB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BDAA8F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E915A6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9453A1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FD2720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76E339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9BD09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73B483E" w14:textId="77777777" w:rsidTr="00116073">
        <w:trPr>
          <w:jc w:val="center"/>
        </w:trPr>
        <w:tc>
          <w:tcPr>
            <w:tcW w:w="720" w:type="pct"/>
            <w:tcBorders>
              <w:top w:val="nil"/>
              <w:left w:val="nil"/>
              <w:bottom w:val="nil"/>
              <w:right w:val="nil"/>
            </w:tcBorders>
          </w:tcPr>
          <w:p w14:paraId="78FEAE3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(8) Duality</w:t>
            </w:r>
          </w:p>
        </w:tc>
        <w:tc>
          <w:tcPr>
            <w:tcW w:w="238" w:type="pct"/>
            <w:tcBorders>
              <w:top w:val="nil"/>
              <w:left w:val="nil"/>
              <w:bottom w:val="nil"/>
              <w:right w:val="nil"/>
            </w:tcBorders>
          </w:tcPr>
          <w:p w14:paraId="5D6D73B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4AFC9B6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-0.10 </w:t>
            </w:r>
          </w:p>
        </w:tc>
        <w:tc>
          <w:tcPr>
            <w:tcW w:w="238" w:type="pct"/>
            <w:tcBorders>
              <w:top w:val="nil"/>
              <w:left w:val="nil"/>
              <w:bottom w:val="nil"/>
              <w:right w:val="nil"/>
            </w:tcBorders>
          </w:tcPr>
          <w:p w14:paraId="57E3990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0.10 </w:t>
            </w:r>
          </w:p>
        </w:tc>
        <w:tc>
          <w:tcPr>
            <w:tcW w:w="238" w:type="pct"/>
            <w:tcBorders>
              <w:top w:val="nil"/>
              <w:left w:val="nil"/>
              <w:bottom w:val="nil"/>
              <w:right w:val="nil"/>
            </w:tcBorders>
          </w:tcPr>
          <w:p w14:paraId="5172D27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-0.17 </w:t>
            </w:r>
          </w:p>
        </w:tc>
        <w:tc>
          <w:tcPr>
            <w:tcW w:w="238" w:type="pct"/>
            <w:tcBorders>
              <w:top w:val="nil"/>
              <w:left w:val="nil"/>
              <w:bottom w:val="nil"/>
              <w:right w:val="nil"/>
            </w:tcBorders>
          </w:tcPr>
          <w:p w14:paraId="3D0059F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51896BC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1FF8402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11C10A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35BBD8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nil"/>
              <w:left w:val="nil"/>
              <w:bottom w:val="nil"/>
              <w:right w:val="nil"/>
            </w:tcBorders>
          </w:tcPr>
          <w:p w14:paraId="025AE84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48E731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7E21E2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8AAFAF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26A657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6C3659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11E1AA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AF0E0E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5F15AF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C5695F3" w14:textId="77777777" w:rsidTr="00116073">
        <w:trPr>
          <w:jc w:val="center"/>
        </w:trPr>
        <w:tc>
          <w:tcPr>
            <w:tcW w:w="720" w:type="pct"/>
            <w:tcBorders>
              <w:top w:val="nil"/>
              <w:left w:val="nil"/>
              <w:bottom w:val="nil"/>
              <w:right w:val="nil"/>
            </w:tcBorders>
          </w:tcPr>
          <w:p w14:paraId="584F20D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(9) Compensation</w:t>
            </w:r>
          </w:p>
        </w:tc>
        <w:tc>
          <w:tcPr>
            <w:tcW w:w="238" w:type="pct"/>
            <w:tcBorders>
              <w:top w:val="nil"/>
              <w:left w:val="nil"/>
              <w:bottom w:val="nil"/>
              <w:right w:val="nil"/>
            </w:tcBorders>
          </w:tcPr>
          <w:p w14:paraId="6EAB489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0.19 </w:t>
            </w:r>
          </w:p>
        </w:tc>
        <w:tc>
          <w:tcPr>
            <w:tcW w:w="238" w:type="pct"/>
            <w:tcBorders>
              <w:top w:val="nil"/>
              <w:left w:val="nil"/>
              <w:bottom w:val="nil"/>
              <w:right w:val="nil"/>
            </w:tcBorders>
          </w:tcPr>
          <w:p w14:paraId="3C0CD86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0.12 </w:t>
            </w:r>
          </w:p>
        </w:tc>
        <w:tc>
          <w:tcPr>
            <w:tcW w:w="238" w:type="pct"/>
            <w:tcBorders>
              <w:top w:val="nil"/>
              <w:left w:val="nil"/>
              <w:bottom w:val="nil"/>
              <w:right w:val="nil"/>
            </w:tcBorders>
          </w:tcPr>
          <w:p w14:paraId="53D75B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07E2483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0.12 </w:t>
            </w:r>
          </w:p>
        </w:tc>
        <w:tc>
          <w:tcPr>
            <w:tcW w:w="238" w:type="pct"/>
            <w:tcBorders>
              <w:top w:val="nil"/>
              <w:left w:val="nil"/>
              <w:bottom w:val="nil"/>
              <w:right w:val="nil"/>
            </w:tcBorders>
          </w:tcPr>
          <w:p w14:paraId="0EFA1A7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0.06 </w:t>
            </w:r>
          </w:p>
        </w:tc>
        <w:tc>
          <w:tcPr>
            <w:tcW w:w="238" w:type="pct"/>
            <w:tcBorders>
              <w:top w:val="nil"/>
              <w:left w:val="nil"/>
              <w:bottom w:val="nil"/>
              <w:right w:val="nil"/>
            </w:tcBorders>
          </w:tcPr>
          <w:p w14:paraId="2BD5F39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49EEAF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 </w:t>
            </w:r>
          </w:p>
        </w:tc>
        <w:tc>
          <w:tcPr>
            <w:tcW w:w="238" w:type="pct"/>
            <w:tcBorders>
              <w:top w:val="nil"/>
              <w:left w:val="nil"/>
              <w:bottom w:val="nil"/>
              <w:right w:val="nil"/>
            </w:tcBorders>
          </w:tcPr>
          <w:p w14:paraId="64D7BA5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4315C5D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3554E36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4A5267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EC1454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78A6D8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499E17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E6B55E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6CAE67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0F9418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5536B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A860A2A" w14:textId="77777777" w:rsidTr="00116073">
        <w:trPr>
          <w:jc w:val="center"/>
        </w:trPr>
        <w:tc>
          <w:tcPr>
            <w:tcW w:w="720" w:type="pct"/>
            <w:tcBorders>
              <w:top w:val="nil"/>
              <w:left w:val="nil"/>
              <w:bottom w:val="nil"/>
              <w:right w:val="nil"/>
            </w:tcBorders>
          </w:tcPr>
          <w:p w14:paraId="50C37DC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 xml:space="preserve">(10) </w:t>
            </w:r>
            <w:proofErr w:type="spellStart"/>
            <w:r w:rsidRPr="004E7E5A">
              <w:rPr>
                <w:rFonts w:ascii="Times New Roman" w:hAnsi="Times New Roman"/>
                <w:i/>
                <w:iCs/>
                <w:color w:val="000000" w:themeColor="text1"/>
                <w:kern w:val="0"/>
                <w:sz w:val="24"/>
                <w:szCs w:val="24"/>
              </w:rPr>
              <w:t>Dirshare</w:t>
            </w:r>
            <w:proofErr w:type="spellEnd"/>
          </w:p>
        </w:tc>
        <w:tc>
          <w:tcPr>
            <w:tcW w:w="238" w:type="pct"/>
            <w:tcBorders>
              <w:top w:val="nil"/>
              <w:left w:val="nil"/>
              <w:bottom w:val="nil"/>
              <w:right w:val="nil"/>
            </w:tcBorders>
          </w:tcPr>
          <w:p w14:paraId="76BCB70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40C62D7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-0.19 </w:t>
            </w:r>
          </w:p>
        </w:tc>
        <w:tc>
          <w:tcPr>
            <w:tcW w:w="238" w:type="pct"/>
            <w:tcBorders>
              <w:top w:val="nil"/>
              <w:left w:val="nil"/>
              <w:bottom w:val="nil"/>
              <w:right w:val="nil"/>
            </w:tcBorders>
          </w:tcPr>
          <w:p w14:paraId="0DCAB8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3503765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-0.19 </w:t>
            </w:r>
          </w:p>
        </w:tc>
        <w:tc>
          <w:tcPr>
            <w:tcW w:w="238" w:type="pct"/>
            <w:tcBorders>
              <w:top w:val="nil"/>
              <w:left w:val="nil"/>
              <w:bottom w:val="nil"/>
              <w:right w:val="nil"/>
            </w:tcBorders>
          </w:tcPr>
          <w:p w14:paraId="60DF69C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0.11 </w:t>
            </w:r>
          </w:p>
        </w:tc>
        <w:tc>
          <w:tcPr>
            <w:tcW w:w="238" w:type="pct"/>
            <w:tcBorders>
              <w:top w:val="nil"/>
              <w:left w:val="nil"/>
              <w:bottom w:val="nil"/>
              <w:right w:val="nil"/>
            </w:tcBorders>
          </w:tcPr>
          <w:p w14:paraId="75E9DB6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-0.25 </w:t>
            </w:r>
          </w:p>
        </w:tc>
        <w:tc>
          <w:tcPr>
            <w:tcW w:w="238" w:type="pct"/>
            <w:tcBorders>
              <w:top w:val="nil"/>
              <w:left w:val="nil"/>
              <w:bottom w:val="nil"/>
              <w:right w:val="nil"/>
            </w:tcBorders>
          </w:tcPr>
          <w:p w14:paraId="2792A5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3FDC85A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0.22 </w:t>
            </w:r>
          </w:p>
        </w:tc>
        <w:tc>
          <w:tcPr>
            <w:tcW w:w="238" w:type="pct"/>
            <w:tcBorders>
              <w:top w:val="nil"/>
              <w:left w:val="nil"/>
              <w:bottom w:val="nil"/>
              <w:right w:val="nil"/>
            </w:tcBorders>
          </w:tcPr>
          <w:p w14:paraId="0A00AC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 </w:t>
            </w:r>
          </w:p>
        </w:tc>
        <w:tc>
          <w:tcPr>
            <w:tcW w:w="238" w:type="pct"/>
            <w:tcBorders>
              <w:top w:val="nil"/>
              <w:left w:val="nil"/>
              <w:bottom w:val="nil"/>
              <w:right w:val="nil"/>
            </w:tcBorders>
          </w:tcPr>
          <w:p w14:paraId="56F664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4589A7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nil"/>
              <w:left w:val="nil"/>
              <w:bottom w:val="nil"/>
              <w:right w:val="nil"/>
            </w:tcBorders>
          </w:tcPr>
          <w:p w14:paraId="4CF9C11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471A09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629B54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91BBC5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814DF6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3CC044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4CD14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E20671C" w14:textId="77777777" w:rsidTr="00116073">
        <w:trPr>
          <w:jc w:val="center"/>
        </w:trPr>
        <w:tc>
          <w:tcPr>
            <w:tcW w:w="720" w:type="pct"/>
            <w:tcBorders>
              <w:top w:val="nil"/>
              <w:left w:val="nil"/>
              <w:bottom w:val="nil"/>
              <w:right w:val="nil"/>
            </w:tcBorders>
          </w:tcPr>
          <w:p w14:paraId="2340BAE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(11) Firm size</w:t>
            </w:r>
          </w:p>
        </w:tc>
        <w:tc>
          <w:tcPr>
            <w:tcW w:w="238" w:type="pct"/>
            <w:tcBorders>
              <w:top w:val="nil"/>
              <w:left w:val="nil"/>
              <w:bottom w:val="nil"/>
              <w:right w:val="nil"/>
            </w:tcBorders>
          </w:tcPr>
          <w:p w14:paraId="054E50D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0.44 </w:t>
            </w:r>
          </w:p>
        </w:tc>
        <w:tc>
          <w:tcPr>
            <w:tcW w:w="238" w:type="pct"/>
            <w:tcBorders>
              <w:top w:val="nil"/>
              <w:left w:val="nil"/>
              <w:bottom w:val="nil"/>
              <w:right w:val="nil"/>
            </w:tcBorders>
          </w:tcPr>
          <w:p w14:paraId="287FE85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0.23 </w:t>
            </w:r>
          </w:p>
        </w:tc>
        <w:tc>
          <w:tcPr>
            <w:tcW w:w="238" w:type="pct"/>
            <w:tcBorders>
              <w:top w:val="nil"/>
              <w:left w:val="nil"/>
              <w:bottom w:val="nil"/>
              <w:right w:val="nil"/>
            </w:tcBorders>
          </w:tcPr>
          <w:p w14:paraId="4E00960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0.09 </w:t>
            </w:r>
          </w:p>
        </w:tc>
        <w:tc>
          <w:tcPr>
            <w:tcW w:w="238" w:type="pct"/>
            <w:tcBorders>
              <w:top w:val="nil"/>
              <w:left w:val="nil"/>
              <w:bottom w:val="nil"/>
              <w:right w:val="nil"/>
            </w:tcBorders>
          </w:tcPr>
          <w:p w14:paraId="0788C7F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0.22 </w:t>
            </w:r>
          </w:p>
        </w:tc>
        <w:tc>
          <w:tcPr>
            <w:tcW w:w="238" w:type="pct"/>
            <w:tcBorders>
              <w:top w:val="nil"/>
              <w:left w:val="nil"/>
              <w:bottom w:val="nil"/>
              <w:right w:val="nil"/>
            </w:tcBorders>
          </w:tcPr>
          <w:p w14:paraId="256C096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-0.15 </w:t>
            </w:r>
          </w:p>
        </w:tc>
        <w:tc>
          <w:tcPr>
            <w:tcW w:w="238" w:type="pct"/>
            <w:tcBorders>
              <w:top w:val="nil"/>
              <w:left w:val="nil"/>
              <w:bottom w:val="nil"/>
              <w:right w:val="nil"/>
            </w:tcBorders>
          </w:tcPr>
          <w:p w14:paraId="3CB1708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0.37 </w:t>
            </w:r>
          </w:p>
        </w:tc>
        <w:tc>
          <w:tcPr>
            <w:tcW w:w="238" w:type="pct"/>
            <w:tcBorders>
              <w:top w:val="nil"/>
              <w:left w:val="nil"/>
              <w:bottom w:val="nil"/>
              <w:right w:val="nil"/>
            </w:tcBorders>
          </w:tcPr>
          <w:p w14:paraId="7E361EF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7D4FC21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-0.12 </w:t>
            </w:r>
          </w:p>
        </w:tc>
        <w:tc>
          <w:tcPr>
            <w:tcW w:w="238" w:type="pct"/>
            <w:tcBorders>
              <w:top w:val="nil"/>
              <w:left w:val="nil"/>
              <w:bottom w:val="nil"/>
              <w:right w:val="nil"/>
            </w:tcBorders>
          </w:tcPr>
          <w:p w14:paraId="77D6326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0.31 </w:t>
            </w:r>
          </w:p>
        </w:tc>
        <w:tc>
          <w:tcPr>
            <w:tcW w:w="238" w:type="pct"/>
            <w:tcBorders>
              <w:top w:val="nil"/>
              <w:left w:val="nil"/>
              <w:bottom w:val="nil"/>
              <w:right w:val="nil"/>
            </w:tcBorders>
          </w:tcPr>
          <w:p w14:paraId="6F58032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-0.31 </w:t>
            </w:r>
          </w:p>
        </w:tc>
        <w:tc>
          <w:tcPr>
            <w:tcW w:w="238" w:type="pct"/>
            <w:tcBorders>
              <w:top w:val="nil"/>
              <w:left w:val="nil"/>
              <w:bottom w:val="nil"/>
              <w:right w:val="nil"/>
            </w:tcBorders>
          </w:tcPr>
          <w:p w14:paraId="1E7E3E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6C24D93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5CADA65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0CD21FC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41B0C6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CB6F0A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13C1E6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1A670B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10E0B5B" w14:textId="77777777" w:rsidTr="00116073">
        <w:trPr>
          <w:jc w:val="center"/>
        </w:trPr>
        <w:tc>
          <w:tcPr>
            <w:tcW w:w="720" w:type="pct"/>
            <w:tcBorders>
              <w:top w:val="nil"/>
              <w:left w:val="nil"/>
              <w:bottom w:val="nil"/>
              <w:right w:val="nil"/>
            </w:tcBorders>
          </w:tcPr>
          <w:p w14:paraId="3C20988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 xml:space="preserve">(12) </w:t>
            </w:r>
            <w:proofErr w:type="spellStart"/>
            <w:r w:rsidRPr="004E7E5A">
              <w:rPr>
                <w:rFonts w:ascii="Times New Roman" w:hAnsi="Times New Roman"/>
                <w:i/>
                <w:iCs/>
                <w:color w:val="000000" w:themeColor="text1"/>
                <w:kern w:val="0"/>
                <w:sz w:val="24"/>
                <w:szCs w:val="24"/>
              </w:rPr>
              <w:t>Roa</w:t>
            </w:r>
            <w:proofErr w:type="spellEnd"/>
          </w:p>
        </w:tc>
        <w:tc>
          <w:tcPr>
            <w:tcW w:w="238" w:type="pct"/>
            <w:tcBorders>
              <w:top w:val="nil"/>
              <w:left w:val="nil"/>
              <w:bottom w:val="nil"/>
              <w:right w:val="nil"/>
            </w:tcBorders>
          </w:tcPr>
          <w:p w14:paraId="498766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6A64DA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 </w:t>
            </w:r>
          </w:p>
        </w:tc>
        <w:tc>
          <w:tcPr>
            <w:tcW w:w="238" w:type="pct"/>
            <w:tcBorders>
              <w:top w:val="nil"/>
              <w:left w:val="nil"/>
              <w:bottom w:val="nil"/>
              <w:right w:val="nil"/>
            </w:tcBorders>
          </w:tcPr>
          <w:p w14:paraId="3A0FC5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 </w:t>
            </w:r>
          </w:p>
        </w:tc>
        <w:tc>
          <w:tcPr>
            <w:tcW w:w="238" w:type="pct"/>
            <w:tcBorders>
              <w:top w:val="nil"/>
              <w:left w:val="nil"/>
              <w:bottom w:val="nil"/>
              <w:right w:val="nil"/>
            </w:tcBorders>
          </w:tcPr>
          <w:p w14:paraId="0A085B7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-0.03 </w:t>
            </w:r>
          </w:p>
        </w:tc>
        <w:tc>
          <w:tcPr>
            <w:tcW w:w="238" w:type="pct"/>
            <w:tcBorders>
              <w:top w:val="nil"/>
              <w:left w:val="nil"/>
              <w:bottom w:val="nil"/>
              <w:right w:val="nil"/>
            </w:tcBorders>
          </w:tcPr>
          <w:p w14:paraId="7DAAD8B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1E48226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-0.03 </w:t>
            </w:r>
          </w:p>
        </w:tc>
        <w:tc>
          <w:tcPr>
            <w:tcW w:w="238" w:type="pct"/>
            <w:tcBorders>
              <w:top w:val="nil"/>
              <w:left w:val="nil"/>
              <w:bottom w:val="nil"/>
              <w:right w:val="nil"/>
            </w:tcBorders>
          </w:tcPr>
          <w:p w14:paraId="505C4E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0.03 </w:t>
            </w:r>
          </w:p>
        </w:tc>
        <w:tc>
          <w:tcPr>
            <w:tcW w:w="238" w:type="pct"/>
            <w:tcBorders>
              <w:top w:val="nil"/>
              <w:left w:val="nil"/>
              <w:bottom w:val="nil"/>
              <w:right w:val="nil"/>
            </w:tcBorders>
          </w:tcPr>
          <w:p w14:paraId="00457E8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0.09 </w:t>
            </w:r>
          </w:p>
        </w:tc>
        <w:tc>
          <w:tcPr>
            <w:tcW w:w="238" w:type="pct"/>
            <w:tcBorders>
              <w:top w:val="nil"/>
              <w:left w:val="nil"/>
              <w:bottom w:val="nil"/>
              <w:right w:val="nil"/>
            </w:tcBorders>
          </w:tcPr>
          <w:p w14:paraId="0513E10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0.23 </w:t>
            </w:r>
          </w:p>
        </w:tc>
        <w:tc>
          <w:tcPr>
            <w:tcW w:w="238" w:type="pct"/>
            <w:tcBorders>
              <w:top w:val="nil"/>
              <w:left w:val="nil"/>
              <w:bottom w:val="nil"/>
              <w:right w:val="nil"/>
            </w:tcBorders>
          </w:tcPr>
          <w:p w14:paraId="66AC972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0.16 </w:t>
            </w:r>
          </w:p>
        </w:tc>
        <w:tc>
          <w:tcPr>
            <w:tcW w:w="238" w:type="pct"/>
            <w:tcBorders>
              <w:top w:val="nil"/>
              <w:left w:val="nil"/>
              <w:bottom w:val="nil"/>
              <w:right w:val="nil"/>
            </w:tcBorders>
          </w:tcPr>
          <w:p w14:paraId="06303BB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-0.09 </w:t>
            </w:r>
          </w:p>
        </w:tc>
        <w:tc>
          <w:tcPr>
            <w:tcW w:w="238" w:type="pct"/>
            <w:tcBorders>
              <w:top w:val="nil"/>
              <w:left w:val="nil"/>
              <w:bottom w:val="nil"/>
              <w:right w:val="nil"/>
            </w:tcBorders>
          </w:tcPr>
          <w:p w14:paraId="03701FD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7F83648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EB5A4C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497F569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52A834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AFBF8A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6F7E72F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E7E53F5" w14:textId="77777777" w:rsidTr="00116073">
        <w:trPr>
          <w:jc w:val="center"/>
        </w:trPr>
        <w:tc>
          <w:tcPr>
            <w:tcW w:w="720" w:type="pct"/>
            <w:tcBorders>
              <w:top w:val="nil"/>
              <w:left w:val="nil"/>
              <w:bottom w:val="nil"/>
              <w:right w:val="nil"/>
            </w:tcBorders>
          </w:tcPr>
          <w:p w14:paraId="72D68BC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(13) Lev</w:t>
            </w:r>
          </w:p>
        </w:tc>
        <w:tc>
          <w:tcPr>
            <w:tcW w:w="238" w:type="pct"/>
            <w:tcBorders>
              <w:top w:val="nil"/>
              <w:left w:val="nil"/>
              <w:bottom w:val="nil"/>
              <w:right w:val="nil"/>
            </w:tcBorders>
          </w:tcPr>
          <w:p w14:paraId="2BBD5CD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0.15 </w:t>
            </w:r>
          </w:p>
        </w:tc>
        <w:tc>
          <w:tcPr>
            <w:tcW w:w="238" w:type="pct"/>
            <w:tcBorders>
              <w:top w:val="nil"/>
              <w:left w:val="nil"/>
              <w:bottom w:val="nil"/>
              <w:right w:val="nil"/>
            </w:tcBorders>
          </w:tcPr>
          <w:p w14:paraId="1A9E536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0.16 </w:t>
            </w:r>
          </w:p>
        </w:tc>
        <w:tc>
          <w:tcPr>
            <w:tcW w:w="238" w:type="pct"/>
            <w:tcBorders>
              <w:top w:val="nil"/>
              <w:left w:val="nil"/>
              <w:bottom w:val="nil"/>
              <w:right w:val="nil"/>
            </w:tcBorders>
          </w:tcPr>
          <w:p w14:paraId="46F381D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0.03 </w:t>
            </w:r>
          </w:p>
        </w:tc>
        <w:tc>
          <w:tcPr>
            <w:tcW w:w="238" w:type="pct"/>
            <w:tcBorders>
              <w:top w:val="nil"/>
              <w:left w:val="nil"/>
              <w:bottom w:val="nil"/>
              <w:right w:val="nil"/>
            </w:tcBorders>
          </w:tcPr>
          <w:p w14:paraId="06C82D7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0.11 </w:t>
            </w:r>
          </w:p>
        </w:tc>
        <w:tc>
          <w:tcPr>
            <w:tcW w:w="238" w:type="pct"/>
            <w:tcBorders>
              <w:top w:val="nil"/>
              <w:left w:val="nil"/>
              <w:bottom w:val="nil"/>
              <w:right w:val="nil"/>
            </w:tcBorders>
          </w:tcPr>
          <w:p w14:paraId="4885998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-0.11 </w:t>
            </w:r>
          </w:p>
        </w:tc>
        <w:tc>
          <w:tcPr>
            <w:tcW w:w="238" w:type="pct"/>
            <w:tcBorders>
              <w:top w:val="nil"/>
              <w:left w:val="nil"/>
              <w:bottom w:val="nil"/>
              <w:right w:val="nil"/>
            </w:tcBorders>
          </w:tcPr>
          <w:p w14:paraId="485ED13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0.12 </w:t>
            </w:r>
          </w:p>
        </w:tc>
        <w:tc>
          <w:tcPr>
            <w:tcW w:w="238" w:type="pct"/>
            <w:tcBorders>
              <w:top w:val="nil"/>
              <w:left w:val="nil"/>
              <w:bottom w:val="nil"/>
              <w:right w:val="nil"/>
            </w:tcBorders>
          </w:tcPr>
          <w:p w14:paraId="788C0A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2F868D8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-0.11 </w:t>
            </w:r>
          </w:p>
        </w:tc>
        <w:tc>
          <w:tcPr>
            <w:tcW w:w="238" w:type="pct"/>
            <w:tcBorders>
              <w:top w:val="nil"/>
              <w:left w:val="nil"/>
              <w:bottom w:val="nil"/>
              <w:right w:val="nil"/>
            </w:tcBorders>
          </w:tcPr>
          <w:p w14:paraId="57F012B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3009CEF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-0.27 </w:t>
            </w:r>
          </w:p>
        </w:tc>
        <w:tc>
          <w:tcPr>
            <w:tcW w:w="238" w:type="pct"/>
            <w:tcBorders>
              <w:top w:val="nil"/>
              <w:left w:val="nil"/>
              <w:bottom w:val="nil"/>
              <w:right w:val="nil"/>
            </w:tcBorders>
          </w:tcPr>
          <w:p w14:paraId="0354C7B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0.56 </w:t>
            </w:r>
          </w:p>
        </w:tc>
        <w:tc>
          <w:tcPr>
            <w:tcW w:w="238" w:type="pct"/>
            <w:tcBorders>
              <w:top w:val="nil"/>
              <w:left w:val="nil"/>
              <w:bottom w:val="nil"/>
              <w:right w:val="nil"/>
            </w:tcBorders>
          </w:tcPr>
          <w:p w14:paraId="667DD0D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-0.44 </w:t>
            </w:r>
          </w:p>
        </w:tc>
        <w:tc>
          <w:tcPr>
            <w:tcW w:w="238" w:type="pct"/>
            <w:tcBorders>
              <w:top w:val="nil"/>
              <w:left w:val="nil"/>
              <w:bottom w:val="nil"/>
              <w:right w:val="nil"/>
            </w:tcBorders>
          </w:tcPr>
          <w:p w14:paraId="03C134B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260FA6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nil"/>
              <w:left w:val="nil"/>
              <w:bottom w:val="nil"/>
              <w:right w:val="nil"/>
            </w:tcBorders>
          </w:tcPr>
          <w:p w14:paraId="4165C19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7C0AA2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54B798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2B81D2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52320B6" w14:textId="77777777" w:rsidTr="00116073">
        <w:trPr>
          <w:jc w:val="center"/>
        </w:trPr>
        <w:tc>
          <w:tcPr>
            <w:tcW w:w="720" w:type="pct"/>
            <w:tcBorders>
              <w:top w:val="nil"/>
              <w:left w:val="nil"/>
              <w:bottom w:val="nil"/>
              <w:right w:val="nil"/>
            </w:tcBorders>
          </w:tcPr>
          <w:p w14:paraId="3F67B9C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(14) Correlation</w:t>
            </w:r>
          </w:p>
        </w:tc>
        <w:tc>
          <w:tcPr>
            <w:tcW w:w="238" w:type="pct"/>
            <w:tcBorders>
              <w:top w:val="nil"/>
              <w:left w:val="nil"/>
              <w:bottom w:val="nil"/>
              <w:right w:val="nil"/>
            </w:tcBorders>
          </w:tcPr>
          <w:p w14:paraId="094F67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 </w:t>
            </w:r>
          </w:p>
        </w:tc>
        <w:tc>
          <w:tcPr>
            <w:tcW w:w="238" w:type="pct"/>
            <w:tcBorders>
              <w:top w:val="nil"/>
              <w:left w:val="nil"/>
              <w:bottom w:val="nil"/>
              <w:right w:val="nil"/>
            </w:tcBorders>
          </w:tcPr>
          <w:p w14:paraId="464D1EA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 </w:t>
            </w:r>
          </w:p>
        </w:tc>
        <w:tc>
          <w:tcPr>
            <w:tcW w:w="238" w:type="pct"/>
            <w:tcBorders>
              <w:top w:val="nil"/>
              <w:left w:val="nil"/>
              <w:bottom w:val="nil"/>
              <w:right w:val="nil"/>
            </w:tcBorders>
          </w:tcPr>
          <w:p w14:paraId="179CB81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-0.04 </w:t>
            </w:r>
          </w:p>
        </w:tc>
        <w:tc>
          <w:tcPr>
            <w:tcW w:w="238" w:type="pct"/>
            <w:tcBorders>
              <w:top w:val="nil"/>
              <w:left w:val="nil"/>
              <w:bottom w:val="nil"/>
              <w:right w:val="nil"/>
            </w:tcBorders>
          </w:tcPr>
          <w:p w14:paraId="724F2D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0.03 </w:t>
            </w:r>
          </w:p>
        </w:tc>
        <w:tc>
          <w:tcPr>
            <w:tcW w:w="238" w:type="pct"/>
            <w:tcBorders>
              <w:top w:val="nil"/>
              <w:left w:val="nil"/>
              <w:bottom w:val="nil"/>
              <w:right w:val="nil"/>
            </w:tcBorders>
          </w:tcPr>
          <w:p w14:paraId="6296938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-0.09 </w:t>
            </w:r>
          </w:p>
        </w:tc>
        <w:tc>
          <w:tcPr>
            <w:tcW w:w="238" w:type="pct"/>
            <w:tcBorders>
              <w:top w:val="nil"/>
              <w:left w:val="nil"/>
              <w:bottom w:val="nil"/>
              <w:right w:val="nil"/>
            </w:tcBorders>
          </w:tcPr>
          <w:p w14:paraId="45A7005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32C57A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5CEAFA0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3D861D8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-0.09 </w:t>
            </w:r>
          </w:p>
        </w:tc>
        <w:tc>
          <w:tcPr>
            <w:tcW w:w="238" w:type="pct"/>
            <w:tcBorders>
              <w:top w:val="nil"/>
              <w:left w:val="nil"/>
              <w:bottom w:val="nil"/>
              <w:right w:val="nil"/>
            </w:tcBorders>
          </w:tcPr>
          <w:p w14:paraId="5D26C49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-0.19 </w:t>
            </w:r>
          </w:p>
        </w:tc>
        <w:tc>
          <w:tcPr>
            <w:tcW w:w="238" w:type="pct"/>
            <w:tcBorders>
              <w:top w:val="nil"/>
              <w:left w:val="nil"/>
              <w:bottom w:val="nil"/>
              <w:right w:val="nil"/>
            </w:tcBorders>
          </w:tcPr>
          <w:p w14:paraId="3350AF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0.00 </w:t>
            </w:r>
          </w:p>
        </w:tc>
        <w:tc>
          <w:tcPr>
            <w:tcW w:w="238" w:type="pct"/>
            <w:tcBorders>
              <w:top w:val="nil"/>
              <w:left w:val="nil"/>
              <w:bottom w:val="nil"/>
              <w:right w:val="nil"/>
            </w:tcBorders>
          </w:tcPr>
          <w:p w14:paraId="3975D26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781554F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0.03 </w:t>
            </w:r>
          </w:p>
        </w:tc>
        <w:tc>
          <w:tcPr>
            <w:tcW w:w="238" w:type="pct"/>
            <w:tcBorders>
              <w:top w:val="nil"/>
              <w:left w:val="nil"/>
              <w:bottom w:val="nil"/>
              <w:right w:val="nil"/>
            </w:tcBorders>
          </w:tcPr>
          <w:p w14:paraId="656A68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3E292A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8" w:type="pct"/>
            <w:tcBorders>
              <w:top w:val="nil"/>
              <w:left w:val="nil"/>
              <w:bottom w:val="nil"/>
              <w:right w:val="nil"/>
            </w:tcBorders>
          </w:tcPr>
          <w:p w14:paraId="4C55334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7B9C63D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9AEE20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92A3980" w14:textId="77777777" w:rsidTr="00116073">
        <w:trPr>
          <w:jc w:val="center"/>
        </w:trPr>
        <w:tc>
          <w:tcPr>
            <w:tcW w:w="720" w:type="pct"/>
            <w:tcBorders>
              <w:top w:val="nil"/>
              <w:left w:val="nil"/>
              <w:right w:val="nil"/>
            </w:tcBorders>
          </w:tcPr>
          <w:p w14:paraId="2FAA8FA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 xml:space="preserve">(15) </w:t>
            </w:r>
            <w:proofErr w:type="spellStart"/>
            <w:r w:rsidRPr="004E7E5A">
              <w:rPr>
                <w:rFonts w:ascii="Times New Roman" w:hAnsi="Times New Roman"/>
                <w:i/>
                <w:iCs/>
                <w:color w:val="000000" w:themeColor="text1"/>
                <w:kern w:val="0"/>
                <w:sz w:val="24"/>
                <w:szCs w:val="24"/>
              </w:rPr>
              <w:t>Fixasset</w:t>
            </w:r>
            <w:proofErr w:type="spellEnd"/>
          </w:p>
        </w:tc>
        <w:tc>
          <w:tcPr>
            <w:tcW w:w="238" w:type="pct"/>
            <w:tcBorders>
              <w:top w:val="nil"/>
              <w:left w:val="nil"/>
              <w:right w:val="nil"/>
            </w:tcBorders>
          </w:tcPr>
          <w:p w14:paraId="3D54DF1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right w:val="nil"/>
            </w:tcBorders>
          </w:tcPr>
          <w:p w14:paraId="7BFF59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 </w:t>
            </w:r>
          </w:p>
        </w:tc>
        <w:tc>
          <w:tcPr>
            <w:tcW w:w="238" w:type="pct"/>
            <w:tcBorders>
              <w:top w:val="nil"/>
              <w:left w:val="nil"/>
              <w:right w:val="nil"/>
            </w:tcBorders>
          </w:tcPr>
          <w:p w14:paraId="0E23509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-0.09 </w:t>
            </w:r>
          </w:p>
        </w:tc>
        <w:tc>
          <w:tcPr>
            <w:tcW w:w="238" w:type="pct"/>
            <w:tcBorders>
              <w:top w:val="nil"/>
              <w:left w:val="nil"/>
              <w:right w:val="nil"/>
            </w:tcBorders>
          </w:tcPr>
          <w:p w14:paraId="7BD7F7C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0.21 </w:t>
            </w:r>
          </w:p>
        </w:tc>
        <w:tc>
          <w:tcPr>
            <w:tcW w:w="238" w:type="pct"/>
            <w:tcBorders>
              <w:top w:val="nil"/>
              <w:left w:val="nil"/>
              <w:right w:val="nil"/>
            </w:tcBorders>
          </w:tcPr>
          <w:p w14:paraId="2749E40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-0.05 </w:t>
            </w:r>
          </w:p>
        </w:tc>
        <w:tc>
          <w:tcPr>
            <w:tcW w:w="238" w:type="pct"/>
            <w:tcBorders>
              <w:top w:val="nil"/>
              <w:left w:val="nil"/>
              <w:right w:val="nil"/>
            </w:tcBorders>
          </w:tcPr>
          <w:p w14:paraId="58BE1D9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0.06 </w:t>
            </w:r>
          </w:p>
        </w:tc>
        <w:tc>
          <w:tcPr>
            <w:tcW w:w="238" w:type="pct"/>
            <w:tcBorders>
              <w:top w:val="nil"/>
              <w:left w:val="nil"/>
              <w:right w:val="nil"/>
            </w:tcBorders>
          </w:tcPr>
          <w:p w14:paraId="1081E80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right w:val="nil"/>
            </w:tcBorders>
          </w:tcPr>
          <w:p w14:paraId="62AFE50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-0.11 </w:t>
            </w:r>
          </w:p>
        </w:tc>
        <w:tc>
          <w:tcPr>
            <w:tcW w:w="238" w:type="pct"/>
            <w:tcBorders>
              <w:top w:val="nil"/>
              <w:left w:val="nil"/>
              <w:right w:val="nil"/>
            </w:tcBorders>
          </w:tcPr>
          <w:p w14:paraId="10F33BF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-0.18 </w:t>
            </w:r>
          </w:p>
        </w:tc>
        <w:tc>
          <w:tcPr>
            <w:tcW w:w="238" w:type="pct"/>
            <w:tcBorders>
              <w:top w:val="nil"/>
              <w:left w:val="nil"/>
              <w:right w:val="nil"/>
            </w:tcBorders>
          </w:tcPr>
          <w:p w14:paraId="5E50C34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-0.14 </w:t>
            </w:r>
          </w:p>
        </w:tc>
        <w:tc>
          <w:tcPr>
            <w:tcW w:w="238" w:type="pct"/>
            <w:tcBorders>
              <w:top w:val="nil"/>
              <w:left w:val="nil"/>
              <w:right w:val="nil"/>
            </w:tcBorders>
          </w:tcPr>
          <w:p w14:paraId="5B5F81D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right w:val="nil"/>
            </w:tcBorders>
          </w:tcPr>
          <w:p w14:paraId="7A05A85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-0.16 </w:t>
            </w:r>
          </w:p>
        </w:tc>
        <w:tc>
          <w:tcPr>
            <w:tcW w:w="238" w:type="pct"/>
            <w:tcBorders>
              <w:top w:val="nil"/>
              <w:left w:val="nil"/>
              <w:right w:val="nil"/>
            </w:tcBorders>
          </w:tcPr>
          <w:p w14:paraId="46170BA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0.04 </w:t>
            </w:r>
          </w:p>
        </w:tc>
        <w:tc>
          <w:tcPr>
            <w:tcW w:w="238" w:type="pct"/>
            <w:tcBorders>
              <w:top w:val="nil"/>
              <w:left w:val="nil"/>
              <w:right w:val="nil"/>
            </w:tcBorders>
          </w:tcPr>
          <w:p w14:paraId="7D26286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0.09 </w:t>
            </w:r>
          </w:p>
        </w:tc>
        <w:tc>
          <w:tcPr>
            <w:tcW w:w="238" w:type="pct"/>
            <w:tcBorders>
              <w:top w:val="nil"/>
              <w:left w:val="nil"/>
              <w:right w:val="nil"/>
            </w:tcBorders>
          </w:tcPr>
          <w:p w14:paraId="3BE80BF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right w:val="nil"/>
            </w:tcBorders>
          </w:tcPr>
          <w:p w14:paraId="5020175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right w:val="nil"/>
            </w:tcBorders>
          </w:tcPr>
          <w:p w14:paraId="7A2B395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right w:val="nil"/>
            </w:tcBorders>
          </w:tcPr>
          <w:p w14:paraId="6742CF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C582B72" w14:textId="77777777" w:rsidTr="00116073">
        <w:tblPrEx>
          <w:tblBorders>
            <w:bottom w:val="single" w:sz="6" w:space="0" w:color="auto"/>
          </w:tblBorders>
        </w:tblPrEx>
        <w:trPr>
          <w:jc w:val="center"/>
        </w:trPr>
        <w:tc>
          <w:tcPr>
            <w:tcW w:w="720" w:type="pct"/>
            <w:tcBorders>
              <w:top w:val="nil"/>
              <w:left w:val="nil"/>
              <w:bottom w:val="nil"/>
              <w:right w:val="nil"/>
            </w:tcBorders>
          </w:tcPr>
          <w:p w14:paraId="33EC910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(16) Share</w:t>
            </w:r>
          </w:p>
        </w:tc>
        <w:tc>
          <w:tcPr>
            <w:tcW w:w="238" w:type="pct"/>
            <w:tcBorders>
              <w:top w:val="nil"/>
              <w:left w:val="nil"/>
              <w:bottom w:val="nil"/>
              <w:right w:val="nil"/>
            </w:tcBorders>
          </w:tcPr>
          <w:p w14:paraId="1585B0B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0.23 </w:t>
            </w:r>
          </w:p>
        </w:tc>
        <w:tc>
          <w:tcPr>
            <w:tcW w:w="238" w:type="pct"/>
            <w:tcBorders>
              <w:top w:val="nil"/>
              <w:left w:val="nil"/>
              <w:bottom w:val="nil"/>
              <w:right w:val="nil"/>
            </w:tcBorders>
          </w:tcPr>
          <w:p w14:paraId="44D8FBC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0.06 </w:t>
            </w:r>
          </w:p>
        </w:tc>
        <w:tc>
          <w:tcPr>
            <w:tcW w:w="238" w:type="pct"/>
            <w:tcBorders>
              <w:top w:val="nil"/>
              <w:left w:val="nil"/>
              <w:bottom w:val="nil"/>
              <w:right w:val="nil"/>
            </w:tcBorders>
          </w:tcPr>
          <w:p w14:paraId="5340BE7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75D7B0A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0.06 </w:t>
            </w:r>
          </w:p>
        </w:tc>
        <w:tc>
          <w:tcPr>
            <w:tcW w:w="238" w:type="pct"/>
            <w:tcBorders>
              <w:top w:val="nil"/>
              <w:left w:val="nil"/>
              <w:bottom w:val="nil"/>
              <w:right w:val="nil"/>
            </w:tcBorders>
          </w:tcPr>
          <w:p w14:paraId="6EA0ACD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-0.10 </w:t>
            </w:r>
          </w:p>
        </w:tc>
        <w:tc>
          <w:tcPr>
            <w:tcW w:w="238" w:type="pct"/>
            <w:tcBorders>
              <w:top w:val="nil"/>
              <w:left w:val="nil"/>
              <w:bottom w:val="nil"/>
              <w:right w:val="nil"/>
            </w:tcBorders>
          </w:tcPr>
          <w:p w14:paraId="25139A8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0.14 </w:t>
            </w:r>
          </w:p>
        </w:tc>
        <w:tc>
          <w:tcPr>
            <w:tcW w:w="238" w:type="pct"/>
            <w:tcBorders>
              <w:top w:val="nil"/>
              <w:left w:val="nil"/>
              <w:bottom w:val="nil"/>
              <w:right w:val="nil"/>
            </w:tcBorders>
          </w:tcPr>
          <w:p w14:paraId="7C1C38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61C1076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-0.04 </w:t>
            </w:r>
          </w:p>
        </w:tc>
        <w:tc>
          <w:tcPr>
            <w:tcW w:w="238" w:type="pct"/>
            <w:tcBorders>
              <w:top w:val="nil"/>
              <w:left w:val="nil"/>
              <w:bottom w:val="nil"/>
              <w:right w:val="nil"/>
            </w:tcBorders>
          </w:tcPr>
          <w:p w14:paraId="45451D6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 </w:t>
            </w:r>
          </w:p>
        </w:tc>
        <w:tc>
          <w:tcPr>
            <w:tcW w:w="238" w:type="pct"/>
            <w:tcBorders>
              <w:top w:val="nil"/>
              <w:left w:val="nil"/>
              <w:bottom w:val="nil"/>
              <w:right w:val="nil"/>
            </w:tcBorders>
          </w:tcPr>
          <w:p w14:paraId="0786F53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5F79A97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0.27 </w:t>
            </w:r>
          </w:p>
        </w:tc>
        <w:tc>
          <w:tcPr>
            <w:tcW w:w="238" w:type="pct"/>
            <w:tcBorders>
              <w:top w:val="nil"/>
              <w:left w:val="nil"/>
              <w:bottom w:val="nil"/>
              <w:right w:val="nil"/>
            </w:tcBorders>
          </w:tcPr>
          <w:p w14:paraId="5967822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0.14 </w:t>
            </w:r>
          </w:p>
        </w:tc>
        <w:tc>
          <w:tcPr>
            <w:tcW w:w="238" w:type="pct"/>
            <w:tcBorders>
              <w:top w:val="nil"/>
              <w:left w:val="nil"/>
              <w:bottom w:val="nil"/>
              <w:right w:val="nil"/>
            </w:tcBorders>
          </w:tcPr>
          <w:p w14:paraId="72F86A3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0.02 </w:t>
            </w:r>
          </w:p>
        </w:tc>
        <w:tc>
          <w:tcPr>
            <w:tcW w:w="238" w:type="pct"/>
            <w:tcBorders>
              <w:top w:val="nil"/>
              <w:left w:val="nil"/>
              <w:bottom w:val="nil"/>
              <w:right w:val="nil"/>
            </w:tcBorders>
          </w:tcPr>
          <w:p w14:paraId="3F103A6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-0.08 </w:t>
            </w:r>
          </w:p>
        </w:tc>
        <w:tc>
          <w:tcPr>
            <w:tcW w:w="238" w:type="pct"/>
            <w:tcBorders>
              <w:top w:val="nil"/>
              <w:left w:val="nil"/>
              <w:bottom w:val="nil"/>
              <w:right w:val="nil"/>
            </w:tcBorders>
          </w:tcPr>
          <w:p w14:paraId="6C9CE9F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5AC888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5A1D832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238" w:type="pct"/>
            <w:tcBorders>
              <w:top w:val="nil"/>
              <w:left w:val="nil"/>
              <w:bottom w:val="nil"/>
              <w:right w:val="nil"/>
            </w:tcBorders>
          </w:tcPr>
          <w:p w14:paraId="393DA10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47DF6DD3" w14:textId="77777777" w:rsidTr="00116073">
        <w:tblPrEx>
          <w:tblBorders>
            <w:bottom w:val="single" w:sz="6" w:space="0" w:color="auto"/>
          </w:tblBorders>
        </w:tblPrEx>
        <w:trPr>
          <w:jc w:val="center"/>
        </w:trPr>
        <w:tc>
          <w:tcPr>
            <w:tcW w:w="720" w:type="pct"/>
            <w:tcBorders>
              <w:top w:val="nil"/>
              <w:left w:val="nil"/>
              <w:bottom w:val="nil"/>
              <w:right w:val="nil"/>
            </w:tcBorders>
          </w:tcPr>
          <w:p w14:paraId="2D875EF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 xml:space="preserve">(17) </w:t>
            </w:r>
            <w:proofErr w:type="spellStart"/>
            <w:r w:rsidRPr="004E7E5A">
              <w:rPr>
                <w:rFonts w:ascii="Times New Roman" w:hAnsi="Times New Roman"/>
                <w:i/>
                <w:iCs/>
                <w:color w:val="000000" w:themeColor="text1"/>
                <w:kern w:val="0"/>
                <w:sz w:val="24"/>
                <w:szCs w:val="24"/>
              </w:rPr>
              <w:t>Soe</w:t>
            </w:r>
            <w:proofErr w:type="spellEnd"/>
          </w:p>
        </w:tc>
        <w:tc>
          <w:tcPr>
            <w:tcW w:w="238" w:type="pct"/>
            <w:tcBorders>
              <w:top w:val="nil"/>
              <w:left w:val="nil"/>
              <w:bottom w:val="nil"/>
              <w:right w:val="nil"/>
            </w:tcBorders>
          </w:tcPr>
          <w:p w14:paraId="3D5356E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0.16 </w:t>
            </w:r>
          </w:p>
        </w:tc>
        <w:tc>
          <w:tcPr>
            <w:tcW w:w="238" w:type="pct"/>
            <w:tcBorders>
              <w:top w:val="nil"/>
              <w:left w:val="nil"/>
              <w:bottom w:val="nil"/>
              <w:right w:val="nil"/>
            </w:tcBorders>
          </w:tcPr>
          <w:p w14:paraId="413939E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0.17 </w:t>
            </w:r>
          </w:p>
        </w:tc>
        <w:tc>
          <w:tcPr>
            <w:tcW w:w="238" w:type="pct"/>
            <w:tcBorders>
              <w:top w:val="nil"/>
              <w:left w:val="nil"/>
              <w:bottom w:val="nil"/>
              <w:right w:val="nil"/>
            </w:tcBorders>
          </w:tcPr>
          <w:p w14:paraId="4B6F1AE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-0.03 </w:t>
            </w:r>
          </w:p>
        </w:tc>
        <w:tc>
          <w:tcPr>
            <w:tcW w:w="238" w:type="pct"/>
            <w:tcBorders>
              <w:top w:val="nil"/>
              <w:left w:val="nil"/>
              <w:bottom w:val="nil"/>
              <w:right w:val="nil"/>
            </w:tcBorders>
          </w:tcPr>
          <w:p w14:paraId="0068BEE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0.25 </w:t>
            </w:r>
          </w:p>
        </w:tc>
        <w:tc>
          <w:tcPr>
            <w:tcW w:w="238" w:type="pct"/>
            <w:tcBorders>
              <w:top w:val="nil"/>
              <w:left w:val="nil"/>
              <w:bottom w:val="nil"/>
              <w:right w:val="nil"/>
            </w:tcBorders>
          </w:tcPr>
          <w:p w14:paraId="4D71793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-0.22 </w:t>
            </w:r>
          </w:p>
        </w:tc>
        <w:tc>
          <w:tcPr>
            <w:tcW w:w="238" w:type="pct"/>
            <w:tcBorders>
              <w:top w:val="nil"/>
              <w:left w:val="nil"/>
              <w:bottom w:val="nil"/>
              <w:right w:val="nil"/>
            </w:tcBorders>
          </w:tcPr>
          <w:p w14:paraId="15441B2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0.27 </w:t>
            </w:r>
          </w:p>
        </w:tc>
        <w:tc>
          <w:tcPr>
            <w:tcW w:w="238" w:type="pct"/>
            <w:tcBorders>
              <w:top w:val="nil"/>
              <w:left w:val="nil"/>
              <w:bottom w:val="nil"/>
              <w:right w:val="nil"/>
            </w:tcBorders>
          </w:tcPr>
          <w:p w14:paraId="70D1BBA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nil"/>
              <w:right w:val="nil"/>
            </w:tcBorders>
          </w:tcPr>
          <w:p w14:paraId="3918900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-0.30 </w:t>
            </w:r>
          </w:p>
        </w:tc>
        <w:tc>
          <w:tcPr>
            <w:tcW w:w="238" w:type="pct"/>
            <w:tcBorders>
              <w:top w:val="nil"/>
              <w:left w:val="nil"/>
              <w:bottom w:val="nil"/>
              <w:right w:val="nil"/>
            </w:tcBorders>
          </w:tcPr>
          <w:p w14:paraId="7E5ACD6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-0.17 </w:t>
            </w:r>
          </w:p>
        </w:tc>
        <w:tc>
          <w:tcPr>
            <w:tcW w:w="238" w:type="pct"/>
            <w:tcBorders>
              <w:top w:val="nil"/>
              <w:left w:val="nil"/>
              <w:bottom w:val="nil"/>
              <w:right w:val="nil"/>
            </w:tcBorders>
          </w:tcPr>
          <w:p w14:paraId="7C881A8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-0.49 </w:t>
            </w:r>
          </w:p>
        </w:tc>
        <w:tc>
          <w:tcPr>
            <w:tcW w:w="238" w:type="pct"/>
            <w:tcBorders>
              <w:top w:val="nil"/>
              <w:left w:val="nil"/>
              <w:bottom w:val="nil"/>
              <w:right w:val="nil"/>
            </w:tcBorders>
          </w:tcPr>
          <w:p w14:paraId="0C6F7D8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0.30 </w:t>
            </w:r>
          </w:p>
        </w:tc>
        <w:tc>
          <w:tcPr>
            <w:tcW w:w="238" w:type="pct"/>
            <w:tcBorders>
              <w:top w:val="nil"/>
              <w:left w:val="nil"/>
              <w:bottom w:val="nil"/>
              <w:right w:val="nil"/>
            </w:tcBorders>
          </w:tcPr>
          <w:p w14:paraId="2C30341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-0.17 </w:t>
            </w:r>
          </w:p>
        </w:tc>
        <w:tc>
          <w:tcPr>
            <w:tcW w:w="238" w:type="pct"/>
            <w:tcBorders>
              <w:top w:val="nil"/>
              <w:left w:val="nil"/>
              <w:bottom w:val="nil"/>
              <w:right w:val="nil"/>
            </w:tcBorders>
          </w:tcPr>
          <w:p w14:paraId="504BDE4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0.22 </w:t>
            </w:r>
          </w:p>
        </w:tc>
        <w:tc>
          <w:tcPr>
            <w:tcW w:w="238" w:type="pct"/>
            <w:tcBorders>
              <w:top w:val="nil"/>
              <w:left w:val="nil"/>
              <w:bottom w:val="nil"/>
              <w:right w:val="nil"/>
            </w:tcBorders>
          </w:tcPr>
          <w:p w14:paraId="099A336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0.18 </w:t>
            </w:r>
          </w:p>
        </w:tc>
        <w:tc>
          <w:tcPr>
            <w:tcW w:w="238" w:type="pct"/>
            <w:tcBorders>
              <w:top w:val="nil"/>
              <w:left w:val="nil"/>
              <w:bottom w:val="nil"/>
              <w:right w:val="nil"/>
            </w:tcBorders>
          </w:tcPr>
          <w:p w14:paraId="7BB32E2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0.18 </w:t>
            </w:r>
          </w:p>
        </w:tc>
        <w:tc>
          <w:tcPr>
            <w:tcW w:w="238" w:type="pct"/>
            <w:tcBorders>
              <w:top w:val="nil"/>
              <w:left w:val="nil"/>
              <w:bottom w:val="nil"/>
              <w:right w:val="nil"/>
            </w:tcBorders>
          </w:tcPr>
          <w:p w14:paraId="23FE039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0.12 </w:t>
            </w:r>
          </w:p>
        </w:tc>
        <w:tc>
          <w:tcPr>
            <w:tcW w:w="238" w:type="pct"/>
            <w:tcBorders>
              <w:top w:val="nil"/>
              <w:left w:val="nil"/>
              <w:bottom w:val="nil"/>
              <w:right w:val="nil"/>
            </w:tcBorders>
          </w:tcPr>
          <w:p w14:paraId="62DD13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c>
          <w:tcPr>
            <w:tcW w:w="238" w:type="pct"/>
            <w:tcBorders>
              <w:top w:val="nil"/>
              <w:left w:val="nil"/>
              <w:bottom w:val="nil"/>
              <w:right w:val="nil"/>
            </w:tcBorders>
          </w:tcPr>
          <w:p w14:paraId="564C4A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C7BDB67" w14:textId="77777777" w:rsidTr="00116073">
        <w:tblPrEx>
          <w:tblBorders>
            <w:bottom w:val="single" w:sz="6" w:space="0" w:color="auto"/>
          </w:tblBorders>
        </w:tblPrEx>
        <w:trPr>
          <w:jc w:val="center"/>
        </w:trPr>
        <w:tc>
          <w:tcPr>
            <w:tcW w:w="720" w:type="pct"/>
            <w:tcBorders>
              <w:top w:val="nil"/>
              <w:left w:val="nil"/>
              <w:bottom w:val="single" w:sz="4" w:space="0" w:color="auto"/>
              <w:right w:val="nil"/>
            </w:tcBorders>
          </w:tcPr>
          <w:p w14:paraId="6185041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(18) Firm age</w:t>
            </w:r>
          </w:p>
        </w:tc>
        <w:tc>
          <w:tcPr>
            <w:tcW w:w="238" w:type="pct"/>
            <w:tcBorders>
              <w:top w:val="nil"/>
              <w:left w:val="nil"/>
              <w:bottom w:val="single" w:sz="4" w:space="0" w:color="auto"/>
              <w:right w:val="nil"/>
            </w:tcBorders>
          </w:tcPr>
          <w:p w14:paraId="46FA579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0.05 </w:t>
            </w:r>
          </w:p>
        </w:tc>
        <w:tc>
          <w:tcPr>
            <w:tcW w:w="238" w:type="pct"/>
            <w:tcBorders>
              <w:top w:val="nil"/>
              <w:left w:val="nil"/>
              <w:bottom w:val="single" w:sz="4" w:space="0" w:color="auto"/>
              <w:right w:val="nil"/>
            </w:tcBorders>
          </w:tcPr>
          <w:p w14:paraId="0CFF446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0.10 </w:t>
            </w:r>
          </w:p>
        </w:tc>
        <w:tc>
          <w:tcPr>
            <w:tcW w:w="238" w:type="pct"/>
            <w:tcBorders>
              <w:top w:val="nil"/>
              <w:left w:val="nil"/>
              <w:bottom w:val="single" w:sz="4" w:space="0" w:color="auto"/>
              <w:right w:val="nil"/>
            </w:tcBorders>
          </w:tcPr>
          <w:p w14:paraId="37EEEE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-0.03 </w:t>
            </w:r>
          </w:p>
        </w:tc>
        <w:tc>
          <w:tcPr>
            <w:tcW w:w="238" w:type="pct"/>
            <w:tcBorders>
              <w:top w:val="nil"/>
              <w:left w:val="nil"/>
              <w:bottom w:val="single" w:sz="4" w:space="0" w:color="auto"/>
              <w:right w:val="nil"/>
            </w:tcBorders>
          </w:tcPr>
          <w:p w14:paraId="644AB18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0.07 </w:t>
            </w:r>
          </w:p>
        </w:tc>
        <w:tc>
          <w:tcPr>
            <w:tcW w:w="238" w:type="pct"/>
            <w:tcBorders>
              <w:top w:val="nil"/>
              <w:left w:val="nil"/>
              <w:bottom w:val="single" w:sz="4" w:space="0" w:color="auto"/>
              <w:right w:val="nil"/>
            </w:tcBorders>
          </w:tcPr>
          <w:p w14:paraId="2088E66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0.04 </w:t>
            </w:r>
          </w:p>
        </w:tc>
        <w:tc>
          <w:tcPr>
            <w:tcW w:w="238" w:type="pct"/>
            <w:tcBorders>
              <w:top w:val="nil"/>
              <w:left w:val="nil"/>
              <w:bottom w:val="single" w:sz="4" w:space="0" w:color="auto"/>
              <w:right w:val="nil"/>
            </w:tcBorders>
          </w:tcPr>
          <w:p w14:paraId="3EFBC1E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0.15 </w:t>
            </w:r>
          </w:p>
        </w:tc>
        <w:tc>
          <w:tcPr>
            <w:tcW w:w="238" w:type="pct"/>
            <w:tcBorders>
              <w:top w:val="nil"/>
              <w:left w:val="nil"/>
              <w:bottom w:val="single" w:sz="4" w:space="0" w:color="auto"/>
              <w:right w:val="nil"/>
            </w:tcBorders>
          </w:tcPr>
          <w:p w14:paraId="5B4A95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-0.03 </w:t>
            </w:r>
          </w:p>
        </w:tc>
        <w:tc>
          <w:tcPr>
            <w:tcW w:w="238" w:type="pct"/>
            <w:tcBorders>
              <w:top w:val="nil"/>
              <w:left w:val="nil"/>
              <w:bottom w:val="single" w:sz="4" w:space="0" w:color="auto"/>
              <w:right w:val="nil"/>
            </w:tcBorders>
          </w:tcPr>
          <w:p w14:paraId="575666D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-0.16 </w:t>
            </w:r>
          </w:p>
        </w:tc>
        <w:tc>
          <w:tcPr>
            <w:tcW w:w="238" w:type="pct"/>
            <w:tcBorders>
              <w:top w:val="nil"/>
              <w:left w:val="nil"/>
              <w:bottom w:val="single" w:sz="4" w:space="0" w:color="auto"/>
              <w:right w:val="nil"/>
            </w:tcBorders>
          </w:tcPr>
          <w:p w14:paraId="28B4B61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0.06 </w:t>
            </w:r>
          </w:p>
        </w:tc>
        <w:tc>
          <w:tcPr>
            <w:tcW w:w="238" w:type="pct"/>
            <w:tcBorders>
              <w:top w:val="nil"/>
              <w:left w:val="nil"/>
              <w:bottom w:val="single" w:sz="4" w:space="0" w:color="auto"/>
              <w:right w:val="nil"/>
            </w:tcBorders>
          </w:tcPr>
          <w:p w14:paraId="37BAD56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-0.47 </w:t>
            </w:r>
          </w:p>
        </w:tc>
        <w:tc>
          <w:tcPr>
            <w:tcW w:w="238" w:type="pct"/>
            <w:tcBorders>
              <w:top w:val="nil"/>
              <w:left w:val="nil"/>
              <w:bottom w:val="single" w:sz="4" w:space="0" w:color="auto"/>
              <w:right w:val="nil"/>
            </w:tcBorders>
          </w:tcPr>
          <w:p w14:paraId="159A38C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0.25 </w:t>
            </w:r>
          </w:p>
        </w:tc>
        <w:tc>
          <w:tcPr>
            <w:tcW w:w="238" w:type="pct"/>
            <w:tcBorders>
              <w:top w:val="nil"/>
              <w:left w:val="nil"/>
              <w:bottom w:val="single" w:sz="4" w:space="0" w:color="auto"/>
              <w:right w:val="nil"/>
            </w:tcBorders>
          </w:tcPr>
          <w:p w14:paraId="5880C1A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-0.17 </w:t>
            </w:r>
          </w:p>
        </w:tc>
        <w:tc>
          <w:tcPr>
            <w:tcW w:w="238" w:type="pct"/>
            <w:tcBorders>
              <w:top w:val="nil"/>
              <w:left w:val="nil"/>
              <w:bottom w:val="single" w:sz="4" w:space="0" w:color="auto"/>
              <w:right w:val="nil"/>
            </w:tcBorders>
          </w:tcPr>
          <w:p w14:paraId="5E92B0B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0.25 </w:t>
            </w:r>
          </w:p>
        </w:tc>
        <w:tc>
          <w:tcPr>
            <w:tcW w:w="238" w:type="pct"/>
            <w:tcBorders>
              <w:top w:val="nil"/>
              <w:left w:val="nil"/>
              <w:bottom w:val="single" w:sz="4" w:space="0" w:color="auto"/>
              <w:right w:val="nil"/>
            </w:tcBorders>
          </w:tcPr>
          <w:p w14:paraId="3C93008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0.11 </w:t>
            </w:r>
          </w:p>
        </w:tc>
        <w:tc>
          <w:tcPr>
            <w:tcW w:w="238" w:type="pct"/>
            <w:tcBorders>
              <w:top w:val="nil"/>
              <w:left w:val="nil"/>
              <w:bottom w:val="single" w:sz="4" w:space="0" w:color="auto"/>
              <w:right w:val="nil"/>
            </w:tcBorders>
          </w:tcPr>
          <w:p w14:paraId="6E88FC6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-0.01 </w:t>
            </w:r>
          </w:p>
        </w:tc>
        <w:tc>
          <w:tcPr>
            <w:tcW w:w="238" w:type="pct"/>
            <w:tcBorders>
              <w:top w:val="nil"/>
              <w:left w:val="nil"/>
              <w:bottom w:val="single" w:sz="4" w:space="0" w:color="auto"/>
              <w:right w:val="nil"/>
            </w:tcBorders>
          </w:tcPr>
          <w:p w14:paraId="1848242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-0.27 </w:t>
            </w:r>
          </w:p>
        </w:tc>
        <w:tc>
          <w:tcPr>
            <w:tcW w:w="238" w:type="pct"/>
            <w:tcBorders>
              <w:top w:val="nil"/>
              <w:left w:val="nil"/>
              <w:bottom w:val="single" w:sz="4" w:space="0" w:color="auto"/>
              <w:right w:val="nil"/>
            </w:tcBorders>
          </w:tcPr>
          <w:p w14:paraId="229FEE7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sz w:val="24"/>
                <w:szCs w:val="24"/>
              </w:rPr>
              <w:t xml:space="preserve">0.31 </w:t>
            </w:r>
          </w:p>
        </w:tc>
        <w:tc>
          <w:tcPr>
            <w:tcW w:w="238" w:type="pct"/>
            <w:tcBorders>
              <w:top w:val="nil"/>
              <w:left w:val="nil"/>
              <w:bottom w:val="single" w:sz="4" w:space="0" w:color="auto"/>
              <w:right w:val="nil"/>
            </w:tcBorders>
          </w:tcPr>
          <w:p w14:paraId="6C8C46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sz w:val="24"/>
                <w:szCs w:val="24"/>
              </w:rPr>
              <w:t xml:space="preserve">1.00 </w:t>
            </w:r>
          </w:p>
        </w:tc>
      </w:tr>
    </w:tbl>
    <w:p w14:paraId="169CD736" w14:textId="77777777" w:rsidR="00A53CFE" w:rsidRPr="004E7E5A" w:rsidRDefault="00A53CFE" w:rsidP="00A53CFE">
      <w:pPr>
        <w:autoSpaceDE w:val="0"/>
        <w:autoSpaceDN w:val="0"/>
        <w:adjustRightInd w:val="0"/>
        <w:ind w:leftChars="50" w:left="105" w:rightChars="50" w:right="105"/>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 xml:space="preserve">This table shows the </w:t>
      </w:r>
      <w:proofErr w:type="spellStart"/>
      <w:r w:rsidRPr="004E7E5A">
        <w:rPr>
          <w:rFonts w:ascii="Times New Roman" w:hAnsi="Times New Roman"/>
          <w:color w:val="000000" w:themeColor="text1"/>
          <w:kern w:val="0"/>
          <w:sz w:val="24"/>
          <w:szCs w:val="24"/>
        </w:rPr>
        <w:t>pearson</w:t>
      </w:r>
      <w:proofErr w:type="spellEnd"/>
      <w:r w:rsidRPr="004E7E5A">
        <w:rPr>
          <w:rFonts w:ascii="Times New Roman" w:hAnsi="Times New Roman"/>
          <w:color w:val="000000" w:themeColor="text1"/>
          <w:kern w:val="0"/>
          <w:sz w:val="24"/>
          <w:szCs w:val="24"/>
        </w:rPr>
        <w:t xml:space="preserve"> correlations for the main variables used in this paper. Bold correlation coefficients represent significance at the 0.05 level. All variables are </w:t>
      </w:r>
      <w:proofErr w:type="spellStart"/>
      <w:r w:rsidRPr="004E7E5A">
        <w:rPr>
          <w:rFonts w:ascii="Times New Roman" w:hAnsi="Times New Roman"/>
          <w:color w:val="000000" w:themeColor="text1"/>
          <w:kern w:val="0"/>
          <w:sz w:val="24"/>
          <w:szCs w:val="24"/>
        </w:rPr>
        <w:t>winsorized</w:t>
      </w:r>
      <w:proofErr w:type="spellEnd"/>
      <w:r w:rsidRPr="004E7E5A">
        <w:rPr>
          <w:rFonts w:ascii="Times New Roman" w:hAnsi="Times New Roman"/>
          <w:color w:val="000000" w:themeColor="text1"/>
          <w:kern w:val="0"/>
          <w:sz w:val="24"/>
          <w:szCs w:val="24"/>
        </w:rPr>
        <w:t xml:space="preserve"> at the 1 and 99 percentiles of the distribution. The number of observations is 3986. All variable definitions are provided in Appendix A.</w:t>
      </w:r>
    </w:p>
    <w:p w14:paraId="19F8EF76"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7E074839"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sectPr w:rsidR="00A53CFE" w:rsidRPr="004E7E5A" w:rsidSect="002F3005">
          <w:pgSz w:w="16838" w:h="11906" w:orient="landscape"/>
          <w:pgMar w:top="1418" w:right="1361" w:bottom="1418" w:left="1701" w:header="1134" w:footer="1134" w:gutter="0"/>
          <w:cols w:space="425"/>
          <w:docGrid w:type="lines" w:linePitch="312"/>
        </w:sectPr>
      </w:pPr>
    </w:p>
    <w:p w14:paraId="786AA20C" w14:textId="37821AFE"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4</w:t>
      </w:r>
    </w:p>
    <w:p w14:paraId="2DD7A391"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First-Stage Regressions of 2SLS Model for Testing the Influence of Directors’ Network on CSR Disclosure Quality</w:t>
      </w:r>
    </w:p>
    <w:tbl>
      <w:tblPr>
        <w:tblW w:w="5000" w:type="pct"/>
        <w:tblLook w:val="0000" w:firstRow="0" w:lastRow="0" w:firstColumn="0" w:lastColumn="0" w:noHBand="0" w:noVBand="0"/>
      </w:tblPr>
      <w:tblGrid>
        <w:gridCol w:w="2351"/>
        <w:gridCol w:w="245"/>
        <w:gridCol w:w="1430"/>
        <w:gridCol w:w="245"/>
        <w:gridCol w:w="1494"/>
        <w:gridCol w:w="240"/>
        <w:gridCol w:w="1423"/>
        <w:gridCol w:w="232"/>
        <w:gridCol w:w="1410"/>
      </w:tblGrid>
      <w:tr w:rsidR="001E3466" w:rsidRPr="004E7E5A" w14:paraId="36873021" w14:textId="77777777" w:rsidTr="00116073">
        <w:tc>
          <w:tcPr>
            <w:tcW w:w="2351" w:type="dxa"/>
            <w:tcBorders>
              <w:top w:val="single" w:sz="4" w:space="0" w:color="auto"/>
              <w:left w:val="nil"/>
              <w:right w:val="nil"/>
            </w:tcBorders>
          </w:tcPr>
          <w:p w14:paraId="44AAB93B" w14:textId="77777777" w:rsidR="00A53CFE" w:rsidRPr="004E7E5A" w:rsidRDefault="00A53CFE" w:rsidP="00116073">
            <w:pPr>
              <w:autoSpaceDE w:val="0"/>
              <w:autoSpaceDN w:val="0"/>
              <w:adjustRightInd w:val="0"/>
              <w:jc w:val="left"/>
              <w:rPr>
                <w:rFonts w:ascii="Times New Roman" w:eastAsia="Times New Roman" w:hAnsi="Times New Roman"/>
                <w:b/>
                <w:bCs/>
                <w:color w:val="000000" w:themeColor="text1"/>
                <w:sz w:val="24"/>
                <w:szCs w:val="24"/>
                <w:lang w:eastAsia="en-GB"/>
              </w:rPr>
            </w:pPr>
          </w:p>
        </w:tc>
        <w:tc>
          <w:tcPr>
            <w:tcW w:w="245" w:type="dxa"/>
            <w:tcBorders>
              <w:top w:val="single" w:sz="4" w:space="0" w:color="auto"/>
              <w:left w:val="nil"/>
              <w:right w:val="nil"/>
            </w:tcBorders>
          </w:tcPr>
          <w:p w14:paraId="6490F82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30" w:type="dxa"/>
            <w:tcBorders>
              <w:top w:val="single" w:sz="4" w:space="0" w:color="auto"/>
              <w:left w:val="nil"/>
              <w:right w:val="nil"/>
            </w:tcBorders>
          </w:tcPr>
          <w:p w14:paraId="288DDE3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r w:rsidRPr="004E7E5A">
              <w:rPr>
                <w:rFonts w:ascii="Times New Roman" w:hAnsi="Times New Roman"/>
                <w:b/>
                <w:bCs/>
                <w:color w:val="000000" w:themeColor="text1"/>
                <w:kern w:val="0"/>
                <w:sz w:val="24"/>
                <w:szCs w:val="24"/>
              </w:rPr>
              <w:t xml:space="preserve"> </w:t>
            </w:r>
            <w:proofErr w:type="spellStart"/>
            <w:r w:rsidRPr="004E7E5A">
              <w:rPr>
                <w:rFonts w:ascii="Times New Roman" w:hAnsi="Times New Roman"/>
                <w:b/>
                <w:bCs/>
                <w:i/>
                <w:iCs/>
                <w:color w:val="000000" w:themeColor="text1"/>
                <w:kern w:val="0"/>
                <w:sz w:val="24"/>
                <w:szCs w:val="24"/>
              </w:rPr>
              <w:t>Score_max</w:t>
            </w:r>
            <w:proofErr w:type="spellEnd"/>
          </w:p>
        </w:tc>
        <w:tc>
          <w:tcPr>
            <w:tcW w:w="245" w:type="dxa"/>
            <w:tcBorders>
              <w:top w:val="single" w:sz="4" w:space="0" w:color="auto"/>
              <w:left w:val="nil"/>
              <w:right w:val="nil"/>
            </w:tcBorders>
          </w:tcPr>
          <w:p w14:paraId="6591E3B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94" w:type="dxa"/>
            <w:tcBorders>
              <w:top w:val="single" w:sz="4" w:space="0" w:color="auto"/>
              <w:left w:val="nil"/>
              <w:right w:val="nil"/>
            </w:tcBorders>
          </w:tcPr>
          <w:p w14:paraId="28D94B6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r w:rsidRPr="004E7E5A">
              <w:rPr>
                <w:rFonts w:ascii="Times New Roman" w:hAnsi="Times New Roman"/>
                <w:b/>
                <w:bCs/>
                <w:color w:val="000000" w:themeColor="text1"/>
                <w:kern w:val="0"/>
                <w:sz w:val="24"/>
                <w:szCs w:val="24"/>
              </w:rPr>
              <w:t xml:space="preserve"> </w:t>
            </w:r>
            <w:proofErr w:type="spellStart"/>
            <w:r w:rsidRPr="004E7E5A">
              <w:rPr>
                <w:rFonts w:ascii="Times New Roman" w:hAnsi="Times New Roman"/>
                <w:b/>
                <w:bCs/>
                <w:i/>
                <w:iCs/>
                <w:color w:val="000000" w:themeColor="text1"/>
                <w:kern w:val="0"/>
                <w:sz w:val="24"/>
                <w:szCs w:val="24"/>
              </w:rPr>
              <w:t>Score_mean</w:t>
            </w:r>
            <w:proofErr w:type="spellEnd"/>
          </w:p>
        </w:tc>
        <w:tc>
          <w:tcPr>
            <w:tcW w:w="240" w:type="dxa"/>
            <w:tcBorders>
              <w:top w:val="single" w:sz="4" w:space="0" w:color="auto"/>
              <w:left w:val="nil"/>
              <w:right w:val="nil"/>
            </w:tcBorders>
          </w:tcPr>
          <w:p w14:paraId="332F890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23" w:type="dxa"/>
            <w:tcBorders>
              <w:top w:val="single" w:sz="4" w:space="0" w:color="auto"/>
              <w:left w:val="nil"/>
              <w:right w:val="nil"/>
            </w:tcBorders>
          </w:tcPr>
          <w:p w14:paraId="41A9027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r w:rsidRPr="004E7E5A">
              <w:rPr>
                <w:rFonts w:ascii="Times New Roman" w:hAnsi="Times New Roman"/>
                <w:b/>
                <w:bCs/>
                <w:color w:val="000000" w:themeColor="text1"/>
                <w:kern w:val="0"/>
                <w:sz w:val="24"/>
                <w:szCs w:val="24"/>
              </w:rPr>
              <w:t xml:space="preserve"> </w:t>
            </w:r>
            <w:proofErr w:type="spellStart"/>
            <w:r w:rsidRPr="004E7E5A">
              <w:rPr>
                <w:rFonts w:ascii="Times New Roman" w:hAnsi="Times New Roman"/>
                <w:b/>
                <w:bCs/>
                <w:i/>
                <w:iCs/>
                <w:color w:val="000000" w:themeColor="text1"/>
                <w:kern w:val="0"/>
                <w:sz w:val="24"/>
                <w:szCs w:val="24"/>
              </w:rPr>
              <w:t>Score_med</w:t>
            </w:r>
            <w:proofErr w:type="spellEnd"/>
          </w:p>
        </w:tc>
        <w:tc>
          <w:tcPr>
            <w:tcW w:w="232" w:type="dxa"/>
            <w:tcBorders>
              <w:top w:val="single" w:sz="4" w:space="0" w:color="auto"/>
              <w:left w:val="nil"/>
              <w:right w:val="nil"/>
            </w:tcBorders>
          </w:tcPr>
          <w:p w14:paraId="0BCFCA0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10" w:type="dxa"/>
            <w:tcBorders>
              <w:top w:val="single" w:sz="4" w:space="0" w:color="auto"/>
              <w:left w:val="nil"/>
              <w:right w:val="nil"/>
            </w:tcBorders>
          </w:tcPr>
          <w:p w14:paraId="3D851BC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r w:rsidRPr="004E7E5A">
              <w:rPr>
                <w:rFonts w:ascii="Times New Roman" w:hAnsi="Times New Roman"/>
                <w:b/>
                <w:bCs/>
                <w:color w:val="000000" w:themeColor="text1"/>
                <w:kern w:val="0"/>
                <w:sz w:val="24"/>
                <w:szCs w:val="24"/>
              </w:rPr>
              <w:t xml:space="preserve"> </w:t>
            </w:r>
            <w:proofErr w:type="spellStart"/>
            <w:r w:rsidRPr="004E7E5A">
              <w:rPr>
                <w:rFonts w:ascii="Times New Roman" w:hAnsi="Times New Roman"/>
                <w:b/>
                <w:bCs/>
                <w:i/>
                <w:iCs/>
                <w:color w:val="000000" w:themeColor="text1"/>
                <w:kern w:val="0"/>
                <w:sz w:val="24"/>
                <w:szCs w:val="24"/>
              </w:rPr>
              <w:t>Score_min</w:t>
            </w:r>
            <w:proofErr w:type="spellEnd"/>
          </w:p>
        </w:tc>
      </w:tr>
      <w:tr w:rsidR="001E3466" w:rsidRPr="004E7E5A" w14:paraId="118789D2" w14:textId="77777777" w:rsidTr="00116073">
        <w:tc>
          <w:tcPr>
            <w:tcW w:w="2351" w:type="dxa"/>
            <w:tcBorders>
              <w:left w:val="nil"/>
              <w:right w:val="nil"/>
            </w:tcBorders>
          </w:tcPr>
          <w:p w14:paraId="7B4E3A7A"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p>
        </w:tc>
        <w:tc>
          <w:tcPr>
            <w:tcW w:w="245" w:type="dxa"/>
            <w:tcBorders>
              <w:left w:val="nil"/>
              <w:right w:val="nil"/>
            </w:tcBorders>
          </w:tcPr>
          <w:p w14:paraId="0326480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30" w:type="dxa"/>
            <w:tcBorders>
              <w:left w:val="nil"/>
              <w:bottom w:val="single" w:sz="4" w:space="0" w:color="auto"/>
              <w:right w:val="nil"/>
            </w:tcBorders>
          </w:tcPr>
          <w:p w14:paraId="6EA5984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45" w:type="dxa"/>
            <w:tcBorders>
              <w:left w:val="nil"/>
              <w:right w:val="nil"/>
            </w:tcBorders>
          </w:tcPr>
          <w:p w14:paraId="61D0631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94" w:type="dxa"/>
            <w:tcBorders>
              <w:left w:val="nil"/>
              <w:bottom w:val="single" w:sz="4" w:space="0" w:color="auto"/>
              <w:right w:val="nil"/>
            </w:tcBorders>
          </w:tcPr>
          <w:p w14:paraId="1276653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40" w:type="dxa"/>
            <w:tcBorders>
              <w:left w:val="nil"/>
              <w:right w:val="nil"/>
            </w:tcBorders>
          </w:tcPr>
          <w:p w14:paraId="6315AC1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23" w:type="dxa"/>
            <w:tcBorders>
              <w:left w:val="nil"/>
              <w:bottom w:val="single" w:sz="4" w:space="0" w:color="auto"/>
              <w:right w:val="nil"/>
            </w:tcBorders>
          </w:tcPr>
          <w:p w14:paraId="5179037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32" w:type="dxa"/>
            <w:tcBorders>
              <w:left w:val="nil"/>
              <w:right w:val="nil"/>
            </w:tcBorders>
          </w:tcPr>
          <w:p w14:paraId="2A87D7A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10" w:type="dxa"/>
            <w:tcBorders>
              <w:left w:val="nil"/>
              <w:bottom w:val="single" w:sz="4" w:space="0" w:color="auto"/>
              <w:right w:val="nil"/>
            </w:tcBorders>
          </w:tcPr>
          <w:p w14:paraId="38683A0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71E9C131" w14:textId="77777777" w:rsidTr="00116073">
        <w:tc>
          <w:tcPr>
            <w:tcW w:w="2351" w:type="dxa"/>
            <w:tcBorders>
              <w:top w:val="nil"/>
              <w:left w:val="nil"/>
              <w:bottom w:val="nil"/>
              <w:right w:val="nil"/>
            </w:tcBorders>
          </w:tcPr>
          <w:p w14:paraId="17BEFE4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Director convenience</w:t>
            </w:r>
          </w:p>
        </w:tc>
        <w:tc>
          <w:tcPr>
            <w:tcW w:w="245" w:type="dxa"/>
            <w:tcBorders>
              <w:top w:val="nil"/>
              <w:left w:val="nil"/>
              <w:bottom w:val="nil"/>
              <w:right w:val="nil"/>
            </w:tcBorders>
          </w:tcPr>
          <w:p w14:paraId="152CC99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723EBF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0.037</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6C3573E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59AD292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0.041</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630FD5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7185C70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0.024</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343269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0D07739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0.023</w:t>
            </w:r>
            <w:r w:rsidRPr="004E7E5A">
              <w:rPr>
                <w:rFonts w:ascii="Times New Roman" w:hAnsi="Times New Roman"/>
                <w:color w:val="000000" w:themeColor="text1"/>
                <w:kern w:val="0"/>
                <w:sz w:val="24"/>
                <w:szCs w:val="24"/>
                <w:vertAlign w:val="superscript"/>
              </w:rPr>
              <w:t>***</w:t>
            </w:r>
          </w:p>
        </w:tc>
      </w:tr>
      <w:tr w:rsidR="001E3466" w:rsidRPr="004E7E5A" w14:paraId="59FA0037" w14:textId="77777777" w:rsidTr="00116073">
        <w:tc>
          <w:tcPr>
            <w:tcW w:w="2351" w:type="dxa"/>
            <w:tcBorders>
              <w:top w:val="nil"/>
              <w:left w:val="nil"/>
              <w:bottom w:val="nil"/>
              <w:right w:val="nil"/>
            </w:tcBorders>
          </w:tcPr>
          <w:p w14:paraId="2FA5592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755929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788F283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(6.13)</w:t>
            </w:r>
          </w:p>
        </w:tc>
        <w:tc>
          <w:tcPr>
            <w:tcW w:w="245" w:type="dxa"/>
            <w:tcBorders>
              <w:top w:val="nil"/>
              <w:left w:val="nil"/>
              <w:bottom w:val="nil"/>
              <w:right w:val="nil"/>
            </w:tcBorders>
          </w:tcPr>
          <w:p w14:paraId="27062B3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32B5564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(7.34)</w:t>
            </w:r>
          </w:p>
        </w:tc>
        <w:tc>
          <w:tcPr>
            <w:tcW w:w="240" w:type="dxa"/>
            <w:tcBorders>
              <w:top w:val="nil"/>
              <w:left w:val="nil"/>
              <w:bottom w:val="nil"/>
              <w:right w:val="nil"/>
            </w:tcBorders>
          </w:tcPr>
          <w:p w14:paraId="71BB54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3AAF59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(7.38)</w:t>
            </w:r>
          </w:p>
        </w:tc>
        <w:tc>
          <w:tcPr>
            <w:tcW w:w="232" w:type="dxa"/>
            <w:tcBorders>
              <w:top w:val="nil"/>
              <w:left w:val="nil"/>
              <w:bottom w:val="nil"/>
              <w:right w:val="nil"/>
            </w:tcBorders>
          </w:tcPr>
          <w:p w14:paraId="73F98D4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47AD2F3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(7.31)</w:t>
            </w:r>
          </w:p>
        </w:tc>
      </w:tr>
      <w:tr w:rsidR="001E3466" w:rsidRPr="004E7E5A" w14:paraId="2BDA5EE5" w14:textId="77777777" w:rsidTr="00116073">
        <w:tc>
          <w:tcPr>
            <w:tcW w:w="2351" w:type="dxa"/>
            <w:tcBorders>
              <w:top w:val="nil"/>
              <w:left w:val="nil"/>
              <w:bottom w:val="nil"/>
              <w:right w:val="nil"/>
            </w:tcBorders>
          </w:tcPr>
          <w:p w14:paraId="66E71BA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Inddirector</w:t>
            </w:r>
            <w:proofErr w:type="spellEnd"/>
          </w:p>
        </w:tc>
        <w:tc>
          <w:tcPr>
            <w:tcW w:w="245" w:type="dxa"/>
            <w:tcBorders>
              <w:top w:val="nil"/>
              <w:left w:val="nil"/>
              <w:bottom w:val="nil"/>
              <w:right w:val="nil"/>
            </w:tcBorders>
          </w:tcPr>
          <w:p w14:paraId="4B1C3E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159163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1.300</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0596BD0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2DF26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2.250</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45E68E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38FB43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1.455</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1A5E79B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35702F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1.658</w:t>
            </w:r>
            <w:r w:rsidRPr="004E7E5A">
              <w:rPr>
                <w:rFonts w:ascii="Times New Roman" w:hAnsi="Times New Roman"/>
                <w:color w:val="000000" w:themeColor="text1"/>
                <w:kern w:val="0"/>
                <w:sz w:val="24"/>
                <w:szCs w:val="24"/>
                <w:vertAlign w:val="superscript"/>
              </w:rPr>
              <w:t>***</w:t>
            </w:r>
          </w:p>
        </w:tc>
      </w:tr>
      <w:tr w:rsidR="001E3466" w:rsidRPr="004E7E5A" w14:paraId="39C905EC" w14:textId="77777777" w:rsidTr="00116073">
        <w:tc>
          <w:tcPr>
            <w:tcW w:w="2351" w:type="dxa"/>
            <w:tcBorders>
              <w:top w:val="nil"/>
              <w:left w:val="nil"/>
              <w:bottom w:val="nil"/>
              <w:right w:val="nil"/>
            </w:tcBorders>
          </w:tcPr>
          <w:p w14:paraId="73774F8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4332F4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14CDCE7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(1.69)</w:t>
            </w:r>
          </w:p>
        </w:tc>
        <w:tc>
          <w:tcPr>
            <w:tcW w:w="245" w:type="dxa"/>
            <w:tcBorders>
              <w:top w:val="nil"/>
              <w:left w:val="nil"/>
              <w:bottom w:val="nil"/>
              <w:right w:val="nil"/>
            </w:tcBorders>
          </w:tcPr>
          <w:p w14:paraId="36778C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2353AE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(3.16)</w:t>
            </w:r>
          </w:p>
        </w:tc>
        <w:tc>
          <w:tcPr>
            <w:tcW w:w="240" w:type="dxa"/>
            <w:tcBorders>
              <w:top w:val="nil"/>
              <w:left w:val="nil"/>
              <w:bottom w:val="nil"/>
              <w:right w:val="nil"/>
            </w:tcBorders>
          </w:tcPr>
          <w:p w14:paraId="5C5F3F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4D1B1D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(3.57)</w:t>
            </w:r>
          </w:p>
        </w:tc>
        <w:tc>
          <w:tcPr>
            <w:tcW w:w="232" w:type="dxa"/>
            <w:tcBorders>
              <w:top w:val="nil"/>
              <w:left w:val="nil"/>
              <w:bottom w:val="nil"/>
              <w:right w:val="nil"/>
            </w:tcBorders>
          </w:tcPr>
          <w:p w14:paraId="244E4E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6B2306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(4.15)</w:t>
            </w:r>
          </w:p>
        </w:tc>
      </w:tr>
      <w:tr w:rsidR="001E3466" w:rsidRPr="004E7E5A" w14:paraId="558133F1" w14:textId="77777777" w:rsidTr="00116073">
        <w:tc>
          <w:tcPr>
            <w:tcW w:w="2351" w:type="dxa"/>
            <w:tcBorders>
              <w:top w:val="nil"/>
              <w:left w:val="nil"/>
              <w:bottom w:val="nil"/>
              <w:right w:val="nil"/>
            </w:tcBorders>
          </w:tcPr>
          <w:p w14:paraId="6FF4F69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Board size</w:t>
            </w:r>
          </w:p>
        </w:tc>
        <w:tc>
          <w:tcPr>
            <w:tcW w:w="245" w:type="dxa"/>
            <w:tcBorders>
              <w:top w:val="nil"/>
              <w:left w:val="nil"/>
              <w:bottom w:val="nil"/>
              <w:right w:val="nil"/>
            </w:tcBorders>
          </w:tcPr>
          <w:p w14:paraId="23A4E0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073689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0.197</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524CCD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67765E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0.232</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4324BFF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73E4D84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0.224</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2D49A6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7D8E41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0.226</w:t>
            </w:r>
            <w:r w:rsidRPr="004E7E5A">
              <w:rPr>
                <w:rFonts w:ascii="Times New Roman" w:hAnsi="Times New Roman"/>
                <w:color w:val="000000" w:themeColor="text1"/>
                <w:kern w:val="0"/>
                <w:sz w:val="24"/>
                <w:szCs w:val="24"/>
                <w:vertAlign w:val="superscript"/>
              </w:rPr>
              <w:t>***</w:t>
            </w:r>
          </w:p>
        </w:tc>
      </w:tr>
      <w:tr w:rsidR="001E3466" w:rsidRPr="004E7E5A" w14:paraId="06E87CF3" w14:textId="77777777" w:rsidTr="00116073">
        <w:tc>
          <w:tcPr>
            <w:tcW w:w="2351" w:type="dxa"/>
            <w:tcBorders>
              <w:top w:val="nil"/>
              <w:left w:val="nil"/>
              <w:bottom w:val="nil"/>
              <w:right w:val="nil"/>
            </w:tcBorders>
          </w:tcPr>
          <w:p w14:paraId="58B2862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53D286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4E80A2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(8.29)</w:t>
            </w:r>
          </w:p>
        </w:tc>
        <w:tc>
          <w:tcPr>
            <w:tcW w:w="245" w:type="dxa"/>
            <w:tcBorders>
              <w:top w:val="nil"/>
              <w:left w:val="nil"/>
              <w:bottom w:val="nil"/>
              <w:right w:val="nil"/>
            </w:tcBorders>
          </w:tcPr>
          <w:p w14:paraId="37D468A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6ABF38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(10.51)</w:t>
            </w:r>
          </w:p>
        </w:tc>
        <w:tc>
          <w:tcPr>
            <w:tcW w:w="240" w:type="dxa"/>
            <w:tcBorders>
              <w:top w:val="nil"/>
              <w:left w:val="nil"/>
              <w:bottom w:val="nil"/>
              <w:right w:val="nil"/>
            </w:tcBorders>
          </w:tcPr>
          <w:p w14:paraId="44EF95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3654B0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(17.75)</w:t>
            </w:r>
          </w:p>
        </w:tc>
        <w:tc>
          <w:tcPr>
            <w:tcW w:w="232" w:type="dxa"/>
            <w:tcBorders>
              <w:top w:val="nil"/>
              <w:left w:val="nil"/>
              <w:bottom w:val="nil"/>
              <w:right w:val="nil"/>
            </w:tcBorders>
          </w:tcPr>
          <w:p w14:paraId="69F3A7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4371FC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(18.34)</w:t>
            </w:r>
          </w:p>
        </w:tc>
      </w:tr>
      <w:tr w:rsidR="001E3466" w:rsidRPr="004E7E5A" w14:paraId="22D418D0" w14:textId="77777777" w:rsidTr="00116073">
        <w:tc>
          <w:tcPr>
            <w:tcW w:w="2351" w:type="dxa"/>
            <w:tcBorders>
              <w:top w:val="nil"/>
              <w:left w:val="nil"/>
              <w:bottom w:val="nil"/>
              <w:right w:val="nil"/>
            </w:tcBorders>
          </w:tcPr>
          <w:p w14:paraId="200E367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Female</w:t>
            </w:r>
          </w:p>
        </w:tc>
        <w:tc>
          <w:tcPr>
            <w:tcW w:w="245" w:type="dxa"/>
            <w:tcBorders>
              <w:top w:val="nil"/>
              <w:left w:val="nil"/>
              <w:bottom w:val="nil"/>
              <w:right w:val="nil"/>
            </w:tcBorders>
          </w:tcPr>
          <w:p w14:paraId="5C4D4CC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1C8823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-1.548</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2DD316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162010F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-1.578</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6738C6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082E865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-0.471</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7BE4FE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1AF7787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-0.594</w:t>
            </w:r>
            <w:r w:rsidRPr="004E7E5A">
              <w:rPr>
                <w:rFonts w:ascii="Times New Roman" w:hAnsi="Times New Roman"/>
                <w:color w:val="000000" w:themeColor="text1"/>
                <w:kern w:val="0"/>
                <w:sz w:val="24"/>
                <w:szCs w:val="24"/>
                <w:vertAlign w:val="superscript"/>
              </w:rPr>
              <w:t>***</w:t>
            </w:r>
          </w:p>
        </w:tc>
      </w:tr>
      <w:tr w:rsidR="001E3466" w:rsidRPr="004E7E5A" w14:paraId="7222FC71" w14:textId="77777777" w:rsidTr="00116073">
        <w:tc>
          <w:tcPr>
            <w:tcW w:w="2351" w:type="dxa"/>
            <w:tcBorders>
              <w:top w:val="nil"/>
              <w:left w:val="nil"/>
              <w:bottom w:val="nil"/>
              <w:right w:val="nil"/>
            </w:tcBorders>
          </w:tcPr>
          <w:p w14:paraId="3DC898E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539F09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172BDCF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(-4.40)</w:t>
            </w:r>
          </w:p>
        </w:tc>
        <w:tc>
          <w:tcPr>
            <w:tcW w:w="245" w:type="dxa"/>
            <w:tcBorders>
              <w:top w:val="nil"/>
              <w:left w:val="nil"/>
              <w:bottom w:val="nil"/>
              <w:right w:val="nil"/>
            </w:tcBorders>
          </w:tcPr>
          <w:p w14:paraId="08C9D3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41D1AC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(-4.83)</w:t>
            </w:r>
          </w:p>
        </w:tc>
        <w:tc>
          <w:tcPr>
            <w:tcW w:w="240" w:type="dxa"/>
            <w:tcBorders>
              <w:top w:val="nil"/>
              <w:left w:val="nil"/>
              <w:bottom w:val="nil"/>
              <w:right w:val="nil"/>
            </w:tcBorders>
          </w:tcPr>
          <w:p w14:paraId="23C3A9E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245AAC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(-2.52)</w:t>
            </w:r>
          </w:p>
        </w:tc>
        <w:tc>
          <w:tcPr>
            <w:tcW w:w="232" w:type="dxa"/>
            <w:tcBorders>
              <w:top w:val="nil"/>
              <w:left w:val="nil"/>
              <w:bottom w:val="nil"/>
              <w:right w:val="nil"/>
            </w:tcBorders>
          </w:tcPr>
          <w:p w14:paraId="45888A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222EA2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(-3.24)</w:t>
            </w:r>
          </w:p>
        </w:tc>
      </w:tr>
      <w:tr w:rsidR="001E3466" w:rsidRPr="004E7E5A" w14:paraId="4056F128" w14:textId="77777777" w:rsidTr="00116073">
        <w:tc>
          <w:tcPr>
            <w:tcW w:w="2351" w:type="dxa"/>
            <w:tcBorders>
              <w:top w:val="nil"/>
              <w:left w:val="nil"/>
              <w:bottom w:val="nil"/>
              <w:right w:val="nil"/>
            </w:tcBorders>
          </w:tcPr>
          <w:p w14:paraId="433B6D1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Director age</w:t>
            </w:r>
          </w:p>
        </w:tc>
        <w:tc>
          <w:tcPr>
            <w:tcW w:w="245" w:type="dxa"/>
            <w:tcBorders>
              <w:top w:val="nil"/>
              <w:left w:val="nil"/>
              <w:bottom w:val="nil"/>
              <w:right w:val="nil"/>
            </w:tcBorders>
          </w:tcPr>
          <w:p w14:paraId="59D4F6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5A0FE2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0.024</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2E6A095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34F4B5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0.008</w:t>
            </w:r>
          </w:p>
        </w:tc>
        <w:tc>
          <w:tcPr>
            <w:tcW w:w="240" w:type="dxa"/>
            <w:tcBorders>
              <w:top w:val="nil"/>
              <w:left w:val="nil"/>
              <w:bottom w:val="nil"/>
              <w:right w:val="nil"/>
            </w:tcBorders>
          </w:tcPr>
          <w:p w14:paraId="2AE1159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18068A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0.013</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4DF12E9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3894D25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0.007</w:t>
            </w:r>
          </w:p>
        </w:tc>
      </w:tr>
      <w:tr w:rsidR="001E3466" w:rsidRPr="004E7E5A" w14:paraId="7EB748A2" w14:textId="77777777" w:rsidTr="00116073">
        <w:tc>
          <w:tcPr>
            <w:tcW w:w="2351" w:type="dxa"/>
            <w:tcBorders>
              <w:top w:val="nil"/>
              <w:left w:val="nil"/>
              <w:bottom w:val="nil"/>
              <w:right w:val="nil"/>
            </w:tcBorders>
          </w:tcPr>
          <w:p w14:paraId="626E6E4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4189CF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5EF580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(1.85)</w:t>
            </w:r>
          </w:p>
        </w:tc>
        <w:tc>
          <w:tcPr>
            <w:tcW w:w="245" w:type="dxa"/>
            <w:tcBorders>
              <w:top w:val="nil"/>
              <w:left w:val="nil"/>
              <w:bottom w:val="nil"/>
              <w:right w:val="nil"/>
            </w:tcBorders>
          </w:tcPr>
          <w:p w14:paraId="0B4DB69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3F62672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(0.65)</w:t>
            </w:r>
          </w:p>
        </w:tc>
        <w:tc>
          <w:tcPr>
            <w:tcW w:w="240" w:type="dxa"/>
            <w:tcBorders>
              <w:top w:val="nil"/>
              <w:left w:val="nil"/>
              <w:bottom w:val="nil"/>
              <w:right w:val="nil"/>
            </w:tcBorders>
          </w:tcPr>
          <w:p w14:paraId="3D1CAB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0FF870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(1.88)</w:t>
            </w:r>
          </w:p>
        </w:tc>
        <w:tc>
          <w:tcPr>
            <w:tcW w:w="232" w:type="dxa"/>
            <w:tcBorders>
              <w:top w:val="nil"/>
              <w:left w:val="nil"/>
              <w:bottom w:val="nil"/>
              <w:right w:val="nil"/>
            </w:tcBorders>
          </w:tcPr>
          <w:p w14:paraId="4910310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0D367F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(1.08)</w:t>
            </w:r>
          </w:p>
        </w:tc>
      </w:tr>
      <w:tr w:rsidR="001E3466" w:rsidRPr="004E7E5A" w14:paraId="24C6542B" w14:textId="77777777" w:rsidTr="00116073">
        <w:tc>
          <w:tcPr>
            <w:tcW w:w="2351" w:type="dxa"/>
            <w:tcBorders>
              <w:top w:val="nil"/>
              <w:left w:val="nil"/>
              <w:bottom w:val="nil"/>
              <w:right w:val="nil"/>
            </w:tcBorders>
          </w:tcPr>
          <w:p w14:paraId="586A6B8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Location</w:t>
            </w:r>
          </w:p>
        </w:tc>
        <w:tc>
          <w:tcPr>
            <w:tcW w:w="245" w:type="dxa"/>
            <w:tcBorders>
              <w:top w:val="nil"/>
              <w:left w:val="nil"/>
              <w:bottom w:val="nil"/>
              <w:right w:val="nil"/>
            </w:tcBorders>
          </w:tcPr>
          <w:p w14:paraId="05AC23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37E7A40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0.025</w:t>
            </w:r>
          </w:p>
        </w:tc>
        <w:tc>
          <w:tcPr>
            <w:tcW w:w="245" w:type="dxa"/>
            <w:tcBorders>
              <w:top w:val="nil"/>
              <w:left w:val="nil"/>
              <w:bottom w:val="nil"/>
              <w:right w:val="nil"/>
            </w:tcBorders>
          </w:tcPr>
          <w:p w14:paraId="4C8B9D5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232010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0.011</w:t>
            </w:r>
          </w:p>
        </w:tc>
        <w:tc>
          <w:tcPr>
            <w:tcW w:w="240" w:type="dxa"/>
            <w:tcBorders>
              <w:top w:val="nil"/>
              <w:left w:val="nil"/>
              <w:bottom w:val="nil"/>
              <w:right w:val="nil"/>
            </w:tcBorders>
          </w:tcPr>
          <w:p w14:paraId="2030C4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09E9F95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0.090</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700FDC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2B7E3B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0.066</w:t>
            </w:r>
          </w:p>
        </w:tc>
      </w:tr>
      <w:tr w:rsidR="001E3466" w:rsidRPr="004E7E5A" w14:paraId="04C0947E" w14:textId="77777777" w:rsidTr="00116073">
        <w:tc>
          <w:tcPr>
            <w:tcW w:w="2351" w:type="dxa"/>
            <w:tcBorders>
              <w:top w:val="nil"/>
              <w:left w:val="nil"/>
              <w:bottom w:val="nil"/>
              <w:right w:val="nil"/>
            </w:tcBorders>
          </w:tcPr>
          <w:p w14:paraId="6797CA4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45385C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1E4004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(0.31)</w:t>
            </w:r>
          </w:p>
        </w:tc>
        <w:tc>
          <w:tcPr>
            <w:tcW w:w="245" w:type="dxa"/>
            <w:tcBorders>
              <w:top w:val="nil"/>
              <w:left w:val="nil"/>
              <w:bottom w:val="nil"/>
              <w:right w:val="nil"/>
            </w:tcBorders>
          </w:tcPr>
          <w:p w14:paraId="18E8DA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38231B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(0.15)</w:t>
            </w:r>
          </w:p>
        </w:tc>
        <w:tc>
          <w:tcPr>
            <w:tcW w:w="240" w:type="dxa"/>
            <w:tcBorders>
              <w:top w:val="nil"/>
              <w:left w:val="nil"/>
              <w:bottom w:val="nil"/>
              <w:right w:val="nil"/>
            </w:tcBorders>
          </w:tcPr>
          <w:p w14:paraId="35E5A4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45EC60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(2.09)</w:t>
            </w:r>
          </w:p>
        </w:tc>
        <w:tc>
          <w:tcPr>
            <w:tcW w:w="232" w:type="dxa"/>
            <w:tcBorders>
              <w:top w:val="nil"/>
              <w:left w:val="nil"/>
              <w:bottom w:val="nil"/>
              <w:right w:val="nil"/>
            </w:tcBorders>
          </w:tcPr>
          <w:p w14:paraId="1830006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048BDD9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(1.56)</w:t>
            </w:r>
          </w:p>
        </w:tc>
      </w:tr>
      <w:tr w:rsidR="001E3466" w:rsidRPr="004E7E5A" w14:paraId="06ECE80F" w14:textId="77777777" w:rsidTr="00116073">
        <w:tc>
          <w:tcPr>
            <w:tcW w:w="2351" w:type="dxa"/>
            <w:tcBorders>
              <w:top w:val="nil"/>
              <w:left w:val="nil"/>
              <w:bottom w:val="nil"/>
              <w:right w:val="nil"/>
            </w:tcBorders>
          </w:tcPr>
          <w:p w14:paraId="6B0D66C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Duality</w:t>
            </w:r>
          </w:p>
        </w:tc>
        <w:tc>
          <w:tcPr>
            <w:tcW w:w="245" w:type="dxa"/>
            <w:tcBorders>
              <w:top w:val="nil"/>
              <w:left w:val="nil"/>
              <w:bottom w:val="nil"/>
              <w:right w:val="nil"/>
            </w:tcBorders>
          </w:tcPr>
          <w:p w14:paraId="7C2E068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0CBCBE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-0.117</w:t>
            </w:r>
          </w:p>
        </w:tc>
        <w:tc>
          <w:tcPr>
            <w:tcW w:w="245" w:type="dxa"/>
            <w:tcBorders>
              <w:top w:val="nil"/>
              <w:left w:val="nil"/>
              <w:bottom w:val="nil"/>
              <w:right w:val="nil"/>
            </w:tcBorders>
          </w:tcPr>
          <w:p w14:paraId="3FE18E7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4B247B7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-0.143</w:t>
            </w:r>
          </w:p>
        </w:tc>
        <w:tc>
          <w:tcPr>
            <w:tcW w:w="240" w:type="dxa"/>
            <w:tcBorders>
              <w:top w:val="nil"/>
              <w:left w:val="nil"/>
              <w:bottom w:val="nil"/>
              <w:right w:val="nil"/>
            </w:tcBorders>
          </w:tcPr>
          <w:p w14:paraId="51A29D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667DC3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-0.112</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01AF9D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492762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-0.138</w:t>
            </w:r>
            <w:r w:rsidRPr="004E7E5A">
              <w:rPr>
                <w:rFonts w:ascii="Times New Roman" w:hAnsi="Times New Roman"/>
                <w:color w:val="000000" w:themeColor="text1"/>
                <w:kern w:val="0"/>
                <w:sz w:val="24"/>
                <w:szCs w:val="24"/>
                <w:vertAlign w:val="superscript"/>
              </w:rPr>
              <w:t>***</w:t>
            </w:r>
          </w:p>
        </w:tc>
      </w:tr>
      <w:tr w:rsidR="001E3466" w:rsidRPr="004E7E5A" w14:paraId="3D51C56A" w14:textId="77777777" w:rsidTr="00116073">
        <w:tc>
          <w:tcPr>
            <w:tcW w:w="2351" w:type="dxa"/>
            <w:tcBorders>
              <w:top w:val="nil"/>
              <w:left w:val="nil"/>
              <w:bottom w:val="nil"/>
              <w:right w:val="nil"/>
            </w:tcBorders>
          </w:tcPr>
          <w:p w14:paraId="498F3DE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1747629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289E55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(-1.14)</w:t>
            </w:r>
          </w:p>
        </w:tc>
        <w:tc>
          <w:tcPr>
            <w:tcW w:w="245" w:type="dxa"/>
            <w:tcBorders>
              <w:top w:val="nil"/>
              <w:left w:val="nil"/>
              <w:bottom w:val="nil"/>
              <w:right w:val="nil"/>
            </w:tcBorders>
          </w:tcPr>
          <w:p w14:paraId="5D4612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643A6B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(-1.51)</w:t>
            </w:r>
          </w:p>
        </w:tc>
        <w:tc>
          <w:tcPr>
            <w:tcW w:w="240" w:type="dxa"/>
            <w:tcBorders>
              <w:top w:val="nil"/>
              <w:left w:val="nil"/>
              <w:bottom w:val="nil"/>
              <w:right w:val="nil"/>
            </w:tcBorders>
          </w:tcPr>
          <w:p w14:paraId="304C02A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6F0F5F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(-2.06)</w:t>
            </w:r>
          </w:p>
        </w:tc>
        <w:tc>
          <w:tcPr>
            <w:tcW w:w="232" w:type="dxa"/>
            <w:tcBorders>
              <w:top w:val="nil"/>
              <w:left w:val="nil"/>
              <w:bottom w:val="nil"/>
              <w:right w:val="nil"/>
            </w:tcBorders>
          </w:tcPr>
          <w:p w14:paraId="3BD22A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08BFB36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(-2.59)</w:t>
            </w:r>
          </w:p>
        </w:tc>
      </w:tr>
      <w:tr w:rsidR="001E3466" w:rsidRPr="004E7E5A" w14:paraId="2A600592" w14:textId="77777777" w:rsidTr="00116073">
        <w:tc>
          <w:tcPr>
            <w:tcW w:w="2351" w:type="dxa"/>
            <w:tcBorders>
              <w:top w:val="nil"/>
              <w:left w:val="nil"/>
              <w:bottom w:val="nil"/>
              <w:right w:val="nil"/>
            </w:tcBorders>
          </w:tcPr>
          <w:p w14:paraId="050F554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Compensation</w:t>
            </w:r>
          </w:p>
        </w:tc>
        <w:tc>
          <w:tcPr>
            <w:tcW w:w="245" w:type="dxa"/>
            <w:tcBorders>
              <w:top w:val="nil"/>
              <w:left w:val="nil"/>
              <w:bottom w:val="nil"/>
              <w:right w:val="nil"/>
            </w:tcBorders>
          </w:tcPr>
          <w:p w14:paraId="3847D34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3681D5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0.199</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2DDB7B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582A707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0.233</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6F29A0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2AFE76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0.078</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7F0D96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475887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0.103</w:t>
            </w:r>
            <w:r w:rsidRPr="004E7E5A">
              <w:rPr>
                <w:rFonts w:ascii="Times New Roman" w:hAnsi="Times New Roman"/>
                <w:color w:val="000000" w:themeColor="text1"/>
                <w:kern w:val="0"/>
                <w:sz w:val="24"/>
                <w:szCs w:val="24"/>
                <w:vertAlign w:val="superscript"/>
              </w:rPr>
              <w:t>***</w:t>
            </w:r>
          </w:p>
        </w:tc>
      </w:tr>
      <w:tr w:rsidR="001E3466" w:rsidRPr="004E7E5A" w14:paraId="290AA916" w14:textId="77777777" w:rsidTr="00116073">
        <w:tc>
          <w:tcPr>
            <w:tcW w:w="2351" w:type="dxa"/>
            <w:tcBorders>
              <w:top w:val="nil"/>
              <w:left w:val="nil"/>
              <w:bottom w:val="nil"/>
              <w:right w:val="nil"/>
            </w:tcBorders>
          </w:tcPr>
          <w:p w14:paraId="40C269F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7D66E2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6F1F1D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(3.62)</w:t>
            </w:r>
          </w:p>
        </w:tc>
        <w:tc>
          <w:tcPr>
            <w:tcW w:w="245" w:type="dxa"/>
            <w:tcBorders>
              <w:top w:val="nil"/>
              <w:left w:val="nil"/>
              <w:bottom w:val="nil"/>
              <w:right w:val="nil"/>
            </w:tcBorders>
          </w:tcPr>
          <w:p w14:paraId="17AAD32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F72EE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(4.56)</w:t>
            </w:r>
          </w:p>
        </w:tc>
        <w:tc>
          <w:tcPr>
            <w:tcW w:w="240" w:type="dxa"/>
            <w:tcBorders>
              <w:top w:val="nil"/>
              <w:left w:val="nil"/>
              <w:bottom w:val="nil"/>
              <w:right w:val="nil"/>
            </w:tcBorders>
          </w:tcPr>
          <w:p w14:paraId="472D2B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2AECE5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(2.66)</w:t>
            </w:r>
          </w:p>
        </w:tc>
        <w:tc>
          <w:tcPr>
            <w:tcW w:w="232" w:type="dxa"/>
            <w:tcBorders>
              <w:top w:val="nil"/>
              <w:left w:val="nil"/>
              <w:bottom w:val="nil"/>
              <w:right w:val="nil"/>
            </w:tcBorders>
          </w:tcPr>
          <w:p w14:paraId="5D1F67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18E1C9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(3.59)</w:t>
            </w:r>
          </w:p>
        </w:tc>
      </w:tr>
      <w:tr w:rsidR="001E3466" w:rsidRPr="004E7E5A" w14:paraId="17F6A656" w14:textId="77777777" w:rsidTr="00116073">
        <w:tc>
          <w:tcPr>
            <w:tcW w:w="2351" w:type="dxa"/>
            <w:tcBorders>
              <w:top w:val="nil"/>
              <w:left w:val="nil"/>
              <w:bottom w:val="nil"/>
              <w:right w:val="nil"/>
            </w:tcBorders>
          </w:tcPr>
          <w:p w14:paraId="19057D7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Dirshare</w:t>
            </w:r>
            <w:proofErr w:type="spellEnd"/>
          </w:p>
        </w:tc>
        <w:tc>
          <w:tcPr>
            <w:tcW w:w="245" w:type="dxa"/>
            <w:tcBorders>
              <w:top w:val="nil"/>
              <w:left w:val="nil"/>
              <w:bottom w:val="nil"/>
              <w:right w:val="nil"/>
            </w:tcBorders>
          </w:tcPr>
          <w:p w14:paraId="02AC36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23A32E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-1.451</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463E95A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6A00B0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-1.902</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378FDB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24D707F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-1.098</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685A3D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69024A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-1.021</w:t>
            </w:r>
            <w:r w:rsidRPr="004E7E5A">
              <w:rPr>
                <w:rFonts w:ascii="Times New Roman" w:hAnsi="Times New Roman"/>
                <w:color w:val="000000" w:themeColor="text1"/>
                <w:kern w:val="0"/>
                <w:sz w:val="24"/>
                <w:szCs w:val="24"/>
                <w:vertAlign w:val="superscript"/>
              </w:rPr>
              <w:t>***</w:t>
            </w:r>
          </w:p>
        </w:tc>
      </w:tr>
      <w:tr w:rsidR="001E3466" w:rsidRPr="004E7E5A" w14:paraId="14F04225" w14:textId="77777777" w:rsidTr="00116073">
        <w:tc>
          <w:tcPr>
            <w:tcW w:w="2351" w:type="dxa"/>
            <w:tcBorders>
              <w:top w:val="nil"/>
              <w:left w:val="nil"/>
              <w:bottom w:val="nil"/>
              <w:right w:val="nil"/>
            </w:tcBorders>
          </w:tcPr>
          <w:p w14:paraId="6C57F78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05BFB80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2704CBF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(-4.04)</w:t>
            </w:r>
          </w:p>
        </w:tc>
        <w:tc>
          <w:tcPr>
            <w:tcW w:w="245" w:type="dxa"/>
            <w:tcBorders>
              <w:top w:val="nil"/>
              <w:left w:val="nil"/>
              <w:bottom w:val="nil"/>
              <w:right w:val="nil"/>
            </w:tcBorders>
          </w:tcPr>
          <w:p w14:paraId="7E11F5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1215A4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(-5.70)</w:t>
            </w:r>
          </w:p>
        </w:tc>
        <w:tc>
          <w:tcPr>
            <w:tcW w:w="240" w:type="dxa"/>
            <w:tcBorders>
              <w:top w:val="nil"/>
              <w:left w:val="nil"/>
              <w:bottom w:val="nil"/>
              <w:right w:val="nil"/>
            </w:tcBorders>
          </w:tcPr>
          <w:p w14:paraId="6351BD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51D1FC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(-5.75)</w:t>
            </w:r>
          </w:p>
        </w:tc>
        <w:tc>
          <w:tcPr>
            <w:tcW w:w="232" w:type="dxa"/>
            <w:tcBorders>
              <w:top w:val="nil"/>
              <w:left w:val="nil"/>
              <w:bottom w:val="nil"/>
              <w:right w:val="nil"/>
            </w:tcBorders>
          </w:tcPr>
          <w:p w14:paraId="7FC5F0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67BB3B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(-5.46)</w:t>
            </w:r>
          </w:p>
        </w:tc>
      </w:tr>
      <w:tr w:rsidR="001E3466" w:rsidRPr="004E7E5A" w14:paraId="4599D025" w14:textId="77777777" w:rsidTr="00116073">
        <w:tc>
          <w:tcPr>
            <w:tcW w:w="2351" w:type="dxa"/>
            <w:tcBorders>
              <w:top w:val="nil"/>
              <w:left w:val="nil"/>
              <w:bottom w:val="nil"/>
              <w:right w:val="nil"/>
            </w:tcBorders>
          </w:tcPr>
          <w:p w14:paraId="60262F8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Firm size</w:t>
            </w:r>
          </w:p>
        </w:tc>
        <w:tc>
          <w:tcPr>
            <w:tcW w:w="245" w:type="dxa"/>
            <w:tcBorders>
              <w:top w:val="nil"/>
              <w:left w:val="nil"/>
              <w:bottom w:val="nil"/>
              <w:right w:val="nil"/>
            </w:tcBorders>
          </w:tcPr>
          <w:p w14:paraId="33FB11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41D0080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0.251</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64D1C6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5EC62A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0.286</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73568F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5AC2B3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0.236</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7A7BEE4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7F71A3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0.212</w:t>
            </w:r>
            <w:r w:rsidRPr="004E7E5A">
              <w:rPr>
                <w:rFonts w:ascii="Times New Roman" w:hAnsi="Times New Roman"/>
                <w:color w:val="000000" w:themeColor="text1"/>
                <w:kern w:val="0"/>
                <w:sz w:val="24"/>
                <w:szCs w:val="24"/>
                <w:vertAlign w:val="superscript"/>
              </w:rPr>
              <w:t>***</w:t>
            </w:r>
          </w:p>
        </w:tc>
      </w:tr>
      <w:tr w:rsidR="001E3466" w:rsidRPr="004E7E5A" w14:paraId="05E2B1F6" w14:textId="77777777" w:rsidTr="00116073">
        <w:tc>
          <w:tcPr>
            <w:tcW w:w="2351" w:type="dxa"/>
            <w:tcBorders>
              <w:top w:val="nil"/>
              <w:left w:val="nil"/>
              <w:bottom w:val="nil"/>
              <w:right w:val="nil"/>
            </w:tcBorders>
          </w:tcPr>
          <w:p w14:paraId="38D2FE4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11718D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4C46ED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(5.59)</w:t>
            </w:r>
          </w:p>
        </w:tc>
        <w:tc>
          <w:tcPr>
            <w:tcW w:w="245" w:type="dxa"/>
            <w:tcBorders>
              <w:top w:val="nil"/>
              <w:left w:val="nil"/>
              <w:bottom w:val="nil"/>
              <w:right w:val="nil"/>
            </w:tcBorders>
          </w:tcPr>
          <w:p w14:paraId="5809DE5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DA37AC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(6.87)</w:t>
            </w:r>
          </w:p>
        </w:tc>
        <w:tc>
          <w:tcPr>
            <w:tcW w:w="240" w:type="dxa"/>
            <w:tcBorders>
              <w:top w:val="nil"/>
              <w:left w:val="nil"/>
              <w:bottom w:val="nil"/>
              <w:right w:val="nil"/>
            </w:tcBorders>
          </w:tcPr>
          <w:p w14:paraId="53A9456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1FD98E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(9.90)</w:t>
            </w:r>
          </w:p>
        </w:tc>
        <w:tc>
          <w:tcPr>
            <w:tcW w:w="232" w:type="dxa"/>
            <w:tcBorders>
              <w:top w:val="nil"/>
              <w:left w:val="nil"/>
              <w:bottom w:val="nil"/>
              <w:right w:val="nil"/>
            </w:tcBorders>
          </w:tcPr>
          <w:p w14:paraId="784893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133F7E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(9.11)</w:t>
            </w:r>
          </w:p>
        </w:tc>
      </w:tr>
      <w:tr w:rsidR="001E3466" w:rsidRPr="004E7E5A" w14:paraId="19D74C23" w14:textId="77777777" w:rsidTr="00116073">
        <w:tc>
          <w:tcPr>
            <w:tcW w:w="2351" w:type="dxa"/>
            <w:tcBorders>
              <w:top w:val="nil"/>
              <w:left w:val="nil"/>
              <w:bottom w:val="nil"/>
              <w:right w:val="nil"/>
            </w:tcBorders>
          </w:tcPr>
          <w:p w14:paraId="64D1D5F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Roa</w:t>
            </w:r>
            <w:proofErr w:type="spellEnd"/>
          </w:p>
        </w:tc>
        <w:tc>
          <w:tcPr>
            <w:tcW w:w="245" w:type="dxa"/>
            <w:tcBorders>
              <w:top w:val="nil"/>
              <w:left w:val="nil"/>
              <w:bottom w:val="nil"/>
              <w:right w:val="nil"/>
            </w:tcBorders>
          </w:tcPr>
          <w:p w14:paraId="610AA6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70AAC4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2.344</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62526B8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EF3FE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2.169</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417264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5C8CCC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0.641</w:t>
            </w:r>
          </w:p>
        </w:tc>
        <w:tc>
          <w:tcPr>
            <w:tcW w:w="232" w:type="dxa"/>
            <w:tcBorders>
              <w:top w:val="nil"/>
              <w:left w:val="nil"/>
              <w:bottom w:val="nil"/>
              <w:right w:val="nil"/>
            </w:tcBorders>
          </w:tcPr>
          <w:p w14:paraId="207B6B6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39D41F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0.686</w:t>
            </w:r>
          </w:p>
        </w:tc>
      </w:tr>
      <w:tr w:rsidR="001E3466" w:rsidRPr="004E7E5A" w14:paraId="6ED8413E" w14:textId="77777777" w:rsidTr="00116073">
        <w:tc>
          <w:tcPr>
            <w:tcW w:w="2351" w:type="dxa"/>
            <w:tcBorders>
              <w:top w:val="nil"/>
              <w:left w:val="nil"/>
              <w:bottom w:val="nil"/>
              <w:right w:val="nil"/>
            </w:tcBorders>
          </w:tcPr>
          <w:p w14:paraId="73908EF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0BC87E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259D81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(2.53)</w:t>
            </w:r>
          </w:p>
        </w:tc>
        <w:tc>
          <w:tcPr>
            <w:tcW w:w="245" w:type="dxa"/>
            <w:tcBorders>
              <w:top w:val="nil"/>
              <w:left w:val="nil"/>
              <w:bottom w:val="nil"/>
              <w:right w:val="nil"/>
            </w:tcBorders>
          </w:tcPr>
          <w:p w14:paraId="26746C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5B76856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(2.52)</w:t>
            </w:r>
          </w:p>
        </w:tc>
        <w:tc>
          <w:tcPr>
            <w:tcW w:w="240" w:type="dxa"/>
            <w:tcBorders>
              <w:top w:val="nil"/>
              <w:left w:val="nil"/>
              <w:bottom w:val="nil"/>
              <w:right w:val="nil"/>
            </w:tcBorders>
          </w:tcPr>
          <w:p w14:paraId="6CE831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22BD3C9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(1.30)</w:t>
            </w:r>
          </w:p>
        </w:tc>
        <w:tc>
          <w:tcPr>
            <w:tcW w:w="232" w:type="dxa"/>
            <w:tcBorders>
              <w:top w:val="nil"/>
              <w:left w:val="nil"/>
              <w:bottom w:val="nil"/>
              <w:right w:val="nil"/>
            </w:tcBorders>
          </w:tcPr>
          <w:p w14:paraId="50C9B7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659A63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(1.42)</w:t>
            </w:r>
          </w:p>
        </w:tc>
      </w:tr>
      <w:tr w:rsidR="001E3466" w:rsidRPr="004E7E5A" w14:paraId="09BCB344" w14:textId="77777777" w:rsidTr="00116073">
        <w:tc>
          <w:tcPr>
            <w:tcW w:w="2351" w:type="dxa"/>
            <w:tcBorders>
              <w:top w:val="nil"/>
              <w:left w:val="nil"/>
              <w:bottom w:val="nil"/>
              <w:right w:val="nil"/>
            </w:tcBorders>
          </w:tcPr>
          <w:p w14:paraId="794BEA3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Lev</w:t>
            </w:r>
          </w:p>
        </w:tc>
        <w:tc>
          <w:tcPr>
            <w:tcW w:w="245" w:type="dxa"/>
            <w:tcBorders>
              <w:top w:val="nil"/>
              <w:left w:val="nil"/>
              <w:bottom w:val="nil"/>
              <w:right w:val="nil"/>
            </w:tcBorders>
          </w:tcPr>
          <w:p w14:paraId="706477F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595B766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0.432</w:t>
            </w:r>
          </w:p>
        </w:tc>
        <w:tc>
          <w:tcPr>
            <w:tcW w:w="245" w:type="dxa"/>
            <w:tcBorders>
              <w:top w:val="nil"/>
              <w:left w:val="nil"/>
              <w:bottom w:val="nil"/>
              <w:right w:val="nil"/>
            </w:tcBorders>
          </w:tcPr>
          <w:p w14:paraId="24D948D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3ECD60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0.219</w:t>
            </w:r>
          </w:p>
        </w:tc>
        <w:tc>
          <w:tcPr>
            <w:tcW w:w="240" w:type="dxa"/>
            <w:tcBorders>
              <w:top w:val="nil"/>
              <w:left w:val="nil"/>
              <w:bottom w:val="nil"/>
              <w:right w:val="nil"/>
            </w:tcBorders>
          </w:tcPr>
          <w:p w14:paraId="67FB6E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33BFB6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0.111</w:t>
            </w:r>
          </w:p>
        </w:tc>
        <w:tc>
          <w:tcPr>
            <w:tcW w:w="232" w:type="dxa"/>
            <w:tcBorders>
              <w:top w:val="nil"/>
              <w:left w:val="nil"/>
              <w:bottom w:val="nil"/>
              <w:right w:val="nil"/>
            </w:tcBorders>
          </w:tcPr>
          <w:p w14:paraId="5CB8FA6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3F6B12C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0.057</w:t>
            </w:r>
          </w:p>
        </w:tc>
      </w:tr>
      <w:tr w:rsidR="001E3466" w:rsidRPr="004E7E5A" w14:paraId="2D5E650A" w14:textId="77777777" w:rsidTr="00116073">
        <w:tc>
          <w:tcPr>
            <w:tcW w:w="2351" w:type="dxa"/>
            <w:tcBorders>
              <w:top w:val="nil"/>
              <w:left w:val="nil"/>
              <w:bottom w:val="nil"/>
              <w:right w:val="nil"/>
            </w:tcBorders>
          </w:tcPr>
          <w:p w14:paraId="2735F00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5B46ECF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4AFE0C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(1.49)</w:t>
            </w:r>
          </w:p>
        </w:tc>
        <w:tc>
          <w:tcPr>
            <w:tcW w:w="245" w:type="dxa"/>
            <w:tcBorders>
              <w:top w:val="nil"/>
              <w:left w:val="nil"/>
              <w:bottom w:val="nil"/>
              <w:right w:val="nil"/>
            </w:tcBorders>
          </w:tcPr>
          <w:p w14:paraId="0F4120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508F803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(0.81)</w:t>
            </w:r>
          </w:p>
        </w:tc>
        <w:tc>
          <w:tcPr>
            <w:tcW w:w="240" w:type="dxa"/>
            <w:tcBorders>
              <w:top w:val="nil"/>
              <w:left w:val="nil"/>
              <w:bottom w:val="nil"/>
              <w:right w:val="nil"/>
            </w:tcBorders>
          </w:tcPr>
          <w:p w14:paraId="2C37738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665729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(0.72)</w:t>
            </w:r>
          </w:p>
        </w:tc>
        <w:tc>
          <w:tcPr>
            <w:tcW w:w="232" w:type="dxa"/>
            <w:tcBorders>
              <w:top w:val="nil"/>
              <w:left w:val="nil"/>
              <w:bottom w:val="nil"/>
              <w:right w:val="nil"/>
            </w:tcBorders>
          </w:tcPr>
          <w:p w14:paraId="38EA92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19F6D5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(0.38)</w:t>
            </w:r>
          </w:p>
        </w:tc>
      </w:tr>
      <w:tr w:rsidR="001E3466" w:rsidRPr="004E7E5A" w14:paraId="12CE6580" w14:textId="77777777" w:rsidTr="00116073">
        <w:tc>
          <w:tcPr>
            <w:tcW w:w="2351" w:type="dxa"/>
            <w:tcBorders>
              <w:top w:val="nil"/>
              <w:left w:val="nil"/>
              <w:bottom w:val="nil"/>
              <w:right w:val="nil"/>
            </w:tcBorders>
          </w:tcPr>
          <w:p w14:paraId="1957041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Correlation</w:t>
            </w:r>
          </w:p>
        </w:tc>
        <w:tc>
          <w:tcPr>
            <w:tcW w:w="245" w:type="dxa"/>
            <w:tcBorders>
              <w:top w:val="nil"/>
              <w:left w:val="nil"/>
              <w:bottom w:val="nil"/>
              <w:right w:val="nil"/>
            </w:tcBorders>
          </w:tcPr>
          <w:p w14:paraId="3A45409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0DCCF22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-0.126</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0A7356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5D3081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-0.179</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0BEB4BF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5CCE90E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-0.108</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7B9AF5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02D725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-0.128</w:t>
            </w:r>
            <w:r w:rsidRPr="004E7E5A">
              <w:rPr>
                <w:rFonts w:ascii="Times New Roman" w:hAnsi="Times New Roman"/>
                <w:color w:val="000000" w:themeColor="text1"/>
                <w:kern w:val="0"/>
                <w:sz w:val="24"/>
                <w:szCs w:val="24"/>
                <w:vertAlign w:val="superscript"/>
              </w:rPr>
              <w:t>***</w:t>
            </w:r>
          </w:p>
        </w:tc>
      </w:tr>
      <w:tr w:rsidR="001E3466" w:rsidRPr="004E7E5A" w14:paraId="30C5A497" w14:textId="77777777" w:rsidTr="00116073">
        <w:tc>
          <w:tcPr>
            <w:tcW w:w="2351" w:type="dxa"/>
            <w:tcBorders>
              <w:top w:val="nil"/>
              <w:left w:val="nil"/>
              <w:bottom w:val="nil"/>
              <w:right w:val="nil"/>
            </w:tcBorders>
          </w:tcPr>
          <w:p w14:paraId="1318A3B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334C6C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15F13B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(-1.74)</w:t>
            </w:r>
          </w:p>
        </w:tc>
        <w:tc>
          <w:tcPr>
            <w:tcW w:w="245" w:type="dxa"/>
            <w:tcBorders>
              <w:top w:val="nil"/>
              <w:left w:val="nil"/>
              <w:bottom w:val="nil"/>
              <w:right w:val="nil"/>
            </w:tcBorders>
          </w:tcPr>
          <w:p w14:paraId="6274442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2166AC5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(-2.67)</w:t>
            </w:r>
          </w:p>
        </w:tc>
        <w:tc>
          <w:tcPr>
            <w:tcW w:w="240" w:type="dxa"/>
            <w:tcBorders>
              <w:top w:val="nil"/>
              <w:left w:val="nil"/>
              <w:bottom w:val="nil"/>
              <w:right w:val="nil"/>
            </w:tcBorders>
          </w:tcPr>
          <w:p w14:paraId="7AEE2C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1E3C216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(-2.83)</w:t>
            </w:r>
          </w:p>
        </w:tc>
        <w:tc>
          <w:tcPr>
            <w:tcW w:w="232" w:type="dxa"/>
            <w:tcBorders>
              <w:top w:val="nil"/>
              <w:left w:val="nil"/>
              <w:bottom w:val="nil"/>
              <w:right w:val="nil"/>
            </w:tcBorders>
          </w:tcPr>
          <w:p w14:paraId="03D9734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48278FD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(-3.42)</w:t>
            </w:r>
          </w:p>
        </w:tc>
      </w:tr>
      <w:tr w:rsidR="001E3466" w:rsidRPr="004E7E5A" w14:paraId="32D8BDFB" w14:textId="77777777" w:rsidTr="00116073">
        <w:tc>
          <w:tcPr>
            <w:tcW w:w="2351" w:type="dxa"/>
            <w:tcBorders>
              <w:top w:val="nil"/>
              <w:left w:val="nil"/>
              <w:bottom w:val="nil"/>
              <w:right w:val="nil"/>
            </w:tcBorders>
          </w:tcPr>
          <w:p w14:paraId="2947EFE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Fixasset</w:t>
            </w:r>
            <w:proofErr w:type="spellEnd"/>
          </w:p>
        </w:tc>
        <w:tc>
          <w:tcPr>
            <w:tcW w:w="245" w:type="dxa"/>
            <w:tcBorders>
              <w:top w:val="nil"/>
              <w:left w:val="nil"/>
              <w:bottom w:val="nil"/>
              <w:right w:val="nil"/>
            </w:tcBorders>
          </w:tcPr>
          <w:p w14:paraId="47CB29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58037F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-0.663</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1941D1B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D1827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-0.250</w:t>
            </w:r>
          </w:p>
        </w:tc>
        <w:tc>
          <w:tcPr>
            <w:tcW w:w="240" w:type="dxa"/>
            <w:tcBorders>
              <w:top w:val="nil"/>
              <w:left w:val="nil"/>
              <w:bottom w:val="nil"/>
              <w:right w:val="nil"/>
            </w:tcBorders>
          </w:tcPr>
          <w:p w14:paraId="72AADD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1FF698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-0.178</w:t>
            </w:r>
          </w:p>
        </w:tc>
        <w:tc>
          <w:tcPr>
            <w:tcW w:w="232" w:type="dxa"/>
            <w:tcBorders>
              <w:top w:val="nil"/>
              <w:left w:val="nil"/>
              <w:bottom w:val="nil"/>
              <w:right w:val="nil"/>
            </w:tcBorders>
          </w:tcPr>
          <w:p w14:paraId="5237B0C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3D8503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-0.123</w:t>
            </w:r>
          </w:p>
        </w:tc>
      </w:tr>
      <w:tr w:rsidR="001E3466" w:rsidRPr="004E7E5A" w14:paraId="2DC739B9" w14:textId="77777777" w:rsidTr="00116073">
        <w:tc>
          <w:tcPr>
            <w:tcW w:w="2351" w:type="dxa"/>
            <w:tcBorders>
              <w:top w:val="nil"/>
              <w:left w:val="nil"/>
              <w:bottom w:val="nil"/>
              <w:right w:val="nil"/>
            </w:tcBorders>
          </w:tcPr>
          <w:p w14:paraId="3FFD02B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685E6A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092564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(-2.19)</w:t>
            </w:r>
          </w:p>
        </w:tc>
        <w:tc>
          <w:tcPr>
            <w:tcW w:w="245" w:type="dxa"/>
            <w:tcBorders>
              <w:top w:val="nil"/>
              <w:left w:val="nil"/>
              <w:bottom w:val="nil"/>
              <w:right w:val="nil"/>
            </w:tcBorders>
          </w:tcPr>
          <w:p w14:paraId="7A870C6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29F4EC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(-0.89)</w:t>
            </w:r>
          </w:p>
        </w:tc>
        <w:tc>
          <w:tcPr>
            <w:tcW w:w="240" w:type="dxa"/>
            <w:tcBorders>
              <w:top w:val="nil"/>
              <w:left w:val="nil"/>
              <w:bottom w:val="nil"/>
              <w:right w:val="nil"/>
            </w:tcBorders>
          </w:tcPr>
          <w:p w14:paraId="341AD2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03FC8C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(-1.11)</w:t>
            </w:r>
          </w:p>
        </w:tc>
        <w:tc>
          <w:tcPr>
            <w:tcW w:w="232" w:type="dxa"/>
            <w:tcBorders>
              <w:top w:val="nil"/>
              <w:left w:val="nil"/>
              <w:bottom w:val="nil"/>
              <w:right w:val="nil"/>
            </w:tcBorders>
          </w:tcPr>
          <w:p w14:paraId="0AA48AF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6573FD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(-0.78)</w:t>
            </w:r>
          </w:p>
        </w:tc>
      </w:tr>
      <w:tr w:rsidR="001E3466" w:rsidRPr="004E7E5A" w14:paraId="332E8F5B" w14:textId="77777777" w:rsidTr="00116073">
        <w:tc>
          <w:tcPr>
            <w:tcW w:w="2351" w:type="dxa"/>
            <w:tcBorders>
              <w:top w:val="nil"/>
              <w:left w:val="nil"/>
              <w:bottom w:val="nil"/>
              <w:right w:val="nil"/>
            </w:tcBorders>
          </w:tcPr>
          <w:p w14:paraId="4EFE2DE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Share</w:t>
            </w:r>
          </w:p>
        </w:tc>
        <w:tc>
          <w:tcPr>
            <w:tcW w:w="245" w:type="dxa"/>
            <w:tcBorders>
              <w:top w:val="nil"/>
              <w:left w:val="nil"/>
              <w:bottom w:val="nil"/>
              <w:right w:val="nil"/>
            </w:tcBorders>
          </w:tcPr>
          <w:p w14:paraId="0833932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3DA19E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0.002</w:t>
            </w:r>
          </w:p>
        </w:tc>
        <w:tc>
          <w:tcPr>
            <w:tcW w:w="245" w:type="dxa"/>
            <w:tcBorders>
              <w:top w:val="nil"/>
              <w:left w:val="nil"/>
              <w:bottom w:val="nil"/>
              <w:right w:val="nil"/>
            </w:tcBorders>
          </w:tcPr>
          <w:p w14:paraId="7C48AD1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B2458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0.003</w:t>
            </w:r>
          </w:p>
        </w:tc>
        <w:tc>
          <w:tcPr>
            <w:tcW w:w="240" w:type="dxa"/>
            <w:tcBorders>
              <w:top w:val="nil"/>
              <w:left w:val="nil"/>
              <w:bottom w:val="nil"/>
              <w:right w:val="nil"/>
            </w:tcBorders>
          </w:tcPr>
          <w:p w14:paraId="0C6C41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30299B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0.003</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4735E00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78DF8C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0.003</w:t>
            </w:r>
            <w:r w:rsidRPr="004E7E5A">
              <w:rPr>
                <w:rFonts w:ascii="Times New Roman" w:hAnsi="Times New Roman"/>
                <w:color w:val="000000" w:themeColor="text1"/>
                <w:kern w:val="0"/>
                <w:sz w:val="24"/>
                <w:szCs w:val="24"/>
                <w:vertAlign w:val="superscript"/>
              </w:rPr>
              <w:t>**</w:t>
            </w:r>
          </w:p>
        </w:tc>
      </w:tr>
      <w:tr w:rsidR="001E3466" w:rsidRPr="004E7E5A" w14:paraId="5B7DEFEB" w14:textId="77777777" w:rsidTr="00116073">
        <w:tc>
          <w:tcPr>
            <w:tcW w:w="2351" w:type="dxa"/>
            <w:tcBorders>
              <w:top w:val="nil"/>
              <w:left w:val="nil"/>
              <w:bottom w:val="nil"/>
              <w:right w:val="nil"/>
            </w:tcBorders>
          </w:tcPr>
          <w:p w14:paraId="1C3E6A8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2188A5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12436E5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(0.83)</w:t>
            </w:r>
          </w:p>
        </w:tc>
        <w:tc>
          <w:tcPr>
            <w:tcW w:w="245" w:type="dxa"/>
            <w:tcBorders>
              <w:top w:val="nil"/>
              <w:left w:val="nil"/>
              <w:bottom w:val="nil"/>
              <w:right w:val="nil"/>
            </w:tcBorders>
          </w:tcPr>
          <w:p w14:paraId="3FEC8C7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70D6A0E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(1.28)</w:t>
            </w:r>
          </w:p>
        </w:tc>
        <w:tc>
          <w:tcPr>
            <w:tcW w:w="240" w:type="dxa"/>
            <w:tcBorders>
              <w:top w:val="nil"/>
              <w:left w:val="nil"/>
              <w:bottom w:val="nil"/>
              <w:right w:val="nil"/>
            </w:tcBorders>
          </w:tcPr>
          <w:p w14:paraId="74E7A3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757ECA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(2.01)</w:t>
            </w:r>
          </w:p>
        </w:tc>
        <w:tc>
          <w:tcPr>
            <w:tcW w:w="232" w:type="dxa"/>
            <w:tcBorders>
              <w:top w:val="nil"/>
              <w:left w:val="nil"/>
              <w:bottom w:val="nil"/>
              <w:right w:val="nil"/>
            </w:tcBorders>
          </w:tcPr>
          <w:p w14:paraId="1C3472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231E465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(2.05)</w:t>
            </w:r>
          </w:p>
        </w:tc>
      </w:tr>
      <w:tr w:rsidR="001E3466" w:rsidRPr="004E7E5A" w14:paraId="7C87AA79" w14:textId="77777777" w:rsidTr="00116073">
        <w:tc>
          <w:tcPr>
            <w:tcW w:w="2351" w:type="dxa"/>
            <w:tcBorders>
              <w:top w:val="nil"/>
              <w:left w:val="nil"/>
              <w:bottom w:val="nil"/>
              <w:right w:val="nil"/>
            </w:tcBorders>
          </w:tcPr>
          <w:p w14:paraId="0969E29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Soe</w:t>
            </w:r>
            <w:proofErr w:type="spellEnd"/>
          </w:p>
        </w:tc>
        <w:tc>
          <w:tcPr>
            <w:tcW w:w="245" w:type="dxa"/>
            <w:tcBorders>
              <w:top w:val="nil"/>
              <w:left w:val="nil"/>
              <w:bottom w:val="nil"/>
              <w:right w:val="nil"/>
            </w:tcBorders>
          </w:tcPr>
          <w:p w14:paraId="3E25802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3FB17F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0.032</w:t>
            </w:r>
          </w:p>
        </w:tc>
        <w:tc>
          <w:tcPr>
            <w:tcW w:w="245" w:type="dxa"/>
            <w:tcBorders>
              <w:top w:val="nil"/>
              <w:left w:val="nil"/>
              <w:bottom w:val="nil"/>
              <w:right w:val="nil"/>
            </w:tcBorders>
          </w:tcPr>
          <w:p w14:paraId="177BFC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0A86D6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0.185</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71E623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24DBAE1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0.279</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1AB3B39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7AFDFAB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0.363</w:t>
            </w:r>
            <w:r w:rsidRPr="004E7E5A">
              <w:rPr>
                <w:rFonts w:ascii="Times New Roman" w:hAnsi="Times New Roman"/>
                <w:color w:val="000000" w:themeColor="text1"/>
                <w:kern w:val="0"/>
                <w:sz w:val="24"/>
                <w:szCs w:val="24"/>
                <w:vertAlign w:val="superscript"/>
              </w:rPr>
              <w:t>***</w:t>
            </w:r>
          </w:p>
        </w:tc>
      </w:tr>
      <w:tr w:rsidR="001E3466" w:rsidRPr="004E7E5A" w14:paraId="40189E08" w14:textId="77777777" w:rsidTr="00116073">
        <w:tc>
          <w:tcPr>
            <w:tcW w:w="2351" w:type="dxa"/>
            <w:tcBorders>
              <w:top w:val="nil"/>
              <w:left w:val="nil"/>
              <w:bottom w:val="nil"/>
              <w:right w:val="nil"/>
            </w:tcBorders>
          </w:tcPr>
          <w:p w14:paraId="7BA3D12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569AAB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06B1C5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(0.31)</w:t>
            </w:r>
          </w:p>
        </w:tc>
        <w:tc>
          <w:tcPr>
            <w:tcW w:w="245" w:type="dxa"/>
            <w:tcBorders>
              <w:top w:val="nil"/>
              <w:left w:val="nil"/>
              <w:bottom w:val="nil"/>
              <w:right w:val="nil"/>
            </w:tcBorders>
          </w:tcPr>
          <w:p w14:paraId="6CFD6E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518B1D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(1.91)</w:t>
            </w:r>
          </w:p>
        </w:tc>
        <w:tc>
          <w:tcPr>
            <w:tcW w:w="240" w:type="dxa"/>
            <w:tcBorders>
              <w:top w:val="nil"/>
              <w:left w:val="nil"/>
              <w:bottom w:val="nil"/>
              <w:right w:val="nil"/>
            </w:tcBorders>
          </w:tcPr>
          <w:p w14:paraId="60F910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4DF5F3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(5.02)</w:t>
            </w:r>
          </w:p>
        </w:tc>
        <w:tc>
          <w:tcPr>
            <w:tcW w:w="232" w:type="dxa"/>
            <w:tcBorders>
              <w:top w:val="nil"/>
              <w:left w:val="nil"/>
              <w:bottom w:val="nil"/>
              <w:right w:val="nil"/>
            </w:tcBorders>
          </w:tcPr>
          <w:p w14:paraId="6F7E66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5F2596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(6.67)</w:t>
            </w:r>
          </w:p>
        </w:tc>
      </w:tr>
      <w:tr w:rsidR="001E3466" w:rsidRPr="004E7E5A" w14:paraId="36BE6840" w14:textId="77777777" w:rsidTr="00116073">
        <w:tc>
          <w:tcPr>
            <w:tcW w:w="2351" w:type="dxa"/>
            <w:tcBorders>
              <w:top w:val="nil"/>
              <w:left w:val="nil"/>
              <w:bottom w:val="nil"/>
              <w:right w:val="nil"/>
            </w:tcBorders>
          </w:tcPr>
          <w:p w14:paraId="0B73704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Firm age</w:t>
            </w:r>
          </w:p>
        </w:tc>
        <w:tc>
          <w:tcPr>
            <w:tcW w:w="245" w:type="dxa"/>
            <w:tcBorders>
              <w:top w:val="nil"/>
              <w:left w:val="nil"/>
              <w:bottom w:val="nil"/>
              <w:right w:val="nil"/>
            </w:tcBorders>
          </w:tcPr>
          <w:p w14:paraId="66A6FF5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2F9E01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0.036</w:t>
            </w:r>
            <w:r w:rsidRPr="004E7E5A">
              <w:rPr>
                <w:rFonts w:ascii="Times New Roman" w:hAnsi="Times New Roman"/>
                <w:color w:val="000000" w:themeColor="text1"/>
                <w:kern w:val="0"/>
                <w:sz w:val="24"/>
                <w:szCs w:val="24"/>
                <w:vertAlign w:val="superscript"/>
              </w:rPr>
              <w:t>***</w:t>
            </w:r>
          </w:p>
        </w:tc>
        <w:tc>
          <w:tcPr>
            <w:tcW w:w="245" w:type="dxa"/>
            <w:tcBorders>
              <w:top w:val="nil"/>
              <w:left w:val="nil"/>
              <w:bottom w:val="nil"/>
              <w:right w:val="nil"/>
            </w:tcBorders>
          </w:tcPr>
          <w:p w14:paraId="5BAA5A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316412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0.039</w:t>
            </w:r>
            <w:r w:rsidRPr="004E7E5A">
              <w:rPr>
                <w:rFonts w:ascii="Times New Roman" w:hAnsi="Times New Roman"/>
                <w:color w:val="000000" w:themeColor="text1"/>
                <w:kern w:val="0"/>
                <w:sz w:val="24"/>
                <w:szCs w:val="24"/>
                <w:vertAlign w:val="superscript"/>
              </w:rPr>
              <w:t>***</w:t>
            </w:r>
          </w:p>
        </w:tc>
        <w:tc>
          <w:tcPr>
            <w:tcW w:w="240" w:type="dxa"/>
            <w:tcBorders>
              <w:top w:val="nil"/>
              <w:left w:val="nil"/>
              <w:bottom w:val="nil"/>
              <w:right w:val="nil"/>
            </w:tcBorders>
          </w:tcPr>
          <w:p w14:paraId="6724D3E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0AE2A7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0.011</w:t>
            </w:r>
            <w:r w:rsidRPr="004E7E5A">
              <w:rPr>
                <w:rFonts w:ascii="Times New Roman" w:hAnsi="Times New Roman"/>
                <w:color w:val="000000" w:themeColor="text1"/>
                <w:kern w:val="0"/>
                <w:sz w:val="24"/>
                <w:szCs w:val="24"/>
                <w:vertAlign w:val="superscript"/>
              </w:rPr>
              <w:t>***</w:t>
            </w:r>
          </w:p>
        </w:tc>
        <w:tc>
          <w:tcPr>
            <w:tcW w:w="232" w:type="dxa"/>
            <w:tcBorders>
              <w:top w:val="nil"/>
              <w:left w:val="nil"/>
              <w:bottom w:val="nil"/>
              <w:right w:val="nil"/>
            </w:tcBorders>
          </w:tcPr>
          <w:p w14:paraId="344C3D9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6BE477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0.006</w:t>
            </w:r>
          </w:p>
        </w:tc>
      </w:tr>
      <w:tr w:rsidR="001E3466" w:rsidRPr="004E7E5A" w14:paraId="2E51753A" w14:textId="77777777" w:rsidTr="00116073">
        <w:tc>
          <w:tcPr>
            <w:tcW w:w="2351" w:type="dxa"/>
            <w:tcBorders>
              <w:top w:val="nil"/>
              <w:left w:val="nil"/>
              <w:bottom w:val="nil"/>
              <w:right w:val="nil"/>
            </w:tcBorders>
          </w:tcPr>
          <w:p w14:paraId="41B22F0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bottom w:val="nil"/>
              <w:right w:val="nil"/>
            </w:tcBorders>
          </w:tcPr>
          <w:p w14:paraId="6BC3CA5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bottom w:val="nil"/>
              <w:right w:val="nil"/>
            </w:tcBorders>
          </w:tcPr>
          <w:p w14:paraId="5136ED9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(4.48)</w:t>
            </w:r>
          </w:p>
        </w:tc>
        <w:tc>
          <w:tcPr>
            <w:tcW w:w="245" w:type="dxa"/>
            <w:tcBorders>
              <w:top w:val="nil"/>
              <w:left w:val="nil"/>
              <w:bottom w:val="nil"/>
              <w:right w:val="nil"/>
            </w:tcBorders>
          </w:tcPr>
          <w:p w14:paraId="434555F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bottom w:val="nil"/>
              <w:right w:val="nil"/>
            </w:tcBorders>
          </w:tcPr>
          <w:p w14:paraId="55FF4F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(5.23)</w:t>
            </w:r>
          </w:p>
        </w:tc>
        <w:tc>
          <w:tcPr>
            <w:tcW w:w="240" w:type="dxa"/>
            <w:tcBorders>
              <w:top w:val="nil"/>
              <w:left w:val="nil"/>
              <w:bottom w:val="nil"/>
              <w:right w:val="nil"/>
            </w:tcBorders>
          </w:tcPr>
          <w:p w14:paraId="3EA917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bottom w:val="nil"/>
              <w:right w:val="nil"/>
            </w:tcBorders>
          </w:tcPr>
          <w:p w14:paraId="780006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(2.62)</w:t>
            </w:r>
          </w:p>
        </w:tc>
        <w:tc>
          <w:tcPr>
            <w:tcW w:w="232" w:type="dxa"/>
            <w:tcBorders>
              <w:top w:val="nil"/>
              <w:left w:val="nil"/>
              <w:bottom w:val="nil"/>
              <w:right w:val="nil"/>
            </w:tcBorders>
          </w:tcPr>
          <w:p w14:paraId="341948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bottom w:val="nil"/>
              <w:right w:val="nil"/>
            </w:tcBorders>
          </w:tcPr>
          <w:p w14:paraId="49110DF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(1.42)</w:t>
            </w:r>
          </w:p>
        </w:tc>
      </w:tr>
      <w:tr w:rsidR="001E3466" w:rsidRPr="004E7E5A" w14:paraId="6989AB23" w14:textId="77777777" w:rsidTr="00116073">
        <w:tc>
          <w:tcPr>
            <w:tcW w:w="2351" w:type="dxa"/>
            <w:tcBorders>
              <w:top w:val="nil"/>
              <w:left w:val="nil"/>
              <w:right w:val="nil"/>
            </w:tcBorders>
          </w:tcPr>
          <w:p w14:paraId="060B0A4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_cons</w:t>
            </w:r>
          </w:p>
        </w:tc>
        <w:tc>
          <w:tcPr>
            <w:tcW w:w="245" w:type="dxa"/>
            <w:tcBorders>
              <w:top w:val="nil"/>
              <w:left w:val="nil"/>
              <w:right w:val="nil"/>
            </w:tcBorders>
          </w:tcPr>
          <w:p w14:paraId="70957E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right w:val="nil"/>
            </w:tcBorders>
          </w:tcPr>
          <w:p w14:paraId="3215D2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-5.633</w:t>
            </w:r>
            <w:r w:rsidRPr="004E7E5A">
              <w:rPr>
                <w:rFonts w:ascii="Times New Roman" w:hAnsi="Times New Roman"/>
                <w:color w:val="000000" w:themeColor="text1"/>
                <w:kern w:val="0"/>
                <w:sz w:val="24"/>
                <w:szCs w:val="24"/>
                <w:vertAlign w:val="superscript"/>
              </w:rPr>
              <w:t>***</w:t>
            </w:r>
          </w:p>
        </w:tc>
        <w:tc>
          <w:tcPr>
            <w:tcW w:w="245" w:type="dxa"/>
            <w:tcBorders>
              <w:top w:val="nil"/>
              <w:left w:val="nil"/>
              <w:right w:val="nil"/>
            </w:tcBorders>
          </w:tcPr>
          <w:p w14:paraId="0A2E9A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right w:val="nil"/>
            </w:tcBorders>
          </w:tcPr>
          <w:p w14:paraId="38F424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-6.051</w:t>
            </w:r>
            <w:r w:rsidRPr="004E7E5A">
              <w:rPr>
                <w:rFonts w:ascii="Times New Roman" w:hAnsi="Times New Roman"/>
                <w:color w:val="000000" w:themeColor="text1"/>
                <w:kern w:val="0"/>
                <w:sz w:val="24"/>
                <w:szCs w:val="24"/>
                <w:vertAlign w:val="superscript"/>
              </w:rPr>
              <w:t>***</w:t>
            </w:r>
          </w:p>
        </w:tc>
        <w:tc>
          <w:tcPr>
            <w:tcW w:w="240" w:type="dxa"/>
            <w:tcBorders>
              <w:top w:val="nil"/>
              <w:left w:val="nil"/>
              <w:right w:val="nil"/>
            </w:tcBorders>
          </w:tcPr>
          <w:p w14:paraId="092FC1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right w:val="nil"/>
            </w:tcBorders>
          </w:tcPr>
          <w:p w14:paraId="08254E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-4.875</w:t>
            </w:r>
            <w:r w:rsidRPr="004E7E5A">
              <w:rPr>
                <w:rFonts w:ascii="Times New Roman" w:hAnsi="Times New Roman"/>
                <w:color w:val="000000" w:themeColor="text1"/>
                <w:kern w:val="0"/>
                <w:sz w:val="24"/>
                <w:szCs w:val="24"/>
                <w:vertAlign w:val="superscript"/>
              </w:rPr>
              <w:t>***</w:t>
            </w:r>
          </w:p>
        </w:tc>
        <w:tc>
          <w:tcPr>
            <w:tcW w:w="232" w:type="dxa"/>
            <w:tcBorders>
              <w:top w:val="nil"/>
              <w:left w:val="nil"/>
              <w:right w:val="nil"/>
            </w:tcBorders>
          </w:tcPr>
          <w:p w14:paraId="1A4D099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right w:val="nil"/>
            </w:tcBorders>
          </w:tcPr>
          <w:p w14:paraId="18755D5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-4.758</w:t>
            </w:r>
            <w:r w:rsidRPr="004E7E5A">
              <w:rPr>
                <w:rFonts w:ascii="Times New Roman" w:hAnsi="Times New Roman"/>
                <w:color w:val="000000" w:themeColor="text1"/>
                <w:kern w:val="0"/>
                <w:sz w:val="24"/>
                <w:szCs w:val="24"/>
                <w:vertAlign w:val="superscript"/>
              </w:rPr>
              <w:t>***</w:t>
            </w:r>
          </w:p>
        </w:tc>
      </w:tr>
      <w:tr w:rsidR="001E3466" w:rsidRPr="004E7E5A" w14:paraId="1B828F6A" w14:textId="77777777" w:rsidTr="00116073">
        <w:tc>
          <w:tcPr>
            <w:tcW w:w="2351" w:type="dxa"/>
            <w:tcBorders>
              <w:top w:val="nil"/>
              <w:left w:val="nil"/>
              <w:right w:val="nil"/>
            </w:tcBorders>
          </w:tcPr>
          <w:p w14:paraId="61775F3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45" w:type="dxa"/>
            <w:tcBorders>
              <w:top w:val="nil"/>
              <w:left w:val="nil"/>
              <w:right w:val="nil"/>
            </w:tcBorders>
          </w:tcPr>
          <w:p w14:paraId="3B8BAF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right w:val="nil"/>
            </w:tcBorders>
          </w:tcPr>
          <w:p w14:paraId="78E5D18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(-4.74)</w:t>
            </w:r>
          </w:p>
        </w:tc>
        <w:tc>
          <w:tcPr>
            <w:tcW w:w="245" w:type="dxa"/>
            <w:tcBorders>
              <w:top w:val="nil"/>
              <w:left w:val="nil"/>
              <w:right w:val="nil"/>
            </w:tcBorders>
          </w:tcPr>
          <w:p w14:paraId="23A3FCA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right w:val="nil"/>
            </w:tcBorders>
          </w:tcPr>
          <w:p w14:paraId="651FD5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(-5.48)</w:t>
            </w:r>
          </w:p>
        </w:tc>
        <w:tc>
          <w:tcPr>
            <w:tcW w:w="240" w:type="dxa"/>
            <w:tcBorders>
              <w:top w:val="nil"/>
              <w:left w:val="nil"/>
              <w:right w:val="nil"/>
            </w:tcBorders>
          </w:tcPr>
          <w:p w14:paraId="115DCCD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right w:val="nil"/>
            </w:tcBorders>
          </w:tcPr>
          <w:p w14:paraId="568850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(-7.72)</w:t>
            </w:r>
          </w:p>
        </w:tc>
        <w:tc>
          <w:tcPr>
            <w:tcW w:w="232" w:type="dxa"/>
            <w:tcBorders>
              <w:top w:val="nil"/>
              <w:left w:val="nil"/>
              <w:right w:val="nil"/>
            </w:tcBorders>
          </w:tcPr>
          <w:p w14:paraId="468D329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right w:val="nil"/>
            </w:tcBorders>
          </w:tcPr>
          <w:p w14:paraId="31DA37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(-7.69)</w:t>
            </w:r>
          </w:p>
        </w:tc>
      </w:tr>
      <w:tr w:rsidR="001E3466" w:rsidRPr="004E7E5A" w14:paraId="708FEAD1" w14:textId="77777777" w:rsidTr="00116073">
        <w:tc>
          <w:tcPr>
            <w:tcW w:w="2351" w:type="dxa"/>
            <w:tcBorders>
              <w:top w:val="nil"/>
              <w:left w:val="nil"/>
              <w:right w:val="nil"/>
            </w:tcBorders>
          </w:tcPr>
          <w:p w14:paraId="7AC48A7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45" w:type="dxa"/>
            <w:tcBorders>
              <w:top w:val="nil"/>
              <w:left w:val="nil"/>
              <w:right w:val="nil"/>
            </w:tcBorders>
          </w:tcPr>
          <w:p w14:paraId="61017A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right w:val="nil"/>
            </w:tcBorders>
          </w:tcPr>
          <w:p w14:paraId="10CA6CB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5" w:type="dxa"/>
            <w:tcBorders>
              <w:top w:val="nil"/>
              <w:left w:val="nil"/>
              <w:right w:val="nil"/>
            </w:tcBorders>
          </w:tcPr>
          <w:p w14:paraId="40B8CC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right w:val="nil"/>
            </w:tcBorders>
          </w:tcPr>
          <w:p w14:paraId="0C832F9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0" w:type="dxa"/>
            <w:tcBorders>
              <w:top w:val="nil"/>
              <w:left w:val="nil"/>
              <w:right w:val="nil"/>
            </w:tcBorders>
          </w:tcPr>
          <w:p w14:paraId="1FC5B0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right w:val="nil"/>
            </w:tcBorders>
          </w:tcPr>
          <w:p w14:paraId="7E1DDA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2" w:type="dxa"/>
            <w:tcBorders>
              <w:top w:val="nil"/>
              <w:left w:val="nil"/>
              <w:right w:val="nil"/>
            </w:tcBorders>
          </w:tcPr>
          <w:p w14:paraId="5A5B365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right w:val="nil"/>
            </w:tcBorders>
          </w:tcPr>
          <w:p w14:paraId="7840FF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5DB40296" w14:textId="77777777" w:rsidTr="00116073">
        <w:tc>
          <w:tcPr>
            <w:tcW w:w="2351" w:type="dxa"/>
            <w:tcBorders>
              <w:top w:val="nil"/>
              <w:left w:val="nil"/>
              <w:right w:val="nil"/>
            </w:tcBorders>
          </w:tcPr>
          <w:p w14:paraId="5C3041D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lastRenderedPageBreak/>
              <w:t>Industry</w:t>
            </w:r>
          </w:p>
        </w:tc>
        <w:tc>
          <w:tcPr>
            <w:tcW w:w="245" w:type="dxa"/>
            <w:tcBorders>
              <w:top w:val="nil"/>
              <w:left w:val="nil"/>
              <w:right w:val="nil"/>
            </w:tcBorders>
          </w:tcPr>
          <w:p w14:paraId="425AE7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top w:val="nil"/>
              <w:left w:val="nil"/>
              <w:right w:val="nil"/>
            </w:tcBorders>
          </w:tcPr>
          <w:p w14:paraId="3467EA5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5" w:type="dxa"/>
            <w:tcBorders>
              <w:top w:val="nil"/>
              <w:left w:val="nil"/>
              <w:right w:val="nil"/>
            </w:tcBorders>
          </w:tcPr>
          <w:p w14:paraId="1195A0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top w:val="nil"/>
              <w:left w:val="nil"/>
              <w:right w:val="nil"/>
            </w:tcBorders>
          </w:tcPr>
          <w:p w14:paraId="34414E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0" w:type="dxa"/>
            <w:tcBorders>
              <w:top w:val="nil"/>
              <w:left w:val="nil"/>
              <w:right w:val="nil"/>
            </w:tcBorders>
          </w:tcPr>
          <w:p w14:paraId="487925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top w:val="nil"/>
              <w:left w:val="nil"/>
              <w:right w:val="nil"/>
            </w:tcBorders>
          </w:tcPr>
          <w:p w14:paraId="6AAA2C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2" w:type="dxa"/>
            <w:tcBorders>
              <w:top w:val="nil"/>
              <w:left w:val="nil"/>
              <w:right w:val="nil"/>
            </w:tcBorders>
          </w:tcPr>
          <w:p w14:paraId="1D81320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top w:val="nil"/>
              <w:left w:val="nil"/>
              <w:right w:val="nil"/>
            </w:tcBorders>
          </w:tcPr>
          <w:p w14:paraId="00692B6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741D9C61" w14:textId="77777777" w:rsidTr="00116073">
        <w:tc>
          <w:tcPr>
            <w:tcW w:w="2351" w:type="dxa"/>
            <w:tcBorders>
              <w:left w:val="nil"/>
              <w:right w:val="nil"/>
            </w:tcBorders>
          </w:tcPr>
          <w:p w14:paraId="5DD4165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45" w:type="dxa"/>
            <w:tcBorders>
              <w:left w:val="nil"/>
              <w:right w:val="nil"/>
            </w:tcBorders>
          </w:tcPr>
          <w:p w14:paraId="2C6A45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left w:val="nil"/>
              <w:right w:val="nil"/>
            </w:tcBorders>
          </w:tcPr>
          <w:p w14:paraId="03E9B8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45" w:type="dxa"/>
            <w:tcBorders>
              <w:left w:val="nil"/>
              <w:right w:val="nil"/>
            </w:tcBorders>
          </w:tcPr>
          <w:p w14:paraId="3847DB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left w:val="nil"/>
              <w:right w:val="nil"/>
            </w:tcBorders>
          </w:tcPr>
          <w:p w14:paraId="37CE60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40" w:type="dxa"/>
            <w:tcBorders>
              <w:left w:val="nil"/>
              <w:right w:val="nil"/>
            </w:tcBorders>
          </w:tcPr>
          <w:p w14:paraId="035923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left w:val="nil"/>
              <w:right w:val="nil"/>
            </w:tcBorders>
          </w:tcPr>
          <w:p w14:paraId="0DB4FD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32" w:type="dxa"/>
            <w:tcBorders>
              <w:left w:val="nil"/>
              <w:right w:val="nil"/>
            </w:tcBorders>
          </w:tcPr>
          <w:p w14:paraId="735EF9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left w:val="nil"/>
              <w:right w:val="nil"/>
            </w:tcBorders>
          </w:tcPr>
          <w:p w14:paraId="1DA23D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r>
      <w:tr w:rsidR="001E3466" w:rsidRPr="004E7E5A" w14:paraId="6F3AF6E5" w14:textId="77777777" w:rsidTr="00116073">
        <w:tc>
          <w:tcPr>
            <w:tcW w:w="2351" w:type="dxa"/>
            <w:tcBorders>
              <w:left w:val="nil"/>
              <w:right w:val="nil"/>
            </w:tcBorders>
          </w:tcPr>
          <w:p w14:paraId="2F05296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adj. R</w:t>
            </w:r>
            <w:r w:rsidRPr="004E7E5A">
              <w:rPr>
                <w:rFonts w:ascii="Times New Roman" w:hAnsi="Times New Roman"/>
                <w:i/>
                <w:iCs/>
                <w:color w:val="000000" w:themeColor="text1"/>
                <w:kern w:val="0"/>
                <w:sz w:val="24"/>
                <w:szCs w:val="24"/>
                <w:vertAlign w:val="superscript"/>
              </w:rPr>
              <w:t>2</w:t>
            </w:r>
          </w:p>
        </w:tc>
        <w:tc>
          <w:tcPr>
            <w:tcW w:w="245" w:type="dxa"/>
            <w:tcBorders>
              <w:left w:val="nil"/>
              <w:right w:val="nil"/>
            </w:tcBorders>
          </w:tcPr>
          <w:p w14:paraId="741136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left w:val="nil"/>
              <w:right w:val="nil"/>
            </w:tcBorders>
          </w:tcPr>
          <w:p w14:paraId="536C16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0.252</w:t>
            </w:r>
          </w:p>
        </w:tc>
        <w:tc>
          <w:tcPr>
            <w:tcW w:w="245" w:type="dxa"/>
            <w:tcBorders>
              <w:left w:val="nil"/>
              <w:right w:val="nil"/>
            </w:tcBorders>
          </w:tcPr>
          <w:p w14:paraId="74B8F2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left w:val="nil"/>
              <w:right w:val="nil"/>
            </w:tcBorders>
          </w:tcPr>
          <w:p w14:paraId="762C54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0.298</w:t>
            </w:r>
          </w:p>
        </w:tc>
        <w:tc>
          <w:tcPr>
            <w:tcW w:w="240" w:type="dxa"/>
            <w:tcBorders>
              <w:left w:val="nil"/>
              <w:right w:val="nil"/>
            </w:tcBorders>
          </w:tcPr>
          <w:p w14:paraId="1DB9D95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left w:val="nil"/>
              <w:right w:val="nil"/>
            </w:tcBorders>
          </w:tcPr>
          <w:p w14:paraId="7DD41D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0.435</w:t>
            </w:r>
          </w:p>
        </w:tc>
        <w:tc>
          <w:tcPr>
            <w:tcW w:w="232" w:type="dxa"/>
            <w:tcBorders>
              <w:left w:val="nil"/>
              <w:right w:val="nil"/>
            </w:tcBorders>
          </w:tcPr>
          <w:p w14:paraId="4D7A90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left w:val="nil"/>
              <w:right w:val="nil"/>
            </w:tcBorders>
          </w:tcPr>
          <w:p w14:paraId="72101D2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0.438</w:t>
            </w:r>
          </w:p>
        </w:tc>
      </w:tr>
      <w:tr w:rsidR="001E3466" w:rsidRPr="004E7E5A" w14:paraId="4C7592EA" w14:textId="77777777" w:rsidTr="00116073">
        <w:tc>
          <w:tcPr>
            <w:tcW w:w="2351" w:type="dxa"/>
            <w:tcBorders>
              <w:left w:val="nil"/>
              <w:bottom w:val="single" w:sz="4" w:space="0" w:color="auto"/>
              <w:right w:val="nil"/>
            </w:tcBorders>
          </w:tcPr>
          <w:p w14:paraId="441EA31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w:t>
            </w:r>
          </w:p>
        </w:tc>
        <w:tc>
          <w:tcPr>
            <w:tcW w:w="245" w:type="dxa"/>
            <w:tcBorders>
              <w:left w:val="nil"/>
              <w:bottom w:val="single" w:sz="4" w:space="0" w:color="auto"/>
              <w:right w:val="nil"/>
            </w:tcBorders>
          </w:tcPr>
          <w:p w14:paraId="66641C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0" w:type="dxa"/>
            <w:tcBorders>
              <w:left w:val="nil"/>
              <w:bottom w:val="single" w:sz="4" w:space="0" w:color="auto"/>
              <w:right w:val="nil"/>
            </w:tcBorders>
          </w:tcPr>
          <w:p w14:paraId="29ABDDF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15.892</w:t>
            </w:r>
          </w:p>
        </w:tc>
        <w:tc>
          <w:tcPr>
            <w:tcW w:w="245" w:type="dxa"/>
            <w:tcBorders>
              <w:left w:val="nil"/>
              <w:bottom w:val="single" w:sz="4" w:space="0" w:color="auto"/>
              <w:right w:val="nil"/>
            </w:tcBorders>
          </w:tcPr>
          <w:p w14:paraId="416F99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94" w:type="dxa"/>
            <w:tcBorders>
              <w:left w:val="nil"/>
              <w:bottom w:val="single" w:sz="4" w:space="0" w:color="auto"/>
              <w:right w:val="nil"/>
            </w:tcBorders>
          </w:tcPr>
          <w:p w14:paraId="71557A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19.763</w:t>
            </w:r>
          </w:p>
        </w:tc>
        <w:tc>
          <w:tcPr>
            <w:tcW w:w="240" w:type="dxa"/>
            <w:tcBorders>
              <w:left w:val="nil"/>
              <w:bottom w:val="single" w:sz="4" w:space="0" w:color="auto"/>
              <w:right w:val="nil"/>
            </w:tcBorders>
          </w:tcPr>
          <w:p w14:paraId="77567C3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23" w:type="dxa"/>
            <w:tcBorders>
              <w:left w:val="nil"/>
              <w:bottom w:val="single" w:sz="4" w:space="0" w:color="auto"/>
              <w:right w:val="nil"/>
            </w:tcBorders>
          </w:tcPr>
          <w:p w14:paraId="4BE862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35.110</w:t>
            </w:r>
          </w:p>
        </w:tc>
        <w:tc>
          <w:tcPr>
            <w:tcW w:w="232" w:type="dxa"/>
            <w:tcBorders>
              <w:left w:val="nil"/>
              <w:bottom w:val="single" w:sz="4" w:space="0" w:color="auto"/>
              <w:right w:val="nil"/>
            </w:tcBorders>
          </w:tcPr>
          <w:p w14:paraId="2D21946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10" w:type="dxa"/>
            <w:tcBorders>
              <w:left w:val="nil"/>
              <w:bottom w:val="single" w:sz="4" w:space="0" w:color="auto"/>
              <w:right w:val="nil"/>
            </w:tcBorders>
          </w:tcPr>
          <w:p w14:paraId="7C470A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35.570</w:t>
            </w:r>
          </w:p>
        </w:tc>
      </w:tr>
    </w:tbl>
    <w:p w14:paraId="55920960"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presents the first-stage of a two-stage least squares (2SLS) model based on Equation (1) to test hypothesis 1. 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dependent variable, respectively. The first-stage regressions instrumentalize our endogenous variable </w:t>
      </w:r>
      <w:r w:rsidRPr="004E7E5A">
        <w:rPr>
          <w:rFonts w:cs="Times New Roman"/>
        </w:rPr>
        <w:t>network centrality (</w:t>
      </w:r>
      <w:proofErr w:type="spellStart"/>
      <w:r w:rsidRPr="004E7E5A">
        <w:rPr>
          <w:rFonts w:cs="Times New Roman"/>
          <w:i/>
          <w:iCs/>
        </w:rPr>
        <w:t>Score_max</w:t>
      </w:r>
      <w:proofErr w:type="spellEnd"/>
      <w:r w:rsidRPr="004E7E5A">
        <w:rPr>
          <w:rFonts w:cs="Times New Roman"/>
          <w:i/>
          <w:iCs/>
        </w:rPr>
        <w:t xml:space="preserve">, </w:t>
      </w:r>
      <w:proofErr w:type="spellStart"/>
      <w:r w:rsidRPr="004E7E5A">
        <w:rPr>
          <w:rFonts w:cs="Times New Roman"/>
          <w:i/>
          <w:iCs/>
          <w:szCs w:val="24"/>
        </w:rPr>
        <w:t>Score_mean</w:t>
      </w:r>
      <w:proofErr w:type="spellEnd"/>
      <w:r w:rsidRPr="004E7E5A">
        <w:rPr>
          <w:rFonts w:cs="Times New Roman"/>
          <w:i/>
          <w:iCs/>
          <w:szCs w:val="24"/>
        </w:rPr>
        <w:t xml:space="preserve">, </w:t>
      </w:r>
      <w:proofErr w:type="spellStart"/>
      <w:r w:rsidRPr="004E7E5A">
        <w:rPr>
          <w:rFonts w:cs="Times New Roman"/>
          <w:i/>
          <w:iCs/>
        </w:rPr>
        <w:t>Score_med</w:t>
      </w:r>
      <w:proofErr w:type="spellEnd"/>
      <w:r w:rsidRPr="004E7E5A">
        <w:rPr>
          <w:rFonts w:cs="Times New Roman"/>
          <w:i/>
          <w:iCs/>
        </w:rPr>
        <w:t xml:space="preserve"> and </w:t>
      </w:r>
      <w:proofErr w:type="spellStart"/>
      <w:r w:rsidRPr="004E7E5A">
        <w:rPr>
          <w:rFonts w:cs="Times New Roman"/>
          <w:i/>
          <w:iCs/>
          <w:szCs w:val="24"/>
        </w:rPr>
        <w:t>Score_min</w:t>
      </w:r>
      <w:proofErr w:type="spellEnd"/>
      <w:r w:rsidRPr="004E7E5A">
        <w:rPr>
          <w:rFonts w:cs="Times New Roman"/>
        </w:rPr>
        <w:t>)</w:t>
      </w:r>
      <w:r w:rsidRPr="004E7E5A">
        <w:rPr>
          <w:rStyle w:val="fontstyle01"/>
          <w:rFonts w:ascii="Times New Roman" w:hAnsi="Times New Roman" w:cs="Times New Roman" w:hint="default"/>
          <w:color w:val="000000" w:themeColor="text1"/>
          <w:sz w:val="24"/>
          <w:szCs w:val="24"/>
        </w:rPr>
        <w:t xml:space="preserve"> using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 xml:space="preserve">The t-statistics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the variables are provided in Appendix A.</w:t>
      </w:r>
    </w:p>
    <w:p w14:paraId="5E7E9711"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976564C"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0BD96366"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2DC705F7"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473C9A44"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7AF6EBC1"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6DBF4F22"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5F4BCDA6"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7A1D54B5"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5247AA2D"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22585518"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1C53DE8"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76E4ABFE"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DA730C0"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52060ACB"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4CD8EDCE"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927CC6E" w14:textId="14E3A7DB"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5</w:t>
      </w:r>
    </w:p>
    <w:p w14:paraId="46DA7492"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Second-Stage Regressions of 2SLS Model for Testing the Influence of Directors’ Network on CSR Disclosure Quality</w:t>
      </w:r>
    </w:p>
    <w:tbl>
      <w:tblPr>
        <w:tblW w:w="5000" w:type="pct"/>
        <w:tblLook w:val="0000" w:firstRow="0" w:lastRow="0" w:firstColumn="0" w:lastColumn="0" w:noHBand="0" w:noVBand="0"/>
      </w:tblPr>
      <w:tblGrid>
        <w:gridCol w:w="1809"/>
        <w:gridCol w:w="272"/>
        <w:gridCol w:w="1553"/>
        <w:gridCol w:w="272"/>
        <w:gridCol w:w="1553"/>
        <w:gridCol w:w="260"/>
        <w:gridCol w:w="1553"/>
        <w:gridCol w:w="244"/>
        <w:gridCol w:w="1554"/>
      </w:tblGrid>
      <w:tr w:rsidR="001E3466" w:rsidRPr="004E7E5A" w14:paraId="0D656C26" w14:textId="77777777" w:rsidTr="00116073">
        <w:tc>
          <w:tcPr>
            <w:tcW w:w="1809" w:type="dxa"/>
            <w:tcBorders>
              <w:top w:val="single" w:sz="4" w:space="0" w:color="auto"/>
              <w:left w:val="nil"/>
              <w:bottom w:val="single" w:sz="4" w:space="0" w:color="auto"/>
              <w:right w:val="nil"/>
            </w:tcBorders>
          </w:tcPr>
          <w:p w14:paraId="45B6F25C"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72" w:type="dxa"/>
            <w:tcBorders>
              <w:top w:val="single" w:sz="4" w:space="0" w:color="auto"/>
              <w:left w:val="nil"/>
              <w:right w:val="nil"/>
            </w:tcBorders>
          </w:tcPr>
          <w:p w14:paraId="167C8DC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53" w:type="dxa"/>
            <w:tcBorders>
              <w:top w:val="single" w:sz="4" w:space="0" w:color="auto"/>
              <w:left w:val="nil"/>
              <w:bottom w:val="single" w:sz="4" w:space="0" w:color="auto"/>
              <w:right w:val="nil"/>
            </w:tcBorders>
          </w:tcPr>
          <w:p w14:paraId="4358341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72" w:type="dxa"/>
            <w:tcBorders>
              <w:top w:val="single" w:sz="4" w:space="0" w:color="auto"/>
              <w:left w:val="nil"/>
              <w:right w:val="nil"/>
            </w:tcBorders>
          </w:tcPr>
          <w:p w14:paraId="29D3D2B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53" w:type="dxa"/>
            <w:tcBorders>
              <w:top w:val="single" w:sz="4" w:space="0" w:color="auto"/>
              <w:left w:val="nil"/>
              <w:bottom w:val="single" w:sz="4" w:space="0" w:color="auto"/>
              <w:right w:val="nil"/>
            </w:tcBorders>
          </w:tcPr>
          <w:p w14:paraId="3E47875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60" w:type="dxa"/>
            <w:tcBorders>
              <w:top w:val="single" w:sz="4" w:space="0" w:color="auto"/>
              <w:left w:val="nil"/>
              <w:right w:val="nil"/>
            </w:tcBorders>
          </w:tcPr>
          <w:p w14:paraId="591F7AF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53" w:type="dxa"/>
            <w:tcBorders>
              <w:top w:val="single" w:sz="4" w:space="0" w:color="auto"/>
              <w:left w:val="nil"/>
              <w:bottom w:val="single" w:sz="4" w:space="0" w:color="auto"/>
              <w:right w:val="nil"/>
            </w:tcBorders>
          </w:tcPr>
          <w:p w14:paraId="27BDC46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44" w:type="dxa"/>
            <w:tcBorders>
              <w:top w:val="single" w:sz="4" w:space="0" w:color="auto"/>
              <w:left w:val="nil"/>
              <w:right w:val="nil"/>
            </w:tcBorders>
          </w:tcPr>
          <w:p w14:paraId="362384D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54" w:type="dxa"/>
            <w:tcBorders>
              <w:top w:val="single" w:sz="4" w:space="0" w:color="auto"/>
              <w:left w:val="nil"/>
              <w:bottom w:val="single" w:sz="4" w:space="0" w:color="auto"/>
              <w:right w:val="nil"/>
            </w:tcBorders>
          </w:tcPr>
          <w:p w14:paraId="0BAD2B5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559C22FD" w14:textId="77777777" w:rsidTr="00116073">
        <w:tc>
          <w:tcPr>
            <w:tcW w:w="1809" w:type="dxa"/>
            <w:tcBorders>
              <w:top w:val="single" w:sz="4" w:space="0" w:color="auto"/>
              <w:left w:val="nil"/>
              <w:bottom w:val="nil"/>
              <w:right w:val="nil"/>
            </w:tcBorders>
          </w:tcPr>
          <w:p w14:paraId="06F2ADB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72" w:type="dxa"/>
            <w:tcBorders>
              <w:left w:val="nil"/>
              <w:bottom w:val="nil"/>
              <w:right w:val="nil"/>
            </w:tcBorders>
          </w:tcPr>
          <w:p w14:paraId="26FF43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single" w:sz="4" w:space="0" w:color="auto"/>
              <w:left w:val="nil"/>
              <w:bottom w:val="nil"/>
              <w:right w:val="nil"/>
            </w:tcBorders>
          </w:tcPr>
          <w:p w14:paraId="29C8004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2.436</w:t>
            </w:r>
            <w:r w:rsidRPr="004E7E5A">
              <w:rPr>
                <w:rFonts w:ascii="Times New Roman" w:hAnsi="Times New Roman"/>
                <w:color w:val="000000" w:themeColor="text1"/>
                <w:kern w:val="0"/>
                <w:sz w:val="24"/>
                <w:szCs w:val="24"/>
                <w:vertAlign w:val="superscript"/>
              </w:rPr>
              <w:t>***</w:t>
            </w:r>
          </w:p>
        </w:tc>
        <w:tc>
          <w:tcPr>
            <w:tcW w:w="272" w:type="dxa"/>
            <w:tcBorders>
              <w:left w:val="nil"/>
              <w:bottom w:val="nil"/>
              <w:right w:val="nil"/>
            </w:tcBorders>
          </w:tcPr>
          <w:p w14:paraId="78BEA3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single" w:sz="4" w:space="0" w:color="auto"/>
              <w:left w:val="nil"/>
              <w:bottom w:val="nil"/>
              <w:right w:val="nil"/>
            </w:tcBorders>
          </w:tcPr>
          <w:p w14:paraId="449999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left w:val="nil"/>
              <w:bottom w:val="nil"/>
              <w:right w:val="nil"/>
            </w:tcBorders>
          </w:tcPr>
          <w:p w14:paraId="53AB87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single" w:sz="4" w:space="0" w:color="auto"/>
              <w:left w:val="nil"/>
              <w:bottom w:val="nil"/>
              <w:right w:val="nil"/>
            </w:tcBorders>
          </w:tcPr>
          <w:p w14:paraId="766EC1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left w:val="nil"/>
              <w:bottom w:val="nil"/>
              <w:right w:val="nil"/>
            </w:tcBorders>
          </w:tcPr>
          <w:p w14:paraId="120D2B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single" w:sz="4" w:space="0" w:color="auto"/>
              <w:left w:val="nil"/>
              <w:bottom w:val="nil"/>
              <w:right w:val="nil"/>
            </w:tcBorders>
          </w:tcPr>
          <w:p w14:paraId="1E4845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97D8CEE" w14:textId="77777777" w:rsidTr="00116073">
        <w:tc>
          <w:tcPr>
            <w:tcW w:w="1809" w:type="dxa"/>
            <w:tcBorders>
              <w:top w:val="nil"/>
              <w:left w:val="nil"/>
              <w:bottom w:val="nil"/>
              <w:right w:val="nil"/>
            </w:tcBorders>
          </w:tcPr>
          <w:p w14:paraId="61F72D2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28D45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0BADE1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(3.23)</w:t>
            </w:r>
          </w:p>
        </w:tc>
        <w:tc>
          <w:tcPr>
            <w:tcW w:w="272" w:type="dxa"/>
            <w:tcBorders>
              <w:top w:val="nil"/>
              <w:left w:val="nil"/>
              <w:bottom w:val="nil"/>
              <w:right w:val="nil"/>
            </w:tcBorders>
          </w:tcPr>
          <w:p w14:paraId="7BE75A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57926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43C5568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4966FC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1A4A4E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2FA21E9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532F741" w14:textId="77777777" w:rsidTr="00116073">
        <w:tc>
          <w:tcPr>
            <w:tcW w:w="1809" w:type="dxa"/>
            <w:tcBorders>
              <w:top w:val="nil"/>
              <w:left w:val="nil"/>
              <w:bottom w:val="nil"/>
              <w:right w:val="nil"/>
            </w:tcBorders>
          </w:tcPr>
          <w:p w14:paraId="6094782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72" w:type="dxa"/>
            <w:tcBorders>
              <w:top w:val="nil"/>
              <w:left w:val="nil"/>
              <w:bottom w:val="nil"/>
              <w:right w:val="nil"/>
            </w:tcBorders>
          </w:tcPr>
          <w:p w14:paraId="3AD152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B5A6B7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26D84F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36DC0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2.191</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346F9B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8BCF3C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43E1646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8D66D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0DBA482" w14:textId="77777777" w:rsidTr="00116073">
        <w:tc>
          <w:tcPr>
            <w:tcW w:w="1809" w:type="dxa"/>
            <w:tcBorders>
              <w:top w:val="nil"/>
              <w:left w:val="nil"/>
              <w:bottom w:val="nil"/>
              <w:right w:val="nil"/>
            </w:tcBorders>
          </w:tcPr>
          <w:p w14:paraId="5F443DD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580581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6412E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6D8F50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E00F0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(3.37)</w:t>
            </w:r>
          </w:p>
        </w:tc>
        <w:tc>
          <w:tcPr>
            <w:tcW w:w="260" w:type="dxa"/>
            <w:tcBorders>
              <w:top w:val="nil"/>
              <w:left w:val="nil"/>
              <w:bottom w:val="nil"/>
              <w:right w:val="nil"/>
            </w:tcBorders>
          </w:tcPr>
          <w:p w14:paraId="75279B1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B76EB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6C25FB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082364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C2B952E" w14:textId="77777777" w:rsidTr="00116073">
        <w:tc>
          <w:tcPr>
            <w:tcW w:w="1809" w:type="dxa"/>
            <w:tcBorders>
              <w:top w:val="nil"/>
              <w:left w:val="nil"/>
              <w:bottom w:val="nil"/>
              <w:right w:val="nil"/>
            </w:tcBorders>
          </w:tcPr>
          <w:p w14:paraId="1542FBE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72" w:type="dxa"/>
            <w:tcBorders>
              <w:top w:val="nil"/>
              <w:left w:val="nil"/>
              <w:bottom w:val="nil"/>
              <w:right w:val="nil"/>
            </w:tcBorders>
          </w:tcPr>
          <w:p w14:paraId="45C582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527EA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2766B3D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A0D96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6647CF4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BE701A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3.810</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183816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AC3FF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CC089BC" w14:textId="77777777" w:rsidTr="00116073">
        <w:tc>
          <w:tcPr>
            <w:tcW w:w="1809" w:type="dxa"/>
            <w:tcBorders>
              <w:top w:val="nil"/>
              <w:left w:val="nil"/>
              <w:bottom w:val="nil"/>
              <w:right w:val="nil"/>
            </w:tcBorders>
          </w:tcPr>
          <w:p w14:paraId="7F06B43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3F3D80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57D16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1ADFAC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1DC48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4AD766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48893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(3.38)</w:t>
            </w:r>
          </w:p>
        </w:tc>
        <w:tc>
          <w:tcPr>
            <w:tcW w:w="244" w:type="dxa"/>
            <w:tcBorders>
              <w:top w:val="nil"/>
              <w:left w:val="nil"/>
              <w:bottom w:val="nil"/>
              <w:right w:val="nil"/>
            </w:tcBorders>
          </w:tcPr>
          <w:p w14:paraId="4698996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67427CF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062BC4C" w14:textId="77777777" w:rsidTr="00116073">
        <w:tc>
          <w:tcPr>
            <w:tcW w:w="1809" w:type="dxa"/>
            <w:tcBorders>
              <w:top w:val="nil"/>
              <w:left w:val="nil"/>
              <w:bottom w:val="nil"/>
              <w:right w:val="nil"/>
            </w:tcBorders>
          </w:tcPr>
          <w:p w14:paraId="0170DD1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72" w:type="dxa"/>
            <w:tcBorders>
              <w:top w:val="nil"/>
              <w:left w:val="nil"/>
              <w:bottom w:val="nil"/>
              <w:right w:val="nil"/>
            </w:tcBorders>
          </w:tcPr>
          <w:p w14:paraId="61DFB06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D8007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13BF31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8D340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4B5492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688A5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4348396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44D0268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3.924</w:t>
            </w:r>
            <w:r w:rsidRPr="004E7E5A">
              <w:rPr>
                <w:rFonts w:ascii="Times New Roman" w:hAnsi="Times New Roman"/>
                <w:color w:val="000000" w:themeColor="text1"/>
                <w:kern w:val="0"/>
                <w:sz w:val="24"/>
                <w:szCs w:val="24"/>
                <w:vertAlign w:val="superscript"/>
              </w:rPr>
              <w:t>***</w:t>
            </w:r>
          </w:p>
        </w:tc>
      </w:tr>
      <w:tr w:rsidR="001E3466" w:rsidRPr="004E7E5A" w14:paraId="149592F7" w14:textId="77777777" w:rsidTr="00116073">
        <w:tc>
          <w:tcPr>
            <w:tcW w:w="1809" w:type="dxa"/>
            <w:tcBorders>
              <w:top w:val="nil"/>
              <w:left w:val="nil"/>
              <w:bottom w:val="nil"/>
              <w:right w:val="nil"/>
            </w:tcBorders>
          </w:tcPr>
          <w:p w14:paraId="66DE6C6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7DF084A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F1CEFF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642F1B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E3BAA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5200D19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4757F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2AAFBFF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363BE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(3.39)</w:t>
            </w:r>
          </w:p>
        </w:tc>
      </w:tr>
      <w:tr w:rsidR="001E3466" w:rsidRPr="004E7E5A" w14:paraId="26779250" w14:textId="77777777" w:rsidTr="00116073">
        <w:tc>
          <w:tcPr>
            <w:tcW w:w="1809" w:type="dxa"/>
            <w:tcBorders>
              <w:top w:val="nil"/>
              <w:left w:val="nil"/>
              <w:bottom w:val="nil"/>
              <w:right w:val="nil"/>
            </w:tcBorders>
          </w:tcPr>
          <w:p w14:paraId="4933CB1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Inddirector</w:t>
            </w:r>
            <w:proofErr w:type="spellEnd"/>
          </w:p>
        </w:tc>
        <w:tc>
          <w:tcPr>
            <w:tcW w:w="272" w:type="dxa"/>
            <w:tcBorders>
              <w:top w:val="nil"/>
              <w:left w:val="nil"/>
              <w:bottom w:val="nil"/>
              <w:right w:val="nil"/>
            </w:tcBorders>
          </w:tcPr>
          <w:p w14:paraId="63034E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0F4FA0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-3.345</w:t>
            </w:r>
          </w:p>
        </w:tc>
        <w:tc>
          <w:tcPr>
            <w:tcW w:w="272" w:type="dxa"/>
            <w:tcBorders>
              <w:top w:val="nil"/>
              <w:left w:val="nil"/>
              <w:bottom w:val="nil"/>
              <w:right w:val="nil"/>
            </w:tcBorders>
          </w:tcPr>
          <w:p w14:paraId="2129C46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A606AA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-5.109</w:t>
            </w:r>
          </w:p>
        </w:tc>
        <w:tc>
          <w:tcPr>
            <w:tcW w:w="260" w:type="dxa"/>
            <w:tcBorders>
              <w:top w:val="nil"/>
              <w:left w:val="nil"/>
              <w:bottom w:val="nil"/>
              <w:right w:val="nil"/>
            </w:tcBorders>
          </w:tcPr>
          <w:p w14:paraId="3FE93E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2180A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-5.721</w:t>
            </w:r>
          </w:p>
        </w:tc>
        <w:tc>
          <w:tcPr>
            <w:tcW w:w="244" w:type="dxa"/>
            <w:tcBorders>
              <w:top w:val="nil"/>
              <w:left w:val="nil"/>
              <w:bottom w:val="nil"/>
              <w:right w:val="nil"/>
            </w:tcBorders>
          </w:tcPr>
          <w:p w14:paraId="1F638B9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48EF7C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-6.683</w:t>
            </w:r>
            <w:r w:rsidRPr="004E7E5A">
              <w:rPr>
                <w:rFonts w:ascii="Times New Roman" w:hAnsi="Times New Roman"/>
                <w:color w:val="000000" w:themeColor="text1"/>
                <w:kern w:val="0"/>
                <w:sz w:val="24"/>
                <w:szCs w:val="24"/>
                <w:vertAlign w:val="superscript"/>
              </w:rPr>
              <w:t>*</w:t>
            </w:r>
          </w:p>
        </w:tc>
      </w:tr>
      <w:tr w:rsidR="001E3466" w:rsidRPr="004E7E5A" w14:paraId="12ADB421" w14:textId="77777777" w:rsidTr="00116073">
        <w:tc>
          <w:tcPr>
            <w:tcW w:w="1809" w:type="dxa"/>
            <w:tcBorders>
              <w:top w:val="nil"/>
              <w:left w:val="nil"/>
              <w:bottom w:val="nil"/>
              <w:right w:val="nil"/>
            </w:tcBorders>
          </w:tcPr>
          <w:p w14:paraId="5434BD6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06524C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E5C9D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(-0.90)</w:t>
            </w:r>
          </w:p>
        </w:tc>
        <w:tc>
          <w:tcPr>
            <w:tcW w:w="272" w:type="dxa"/>
            <w:tcBorders>
              <w:top w:val="nil"/>
              <w:left w:val="nil"/>
              <w:bottom w:val="nil"/>
              <w:right w:val="nil"/>
            </w:tcBorders>
          </w:tcPr>
          <w:p w14:paraId="620298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88E17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(-1.37)</w:t>
            </w:r>
          </w:p>
        </w:tc>
        <w:tc>
          <w:tcPr>
            <w:tcW w:w="260" w:type="dxa"/>
            <w:tcBorders>
              <w:top w:val="nil"/>
              <w:left w:val="nil"/>
              <w:bottom w:val="nil"/>
              <w:right w:val="nil"/>
            </w:tcBorders>
          </w:tcPr>
          <w:p w14:paraId="1E23ED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34FE59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(-1.51)</w:t>
            </w:r>
          </w:p>
        </w:tc>
        <w:tc>
          <w:tcPr>
            <w:tcW w:w="244" w:type="dxa"/>
            <w:tcBorders>
              <w:top w:val="nil"/>
              <w:left w:val="nil"/>
              <w:bottom w:val="nil"/>
              <w:right w:val="nil"/>
            </w:tcBorders>
          </w:tcPr>
          <w:p w14:paraId="0B27BB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0E5CA1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(-1.70)</w:t>
            </w:r>
          </w:p>
        </w:tc>
      </w:tr>
      <w:tr w:rsidR="001E3466" w:rsidRPr="004E7E5A" w14:paraId="6E278A56" w14:textId="77777777" w:rsidTr="00116073">
        <w:tc>
          <w:tcPr>
            <w:tcW w:w="1809" w:type="dxa"/>
            <w:tcBorders>
              <w:top w:val="nil"/>
              <w:left w:val="nil"/>
              <w:bottom w:val="nil"/>
              <w:right w:val="nil"/>
            </w:tcBorders>
          </w:tcPr>
          <w:p w14:paraId="2CE401A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Board size</w:t>
            </w:r>
          </w:p>
        </w:tc>
        <w:tc>
          <w:tcPr>
            <w:tcW w:w="272" w:type="dxa"/>
            <w:tcBorders>
              <w:top w:val="nil"/>
              <w:left w:val="nil"/>
              <w:bottom w:val="nil"/>
              <w:right w:val="nil"/>
            </w:tcBorders>
          </w:tcPr>
          <w:p w14:paraId="4220F95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60AD1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-0.045</w:t>
            </w:r>
          </w:p>
        </w:tc>
        <w:tc>
          <w:tcPr>
            <w:tcW w:w="272" w:type="dxa"/>
            <w:tcBorders>
              <w:top w:val="nil"/>
              <w:left w:val="nil"/>
              <w:bottom w:val="nil"/>
              <w:right w:val="nil"/>
            </w:tcBorders>
          </w:tcPr>
          <w:p w14:paraId="681ACD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7576B7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-0.074</w:t>
            </w:r>
          </w:p>
        </w:tc>
        <w:tc>
          <w:tcPr>
            <w:tcW w:w="260" w:type="dxa"/>
            <w:tcBorders>
              <w:top w:val="nil"/>
              <w:left w:val="nil"/>
              <w:bottom w:val="nil"/>
              <w:right w:val="nil"/>
            </w:tcBorders>
          </w:tcPr>
          <w:p w14:paraId="1FC2ED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42D94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-0.419</w:t>
            </w:r>
          </w:p>
        </w:tc>
        <w:tc>
          <w:tcPr>
            <w:tcW w:w="244" w:type="dxa"/>
            <w:tcBorders>
              <w:top w:val="nil"/>
              <w:left w:val="nil"/>
              <w:bottom w:val="nil"/>
              <w:right w:val="nil"/>
            </w:tcBorders>
          </w:tcPr>
          <w:p w14:paraId="33B26D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5F12C5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-0.455</w:t>
            </w:r>
          </w:p>
        </w:tc>
      </w:tr>
      <w:tr w:rsidR="001E3466" w:rsidRPr="004E7E5A" w14:paraId="12CAAC35" w14:textId="77777777" w:rsidTr="00116073">
        <w:tc>
          <w:tcPr>
            <w:tcW w:w="1809" w:type="dxa"/>
            <w:tcBorders>
              <w:top w:val="nil"/>
              <w:left w:val="nil"/>
              <w:bottom w:val="nil"/>
              <w:right w:val="nil"/>
            </w:tcBorders>
          </w:tcPr>
          <w:p w14:paraId="7DF2F90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D478DA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D1133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(-0.25)</w:t>
            </w:r>
          </w:p>
        </w:tc>
        <w:tc>
          <w:tcPr>
            <w:tcW w:w="272" w:type="dxa"/>
            <w:tcBorders>
              <w:top w:val="nil"/>
              <w:left w:val="nil"/>
              <w:bottom w:val="nil"/>
              <w:right w:val="nil"/>
            </w:tcBorders>
          </w:tcPr>
          <w:p w14:paraId="47F0AF0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77691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(-0.40)</w:t>
            </w:r>
          </w:p>
        </w:tc>
        <w:tc>
          <w:tcPr>
            <w:tcW w:w="260" w:type="dxa"/>
            <w:tcBorders>
              <w:top w:val="nil"/>
              <w:left w:val="nil"/>
              <w:bottom w:val="nil"/>
              <w:right w:val="nil"/>
            </w:tcBorders>
          </w:tcPr>
          <w:p w14:paraId="1ABAC66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A5A6B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(-1.54)</w:t>
            </w:r>
          </w:p>
        </w:tc>
        <w:tc>
          <w:tcPr>
            <w:tcW w:w="244" w:type="dxa"/>
            <w:tcBorders>
              <w:top w:val="nil"/>
              <w:left w:val="nil"/>
              <w:bottom w:val="nil"/>
              <w:right w:val="nil"/>
            </w:tcBorders>
          </w:tcPr>
          <w:p w14:paraId="49CBD7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2C09E6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(-1.62)</w:t>
            </w:r>
          </w:p>
        </w:tc>
      </w:tr>
      <w:tr w:rsidR="001E3466" w:rsidRPr="004E7E5A" w14:paraId="7AC4129B" w14:textId="77777777" w:rsidTr="00116073">
        <w:tc>
          <w:tcPr>
            <w:tcW w:w="1809" w:type="dxa"/>
            <w:tcBorders>
              <w:top w:val="nil"/>
              <w:left w:val="nil"/>
              <w:bottom w:val="nil"/>
              <w:right w:val="nil"/>
            </w:tcBorders>
          </w:tcPr>
          <w:p w14:paraId="043D24E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Female</w:t>
            </w:r>
          </w:p>
        </w:tc>
        <w:tc>
          <w:tcPr>
            <w:tcW w:w="272" w:type="dxa"/>
            <w:tcBorders>
              <w:top w:val="nil"/>
              <w:left w:val="nil"/>
              <w:bottom w:val="nil"/>
              <w:right w:val="nil"/>
            </w:tcBorders>
          </w:tcPr>
          <w:p w14:paraId="38BE70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CE978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2.848</w:t>
            </w:r>
          </w:p>
        </w:tc>
        <w:tc>
          <w:tcPr>
            <w:tcW w:w="272" w:type="dxa"/>
            <w:tcBorders>
              <w:top w:val="nil"/>
              <w:left w:val="nil"/>
              <w:bottom w:val="nil"/>
              <w:right w:val="nil"/>
            </w:tcBorders>
          </w:tcPr>
          <w:p w14:paraId="23C382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E76610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2.536</w:t>
            </w:r>
          </w:p>
        </w:tc>
        <w:tc>
          <w:tcPr>
            <w:tcW w:w="260" w:type="dxa"/>
            <w:tcBorders>
              <w:top w:val="nil"/>
              <w:left w:val="nil"/>
              <w:bottom w:val="nil"/>
              <w:right w:val="nil"/>
            </w:tcBorders>
          </w:tcPr>
          <w:p w14:paraId="3E7538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21433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0.873</w:t>
            </w:r>
          </w:p>
        </w:tc>
        <w:tc>
          <w:tcPr>
            <w:tcW w:w="244" w:type="dxa"/>
            <w:tcBorders>
              <w:top w:val="nil"/>
              <w:left w:val="nil"/>
              <w:bottom w:val="nil"/>
              <w:right w:val="nil"/>
            </w:tcBorders>
          </w:tcPr>
          <w:p w14:paraId="4BFB657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066F66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1.409</w:t>
            </w:r>
          </w:p>
        </w:tc>
      </w:tr>
      <w:tr w:rsidR="001E3466" w:rsidRPr="004E7E5A" w14:paraId="1C9D407E" w14:textId="77777777" w:rsidTr="00116073">
        <w:tc>
          <w:tcPr>
            <w:tcW w:w="1809" w:type="dxa"/>
            <w:tcBorders>
              <w:top w:val="nil"/>
              <w:left w:val="nil"/>
              <w:bottom w:val="nil"/>
              <w:right w:val="nil"/>
            </w:tcBorders>
          </w:tcPr>
          <w:p w14:paraId="4F0AB0E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830893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90D0F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(1.41)</w:t>
            </w:r>
          </w:p>
        </w:tc>
        <w:tc>
          <w:tcPr>
            <w:tcW w:w="272" w:type="dxa"/>
            <w:tcBorders>
              <w:top w:val="nil"/>
              <w:left w:val="nil"/>
              <w:bottom w:val="nil"/>
              <w:right w:val="nil"/>
            </w:tcBorders>
          </w:tcPr>
          <w:p w14:paraId="750EBE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1BF582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(1.35)</w:t>
            </w:r>
          </w:p>
        </w:tc>
        <w:tc>
          <w:tcPr>
            <w:tcW w:w="260" w:type="dxa"/>
            <w:tcBorders>
              <w:top w:val="nil"/>
              <w:left w:val="nil"/>
              <w:bottom w:val="nil"/>
              <w:right w:val="nil"/>
            </w:tcBorders>
          </w:tcPr>
          <w:p w14:paraId="34A674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0C903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(0.53)</w:t>
            </w:r>
          </w:p>
        </w:tc>
        <w:tc>
          <w:tcPr>
            <w:tcW w:w="244" w:type="dxa"/>
            <w:tcBorders>
              <w:top w:val="nil"/>
              <w:left w:val="nil"/>
              <w:bottom w:val="nil"/>
              <w:right w:val="nil"/>
            </w:tcBorders>
          </w:tcPr>
          <w:p w14:paraId="6A8D53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4ABF01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(0.83)</w:t>
            </w:r>
          </w:p>
        </w:tc>
      </w:tr>
      <w:tr w:rsidR="001E3466" w:rsidRPr="004E7E5A" w14:paraId="59E996D9" w14:textId="77777777" w:rsidTr="00116073">
        <w:tc>
          <w:tcPr>
            <w:tcW w:w="1809" w:type="dxa"/>
            <w:tcBorders>
              <w:top w:val="nil"/>
              <w:left w:val="nil"/>
              <w:bottom w:val="nil"/>
              <w:right w:val="nil"/>
            </w:tcBorders>
          </w:tcPr>
          <w:p w14:paraId="57BFE22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Director age</w:t>
            </w:r>
          </w:p>
        </w:tc>
        <w:tc>
          <w:tcPr>
            <w:tcW w:w="272" w:type="dxa"/>
            <w:tcBorders>
              <w:top w:val="nil"/>
              <w:left w:val="nil"/>
              <w:bottom w:val="nil"/>
              <w:right w:val="nil"/>
            </w:tcBorders>
          </w:tcPr>
          <w:p w14:paraId="775333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DF2615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0.089</w:t>
            </w:r>
          </w:p>
        </w:tc>
        <w:tc>
          <w:tcPr>
            <w:tcW w:w="272" w:type="dxa"/>
            <w:tcBorders>
              <w:top w:val="nil"/>
              <w:left w:val="nil"/>
              <w:bottom w:val="nil"/>
              <w:right w:val="nil"/>
            </w:tcBorders>
          </w:tcPr>
          <w:p w14:paraId="668C48C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ED1BB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0.130</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3F0ABF0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A50464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0.098</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14A471C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03AE89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0.119</w:t>
            </w:r>
            <w:r w:rsidRPr="004E7E5A">
              <w:rPr>
                <w:rFonts w:ascii="Times New Roman" w:hAnsi="Times New Roman"/>
                <w:color w:val="000000" w:themeColor="text1"/>
                <w:kern w:val="0"/>
                <w:sz w:val="24"/>
                <w:szCs w:val="24"/>
                <w:vertAlign w:val="superscript"/>
              </w:rPr>
              <w:t>**</w:t>
            </w:r>
          </w:p>
        </w:tc>
      </w:tr>
      <w:tr w:rsidR="001E3466" w:rsidRPr="004E7E5A" w14:paraId="6E806426" w14:textId="77777777" w:rsidTr="00116073">
        <w:tc>
          <w:tcPr>
            <w:tcW w:w="1809" w:type="dxa"/>
            <w:tcBorders>
              <w:top w:val="nil"/>
              <w:left w:val="nil"/>
              <w:bottom w:val="nil"/>
              <w:right w:val="nil"/>
            </w:tcBorders>
          </w:tcPr>
          <w:p w14:paraId="714CFC1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316EEDF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7AC1C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(1.41)</w:t>
            </w:r>
          </w:p>
        </w:tc>
        <w:tc>
          <w:tcPr>
            <w:tcW w:w="272" w:type="dxa"/>
            <w:tcBorders>
              <w:top w:val="nil"/>
              <w:left w:val="nil"/>
              <w:bottom w:val="nil"/>
              <w:right w:val="nil"/>
            </w:tcBorders>
          </w:tcPr>
          <w:p w14:paraId="70C20F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FE494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(2.27)</w:t>
            </w:r>
          </w:p>
        </w:tc>
        <w:tc>
          <w:tcPr>
            <w:tcW w:w="260" w:type="dxa"/>
            <w:tcBorders>
              <w:top w:val="nil"/>
              <w:left w:val="nil"/>
              <w:bottom w:val="nil"/>
              <w:right w:val="nil"/>
            </w:tcBorders>
          </w:tcPr>
          <w:p w14:paraId="5F2662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E968D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(1.65)</w:t>
            </w:r>
          </w:p>
        </w:tc>
        <w:tc>
          <w:tcPr>
            <w:tcW w:w="244" w:type="dxa"/>
            <w:tcBorders>
              <w:top w:val="nil"/>
              <w:left w:val="nil"/>
              <w:bottom w:val="nil"/>
              <w:right w:val="nil"/>
            </w:tcBorders>
          </w:tcPr>
          <w:p w14:paraId="50AC0F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73CBDA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(2.06)</w:t>
            </w:r>
          </w:p>
        </w:tc>
      </w:tr>
      <w:tr w:rsidR="001E3466" w:rsidRPr="004E7E5A" w14:paraId="09267D2B" w14:textId="77777777" w:rsidTr="00116073">
        <w:tc>
          <w:tcPr>
            <w:tcW w:w="1809" w:type="dxa"/>
            <w:tcBorders>
              <w:top w:val="nil"/>
              <w:left w:val="nil"/>
              <w:bottom w:val="nil"/>
              <w:right w:val="nil"/>
            </w:tcBorders>
          </w:tcPr>
          <w:p w14:paraId="4E8EE7B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Location</w:t>
            </w:r>
          </w:p>
        </w:tc>
        <w:tc>
          <w:tcPr>
            <w:tcW w:w="272" w:type="dxa"/>
            <w:tcBorders>
              <w:top w:val="nil"/>
              <w:left w:val="nil"/>
              <w:bottom w:val="nil"/>
              <w:right w:val="nil"/>
            </w:tcBorders>
          </w:tcPr>
          <w:p w14:paraId="5B5D00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9F182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-0.998</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6127C1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D3B73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-0.961</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7CC93E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F5D42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-1.278</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47DE24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03C02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-1.194</w:t>
            </w:r>
            <w:r w:rsidRPr="004E7E5A">
              <w:rPr>
                <w:rFonts w:ascii="Times New Roman" w:hAnsi="Times New Roman"/>
                <w:color w:val="000000" w:themeColor="text1"/>
                <w:kern w:val="0"/>
                <w:sz w:val="24"/>
                <w:szCs w:val="24"/>
                <w:vertAlign w:val="superscript"/>
              </w:rPr>
              <w:t>***</w:t>
            </w:r>
          </w:p>
        </w:tc>
      </w:tr>
      <w:tr w:rsidR="001E3466" w:rsidRPr="004E7E5A" w14:paraId="6008F30D" w14:textId="77777777" w:rsidTr="00116073">
        <w:tc>
          <w:tcPr>
            <w:tcW w:w="1809" w:type="dxa"/>
            <w:tcBorders>
              <w:top w:val="nil"/>
              <w:left w:val="nil"/>
              <w:bottom w:val="nil"/>
              <w:right w:val="nil"/>
            </w:tcBorders>
          </w:tcPr>
          <w:p w14:paraId="249C9E0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27686B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BE5AE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(-2.72)</w:t>
            </w:r>
          </w:p>
        </w:tc>
        <w:tc>
          <w:tcPr>
            <w:tcW w:w="272" w:type="dxa"/>
            <w:tcBorders>
              <w:top w:val="nil"/>
              <w:left w:val="nil"/>
              <w:bottom w:val="nil"/>
              <w:right w:val="nil"/>
            </w:tcBorders>
          </w:tcPr>
          <w:p w14:paraId="6559454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CC391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(-2.71)</w:t>
            </w:r>
          </w:p>
        </w:tc>
        <w:tc>
          <w:tcPr>
            <w:tcW w:w="260" w:type="dxa"/>
            <w:tcBorders>
              <w:top w:val="nil"/>
              <w:left w:val="nil"/>
              <w:bottom w:val="nil"/>
              <w:right w:val="nil"/>
            </w:tcBorders>
          </w:tcPr>
          <w:p w14:paraId="65BC69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81883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(-3.77)</w:t>
            </w:r>
          </w:p>
        </w:tc>
        <w:tc>
          <w:tcPr>
            <w:tcW w:w="244" w:type="dxa"/>
            <w:tcBorders>
              <w:top w:val="nil"/>
              <w:left w:val="nil"/>
              <w:bottom w:val="nil"/>
              <w:right w:val="nil"/>
            </w:tcBorders>
          </w:tcPr>
          <w:p w14:paraId="2F78BD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460244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(-3.52)</w:t>
            </w:r>
          </w:p>
        </w:tc>
      </w:tr>
      <w:tr w:rsidR="001E3466" w:rsidRPr="004E7E5A" w14:paraId="686EFB31" w14:textId="77777777" w:rsidTr="00116073">
        <w:tc>
          <w:tcPr>
            <w:tcW w:w="1809" w:type="dxa"/>
            <w:tcBorders>
              <w:top w:val="nil"/>
              <w:left w:val="nil"/>
              <w:bottom w:val="nil"/>
              <w:right w:val="nil"/>
            </w:tcBorders>
          </w:tcPr>
          <w:p w14:paraId="52611C8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Duality</w:t>
            </w:r>
          </w:p>
        </w:tc>
        <w:tc>
          <w:tcPr>
            <w:tcW w:w="272" w:type="dxa"/>
            <w:tcBorders>
              <w:top w:val="nil"/>
              <w:left w:val="nil"/>
              <w:bottom w:val="nil"/>
              <w:right w:val="nil"/>
            </w:tcBorders>
          </w:tcPr>
          <w:p w14:paraId="72913D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8EFDBD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-0.836</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34D0B5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5DC0B6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-0.806</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25AE97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609540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-0.694</w:t>
            </w:r>
          </w:p>
        </w:tc>
        <w:tc>
          <w:tcPr>
            <w:tcW w:w="244" w:type="dxa"/>
            <w:tcBorders>
              <w:top w:val="nil"/>
              <w:left w:val="nil"/>
              <w:bottom w:val="nil"/>
              <w:right w:val="nil"/>
            </w:tcBorders>
          </w:tcPr>
          <w:p w14:paraId="1EEA1E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169B8C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-0.580</w:t>
            </w:r>
          </w:p>
        </w:tc>
      </w:tr>
      <w:tr w:rsidR="001E3466" w:rsidRPr="004E7E5A" w14:paraId="0C1CDE2F" w14:textId="77777777" w:rsidTr="00116073">
        <w:tc>
          <w:tcPr>
            <w:tcW w:w="1809" w:type="dxa"/>
            <w:tcBorders>
              <w:top w:val="nil"/>
              <w:left w:val="nil"/>
              <w:bottom w:val="nil"/>
              <w:right w:val="nil"/>
            </w:tcBorders>
          </w:tcPr>
          <w:p w14:paraId="04A7669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25165B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5AF2F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(-1.74)</w:t>
            </w:r>
          </w:p>
        </w:tc>
        <w:tc>
          <w:tcPr>
            <w:tcW w:w="272" w:type="dxa"/>
            <w:tcBorders>
              <w:top w:val="nil"/>
              <w:left w:val="nil"/>
              <w:bottom w:val="nil"/>
              <w:right w:val="nil"/>
            </w:tcBorders>
          </w:tcPr>
          <w:p w14:paraId="0CAAFE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6FEA6B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(-1.74)</w:t>
            </w:r>
          </w:p>
        </w:tc>
        <w:tc>
          <w:tcPr>
            <w:tcW w:w="260" w:type="dxa"/>
            <w:tcBorders>
              <w:top w:val="nil"/>
              <w:left w:val="nil"/>
              <w:bottom w:val="nil"/>
              <w:right w:val="nil"/>
            </w:tcBorders>
          </w:tcPr>
          <w:p w14:paraId="424F82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F4C04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(-1.48)</w:t>
            </w:r>
          </w:p>
        </w:tc>
        <w:tc>
          <w:tcPr>
            <w:tcW w:w="244" w:type="dxa"/>
            <w:tcBorders>
              <w:top w:val="nil"/>
              <w:left w:val="nil"/>
              <w:bottom w:val="nil"/>
              <w:right w:val="nil"/>
            </w:tcBorders>
          </w:tcPr>
          <w:p w14:paraId="225413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0E87D5A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(-1.21)</w:t>
            </w:r>
          </w:p>
        </w:tc>
      </w:tr>
      <w:tr w:rsidR="001E3466" w:rsidRPr="004E7E5A" w14:paraId="2A008F00" w14:textId="77777777" w:rsidTr="00116073">
        <w:tc>
          <w:tcPr>
            <w:tcW w:w="1809" w:type="dxa"/>
            <w:tcBorders>
              <w:top w:val="nil"/>
              <w:left w:val="nil"/>
              <w:bottom w:val="nil"/>
              <w:right w:val="nil"/>
            </w:tcBorders>
          </w:tcPr>
          <w:p w14:paraId="4A847B7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Compensation</w:t>
            </w:r>
          </w:p>
        </w:tc>
        <w:tc>
          <w:tcPr>
            <w:tcW w:w="272" w:type="dxa"/>
            <w:tcBorders>
              <w:top w:val="nil"/>
              <w:left w:val="nil"/>
              <w:bottom w:val="nil"/>
              <w:right w:val="nil"/>
            </w:tcBorders>
          </w:tcPr>
          <w:p w14:paraId="5781DF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C612B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0.487</w:t>
            </w:r>
          </w:p>
        </w:tc>
        <w:tc>
          <w:tcPr>
            <w:tcW w:w="272" w:type="dxa"/>
            <w:tcBorders>
              <w:top w:val="nil"/>
              <w:left w:val="nil"/>
              <w:bottom w:val="nil"/>
              <w:right w:val="nil"/>
            </w:tcBorders>
          </w:tcPr>
          <w:p w14:paraId="26C0386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7408F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0.461</w:t>
            </w:r>
          </w:p>
        </w:tc>
        <w:tc>
          <w:tcPr>
            <w:tcW w:w="260" w:type="dxa"/>
            <w:tcBorders>
              <w:top w:val="nil"/>
              <w:left w:val="nil"/>
              <w:bottom w:val="nil"/>
              <w:right w:val="nil"/>
            </w:tcBorders>
          </w:tcPr>
          <w:p w14:paraId="42D690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C8219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0.675</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6610A2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2734A73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0.569</w:t>
            </w:r>
            <w:r w:rsidRPr="004E7E5A">
              <w:rPr>
                <w:rFonts w:ascii="Times New Roman" w:hAnsi="Times New Roman"/>
                <w:color w:val="000000" w:themeColor="text1"/>
                <w:kern w:val="0"/>
                <w:sz w:val="24"/>
                <w:szCs w:val="24"/>
                <w:vertAlign w:val="superscript"/>
              </w:rPr>
              <w:t>**</w:t>
            </w:r>
          </w:p>
        </w:tc>
      </w:tr>
      <w:tr w:rsidR="001E3466" w:rsidRPr="004E7E5A" w14:paraId="13A5D65E" w14:textId="77777777" w:rsidTr="00116073">
        <w:tc>
          <w:tcPr>
            <w:tcW w:w="1809" w:type="dxa"/>
            <w:tcBorders>
              <w:top w:val="nil"/>
              <w:left w:val="nil"/>
              <w:bottom w:val="nil"/>
              <w:right w:val="nil"/>
            </w:tcBorders>
          </w:tcPr>
          <w:p w14:paraId="727AC38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AACB5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EC7D2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(1.62)</w:t>
            </w:r>
          </w:p>
        </w:tc>
        <w:tc>
          <w:tcPr>
            <w:tcW w:w="272" w:type="dxa"/>
            <w:tcBorders>
              <w:top w:val="nil"/>
              <w:left w:val="nil"/>
              <w:bottom w:val="nil"/>
              <w:right w:val="nil"/>
            </w:tcBorders>
          </w:tcPr>
          <w:p w14:paraId="52DF1A6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4048D6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(1.58)</w:t>
            </w:r>
          </w:p>
        </w:tc>
        <w:tc>
          <w:tcPr>
            <w:tcW w:w="260" w:type="dxa"/>
            <w:tcBorders>
              <w:top w:val="nil"/>
              <w:left w:val="nil"/>
              <w:bottom w:val="nil"/>
              <w:right w:val="nil"/>
            </w:tcBorders>
          </w:tcPr>
          <w:p w14:paraId="4DB173C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BB428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(2.59)</w:t>
            </w:r>
          </w:p>
        </w:tc>
        <w:tc>
          <w:tcPr>
            <w:tcW w:w="244" w:type="dxa"/>
            <w:tcBorders>
              <w:top w:val="nil"/>
              <w:left w:val="nil"/>
              <w:bottom w:val="nil"/>
              <w:right w:val="nil"/>
            </w:tcBorders>
          </w:tcPr>
          <w:p w14:paraId="3986B7C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0045DF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(2.08)</w:t>
            </w:r>
          </w:p>
        </w:tc>
      </w:tr>
      <w:tr w:rsidR="001E3466" w:rsidRPr="004E7E5A" w14:paraId="618299FA" w14:textId="77777777" w:rsidTr="00116073">
        <w:tc>
          <w:tcPr>
            <w:tcW w:w="1809" w:type="dxa"/>
            <w:tcBorders>
              <w:top w:val="nil"/>
              <w:left w:val="nil"/>
              <w:bottom w:val="nil"/>
              <w:right w:val="nil"/>
            </w:tcBorders>
          </w:tcPr>
          <w:p w14:paraId="5C1D932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Dirshare</w:t>
            </w:r>
            <w:proofErr w:type="spellEnd"/>
          </w:p>
        </w:tc>
        <w:tc>
          <w:tcPr>
            <w:tcW w:w="272" w:type="dxa"/>
            <w:tcBorders>
              <w:top w:val="nil"/>
              <w:left w:val="nil"/>
              <w:bottom w:val="nil"/>
              <w:right w:val="nil"/>
            </w:tcBorders>
          </w:tcPr>
          <w:p w14:paraId="75A391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F080B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8.723</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12BCA9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ABDA48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9.355</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085CA8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5C3B1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9.369</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1F8932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6D5142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9.193</w:t>
            </w:r>
            <w:r w:rsidRPr="004E7E5A">
              <w:rPr>
                <w:rFonts w:ascii="Times New Roman" w:hAnsi="Times New Roman"/>
                <w:color w:val="000000" w:themeColor="text1"/>
                <w:kern w:val="0"/>
                <w:sz w:val="24"/>
                <w:szCs w:val="24"/>
                <w:vertAlign w:val="superscript"/>
              </w:rPr>
              <w:t>***</w:t>
            </w:r>
          </w:p>
        </w:tc>
      </w:tr>
      <w:tr w:rsidR="001E3466" w:rsidRPr="004E7E5A" w14:paraId="1DDFB70A" w14:textId="77777777" w:rsidTr="00116073">
        <w:tc>
          <w:tcPr>
            <w:tcW w:w="1809" w:type="dxa"/>
            <w:tcBorders>
              <w:top w:val="nil"/>
              <w:left w:val="nil"/>
              <w:bottom w:val="nil"/>
              <w:right w:val="nil"/>
            </w:tcBorders>
          </w:tcPr>
          <w:p w14:paraId="6A59F81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188F76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2B864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(4.30)</w:t>
            </w:r>
          </w:p>
        </w:tc>
        <w:tc>
          <w:tcPr>
            <w:tcW w:w="272" w:type="dxa"/>
            <w:tcBorders>
              <w:top w:val="nil"/>
              <w:left w:val="nil"/>
              <w:bottom w:val="nil"/>
              <w:right w:val="nil"/>
            </w:tcBorders>
          </w:tcPr>
          <w:p w14:paraId="06FAD1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F4EC1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(4.55)</w:t>
            </w:r>
          </w:p>
        </w:tc>
        <w:tc>
          <w:tcPr>
            <w:tcW w:w="260" w:type="dxa"/>
            <w:tcBorders>
              <w:top w:val="nil"/>
              <w:left w:val="nil"/>
              <w:bottom w:val="nil"/>
              <w:right w:val="nil"/>
            </w:tcBorders>
          </w:tcPr>
          <w:p w14:paraId="6B5FF9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BF16BB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(4.57)</w:t>
            </w:r>
          </w:p>
        </w:tc>
        <w:tc>
          <w:tcPr>
            <w:tcW w:w="244" w:type="dxa"/>
            <w:tcBorders>
              <w:top w:val="nil"/>
              <w:left w:val="nil"/>
              <w:bottom w:val="nil"/>
              <w:right w:val="nil"/>
            </w:tcBorders>
          </w:tcPr>
          <w:p w14:paraId="57BF56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62637D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(4.57)</w:t>
            </w:r>
          </w:p>
        </w:tc>
      </w:tr>
      <w:tr w:rsidR="001E3466" w:rsidRPr="004E7E5A" w14:paraId="7D1FFF1C" w14:textId="77777777" w:rsidTr="00116073">
        <w:tc>
          <w:tcPr>
            <w:tcW w:w="1809" w:type="dxa"/>
            <w:tcBorders>
              <w:top w:val="nil"/>
              <w:left w:val="nil"/>
              <w:bottom w:val="nil"/>
              <w:right w:val="nil"/>
            </w:tcBorders>
          </w:tcPr>
          <w:p w14:paraId="2A7DBFD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Firm size</w:t>
            </w:r>
          </w:p>
        </w:tc>
        <w:tc>
          <w:tcPr>
            <w:tcW w:w="272" w:type="dxa"/>
            <w:tcBorders>
              <w:top w:val="nil"/>
              <w:left w:val="nil"/>
              <w:bottom w:val="nil"/>
              <w:right w:val="nil"/>
            </w:tcBorders>
          </w:tcPr>
          <w:p w14:paraId="35367B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620F4F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2.722</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3961C2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6641A0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2.706</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7946A5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651AD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2.435</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268010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1A02EB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2.498</w:t>
            </w:r>
            <w:r w:rsidRPr="004E7E5A">
              <w:rPr>
                <w:rFonts w:ascii="Times New Roman" w:hAnsi="Times New Roman"/>
                <w:color w:val="000000" w:themeColor="text1"/>
                <w:kern w:val="0"/>
                <w:sz w:val="24"/>
                <w:szCs w:val="24"/>
                <w:vertAlign w:val="superscript"/>
              </w:rPr>
              <w:t>***</w:t>
            </w:r>
          </w:p>
        </w:tc>
      </w:tr>
      <w:tr w:rsidR="001E3466" w:rsidRPr="004E7E5A" w14:paraId="214929A4" w14:textId="77777777" w:rsidTr="00116073">
        <w:tc>
          <w:tcPr>
            <w:tcW w:w="1809" w:type="dxa"/>
            <w:tcBorders>
              <w:top w:val="nil"/>
              <w:left w:val="nil"/>
              <w:bottom w:val="nil"/>
              <w:right w:val="nil"/>
            </w:tcBorders>
          </w:tcPr>
          <w:p w14:paraId="4F8AD65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1C4DF3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59155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(9.48)</w:t>
            </w:r>
          </w:p>
        </w:tc>
        <w:tc>
          <w:tcPr>
            <w:tcW w:w="272" w:type="dxa"/>
            <w:tcBorders>
              <w:top w:val="nil"/>
              <w:left w:val="nil"/>
              <w:bottom w:val="nil"/>
              <w:right w:val="nil"/>
            </w:tcBorders>
          </w:tcPr>
          <w:p w14:paraId="639679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EB111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(9.73)</w:t>
            </w:r>
          </w:p>
        </w:tc>
        <w:tc>
          <w:tcPr>
            <w:tcW w:w="260" w:type="dxa"/>
            <w:tcBorders>
              <w:top w:val="nil"/>
              <w:left w:val="nil"/>
              <w:bottom w:val="nil"/>
              <w:right w:val="nil"/>
            </w:tcBorders>
          </w:tcPr>
          <w:p w14:paraId="0A0A44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6F40A8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(7.20)</w:t>
            </w:r>
          </w:p>
        </w:tc>
        <w:tc>
          <w:tcPr>
            <w:tcW w:w="244" w:type="dxa"/>
            <w:tcBorders>
              <w:top w:val="nil"/>
              <w:left w:val="nil"/>
              <w:bottom w:val="nil"/>
              <w:right w:val="nil"/>
            </w:tcBorders>
          </w:tcPr>
          <w:p w14:paraId="1B4466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2A1C788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(7.76)</w:t>
            </w:r>
          </w:p>
        </w:tc>
      </w:tr>
      <w:tr w:rsidR="001E3466" w:rsidRPr="004E7E5A" w14:paraId="28B29CC2" w14:textId="77777777" w:rsidTr="00116073">
        <w:tc>
          <w:tcPr>
            <w:tcW w:w="1809" w:type="dxa"/>
            <w:tcBorders>
              <w:top w:val="nil"/>
              <w:left w:val="nil"/>
              <w:bottom w:val="nil"/>
              <w:right w:val="nil"/>
            </w:tcBorders>
          </w:tcPr>
          <w:p w14:paraId="0ECF347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Roa</w:t>
            </w:r>
            <w:proofErr w:type="spellEnd"/>
          </w:p>
        </w:tc>
        <w:tc>
          <w:tcPr>
            <w:tcW w:w="272" w:type="dxa"/>
            <w:tcBorders>
              <w:top w:val="nil"/>
              <w:left w:val="nil"/>
              <w:bottom w:val="nil"/>
              <w:right w:val="nil"/>
            </w:tcBorders>
          </w:tcPr>
          <w:p w14:paraId="3E1BD8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D44CD9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-5.387</w:t>
            </w:r>
          </w:p>
        </w:tc>
        <w:tc>
          <w:tcPr>
            <w:tcW w:w="272" w:type="dxa"/>
            <w:tcBorders>
              <w:top w:val="nil"/>
              <w:left w:val="nil"/>
              <w:bottom w:val="nil"/>
              <w:right w:val="nil"/>
            </w:tcBorders>
          </w:tcPr>
          <w:p w14:paraId="63911E9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14F21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-4.429</w:t>
            </w:r>
          </w:p>
        </w:tc>
        <w:tc>
          <w:tcPr>
            <w:tcW w:w="260" w:type="dxa"/>
            <w:tcBorders>
              <w:top w:val="nil"/>
              <w:left w:val="nil"/>
              <w:bottom w:val="nil"/>
              <w:right w:val="nil"/>
            </w:tcBorders>
          </w:tcPr>
          <w:p w14:paraId="63C34B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633C6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-2.118</w:t>
            </w:r>
          </w:p>
        </w:tc>
        <w:tc>
          <w:tcPr>
            <w:tcW w:w="244" w:type="dxa"/>
            <w:tcBorders>
              <w:top w:val="nil"/>
              <w:left w:val="nil"/>
              <w:bottom w:val="nil"/>
              <w:right w:val="nil"/>
            </w:tcBorders>
          </w:tcPr>
          <w:p w14:paraId="1B62C3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703D2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-2.369</w:t>
            </w:r>
          </w:p>
        </w:tc>
      </w:tr>
      <w:tr w:rsidR="001E3466" w:rsidRPr="004E7E5A" w14:paraId="28785D50" w14:textId="77777777" w:rsidTr="00116073">
        <w:tc>
          <w:tcPr>
            <w:tcW w:w="1809" w:type="dxa"/>
            <w:tcBorders>
              <w:top w:val="nil"/>
              <w:left w:val="nil"/>
              <w:bottom w:val="nil"/>
              <w:right w:val="nil"/>
            </w:tcBorders>
          </w:tcPr>
          <w:p w14:paraId="6734974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79BEE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42927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(-1.19)</w:t>
            </w:r>
          </w:p>
        </w:tc>
        <w:tc>
          <w:tcPr>
            <w:tcW w:w="272" w:type="dxa"/>
            <w:tcBorders>
              <w:top w:val="nil"/>
              <w:left w:val="nil"/>
              <w:bottom w:val="nil"/>
              <w:right w:val="nil"/>
            </w:tcBorders>
          </w:tcPr>
          <w:p w14:paraId="19CA1A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96178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(-1.04)</w:t>
            </w:r>
          </w:p>
        </w:tc>
        <w:tc>
          <w:tcPr>
            <w:tcW w:w="260" w:type="dxa"/>
            <w:tcBorders>
              <w:top w:val="nil"/>
              <w:left w:val="nil"/>
              <w:bottom w:val="nil"/>
              <w:right w:val="nil"/>
            </w:tcBorders>
          </w:tcPr>
          <w:p w14:paraId="2B5ECB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EAA35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(-0.52)</w:t>
            </w:r>
          </w:p>
        </w:tc>
        <w:tc>
          <w:tcPr>
            <w:tcW w:w="244" w:type="dxa"/>
            <w:tcBorders>
              <w:top w:val="nil"/>
              <w:left w:val="nil"/>
              <w:bottom w:val="nil"/>
              <w:right w:val="nil"/>
            </w:tcBorders>
          </w:tcPr>
          <w:p w14:paraId="12E6362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24B756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(-0.58)</w:t>
            </w:r>
          </w:p>
        </w:tc>
      </w:tr>
      <w:tr w:rsidR="001E3466" w:rsidRPr="004E7E5A" w14:paraId="30A0C43F" w14:textId="77777777" w:rsidTr="00116073">
        <w:tc>
          <w:tcPr>
            <w:tcW w:w="1809" w:type="dxa"/>
            <w:tcBorders>
              <w:top w:val="nil"/>
              <w:left w:val="nil"/>
              <w:bottom w:val="nil"/>
              <w:right w:val="nil"/>
            </w:tcBorders>
          </w:tcPr>
          <w:p w14:paraId="2CA09CC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Lev</w:t>
            </w:r>
          </w:p>
        </w:tc>
        <w:tc>
          <w:tcPr>
            <w:tcW w:w="272" w:type="dxa"/>
            <w:tcBorders>
              <w:top w:val="nil"/>
              <w:left w:val="nil"/>
              <w:bottom w:val="nil"/>
              <w:right w:val="nil"/>
            </w:tcBorders>
          </w:tcPr>
          <w:p w14:paraId="28AA78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ECB44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-4.520</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471CAA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1C975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-3.947</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18B8A7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F09CF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-3.890</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366335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170B895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-3.691</w:t>
            </w:r>
            <w:r w:rsidRPr="004E7E5A">
              <w:rPr>
                <w:rFonts w:ascii="Times New Roman" w:hAnsi="Times New Roman"/>
                <w:color w:val="000000" w:themeColor="text1"/>
                <w:kern w:val="0"/>
                <w:sz w:val="24"/>
                <w:szCs w:val="24"/>
                <w:vertAlign w:val="superscript"/>
              </w:rPr>
              <w:t>***</w:t>
            </w:r>
          </w:p>
        </w:tc>
      </w:tr>
      <w:tr w:rsidR="001E3466" w:rsidRPr="004E7E5A" w14:paraId="1F8694E0" w14:textId="77777777" w:rsidTr="00116073">
        <w:tc>
          <w:tcPr>
            <w:tcW w:w="1809" w:type="dxa"/>
            <w:tcBorders>
              <w:top w:val="nil"/>
              <w:left w:val="nil"/>
              <w:bottom w:val="nil"/>
              <w:right w:val="nil"/>
            </w:tcBorders>
          </w:tcPr>
          <w:p w14:paraId="22955F1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576E6DD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277D10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(-3.30)</w:t>
            </w:r>
          </w:p>
        </w:tc>
        <w:tc>
          <w:tcPr>
            <w:tcW w:w="272" w:type="dxa"/>
            <w:tcBorders>
              <w:top w:val="nil"/>
              <w:left w:val="nil"/>
              <w:bottom w:val="nil"/>
              <w:right w:val="nil"/>
            </w:tcBorders>
          </w:tcPr>
          <w:p w14:paraId="099BCF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97A94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(-3.07)</w:t>
            </w:r>
          </w:p>
        </w:tc>
        <w:tc>
          <w:tcPr>
            <w:tcW w:w="260" w:type="dxa"/>
            <w:tcBorders>
              <w:top w:val="nil"/>
              <w:left w:val="nil"/>
              <w:bottom w:val="nil"/>
              <w:right w:val="nil"/>
            </w:tcBorders>
          </w:tcPr>
          <w:p w14:paraId="2EAC94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DD0C7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(-3.04)</w:t>
            </w:r>
          </w:p>
        </w:tc>
        <w:tc>
          <w:tcPr>
            <w:tcW w:w="244" w:type="dxa"/>
            <w:tcBorders>
              <w:top w:val="nil"/>
              <w:left w:val="nil"/>
              <w:bottom w:val="nil"/>
              <w:right w:val="nil"/>
            </w:tcBorders>
          </w:tcPr>
          <w:p w14:paraId="3D77EB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C8398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(-2.89)</w:t>
            </w:r>
          </w:p>
        </w:tc>
      </w:tr>
      <w:tr w:rsidR="001E3466" w:rsidRPr="004E7E5A" w14:paraId="2AC49752" w14:textId="77777777" w:rsidTr="00116073">
        <w:tc>
          <w:tcPr>
            <w:tcW w:w="1809" w:type="dxa"/>
            <w:tcBorders>
              <w:top w:val="nil"/>
              <w:left w:val="nil"/>
              <w:bottom w:val="nil"/>
              <w:right w:val="nil"/>
            </w:tcBorders>
          </w:tcPr>
          <w:p w14:paraId="090A1A8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Correlation</w:t>
            </w:r>
          </w:p>
        </w:tc>
        <w:tc>
          <w:tcPr>
            <w:tcW w:w="272" w:type="dxa"/>
            <w:tcBorders>
              <w:top w:val="nil"/>
              <w:left w:val="nil"/>
              <w:bottom w:val="nil"/>
              <w:right w:val="nil"/>
            </w:tcBorders>
          </w:tcPr>
          <w:p w14:paraId="63A8C65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CCE103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0.443</w:t>
            </w:r>
          </w:p>
        </w:tc>
        <w:tc>
          <w:tcPr>
            <w:tcW w:w="272" w:type="dxa"/>
            <w:tcBorders>
              <w:top w:val="nil"/>
              <w:left w:val="nil"/>
              <w:bottom w:val="nil"/>
              <w:right w:val="nil"/>
            </w:tcBorders>
          </w:tcPr>
          <w:p w14:paraId="6851A7B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F9BC9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0.528</w:t>
            </w:r>
          </w:p>
        </w:tc>
        <w:tc>
          <w:tcPr>
            <w:tcW w:w="260" w:type="dxa"/>
            <w:tcBorders>
              <w:top w:val="nil"/>
              <w:left w:val="nil"/>
              <w:bottom w:val="nil"/>
              <w:right w:val="nil"/>
            </w:tcBorders>
          </w:tcPr>
          <w:p w14:paraId="3697ECB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D6229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0.549</w:t>
            </w:r>
          </w:p>
        </w:tc>
        <w:tc>
          <w:tcPr>
            <w:tcW w:w="244" w:type="dxa"/>
            <w:tcBorders>
              <w:top w:val="nil"/>
              <w:left w:val="nil"/>
              <w:bottom w:val="nil"/>
              <w:right w:val="nil"/>
            </w:tcBorders>
          </w:tcPr>
          <w:p w14:paraId="39F197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04401DD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0.640</w:t>
            </w:r>
            <w:r w:rsidRPr="004E7E5A">
              <w:rPr>
                <w:rFonts w:ascii="Times New Roman" w:hAnsi="Times New Roman"/>
                <w:color w:val="000000" w:themeColor="text1"/>
                <w:kern w:val="0"/>
                <w:sz w:val="24"/>
                <w:szCs w:val="24"/>
                <w:vertAlign w:val="superscript"/>
              </w:rPr>
              <w:t>*</w:t>
            </w:r>
          </w:p>
        </w:tc>
      </w:tr>
      <w:tr w:rsidR="001E3466" w:rsidRPr="004E7E5A" w14:paraId="72405DA0" w14:textId="77777777" w:rsidTr="00116073">
        <w:tc>
          <w:tcPr>
            <w:tcW w:w="1809" w:type="dxa"/>
            <w:tcBorders>
              <w:top w:val="nil"/>
              <w:left w:val="nil"/>
              <w:bottom w:val="nil"/>
              <w:right w:val="nil"/>
            </w:tcBorders>
          </w:tcPr>
          <w:p w14:paraId="52EDE7B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0BDE9F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6A2C3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(1.26)</w:t>
            </w:r>
          </w:p>
        </w:tc>
        <w:tc>
          <w:tcPr>
            <w:tcW w:w="272" w:type="dxa"/>
            <w:tcBorders>
              <w:top w:val="nil"/>
              <w:left w:val="nil"/>
              <w:bottom w:val="nil"/>
              <w:right w:val="nil"/>
            </w:tcBorders>
          </w:tcPr>
          <w:p w14:paraId="5D3C1EB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67288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(1.53)</w:t>
            </w:r>
          </w:p>
        </w:tc>
        <w:tc>
          <w:tcPr>
            <w:tcW w:w="260" w:type="dxa"/>
            <w:tcBorders>
              <w:top w:val="nil"/>
              <w:left w:val="nil"/>
              <w:bottom w:val="nil"/>
              <w:right w:val="nil"/>
            </w:tcBorders>
          </w:tcPr>
          <w:p w14:paraId="52E6B2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757DA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(1.58)</w:t>
            </w:r>
          </w:p>
        </w:tc>
        <w:tc>
          <w:tcPr>
            <w:tcW w:w="244" w:type="dxa"/>
            <w:tcBorders>
              <w:top w:val="nil"/>
              <w:left w:val="nil"/>
              <w:bottom w:val="nil"/>
              <w:right w:val="nil"/>
            </w:tcBorders>
          </w:tcPr>
          <w:p w14:paraId="0065AD8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57BFC0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(1.79)</w:t>
            </w:r>
          </w:p>
        </w:tc>
      </w:tr>
      <w:tr w:rsidR="001E3466" w:rsidRPr="004E7E5A" w14:paraId="79890F21" w14:textId="77777777" w:rsidTr="00116073">
        <w:tc>
          <w:tcPr>
            <w:tcW w:w="1809" w:type="dxa"/>
            <w:tcBorders>
              <w:top w:val="nil"/>
              <w:left w:val="nil"/>
              <w:bottom w:val="nil"/>
              <w:right w:val="nil"/>
            </w:tcBorders>
          </w:tcPr>
          <w:p w14:paraId="2A54B8B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Fixasset</w:t>
            </w:r>
            <w:proofErr w:type="spellEnd"/>
          </w:p>
        </w:tc>
        <w:tc>
          <w:tcPr>
            <w:tcW w:w="272" w:type="dxa"/>
            <w:tcBorders>
              <w:top w:val="nil"/>
              <w:left w:val="nil"/>
              <w:bottom w:val="nil"/>
              <w:right w:val="nil"/>
            </w:tcBorders>
          </w:tcPr>
          <w:p w14:paraId="0F3E11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B3711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2.398</w:t>
            </w:r>
          </w:p>
        </w:tc>
        <w:tc>
          <w:tcPr>
            <w:tcW w:w="272" w:type="dxa"/>
            <w:tcBorders>
              <w:top w:val="nil"/>
              <w:left w:val="nil"/>
              <w:bottom w:val="nil"/>
              <w:right w:val="nil"/>
            </w:tcBorders>
          </w:tcPr>
          <w:p w14:paraId="6A9C995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4B36C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1.331</w:t>
            </w:r>
          </w:p>
        </w:tc>
        <w:tc>
          <w:tcPr>
            <w:tcW w:w="260" w:type="dxa"/>
            <w:tcBorders>
              <w:top w:val="nil"/>
              <w:left w:val="nil"/>
              <w:bottom w:val="nil"/>
              <w:right w:val="nil"/>
            </w:tcBorders>
          </w:tcPr>
          <w:p w14:paraId="424634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A5608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1.461</w:t>
            </w:r>
          </w:p>
        </w:tc>
        <w:tc>
          <w:tcPr>
            <w:tcW w:w="244" w:type="dxa"/>
            <w:tcBorders>
              <w:top w:val="nil"/>
              <w:left w:val="nil"/>
              <w:bottom w:val="nil"/>
              <w:right w:val="nil"/>
            </w:tcBorders>
          </w:tcPr>
          <w:p w14:paraId="718DF45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6DE4B1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1.264</w:t>
            </w:r>
          </w:p>
        </w:tc>
      </w:tr>
      <w:tr w:rsidR="001E3466" w:rsidRPr="004E7E5A" w14:paraId="0B1F0FCC" w14:textId="77777777" w:rsidTr="00116073">
        <w:tc>
          <w:tcPr>
            <w:tcW w:w="1809" w:type="dxa"/>
            <w:tcBorders>
              <w:top w:val="nil"/>
              <w:left w:val="nil"/>
              <w:bottom w:val="nil"/>
              <w:right w:val="nil"/>
            </w:tcBorders>
          </w:tcPr>
          <w:p w14:paraId="1A1651B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5497C2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F2D81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(1.58)</w:t>
            </w:r>
          </w:p>
        </w:tc>
        <w:tc>
          <w:tcPr>
            <w:tcW w:w="272" w:type="dxa"/>
            <w:tcBorders>
              <w:top w:val="nil"/>
              <w:left w:val="nil"/>
              <w:bottom w:val="nil"/>
              <w:right w:val="nil"/>
            </w:tcBorders>
          </w:tcPr>
          <w:p w14:paraId="1FD372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DE536F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(0.98)</w:t>
            </w:r>
          </w:p>
        </w:tc>
        <w:tc>
          <w:tcPr>
            <w:tcW w:w="260" w:type="dxa"/>
            <w:tcBorders>
              <w:top w:val="nil"/>
              <w:left w:val="nil"/>
              <w:bottom w:val="nil"/>
              <w:right w:val="nil"/>
            </w:tcBorders>
          </w:tcPr>
          <w:p w14:paraId="2D7A83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002D4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(1.07)</w:t>
            </w:r>
          </w:p>
        </w:tc>
        <w:tc>
          <w:tcPr>
            <w:tcW w:w="244" w:type="dxa"/>
            <w:tcBorders>
              <w:top w:val="nil"/>
              <w:left w:val="nil"/>
              <w:bottom w:val="nil"/>
              <w:right w:val="nil"/>
            </w:tcBorders>
          </w:tcPr>
          <w:p w14:paraId="17A9B9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654109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(0.94)</w:t>
            </w:r>
          </w:p>
        </w:tc>
      </w:tr>
      <w:tr w:rsidR="001E3466" w:rsidRPr="004E7E5A" w14:paraId="7BB7F853" w14:textId="77777777" w:rsidTr="00116073">
        <w:tc>
          <w:tcPr>
            <w:tcW w:w="1809" w:type="dxa"/>
            <w:tcBorders>
              <w:top w:val="nil"/>
              <w:left w:val="nil"/>
              <w:bottom w:val="nil"/>
              <w:right w:val="nil"/>
            </w:tcBorders>
          </w:tcPr>
          <w:p w14:paraId="41ADB5D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Share</w:t>
            </w:r>
          </w:p>
        </w:tc>
        <w:tc>
          <w:tcPr>
            <w:tcW w:w="272" w:type="dxa"/>
            <w:tcBorders>
              <w:top w:val="nil"/>
              <w:left w:val="nil"/>
              <w:bottom w:val="nil"/>
              <w:right w:val="nil"/>
            </w:tcBorders>
          </w:tcPr>
          <w:p w14:paraId="4024C8F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E3DEA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0.052</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08616F0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CED3A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0.050</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53EA545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FB2292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0.046</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50E29D8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20C334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0.046</w:t>
            </w:r>
            <w:r w:rsidRPr="004E7E5A">
              <w:rPr>
                <w:rFonts w:ascii="Times New Roman" w:hAnsi="Times New Roman"/>
                <w:color w:val="000000" w:themeColor="text1"/>
                <w:kern w:val="0"/>
                <w:sz w:val="24"/>
                <w:szCs w:val="24"/>
                <w:vertAlign w:val="superscript"/>
              </w:rPr>
              <w:t>***</w:t>
            </w:r>
          </w:p>
        </w:tc>
      </w:tr>
      <w:tr w:rsidR="001E3466" w:rsidRPr="004E7E5A" w14:paraId="785A98AA" w14:textId="77777777" w:rsidTr="00116073">
        <w:tc>
          <w:tcPr>
            <w:tcW w:w="1809" w:type="dxa"/>
            <w:tcBorders>
              <w:top w:val="nil"/>
              <w:left w:val="nil"/>
              <w:bottom w:val="nil"/>
              <w:right w:val="nil"/>
            </w:tcBorders>
          </w:tcPr>
          <w:p w14:paraId="5BBE852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3706424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62A02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(3.94)</w:t>
            </w:r>
          </w:p>
        </w:tc>
        <w:tc>
          <w:tcPr>
            <w:tcW w:w="272" w:type="dxa"/>
            <w:tcBorders>
              <w:top w:val="nil"/>
              <w:left w:val="nil"/>
              <w:bottom w:val="nil"/>
              <w:right w:val="nil"/>
            </w:tcBorders>
          </w:tcPr>
          <w:p w14:paraId="149C84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39A11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(3.96)</w:t>
            </w:r>
          </w:p>
        </w:tc>
        <w:tc>
          <w:tcPr>
            <w:tcW w:w="260" w:type="dxa"/>
            <w:tcBorders>
              <w:top w:val="nil"/>
              <w:left w:val="nil"/>
              <w:bottom w:val="nil"/>
              <w:right w:val="nil"/>
            </w:tcBorders>
          </w:tcPr>
          <w:p w14:paraId="588FC8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F03027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(3.56)</w:t>
            </w:r>
          </w:p>
        </w:tc>
        <w:tc>
          <w:tcPr>
            <w:tcW w:w="244" w:type="dxa"/>
            <w:tcBorders>
              <w:top w:val="nil"/>
              <w:left w:val="nil"/>
              <w:bottom w:val="nil"/>
              <w:right w:val="nil"/>
            </w:tcBorders>
          </w:tcPr>
          <w:p w14:paraId="5183662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8F3B4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(3.54)</w:t>
            </w:r>
          </w:p>
        </w:tc>
      </w:tr>
      <w:tr w:rsidR="001E3466" w:rsidRPr="004E7E5A" w14:paraId="06C08BD8" w14:textId="77777777" w:rsidTr="00116073">
        <w:tc>
          <w:tcPr>
            <w:tcW w:w="1809" w:type="dxa"/>
            <w:tcBorders>
              <w:top w:val="nil"/>
              <w:left w:val="nil"/>
              <w:bottom w:val="nil"/>
              <w:right w:val="nil"/>
            </w:tcBorders>
          </w:tcPr>
          <w:p w14:paraId="469FA5E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Soe</w:t>
            </w:r>
            <w:proofErr w:type="spellEnd"/>
          </w:p>
        </w:tc>
        <w:tc>
          <w:tcPr>
            <w:tcW w:w="272" w:type="dxa"/>
            <w:tcBorders>
              <w:top w:val="nil"/>
              <w:left w:val="nil"/>
              <w:bottom w:val="nil"/>
              <w:right w:val="nil"/>
            </w:tcBorders>
          </w:tcPr>
          <w:p w14:paraId="75AC310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69E10C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1.195</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79A448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E8580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0.868</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5296CC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7E2F565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0.211</w:t>
            </w:r>
          </w:p>
        </w:tc>
        <w:tc>
          <w:tcPr>
            <w:tcW w:w="244" w:type="dxa"/>
            <w:tcBorders>
              <w:top w:val="nil"/>
              <w:left w:val="nil"/>
              <w:bottom w:val="nil"/>
              <w:right w:val="nil"/>
            </w:tcBorders>
          </w:tcPr>
          <w:p w14:paraId="7910F2C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1A3F3AD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-0.150</w:t>
            </w:r>
          </w:p>
        </w:tc>
      </w:tr>
      <w:tr w:rsidR="001E3466" w:rsidRPr="004E7E5A" w14:paraId="737DF4A0" w14:textId="77777777" w:rsidTr="00116073">
        <w:tc>
          <w:tcPr>
            <w:tcW w:w="1809" w:type="dxa"/>
            <w:tcBorders>
              <w:top w:val="nil"/>
              <w:left w:val="nil"/>
              <w:bottom w:val="nil"/>
              <w:right w:val="nil"/>
            </w:tcBorders>
          </w:tcPr>
          <w:p w14:paraId="23C1931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5435C1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D5A03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(2.45)</w:t>
            </w:r>
          </w:p>
        </w:tc>
        <w:tc>
          <w:tcPr>
            <w:tcW w:w="272" w:type="dxa"/>
            <w:tcBorders>
              <w:top w:val="nil"/>
              <w:left w:val="nil"/>
              <w:bottom w:val="nil"/>
              <w:right w:val="nil"/>
            </w:tcBorders>
          </w:tcPr>
          <w:p w14:paraId="714D36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3A2567F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(1.76)</w:t>
            </w:r>
          </w:p>
        </w:tc>
        <w:tc>
          <w:tcPr>
            <w:tcW w:w="260" w:type="dxa"/>
            <w:tcBorders>
              <w:top w:val="nil"/>
              <w:left w:val="nil"/>
              <w:bottom w:val="nil"/>
              <w:right w:val="nil"/>
            </w:tcBorders>
          </w:tcPr>
          <w:p w14:paraId="4812715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69294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(0.36)</w:t>
            </w:r>
          </w:p>
        </w:tc>
        <w:tc>
          <w:tcPr>
            <w:tcW w:w="244" w:type="dxa"/>
            <w:tcBorders>
              <w:top w:val="nil"/>
              <w:left w:val="nil"/>
              <w:bottom w:val="nil"/>
              <w:right w:val="nil"/>
            </w:tcBorders>
          </w:tcPr>
          <w:p w14:paraId="405256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31BB24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(-0.23)</w:t>
            </w:r>
          </w:p>
        </w:tc>
      </w:tr>
      <w:tr w:rsidR="001E3466" w:rsidRPr="004E7E5A" w14:paraId="595E5BE0" w14:textId="77777777" w:rsidTr="00116073">
        <w:tc>
          <w:tcPr>
            <w:tcW w:w="1809" w:type="dxa"/>
            <w:tcBorders>
              <w:top w:val="nil"/>
              <w:left w:val="nil"/>
              <w:bottom w:val="nil"/>
              <w:right w:val="nil"/>
            </w:tcBorders>
          </w:tcPr>
          <w:p w14:paraId="421E894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Firm age</w:t>
            </w:r>
          </w:p>
        </w:tc>
        <w:tc>
          <w:tcPr>
            <w:tcW w:w="272" w:type="dxa"/>
            <w:tcBorders>
              <w:top w:val="nil"/>
              <w:left w:val="nil"/>
              <w:bottom w:val="nil"/>
              <w:right w:val="nil"/>
            </w:tcBorders>
          </w:tcPr>
          <w:p w14:paraId="288512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142A654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-0.171</w:t>
            </w:r>
            <w:r w:rsidRPr="004E7E5A">
              <w:rPr>
                <w:rFonts w:ascii="Times New Roman" w:hAnsi="Times New Roman"/>
                <w:color w:val="000000" w:themeColor="text1"/>
                <w:kern w:val="0"/>
                <w:sz w:val="24"/>
                <w:szCs w:val="24"/>
                <w:vertAlign w:val="superscript"/>
              </w:rPr>
              <w:t>***</w:t>
            </w:r>
          </w:p>
        </w:tc>
        <w:tc>
          <w:tcPr>
            <w:tcW w:w="272" w:type="dxa"/>
            <w:tcBorders>
              <w:top w:val="nil"/>
              <w:left w:val="nil"/>
              <w:bottom w:val="nil"/>
              <w:right w:val="nil"/>
            </w:tcBorders>
          </w:tcPr>
          <w:p w14:paraId="397CBE0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019396F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-0.169</w:t>
            </w:r>
            <w:r w:rsidRPr="004E7E5A">
              <w:rPr>
                <w:rFonts w:ascii="Times New Roman" w:hAnsi="Times New Roman"/>
                <w:color w:val="000000" w:themeColor="text1"/>
                <w:kern w:val="0"/>
                <w:sz w:val="24"/>
                <w:szCs w:val="24"/>
                <w:vertAlign w:val="superscript"/>
              </w:rPr>
              <w:t>***</w:t>
            </w:r>
          </w:p>
        </w:tc>
        <w:tc>
          <w:tcPr>
            <w:tcW w:w="260" w:type="dxa"/>
            <w:tcBorders>
              <w:top w:val="nil"/>
              <w:left w:val="nil"/>
              <w:bottom w:val="nil"/>
              <w:right w:val="nil"/>
            </w:tcBorders>
          </w:tcPr>
          <w:p w14:paraId="161476C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A1E58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-0.125</w:t>
            </w:r>
            <w:r w:rsidRPr="004E7E5A">
              <w:rPr>
                <w:rFonts w:ascii="Times New Roman" w:hAnsi="Times New Roman"/>
                <w:color w:val="000000" w:themeColor="text1"/>
                <w:kern w:val="0"/>
                <w:sz w:val="24"/>
                <w:szCs w:val="24"/>
                <w:vertAlign w:val="superscript"/>
              </w:rPr>
              <w:t>***</w:t>
            </w:r>
          </w:p>
        </w:tc>
        <w:tc>
          <w:tcPr>
            <w:tcW w:w="244" w:type="dxa"/>
            <w:tcBorders>
              <w:top w:val="nil"/>
              <w:left w:val="nil"/>
              <w:bottom w:val="nil"/>
              <w:right w:val="nil"/>
            </w:tcBorders>
          </w:tcPr>
          <w:p w14:paraId="6943D2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69F7900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-0.106</w:t>
            </w:r>
            <w:r w:rsidRPr="004E7E5A">
              <w:rPr>
                <w:rFonts w:ascii="Times New Roman" w:hAnsi="Times New Roman"/>
                <w:color w:val="000000" w:themeColor="text1"/>
                <w:kern w:val="0"/>
                <w:sz w:val="24"/>
                <w:szCs w:val="24"/>
                <w:vertAlign w:val="superscript"/>
              </w:rPr>
              <w:t>***</w:t>
            </w:r>
          </w:p>
        </w:tc>
      </w:tr>
      <w:tr w:rsidR="001E3466" w:rsidRPr="004E7E5A" w14:paraId="23567C17" w14:textId="77777777" w:rsidTr="00116073">
        <w:tc>
          <w:tcPr>
            <w:tcW w:w="1809" w:type="dxa"/>
            <w:tcBorders>
              <w:top w:val="nil"/>
              <w:left w:val="nil"/>
              <w:bottom w:val="nil"/>
              <w:right w:val="nil"/>
            </w:tcBorders>
          </w:tcPr>
          <w:p w14:paraId="13F784B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19AACF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48E905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(-3.66)</w:t>
            </w:r>
          </w:p>
        </w:tc>
        <w:tc>
          <w:tcPr>
            <w:tcW w:w="272" w:type="dxa"/>
            <w:tcBorders>
              <w:top w:val="nil"/>
              <w:left w:val="nil"/>
              <w:bottom w:val="nil"/>
              <w:right w:val="nil"/>
            </w:tcBorders>
          </w:tcPr>
          <w:p w14:paraId="2E8E73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29E0FE4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(-3.81)</w:t>
            </w:r>
          </w:p>
        </w:tc>
        <w:tc>
          <w:tcPr>
            <w:tcW w:w="260" w:type="dxa"/>
            <w:tcBorders>
              <w:top w:val="nil"/>
              <w:left w:val="nil"/>
              <w:bottom w:val="nil"/>
              <w:right w:val="nil"/>
            </w:tcBorders>
          </w:tcPr>
          <w:p w14:paraId="378714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bottom w:val="nil"/>
              <w:right w:val="nil"/>
            </w:tcBorders>
          </w:tcPr>
          <w:p w14:paraId="5436BD3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(-3.30)</w:t>
            </w:r>
          </w:p>
        </w:tc>
        <w:tc>
          <w:tcPr>
            <w:tcW w:w="244" w:type="dxa"/>
            <w:tcBorders>
              <w:top w:val="nil"/>
              <w:left w:val="nil"/>
              <w:bottom w:val="nil"/>
              <w:right w:val="nil"/>
            </w:tcBorders>
          </w:tcPr>
          <w:p w14:paraId="5306BE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bottom w:val="nil"/>
              <w:right w:val="nil"/>
            </w:tcBorders>
          </w:tcPr>
          <w:p w14:paraId="44B9B4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(-2.92)</w:t>
            </w:r>
          </w:p>
        </w:tc>
      </w:tr>
      <w:tr w:rsidR="001E3466" w:rsidRPr="004E7E5A" w14:paraId="67B821B1" w14:textId="77777777" w:rsidTr="00116073">
        <w:tc>
          <w:tcPr>
            <w:tcW w:w="1809" w:type="dxa"/>
            <w:tcBorders>
              <w:top w:val="nil"/>
              <w:left w:val="nil"/>
              <w:right w:val="nil"/>
            </w:tcBorders>
          </w:tcPr>
          <w:p w14:paraId="47E34D4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_cons</w:t>
            </w:r>
          </w:p>
        </w:tc>
        <w:tc>
          <w:tcPr>
            <w:tcW w:w="272" w:type="dxa"/>
            <w:tcBorders>
              <w:top w:val="nil"/>
              <w:left w:val="nil"/>
              <w:right w:val="nil"/>
            </w:tcBorders>
          </w:tcPr>
          <w:p w14:paraId="76179AB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0297521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-55.568</w:t>
            </w:r>
            <w:r w:rsidRPr="004E7E5A">
              <w:rPr>
                <w:rFonts w:ascii="Times New Roman" w:hAnsi="Times New Roman"/>
                <w:color w:val="000000" w:themeColor="text1"/>
                <w:kern w:val="0"/>
                <w:sz w:val="24"/>
                <w:szCs w:val="24"/>
                <w:vertAlign w:val="superscript"/>
              </w:rPr>
              <w:t>***</w:t>
            </w:r>
          </w:p>
        </w:tc>
        <w:tc>
          <w:tcPr>
            <w:tcW w:w="272" w:type="dxa"/>
            <w:tcBorders>
              <w:top w:val="nil"/>
              <w:left w:val="nil"/>
              <w:right w:val="nil"/>
            </w:tcBorders>
          </w:tcPr>
          <w:p w14:paraId="023547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50F379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-56.033</w:t>
            </w:r>
            <w:r w:rsidRPr="004E7E5A">
              <w:rPr>
                <w:rFonts w:ascii="Times New Roman" w:hAnsi="Times New Roman"/>
                <w:color w:val="000000" w:themeColor="text1"/>
                <w:kern w:val="0"/>
                <w:sz w:val="24"/>
                <w:szCs w:val="24"/>
                <w:vertAlign w:val="superscript"/>
              </w:rPr>
              <w:t>***</w:t>
            </w:r>
          </w:p>
        </w:tc>
        <w:tc>
          <w:tcPr>
            <w:tcW w:w="260" w:type="dxa"/>
            <w:tcBorders>
              <w:top w:val="nil"/>
              <w:left w:val="nil"/>
              <w:right w:val="nil"/>
            </w:tcBorders>
          </w:tcPr>
          <w:p w14:paraId="2789AB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679249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-50.719</w:t>
            </w:r>
            <w:r w:rsidRPr="004E7E5A">
              <w:rPr>
                <w:rFonts w:ascii="Times New Roman" w:hAnsi="Times New Roman"/>
                <w:color w:val="000000" w:themeColor="text1"/>
                <w:kern w:val="0"/>
                <w:sz w:val="24"/>
                <w:szCs w:val="24"/>
                <w:vertAlign w:val="superscript"/>
              </w:rPr>
              <w:t>***</w:t>
            </w:r>
          </w:p>
        </w:tc>
        <w:tc>
          <w:tcPr>
            <w:tcW w:w="244" w:type="dxa"/>
            <w:tcBorders>
              <w:top w:val="nil"/>
              <w:left w:val="nil"/>
              <w:right w:val="nil"/>
            </w:tcBorders>
          </w:tcPr>
          <w:p w14:paraId="720A1B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right w:val="nil"/>
            </w:tcBorders>
          </w:tcPr>
          <w:p w14:paraId="08DED5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-50.618</w:t>
            </w:r>
            <w:r w:rsidRPr="004E7E5A">
              <w:rPr>
                <w:rFonts w:ascii="Times New Roman" w:hAnsi="Times New Roman"/>
                <w:color w:val="000000" w:themeColor="text1"/>
                <w:kern w:val="0"/>
                <w:sz w:val="24"/>
                <w:szCs w:val="24"/>
                <w:vertAlign w:val="superscript"/>
              </w:rPr>
              <w:t>***</w:t>
            </w:r>
          </w:p>
        </w:tc>
      </w:tr>
      <w:tr w:rsidR="001E3466" w:rsidRPr="004E7E5A" w14:paraId="554BD188" w14:textId="77777777" w:rsidTr="00116073">
        <w:tc>
          <w:tcPr>
            <w:tcW w:w="1809" w:type="dxa"/>
            <w:tcBorders>
              <w:top w:val="nil"/>
              <w:left w:val="nil"/>
              <w:right w:val="nil"/>
            </w:tcBorders>
          </w:tcPr>
          <w:p w14:paraId="1DF166F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right w:val="nil"/>
            </w:tcBorders>
          </w:tcPr>
          <w:p w14:paraId="51078E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29FE71D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(-8.01)</w:t>
            </w:r>
          </w:p>
        </w:tc>
        <w:tc>
          <w:tcPr>
            <w:tcW w:w="272" w:type="dxa"/>
            <w:tcBorders>
              <w:top w:val="nil"/>
              <w:left w:val="nil"/>
              <w:right w:val="nil"/>
            </w:tcBorders>
          </w:tcPr>
          <w:p w14:paraId="216137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29A90A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(-8.54)</w:t>
            </w:r>
          </w:p>
        </w:tc>
        <w:tc>
          <w:tcPr>
            <w:tcW w:w="260" w:type="dxa"/>
            <w:tcBorders>
              <w:top w:val="nil"/>
              <w:left w:val="nil"/>
              <w:right w:val="nil"/>
            </w:tcBorders>
          </w:tcPr>
          <w:p w14:paraId="5501DC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4364B4F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(-6.70)</w:t>
            </w:r>
          </w:p>
        </w:tc>
        <w:tc>
          <w:tcPr>
            <w:tcW w:w="244" w:type="dxa"/>
            <w:tcBorders>
              <w:top w:val="nil"/>
              <w:left w:val="nil"/>
              <w:right w:val="nil"/>
            </w:tcBorders>
          </w:tcPr>
          <w:p w14:paraId="09806A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right w:val="nil"/>
            </w:tcBorders>
          </w:tcPr>
          <w:p w14:paraId="1E7A4F9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(-6.69)</w:t>
            </w:r>
          </w:p>
        </w:tc>
      </w:tr>
      <w:tr w:rsidR="001E3466" w:rsidRPr="004E7E5A" w14:paraId="2F3C594B" w14:textId="77777777" w:rsidTr="00116073">
        <w:tc>
          <w:tcPr>
            <w:tcW w:w="1809" w:type="dxa"/>
            <w:tcBorders>
              <w:top w:val="nil"/>
              <w:left w:val="nil"/>
              <w:right w:val="nil"/>
            </w:tcBorders>
          </w:tcPr>
          <w:p w14:paraId="58B2366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72" w:type="dxa"/>
            <w:tcBorders>
              <w:top w:val="nil"/>
              <w:left w:val="nil"/>
              <w:right w:val="nil"/>
            </w:tcBorders>
          </w:tcPr>
          <w:p w14:paraId="47DE12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2D69D6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505D73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2C1783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0" w:type="dxa"/>
            <w:tcBorders>
              <w:top w:val="nil"/>
              <w:left w:val="nil"/>
              <w:right w:val="nil"/>
            </w:tcBorders>
          </w:tcPr>
          <w:p w14:paraId="1D2AE0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10F903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4" w:type="dxa"/>
            <w:tcBorders>
              <w:top w:val="nil"/>
              <w:left w:val="nil"/>
              <w:right w:val="nil"/>
            </w:tcBorders>
          </w:tcPr>
          <w:p w14:paraId="3C0B960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right w:val="nil"/>
            </w:tcBorders>
          </w:tcPr>
          <w:p w14:paraId="2387E3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1C940C31" w14:textId="77777777" w:rsidTr="00116073">
        <w:tc>
          <w:tcPr>
            <w:tcW w:w="1809" w:type="dxa"/>
            <w:tcBorders>
              <w:top w:val="nil"/>
              <w:left w:val="nil"/>
              <w:right w:val="nil"/>
            </w:tcBorders>
          </w:tcPr>
          <w:p w14:paraId="393A4FD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72" w:type="dxa"/>
            <w:tcBorders>
              <w:top w:val="nil"/>
              <w:left w:val="nil"/>
              <w:right w:val="nil"/>
            </w:tcBorders>
          </w:tcPr>
          <w:p w14:paraId="0D15AA6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1337B7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5B826B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35663C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0" w:type="dxa"/>
            <w:tcBorders>
              <w:top w:val="nil"/>
              <w:left w:val="nil"/>
              <w:right w:val="nil"/>
            </w:tcBorders>
          </w:tcPr>
          <w:p w14:paraId="2E2DA5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top w:val="nil"/>
              <w:left w:val="nil"/>
              <w:right w:val="nil"/>
            </w:tcBorders>
          </w:tcPr>
          <w:p w14:paraId="28387C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4" w:type="dxa"/>
            <w:tcBorders>
              <w:top w:val="nil"/>
              <w:left w:val="nil"/>
              <w:right w:val="nil"/>
            </w:tcBorders>
          </w:tcPr>
          <w:p w14:paraId="1A002D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top w:val="nil"/>
              <w:left w:val="nil"/>
              <w:right w:val="nil"/>
            </w:tcBorders>
          </w:tcPr>
          <w:p w14:paraId="13D2E4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4F5C1162" w14:textId="77777777" w:rsidTr="00116073">
        <w:tc>
          <w:tcPr>
            <w:tcW w:w="1809" w:type="dxa"/>
            <w:tcBorders>
              <w:left w:val="nil"/>
              <w:right w:val="nil"/>
            </w:tcBorders>
          </w:tcPr>
          <w:p w14:paraId="76A46E8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72" w:type="dxa"/>
            <w:tcBorders>
              <w:left w:val="nil"/>
              <w:right w:val="nil"/>
            </w:tcBorders>
          </w:tcPr>
          <w:p w14:paraId="1D31B3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left w:val="nil"/>
              <w:right w:val="nil"/>
            </w:tcBorders>
          </w:tcPr>
          <w:p w14:paraId="16D02E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72" w:type="dxa"/>
            <w:tcBorders>
              <w:left w:val="nil"/>
              <w:right w:val="nil"/>
            </w:tcBorders>
          </w:tcPr>
          <w:p w14:paraId="4B84FB8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left w:val="nil"/>
              <w:right w:val="nil"/>
            </w:tcBorders>
          </w:tcPr>
          <w:p w14:paraId="47B235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60" w:type="dxa"/>
            <w:tcBorders>
              <w:left w:val="nil"/>
              <w:right w:val="nil"/>
            </w:tcBorders>
          </w:tcPr>
          <w:p w14:paraId="1AB55F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left w:val="nil"/>
              <w:right w:val="nil"/>
            </w:tcBorders>
          </w:tcPr>
          <w:p w14:paraId="3B2B74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44" w:type="dxa"/>
            <w:tcBorders>
              <w:left w:val="nil"/>
              <w:right w:val="nil"/>
            </w:tcBorders>
          </w:tcPr>
          <w:p w14:paraId="0D2257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left w:val="nil"/>
              <w:right w:val="nil"/>
            </w:tcBorders>
          </w:tcPr>
          <w:p w14:paraId="798A72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r>
      <w:tr w:rsidR="001E3466" w:rsidRPr="004E7E5A" w14:paraId="6F997CCC" w14:textId="77777777" w:rsidTr="00116073">
        <w:tc>
          <w:tcPr>
            <w:tcW w:w="1809" w:type="dxa"/>
            <w:tcBorders>
              <w:left w:val="nil"/>
              <w:bottom w:val="single" w:sz="4" w:space="0" w:color="auto"/>
              <w:right w:val="nil"/>
            </w:tcBorders>
          </w:tcPr>
          <w:p w14:paraId="1A13AB5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72" w:type="dxa"/>
            <w:tcBorders>
              <w:left w:val="nil"/>
              <w:bottom w:val="single" w:sz="4" w:space="0" w:color="auto"/>
              <w:right w:val="nil"/>
            </w:tcBorders>
          </w:tcPr>
          <w:p w14:paraId="7FA171D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left w:val="nil"/>
              <w:bottom w:val="single" w:sz="4" w:space="0" w:color="auto"/>
              <w:right w:val="nil"/>
            </w:tcBorders>
          </w:tcPr>
          <w:p w14:paraId="6F9A00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1637.859</w:t>
            </w:r>
          </w:p>
        </w:tc>
        <w:tc>
          <w:tcPr>
            <w:tcW w:w="272" w:type="dxa"/>
            <w:tcBorders>
              <w:left w:val="nil"/>
              <w:bottom w:val="single" w:sz="4" w:space="0" w:color="auto"/>
              <w:right w:val="nil"/>
            </w:tcBorders>
          </w:tcPr>
          <w:p w14:paraId="021CB5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left w:val="nil"/>
              <w:bottom w:val="single" w:sz="4" w:space="0" w:color="auto"/>
              <w:right w:val="nil"/>
            </w:tcBorders>
          </w:tcPr>
          <w:p w14:paraId="227A15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1788.118</w:t>
            </w:r>
          </w:p>
        </w:tc>
        <w:tc>
          <w:tcPr>
            <w:tcW w:w="260" w:type="dxa"/>
            <w:tcBorders>
              <w:left w:val="nil"/>
              <w:bottom w:val="single" w:sz="4" w:space="0" w:color="auto"/>
              <w:right w:val="nil"/>
            </w:tcBorders>
          </w:tcPr>
          <w:p w14:paraId="408F73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3" w:type="dxa"/>
            <w:tcBorders>
              <w:left w:val="nil"/>
              <w:bottom w:val="single" w:sz="4" w:space="0" w:color="auto"/>
              <w:right w:val="nil"/>
            </w:tcBorders>
          </w:tcPr>
          <w:p w14:paraId="5A4463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1802.599</w:t>
            </w:r>
          </w:p>
        </w:tc>
        <w:tc>
          <w:tcPr>
            <w:tcW w:w="244" w:type="dxa"/>
            <w:tcBorders>
              <w:left w:val="nil"/>
              <w:bottom w:val="single" w:sz="4" w:space="0" w:color="auto"/>
              <w:right w:val="nil"/>
            </w:tcBorders>
          </w:tcPr>
          <w:p w14:paraId="0CAAAA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54" w:type="dxa"/>
            <w:tcBorders>
              <w:left w:val="nil"/>
              <w:bottom w:val="single" w:sz="4" w:space="0" w:color="auto"/>
              <w:right w:val="nil"/>
            </w:tcBorders>
          </w:tcPr>
          <w:p w14:paraId="0A6C16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1812.657</w:t>
            </w:r>
          </w:p>
        </w:tc>
      </w:tr>
    </w:tbl>
    <w:p w14:paraId="6E55A0A2"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presents the second stage of a two-stage least squares (2SLS) model based on Equation (1) to test hypothesis 1, using an instrumental variable approach to control for the potentially endogenous relationship between the directors’ network centrality and CSR disclosure quality. 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the variables are provided in Appendix A.</w:t>
      </w:r>
    </w:p>
    <w:p w14:paraId="660050E0"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52B7C1D"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60453D19"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5B45DCBE"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22325E1C"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01512008"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20468DCD"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4DBAC279"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10C36880"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38CABB3"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6A3CA85"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449D17A6"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59A11225"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1342034A"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3C73F2DC" w14:textId="77777777" w:rsidR="008F4163" w:rsidRPr="004E7E5A" w:rsidRDefault="008F4163" w:rsidP="00A53CFE">
      <w:pPr>
        <w:autoSpaceDE w:val="0"/>
        <w:autoSpaceDN w:val="0"/>
        <w:adjustRightInd w:val="0"/>
        <w:jc w:val="center"/>
        <w:rPr>
          <w:rFonts w:ascii="Times New Roman" w:eastAsia="宋体" w:hAnsi="Times New Roman"/>
          <w:b/>
          <w:bCs/>
          <w:color w:val="000000" w:themeColor="text1"/>
          <w:sz w:val="24"/>
          <w:szCs w:val="24"/>
        </w:rPr>
      </w:pPr>
    </w:p>
    <w:p w14:paraId="146A0537" w14:textId="45A740F6"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6</w:t>
      </w:r>
    </w:p>
    <w:p w14:paraId="4256CE25"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Second-Stage Regressions of 2SLS Model for Testing the Moderating Role of Marketing Strategy</w:t>
      </w:r>
    </w:p>
    <w:tbl>
      <w:tblPr>
        <w:tblW w:w="5000" w:type="pct"/>
        <w:tblLook w:val="0000" w:firstRow="0" w:lastRow="0" w:firstColumn="0" w:lastColumn="0" w:noHBand="0" w:noVBand="0"/>
      </w:tblPr>
      <w:tblGrid>
        <w:gridCol w:w="2671"/>
        <w:gridCol w:w="252"/>
        <w:gridCol w:w="1357"/>
        <w:gridCol w:w="253"/>
        <w:gridCol w:w="1341"/>
        <w:gridCol w:w="246"/>
        <w:gridCol w:w="1357"/>
        <w:gridCol w:w="236"/>
        <w:gridCol w:w="1357"/>
      </w:tblGrid>
      <w:tr w:rsidR="001E3466" w:rsidRPr="004E7E5A" w14:paraId="6BDCA90F" w14:textId="77777777" w:rsidTr="00116073">
        <w:tc>
          <w:tcPr>
            <w:tcW w:w="2671" w:type="dxa"/>
            <w:tcBorders>
              <w:top w:val="single" w:sz="4" w:space="0" w:color="auto"/>
              <w:left w:val="nil"/>
              <w:bottom w:val="single" w:sz="4" w:space="0" w:color="auto"/>
              <w:right w:val="nil"/>
            </w:tcBorders>
          </w:tcPr>
          <w:p w14:paraId="172F4001"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52" w:type="dxa"/>
            <w:tcBorders>
              <w:top w:val="single" w:sz="4" w:space="0" w:color="auto"/>
              <w:left w:val="nil"/>
              <w:right w:val="nil"/>
            </w:tcBorders>
          </w:tcPr>
          <w:p w14:paraId="0AB722A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57" w:type="dxa"/>
            <w:tcBorders>
              <w:top w:val="single" w:sz="4" w:space="0" w:color="auto"/>
              <w:left w:val="nil"/>
              <w:bottom w:val="single" w:sz="4" w:space="0" w:color="auto"/>
              <w:right w:val="nil"/>
            </w:tcBorders>
          </w:tcPr>
          <w:p w14:paraId="2EBA4F8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53" w:type="dxa"/>
            <w:tcBorders>
              <w:top w:val="single" w:sz="4" w:space="0" w:color="auto"/>
              <w:left w:val="nil"/>
              <w:right w:val="nil"/>
            </w:tcBorders>
          </w:tcPr>
          <w:p w14:paraId="3C8960C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41" w:type="dxa"/>
            <w:tcBorders>
              <w:top w:val="single" w:sz="4" w:space="0" w:color="auto"/>
              <w:left w:val="nil"/>
              <w:bottom w:val="single" w:sz="4" w:space="0" w:color="auto"/>
              <w:right w:val="nil"/>
            </w:tcBorders>
          </w:tcPr>
          <w:p w14:paraId="7D52ACB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46" w:type="dxa"/>
            <w:tcBorders>
              <w:top w:val="single" w:sz="4" w:space="0" w:color="auto"/>
              <w:left w:val="nil"/>
              <w:right w:val="nil"/>
            </w:tcBorders>
          </w:tcPr>
          <w:p w14:paraId="67B92DC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57" w:type="dxa"/>
            <w:tcBorders>
              <w:top w:val="single" w:sz="4" w:space="0" w:color="auto"/>
              <w:left w:val="nil"/>
              <w:bottom w:val="single" w:sz="4" w:space="0" w:color="auto"/>
              <w:right w:val="nil"/>
            </w:tcBorders>
          </w:tcPr>
          <w:p w14:paraId="461D9C1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36" w:type="dxa"/>
            <w:tcBorders>
              <w:top w:val="single" w:sz="4" w:space="0" w:color="auto"/>
              <w:left w:val="nil"/>
              <w:right w:val="nil"/>
            </w:tcBorders>
          </w:tcPr>
          <w:p w14:paraId="78F9B05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57" w:type="dxa"/>
            <w:tcBorders>
              <w:top w:val="single" w:sz="4" w:space="0" w:color="auto"/>
              <w:left w:val="nil"/>
              <w:bottom w:val="single" w:sz="4" w:space="0" w:color="auto"/>
              <w:right w:val="nil"/>
            </w:tcBorders>
          </w:tcPr>
          <w:p w14:paraId="1DEEC3D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74A4CB6F" w14:textId="77777777" w:rsidTr="00116073">
        <w:tc>
          <w:tcPr>
            <w:tcW w:w="2671" w:type="dxa"/>
            <w:tcBorders>
              <w:top w:val="single" w:sz="4" w:space="0" w:color="auto"/>
              <w:left w:val="nil"/>
              <w:bottom w:val="nil"/>
              <w:right w:val="nil"/>
            </w:tcBorders>
          </w:tcPr>
          <w:p w14:paraId="0B4E91F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52" w:type="dxa"/>
            <w:tcBorders>
              <w:left w:val="nil"/>
              <w:bottom w:val="nil"/>
              <w:right w:val="nil"/>
            </w:tcBorders>
          </w:tcPr>
          <w:p w14:paraId="6043AC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single" w:sz="4" w:space="0" w:color="auto"/>
              <w:left w:val="nil"/>
              <w:bottom w:val="nil"/>
              <w:right w:val="nil"/>
            </w:tcBorders>
          </w:tcPr>
          <w:p w14:paraId="1F44DF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4.694</w:t>
            </w:r>
            <w:r w:rsidRPr="004E7E5A">
              <w:rPr>
                <w:rFonts w:ascii="Times New Roman" w:hAnsi="Times New Roman"/>
                <w:color w:val="000000" w:themeColor="text1"/>
                <w:kern w:val="0"/>
                <w:sz w:val="24"/>
                <w:vertAlign w:val="superscript"/>
              </w:rPr>
              <w:t>***</w:t>
            </w:r>
          </w:p>
        </w:tc>
        <w:tc>
          <w:tcPr>
            <w:tcW w:w="253" w:type="dxa"/>
            <w:tcBorders>
              <w:left w:val="nil"/>
              <w:bottom w:val="nil"/>
              <w:right w:val="nil"/>
            </w:tcBorders>
          </w:tcPr>
          <w:p w14:paraId="3050BC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single" w:sz="4" w:space="0" w:color="auto"/>
              <w:left w:val="nil"/>
              <w:bottom w:val="nil"/>
              <w:right w:val="nil"/>
            </w:tcBorders>
          </w:tcPr>
          <w:p w14:paraId="244F11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left w:val="nil"/>
              <w:bottom w:val="nil"/>
              <w:right w:val="nil"/>
            </w:tcBorders>
          </w:tcPr>
          <w:p w14:paraId="0861A2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single" w:sz="4" w:space="0" w:color="auto"/>
              <w:left w:val="nil"/>
              <w:bottom w:val="nil"/>
              <w:right w:val="nil"/>
            </w:tcBorders>
          </w:tcPr>
          <w:p w14:paraId="24A96B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left w:val="nil"/>
              <w:bottom w:val="nil"/>
              <w:right w:val="nil"/>
            </w:tcBorders>
          </w:tcPr>
          <w:p w14:paraId="129D869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single" w:sz="4" w:space="0" w:color="auto"/>
              <w:left w:val="nil"/>
              <w:bottom w:val="nil"/>
              <w:right w:val="nil"/>
            </w:tcBorders>
          </w:tcPr>
          <w:p w14:paraId="40400FA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D71069A" w14:textId="77777777" w:rsidTr="00116073">
        <w:tc>
          <w:tcPr>
            <w:tcW w:w="2671" w:type="dxa"/>
            <w:tcBorders>
              <w:top w:val="nil"/>
              <w:left w:val="nil"/>
              <w:bottom w:val="nil"/>
              <w:right w:val="nil"/>
            </w:tcBorders>
          </w:tcPr>
          <w:p w14:paraId="711D5EC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0EC8EEA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4D783C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(3.69)</w:t>
            </w:r>
          </w:p>
        </w:tc>
        <w:tc>
          <w:tcPr>
            <w:tcW w:w="253" w:type="dxa"/>
            <w:tcBorders>
              <w:top w:val="nil"/>
              <w:left w:val="nil"/>
              <w:bottom w:val="nil"/>
              <w:right w:val="nil"/>
            </w:tcBorders>
          </w:tcPr>
          <w:p w14:paraId="18BEB76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678E288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53B6B6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237FD5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7A3D9B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2884E5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B5290D0" w14:textId="77777777" w:rsidTr="00116073">
        <w:tc>
          <w:tcPr>
            <w:tcW w:w="2671" w:type="dxa"/>
            <w:tcBorders>
              <w:top w:val="nil"/>
              <w:left w:val="nil"/>
              <w:bottom w:val="nil"/>
              <w:right w:val="nil"/>
            </w:tcBorders>
          </w:tcPr>
          <w:p w14:paraId="4416F19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Score_max×Advertising</w:t>
            </w:r>
            <w:proofErr w:type="spellEnd"/>
          </w:p>
        </w:tc>
        <w:tc>
          <w:tcPr>
            <w:tcW w:w="252" w:type="dxa"/>
            <w:tcBorders>
              <w:top w:val="nil"/>
              <w:left w:val="nil"/>
              <w:bottom w:val="nil"/>
              <w:right w:val="nil"/>
            </w:tcBorders>
          </w:tcPr>
          <w:p w14:paraId="3F3F68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E98E2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-22.603</w:t>
            </w:r>
            <w:r w:rsidRPr="004E7E5A">
              <w:rPr>
                <w:rFonts w:ascii="Times New Roman" w:hAnsi="Times New Roman"/>
                <w:color w:val="000000" w:themeColor="text1"/>
                <w:kern w:val="0"/>
                <w:sz w:val="24"/>
                <w:vertAlign w:val="superscript"/>
              </w:rPr>
              <w:t>**</w:t>
            </w:r>
          </w:p>
        </w:tc>
        <w:tc>
          <w:tcPr>
            <w:tcW w:w="253" w:type="dxa"/>
            <w:tcBorders>
              <w:top w:val="nil"/>
              <w:left w:val="nil"/>
              <w:bottom w:val="nil"/>
              <w:right w:val="nil"/>
            </w:tcBorders>
          </w:tcPr>
          <w:p w14:paraId="4A2C6C5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2546382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11E405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3B8E1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16BB806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32394D2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6F5C22B" w14:textId="77777777" w:rsidTr="00116073">
        <w:tc>
          <w:tcPr>
            <w:tcW w:w="2671" w:type="dxa"/>
            <w:tcBorders>
              <w:top w:val="nil"/>
              <w:left w:val="nil"/>
              <w:bottom w:val="nil"/>
              <w:right w:val="nil"/>
            </w:tcBorders>
          </w:tcPr>
          <w:p w14:paraId="098A50C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1A48EA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A4A008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(-2.31)</w:t>
            </w:r>
          </w:p>
        </w:tc>
        <w:tc>
          <w:tcPr>
            <w:tcW w:w="253" w:type="dxa"/>
            <w:tcBorders>
              <w:top w:val="nil"/>
              <w:left w:val="nil"/>
              <w:bottom w:val="nil"/>
              <w:right w:val="nil"/>
            </w:tcBorders>
          </w:tcPr>
          <w:p w14:paraId="0402F2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000C50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736834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FC259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5DF0C4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8B871E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9A4B1B6" w14:textId="77777777" w:rsidTr="00116073">
        <w:tc>
          <w:tcPr>
            <w:tcW w:w="2671" w:type="dxa"/>
            <w:tcBorders>
              <w:top w:val="nil"/>
              <w:left w:val="nil"/>
              <w:bottom w:val="nil"/>
              <w:right w:val="nil"/>
            </w:tcBorders>
          </w:tcPr>
          <w:p w14:paraId="2D26C82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52" w:type="dxa"/>
            <w:tcBorders>
              <w:top w:val="nil"/>
              <w:left w:val="nil"/>
              <w:bottom w:val="nil"/>
              <w:right w:val="nil"/>
            </w:tcBorders>
          </w:tcPr>
          <w:p w14:paraId="43D98C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0BFE989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41308E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7ECC47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3.701</w:t>
            </w:r>
            <w:r w:rsidRPr="004E7E5A">
              <w:rPr>
                <w:rFonts w:ascii="Times New Roman" w:hAnsi="Times New Roman"/>
                <w:color w:val="000000" w:themeColor="text1"/>
                <w:kern w:val="0"/>
                <w:sz w:val="24"/>
                <w:vertAlign w:val="superscript"/>
              </w:rPr>
              <w:t>***</w:t>
            </w:r>
          </w:p>
        </w:tc>
        <w:tc>
          <w:tcPr>
            <w:tcW w:w="246" w:type="dxa"/>
            <w:tcBorders>
              <w:top w:val="nil"/>
              <w:left w:val="nil"/>
              <w:bottom w:val="nil"/>
              <w:right w:val="nil"/>
            </w:tcBorders>
          </w:tcPr>
          <w:p w14:paraId="7DD8D3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024536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3447DB2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43AE88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0E5E115" w14:textId="77777777" w:rsidTr="00116073">
        <w:tc>
          <w:tcPr>
            <w:tcW w:w="2671" w:type="dxa"/>
            <w:tcBorders>
              <w:top w:val="nil"/>
              <w:left w:val="nil"/>
              <w:bottom w:val="nil"/>
              <w:right w:val="nil"/>
            </w:tcBorders>
          </w:tcPr>
          <w:p w14:paraId="5E4245B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2F7888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3E173B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1C539A2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4E4D00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(3.65)</w:t>
            </w:r>
          </w:p>
        </w:tc>
        <w:tc>
          <w:tcPr>
            <w:tcW w:w="246" w:type="dxa"/>
            <w:tcBorders>
              <w:top w:val="nil"/>
              <w:left w:val="nil"/>
              <w:bottom w:val="nil"/>
              <w:right w:val="nil"/>
            </w:tcBorders>
          </w:tcPr>
          <w:p w14:paraId="7B13CC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41A66B3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286CC4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FC984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BDF7EF4" w14:textId="77777777" w:rsidTr="00116073">
        <w:tc>
          <w:tcPr>
            <w:tcW w:w="2671" w:type="dxa"/>
            <w:tcBorders>
              <w:top w:val="nil"/>
              <w:left w:val="nil"/>
              <w:bottom w:val="nil"/>
              <w:right w:val="nil"/>
            </w:tcBorders>
          </w:tcPr>
          <w:p w14:paraId="2DF8AB6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Score_mean×Advertising</w:t>
            </w:r>
            <w:proofErr w:type="spellEnd"/>
          </w:p>
        </w:tc>
        <w:tc>
          <w:tcPr>
            <w:tcW w:w="252" w:type="dxa"/>
            <w:tcBorders>
              <w:top w:val="nil"/>
              <w:left w:val="nil"/>
              <w:bottom w:val="nil"/>
              <w:right w:val="nil"/>
            </w:tcBorders>
          </w:tcPr>
          <w:p w14:paraId="37D3B6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5016D0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16373BB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5FFAA4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-14.893</w:t>
            </w:r>
            <w:r w:rsidRPr="004E7E5A">
              <w:rPr>
                <w:rFonts w:ascii="Times New Roman" w:hAnsi="Times New Roman"/>
                <w:color w:val="000000" w:themeColor="text1"/>
                <w:kern w:val="0"/>
                <w:sz w:val="24"/>
                <w:vertAlign w:val="superscript"/>
              </w:rPr>
              <w:t>*</w:t>
            </w:r>
          </w:p>
        </w:tc>
        <w:tc>
          <w:tcPr>
            <w:tcW w:w="246" w:type="dxa"/>
            <w:tcBorders>
              <w:top w:val="nil"/>
              <w:left w:val="nil"/>
              <w:bottom w:val="nil"/>
              <w:right w:val="nil"/>
            </w:tcBorders>
          </w:tcPr>
          <w:p w14:paraId="2D86F9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2E1BCC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7B8AA8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1179E1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6B3E4C1" w14:textId="77777777" w:rsidTr="00116073">
        <w:tc>
          <w:tcPr>
            <w:tcW w:w="2671" w:type="dxa"/>
            <w:tcBorders>
              <w:top w:val="nil"/>
              <w:left w:val="nil"/>
              <w:bottom w:val="nil"/>
              <w:right w:val="nil"/>
            </w:tcBorders>
          </w:tcPr>
          <w:p w14:paraId="18161A8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230476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D393A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17857A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76BCE1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(-1.72)</w:t>
            </w:r>
          </w:p>
        </w:tc>
        <w:tc>
          <w:tcPr>
            <w:tcW w:w="246" w:type="dxa"/>
            <w:tcBorders>
              <w:top w:val="nil"/>
              <w:left w:val="nil"/>
              <w:bottom w:val="nil"/>
              <w:right w:val="nil"/>
            </w:tcBorders>
          </w:tcPr>
          <w:p w14:paraId="471377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50CF31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379941F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0D84B22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0C771DE" w14:textId="77777777" w:rsidTr="00116073">
        <w:tc>
          <w:tcPr>
            <w:tcW w:w="2671" w:type="dxa"/>
            <w:tcBorders>
              <w:top w:val="nil"/>
              <w:left w:val="nil"/>
              <w:bottom w:val="nil"/>
              <w:right w:val="nil"/>
            </w:tcBorders>
          </w:tcPr>
          <w:p w14:paraId="2E5B7E6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52" w:type="dxa"/>
            <w:tcBorders>
              <w:top w:val="nil"/>
              <w:left w:val="nil"/>
              <w:bottom w:val="nil"/>
              <w:right w:val="nil"/>
            </w:tcBorders>
          </w:tcPr>
          <w:p w14:paraId="070C26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83D59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64A692B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655893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12107E5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1DCB183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6.510</w:t>
            </w:r>
            <w:r w:rsidRPr="004E7E5A">
              <w:rPr>
                <w:rFonts w:ascii="Times New Roman" w:hAnsi="Times New Roman"/>
                <w:color w:val="000000" w:themeColor="text1"/>
                <w:kern w:val="0"/>
                <w:sz w:val="24"/>
                <w:vertAlign w:val="superscript"/>
              </w:rPr>
              <w:t>***</w:t>
            </w:r>
          </w:p>
        </w:tc>
        <w:tc>
          <w:tcPr>
            <w:tcW w:w="236" w:type="dxa"/>
            <w:tcBorders>
              <w:top w:val="nil"/>
              <w:left w:val="nil"/>
              <w:bottom w:val="nil"/>
              <w:right w:val="nil"/>
            </w:tcBorders>
          </w:tcPr>
          <w:p w14:paraId="136D86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BD621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50584C7" w14:textId="77777777" w:rsidTr="00116073">
        <w:tc>
          <w:tcPr>
            <w:tcW w:w="2671" w:type="dxa"/>
            <w:tcBorders>
              <w:top w:val="nil"/>
              <w:left w:val="nil"/>
              <w:bottom w:val="nil"/>
              <w:right w:val="nil"/>
            </w:tcBorders>
          </w:tcPr>
          <w:p w14:paraId="4E6819C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0AB2CA9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08135C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69DCCD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56B88F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016C55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3424B3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(3.63)</w:t>
            </w:r>
          </w:p>
        </w:tc>
        <w:tc>
          <w:tcPr>
            <w:tcW w:w="236" w:type="dxa"/>
            <w:tcBorders>
              <w:top w:val="nil"/>
              <w:left w:val="nil"/>
              <w:bottom w:val="nil"/>
              <w:right w:val="nil"/>
            </w:tcBorders>
          </w:tcPr>
          <w:p w14:paraId="7EF3E7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E10C9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0CC80F3" w14:textId="77777777" w:rsidTr="00116073">
        <w:tc>
          <w:tcPr>
            <w:tcW w:w="2671" w:type="dxa"/>
            <w:tcBorders>
              <w:top w:val="nil"/>
              <w:left w:val="nil"/>
              <w:bottom w:val="nil"/>
              <w:right w:val="nil"/>
            </w:tcBorders>
          </w:tcPr>
          <w:p w14:paraId="0FC388C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Score_med×Advertising</w:t>
            </w:r>
            <w:proofErr w:type="spellEnd"/>
          </w:p>
        </w:tc>
        <w:tc>
          <w:tcPr>
            <w:tcW w:w="252" w:type="dxa"/>
            <w:tcBorders>
              <w:top w:val="nil"/>
              <w:left w:val="nil"/>
              <w:bottom w:val="nil"/>
              <w:right w:val="nil"/>
            </w:tcBorders>
          </w:tcPr>
          <w:p w14:paraId="5B6232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13353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091E2D0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65B13D5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5B8AA1A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0691B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-32.034</w:t>
            </w:r>
            <w:r w:rsidRPr="004E7E5A">
              <w:rPr>
                <w:rFonts w:ascii="Times New Roman" w:hAnsi="Times New Roman"/>
                <w:color w:val="000000" w:themeColor="text1"/>
                <w:kern w:val="0"/>
                <w:sz w:val="24"/>
                <w:vertAlign w:val="superscript"/>
              </w:rPr>
              <w:t>**</w:t>
            </w:r>
          </w:p>
        </w:tc>
        <w:tc>
          <w:tcPr>
            <w:tcW w:w="236" w:type="dxa"/>
            <w:tcBorders>
              <w:top w:val="nil"/>
              <w:left w:val="nil"/>
              <w:bottom w:val="nil"/>
              <w:right w:val="nil"/>
            </w:tcBorders>
          </w:tcPr>
          <w:p w14:paraId="0B4C0E3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FC918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7167D07" w14:textId="77777777" w:rsidTr="00116073">
        <w:tc>
          <w:tcPr>
            <w:tcW w:w="2671" w:type="dxa"/>
            <w:tcBorders>
              <w:top w:val="nil"/>
              <w:left w:val="nil"/>
              <w:bottom w:val="nil"/>
              <w:right w:val="nil"/>
            </w:tcBorders>
          </w:tcPr>
          <w:p w14:paraId="207BC50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474203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4A7AA5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5E1D42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2391959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2325AF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7D091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(-2.45)</w:t>
            </w:r>
          </w:p>
        </w:tc>
        <w:tc>
          <w:tcPr>
            <w:tcW w:w="236" w:type="dxa"/>
            <w:tcBorders>
              <w:top w:val="nil"/>
              <w:left w:val="nil"/>
              <w:bottom w:val="nil"/>
              <w:right w:val="nil"/>
            </w:tcBorders>
          </w:tcPr>
          <w:p w14:paraId="1758A0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3E2330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5A060AD" w14:textId="77777777" w:rsidTr="00116073">
        <w:tc>
          <w:tcPr>
            <w:tcW w:w="2671" w:type="dxa"/>
            <w:tcBorders>
              <w:top w:val="nil"/>
              <w:left w:val="nil"/>
              <w:bottom w:val="nil"/>
              <w:right w:val="nil"/>
            </w:tcBorders>
          </w:tcPr>
          <w:p w14:paraId="64C7613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52" w:type="dxa"/>
            <w:tcBorders>
              <w:top w:val="nil"/>
              <w:left w:val="nil"/>
              <w:bottom w:val="nil"/>
              <w:right w:val="nil"/>
            </w:tcBorders>
          </w:tcPr>
          <w:p w14:paraId="4FE9557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4581ACC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1ACEE8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0EC4C5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2DDA9E7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36FE0D9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4B5BB22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17CE04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6.634</w:t>
            </w:r>
            <w:r w:rsidRPr="004E7E5A">
              <w:rPr>
                <w:rFonts w:ascii="Times New Roman" w:hAnsi="Times New Roman"/>
                <w:color w:val="000000" w:themeColor="text1"/>
                <w:kern w:val="0"/>
                <w:sz w:val="24"/>
                <w:vertAlign w:val="superscript"/>
              </w:rPr>
              <w:t>***</w:t>
            </w:r>
          </w:p>
        </w:tc>
      </w:tr>
      <w:tr w:rsidR="001E3466" w:rsidRPr="004E7E5A" w14:paraId="16254B22" w14:textId="77777777" w:rsidTr="00116073">
        <w:tc>
          <w:tcPr>
            <w:tcW w:w="2671" w:type="dxa"/>
            <w:tcBorders>
              <w:top w:val="nil"/>
              <w:left w:val="nil"/>
              <w:bottom w:val="nil"/>
              <w:right w:val="nil"/>
            </w:tcBorders>
          </w:tcPr>
          <w:p w14:paraId="04A99F7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7A588C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3200A7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5E28E9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629850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0861D8D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2CC790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7F0B289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A212F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(3.69)</w:t>
            </w:r>
          </w:p>
        </w:tc>
      </w:tr>
      <w:tr w:rsidR="001E3466" w:rsidRPr="004E7E5A" w14:paraId="15C02FA4" w14:textId="77777777" w:rsidTr="00116073">
        <w:tc>
          <w:tcPr>
            <w:tcW w:w="2671" w:type="dxa"/>
            <w:tcBorders>
              <w:top w:val="nil"/>
              <w:left w:val="nil"/>
              <w:bottom w:val="nil"/>
              <w:right w:val="nil"/>
            </w:tcBorders>
          </w:tcPr>
          <w:p w14:paraId="2FC0055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Score_min×Advertising</w:t>
            </w:r>
            <w:proofErr w:type="spellEnd"/>
          </w:p>
        </w:tc>
        <w:tc>
          <w:tcPr>
            <w:tcW w:w="252" w:type="dxa"/>
            <w:tcBorders>
              <w:top w:val="nil"/>
              <w:left w:val="nil"/>
              <w:bottom w:val="nil"/>
              <w:right w:val="nil"/>
            </w:tcBorders>
          </w:tcPr>
          <w:p w14:paraId="749A62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1B35F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395C32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211B07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250897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55998BA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7E902D6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7C2AEC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-31.082</w:t>
            </w:r>
            <w:r w:rsidRPr="004E7E5A">
              <w:rPr>
                <w:rFonts w:ascii="Times New Roman" w:hAnsi="Times New Roman"/>
                <w:color w:val="000000" w:themeColor="text1"/>
                <w:kern w:val="0"/>
                <w:sz w:val="24"/>
                <w:vertAlign w:val="superscript"/>
              </w:rPr>
              <w:t>**</w:t>
            </w:r>
          </w:p>
        </w:tc>
      </w:tr>
      <w:tr w:rsidR="001E3466" w:rsidRPr="004E7E5A" w14:paraId="0607EC2A" w14:textId="77777777" w:rsidTr="00116073">
        <w:tc>
          <w:tcPr>
            <w:tcW w:w="2671" w:type="dxa"/>
            <w:tcBorders>
              <w:top w:val="nil"/>
              <w:left w:val="nil"/>
              <w:bottom w:val="nil"/>
              <w:right w:val="nil"/>
            </w:tcBorders>
          </w:tcPr>
          <w:p w14:paraId="08F0562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072623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5D2C15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7F43A35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60DDB6F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6" w:type="dxa"/>
            <w:tcBorders>
              <w:top w:val="nil"/>
              <w:left w:val="nil"/>
              <w:bottom w:val="nil"/>
              <w:right w:val="nil"/>
            </w:tcBorders>
          </w:tcPr>
          <w:p w14:paraId="34C004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45890B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36" w:type="dxa"/>
            <w:tcBorders>
              <w:top w:val="nil"/>
              <w:left w:val="nil"/>
              <w:bottom w:val="nil"/>
              <w:right w:val="nil"/>
            </w:tcBorders>
          </w:tcPr>
          <w:p w14:paraId="35892C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A7AD9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(-2.10)</w:t>
            </w:r>
          </w:p>
        </w:tc>
      </w:tr>
      <w:tr w:rsidR="001E3466" w:rsidRPr="004E7E5A" w14:paraId="4768E389" w14:textId="77777777" w:rsidTr="00116073">
        <w:tc>
          <w:tcPr>
            <w:tcW w:w="2671" w:type="dxa"/>
            <w:tcBorders>
              <w:top w:val="nil"/>
              <w:left w:val="nil"/>
              <w:bottom w:val="nil"/>
              <w:right w:val="nil"/>
            </w:tcBorders>
          </w:tcPr>
          <w:p w14:paraId="78FBB32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Advertising</w:t>
            </w:r>
          </w:p>
        </w:tc>
        <w:tc>
          <w:tcPr>
            <w:tcW w:w="252" w:type="dxa"/>
            <w:tcBorders>
              <w:top w:val="nil"/>
              <w:left w:val="nil"/>
              <w:bottom w:val="nil"/>
              <w:right w:val="nil"/>
            </w:tcBorders>
          </w:tcPr>
          <w:p w14:paraId="6B153D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28D32F9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-1.234</w:t>
            </w:r>
          </w:p>
        </w:tc>
        <w:tc>
          <w:tcPr>
            <w:tcW w:w="253" w:type="dxa"/>
            <w:tcBorders>
              <w:top w:val="nil"/>
              <w:left w:val="nil"/>
              <w:bottom w:val="nil"/>
              <w:right w:val="nil"/>
            </w:tcBorders>
          </w:tcPr>
          <w:p w14:paraId="48D5FC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544DB7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2.978</w:t>
            </w:r>
          </w:p>
        </w:tc>
        <w:tc>
          <w:tcPr>
            <w:tcW w:w="246" w:type="dxa"/>
            <w:tcBorders>
              <w:top w:val="nil"/>
              <w:left w:val="nil"/>
              <w:bottom w:val="nil"/>
              <w:right w:val="nil"/>
            </w:tcBorders>
          </w:tcPr>
          <w:p w14:paraId="448C39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528A5C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-2.225</w:t>
            </w:r>
          </w:p>
        </w:tc>
        <w:tc>
          <w:tcPr>
            <w:tcW w:w="236" w:type="dxa"/>
            <w:tcBorders>
              <w:top w:val="nil"/>
              <w:left w:val="nil"/>
              <w:bottom w:val="nil"/>
              <w:right w:val="nil"/>
            </w:tcBorders>
          </w:tcPr>
          <w:p w14:paraId="210E63D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401A2E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-0.095</w:t>
            </w:r>
          </w:p>
        </w:tc>
      </w:tr>
      <w:tr w:rsidR="001E3466" w:rsidRPr="004E7E5A" w14:paraId="292A26F3" w14:textId="77777777" w:rsidTr="00116073">
        <w:tc>
          <w:tcPr>
            <w:tcW w:w="2671" w:type="dxa"/>
            <w:tcBorders>
              <w:top w:val="nil"/>
              <w:left w:val="nil"/>
              <w:bottom w:val="nil"/>
              <w:right w:val="nil"/>
            </w:tcBorders>
          </w:tcPr>
          <w:p w14:paraId="1DEDCB0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52" w:type="dxa"/>
            <w:tcBorders>
              <w:top w:val="nil"/>
              <w:left w:val="nil"/>
              <w:bottom w:val="nil"/>
              <w:right w:val="nil"/>
            </w:tcBorders>
          </w:tcPr>
          <w:p w14:paraId="469361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1F19ED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(-0.13)</w:t>
            </w:r>
          </w:p>
        </w:tc>
        <w:tc>
          <w:tcPr>
            <w:tcW w:w="253" w:type="dxa"/>
            <w:tcBorders>
              <w:top w:val="nil"/>
              <w:left w:val="nil"/>
              <w:bottom w:val="nil"/>
              <w:right w:val="nil"/>
            </w:tcBorders>
          </w:tcPr>
          <w:p w14:paraId="40ABA1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bottom w:val="nil"/>
              <w:right w:val="nil"/>
            </w:tcBorders>
          </w:tcPr>
          <w:p w14:paraId="1370A4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(0.34)</w:t>
            </w:r>
          </w:p>
        </w:tc>
        <w:tc>
          <w:tcPr>
            <w:tcW w:w="246" w:type="dxa"/>
            <w:tcBorders>
              <w:top w:val="nil"/>
              <w:left w:val="nil"/>
              <w:bottom w:val="nil"/>
              <w:right w:val="nil"/>
            </w:tcBorders>
          </w:tcPr>
          <w:p w14:paraId="635ABF5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2B6C138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(-0.23)</w:t>
            </w:r>
          </w:p>
        </w:tc>
        <w:tc>
          <w:tcPr>
            <w:tcW w:w="236" w:type="dxa"/>
            <w:tcBorders>
              <w:top w:val="nil"/>
              <w:left w:val="nil"/>
              <w:bottom w:val="nil"/>
              <w:right w:val="nil"/>
            </w:tcBorders>
          </w:tcPr>
          <w:p w14:paraId="6C35D3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bottom w:val="nil"/>
              <w:right w:val="nil"/>
            </w:tcBorders>
          </w:tcPr>
          <w:p w14:paraId="67F125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(-0.01)</w:t>
            </w:r>
          </w:p>
        </w:tc>
      </w:tr>
      <w:tr w:rsidR="001E3466" w:rsidRPr="004E7E5A" w14:paraId="126836FB" w14:textId="77777777" w:rsidTr="00116073">
        <w:tc>
          <w:tcPr>
            <w:tcW w:w="2671" w:type="dxa"/>
            <w:tcBorders>
              <w:top w:val="nil"/>
              <w:left w:val="nil"/>
              <w:right w:val="nil"/>
            </w:tcBorders>
          </w:tcPr>
          <w:p w14:paraId="5125087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52" w:type="dxa"/>
            <w:tcBorders>
              <w:top w:val="nil"/>
              <w:left w:val="nil"/>
              <w:right w:val="nil"/>
            </w:tcBorders>
          </w:tcPr>
          <w:p w14:paraId="14C20B4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733690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3" w:type="dxa"/>
            <w:tcBorders>
              <w:top w:val="nil"/>
              <w:left w:val="nil"/>
              <w:right w:val="nil"/>
            </w:tcBorders>
          </w:tcPr>
          <w:p w14:paraId="0F539C0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right w:val="nil"/>
            </w:tcBorders>
          </w:tcPr>
          <w:p w14:paraId="1595A4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6" w:type="dxa"/>
            <w:tcBorders>
              <w:top w:val="nil"/>
              <w:left w:val="nil"/>
              <w:right w:val="nil"/>
            </w:tcBorders>
          </w:tcPr>
          <w:p w14:paraId="28DAEB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7191C32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6" w:type="dxa"/>
            <w:tcBorders>
              <w:top w:val="nil"/>
              <w:left w:val="nil"/>
              <w:right w:val="nil"/>
            </w:tcBorders>
          </w:tcPr>
          <w:p w14:paraId="7FF818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6BE384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0E80A38D" w14:textId="77777777" w:rsidTr="00116073">
        <w:tc>
          <w:tcPr>
            <w:tcW w:w="2671" w:type="dxa"/>
            <w:tcBorders>
              <w:top w:val="nil"/>
              <w:left w:val="nil"/>
              <w:right w:val="nil"/>
            </w:tcBorders>
          </w:tcPr>
          <w:p w14:paraId="4311F97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52" w:type="dxa"/>
            <w:tcBorders>
              <w:top w:val="nil"/>
              <w:left w:val="nil"/>
              <w:right w:val="nil"/>
            </w:tcBorders>
          </w:tcPr>
          <w:p w14:paraId="239B88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20CE44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3" w:type="dxa"/>
            <w:tcBorders>
              <w:top w:val="nil"/>
              <w:left w:val="nil"/>
              <w:right w:val="nil"/>
            </w:tcBorders>
          </w:tcPr>
          <w:p w14:paraId="24330A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right w:val="nil"/>
            </w:tcBorders>
          </w:tcPr>
          <w:p w14:paraId="55174A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6" w:type="dxa"/>
            <w:tcBorders>
              <w:top w:val="nil"/>
              <w:left w:val="nil"/>
              <w:right w:val="nil"/>
            </w:tcBorders>
          </w:tcPr>
          <w:p w14:paraId="799DA5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2FF5BC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6" w:type="dxa"/>
            <w:tcBorders>
              <w:top w:val="nil"/>
              <w:left w:val="nil"/>
              <w:right w:val="nil"/>
            </w:tcBorders>
          </w:tcPr>
          <w:p w14:paraId="01602D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61B5977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09E5A153" w14:textId="77777777" w:rsidTr="00116073">
        <w:tc>
          <w:tcPr>
            <w:tcW w:w="2671" w:type="dxa"/>
            <w:tcBorders>
              <w:top w:val="nil"/>
              <w:left w:val="nil"/>
              <w:right w:val="nil"/>
            </w:tcBorders>
          </w:tcPr>
          <w:p w14:paraId="780F05B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52" w:type="dxa"/>
            <w:tcBorders>
              <w:top w:val="nil"/>
              <w:left w:val="nil"/>
              <w:right w:val="nil"/>
            </w:tcBorders>
          </w:tcPr>
          <w:p w14:paraId="735AAE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78D3CC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3" w:type="dxa"/>
            <w:tcBorders>
              <w:top w:val="nil"/>
              <w:left w:val="nil"/>
              <w:right w:val="nil"/>
            </w:tcBorders>
          </w:tcPr>
          <w:p w14:paraId="7051FD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top w:val="nil"/>
              <w:left w:val="nil"/>
              <w:right w:val="nil"/>
            </w:tcBorders>
          </w:tcPr>
          <w:p w14:paraId="147E47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6" w:type="dxa"/>
            <w:tcBorders>
              <w:top w:val="nil"/>
              <w:left w:val="nil"/>
              <w:right w:val="nil"/>
            </w:tcBorders>
          </w:tcPr>
          <w:p w14:paraId="4B783F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5F26D9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6" w:type="dxa"/>
            <w:tcBorders>
              <w:top w:val="nil"/>
              <w:left w:val="nil"/>
              <w:right w:val="nil"/>
            </w:tcBorders>
          </w:tcPr>
          <w:p w14:paraId="70626D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top w:val="nil"/>
              <w:left w:val="nil"/>
              <w:right w:val="nil"/>
            </w:tcBorders>
          </w:tcPr>
          <w:p w14:paraId="0B1042F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17037325" w14:textId="77777777" w:rsidTr="00116073">
        <w:tc>
          <w:tcPr>
            <w:tcW w:w="2671" w:type="dxa"/>
            <w:tcBorders>
              <w:left w:val="nil"/>
              <w:right w:val="nil"/>
            </w:tcBorders>
          </w:tcPr>
          <w:p w14:paraId="496AAB5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52" w:type="dxa"/>
            <w:tcBorders>
              <w:left w:val="nil"/>
              <w:right w:val="nil"/>
            </w:tcBorders>
          </w:tcPr>
          <w:p w14:paraId="1C3C1F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left w:val="nil"/>
              <w:right w:val="nil"/>
            </w:tcBorders>
          </w:tcPr>
          <w:p w14:paraId="4997AE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2621</w:t>
            </w:r>
          </w:p>
        </w:tc>
        <w:tc>
          <w:tcPr>
            <w:tcW w:w="253" w:type="dxa"/>
            <w:tcBorders>
              <w:left w:val="nil"/>
              <w:right w:val="nil"/>
            </w:tcBorders>
          </w:tcPr>
          <w:p w14:paraId="5B13F3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left w:val="nil"/>
              <w:right w:val="nil"/>
            </w:tcBorders>
          </w:tcPr>
          <w:p w14:paraId="277A86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2621</w:t>
            </w:r>
          </w:p>
        </w:tc>
        <w:tc>
          <w:tcPr>
            <w:tcW w:w="246" w:type="dxa"/>
            <w:tcBorders>
              <w:left w:val="nil"/>
              <w:right w:val="nil"/>
            </w:tcBorders>
          </w:tcPr>
          <w:p w14:paraId="229645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left w:val="nil"/>
              <w:right w:val="nil"/>
            </w:tcBorders>
          </w:tcPr>
          <w:p w14:paraId="79FBDE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2621</w:t>
            </w:r>
          </w:p>
        </w:tc>
        <w:tc>
          <w:tcPr>
            <w:tcW w:w="236" w:type="dxa"/>
            <w:tcBorders>
              <w:left w:val="nil"/>
              <w:right w:val="nil"/>
            </w:tcBorders>
          </w:tcPr>
          <w:p w14:paraId="4E82A1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left w:val="nil"/>
              <w:right w:val="nil"/>
            </w:tcBorders>
          </w:tcPr>
          <w:p w14:paraId="047EFED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2621</w:t>
            </w:r>
          </w:p>
        </w:tc>
      </w:tr>
      <w:tr w:rsidR="001E3466" w:rsidRPr="004E7E5A" w14:paraId="64363679" w14:textId="77777777" w:rsidTr="00116073">
        <w:tc>
          <w:tcPr>
            <w:tcW w:w="2671" w:type="dxa"/>
            <w:tcBorders>
              <w:left w:val="nil"/>
              <w:bottom w:val="single" w:sz="4" w:space="0" w:color="auto"/>
              <w:right w:val="nil"/>
            </w:tcBorders>
          </w:tcPr>
          <w:p w14:paraId="7A6521A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52" w:type="dxa"/>
            <w:tcBorders>
              <w:left w:val="nil"/>
              <w:bottom w:val="single" w:sz="4" w:space="0" w:color="auto"/>
              <w:right w:val="nil"/>
            </w:tcBorders>
          </w:tcPr>
          <w:p w14:paraId="14C86A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left w:val="nil"/>
              <w:bottom w:val="single" w:sz="4" w:space="0" w:color="auto"/>
              <w:right w:val="nil"/>
            </w:tcBorders>
          </w:tcPr>
          <w:p w14:paraId="679EBC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945.217</w:t>
            </w:r>
          </w:p>
        </w:tc>
        <w:tc>
          <w:tcPr>
            <w:tcW w:w="253" w:type="dxa"/>
            <w:tcBorders>
              <w:left w:val="nil"/>
              <w:bottom w:val="single" w:sz="4" w:space="0" w:color="auto"/>
              <w:right w:val="nil"/>
            </w:tcBorders>
          </w:tcPr>
          <w:p w14:paraId="4FC2DC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41" w:type="dxa"/>
            <w:tcBorders>
              <w:left w:val="nil"/>
              <w:bottom w:val="single" w:sz="4" w:space="0" w:color="auto"/>
              <w:right w:val="nil"/>
            </w:tcBorders>
          </w:tcPr>
          <w:p w14:paraId="0186F7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939.808</w:t>
            </w:r>
          </w:p>
        </w:tc>
        <w:tc>
          <w:tcPr>
            <w:tcW w:w="246" w:type="dxa"/>
            <w:tcBorders>
              <w:left w:val="nil"/>
              <w:bottom w:val="single" w:sz="4" w:space="0" w:color="auto"/>
              <w:right w:val="nil"/>
            </w:tcBorders>
          </w:tcPr>
          <w:p w14:paraId="31C1B6F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left w:val="nil"/>
              <w:bottom w:val="single" w:sz="4" w:space="0" w:color="auto"/>
              <w:right w:val="nil"/>
            </w:tcBorders>
          </w:tcPr>
          <w:p w14:paraId="6F94455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912.450</w:t>
            </w:r>
          </w:p>
        </w:tc>
        <w:tc>
          <w:tcPr>
            <w:tcW w:w="236" w:type="dxa"/>
            <w:tcBorders>
              <w:left w:val="nil"/>
              <w:bottom w:val="single" w:sz="4" w:space="0" w:color="auto"/>
              <w:right w:val="nil"/>
            </w:tcBorders>
          </w:tcPr>
          <w:p w14:paraId="263527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57" w:type="dxa"/>
            <w:tcBorders>
              <w:left w:val="nil"/>
              <w:bottom w:val="single" w:sz="4" w:space="0" w:color="auto"/>
              <w:right w:val="nil"/>
            </w:tcBorders>
          </w:tcPr>
          <w:p w14:paraId="6042229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941.772</w:t>
            </w:r>
          </w:p>
        </w:tc>
      </w:tr>
    </w:tbl>
    <w:p w14:paraId="0ED4B992" w14:textId="4DE7831A"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presents the second stage of the 2SLS model to test hypothesis 2. </w:t>
      </w:r>
      <w:r w:rsidRPr="004E7E5A">
        <w:rPr>
          <w:rFonts w:cs="Times New Roman"/>
          <w:szCs w:val="24"/>
        </w:rPr>
        <w:t>The effect of marketing strategy on the relationship between directors’ network and CSR disclosure quality</w:t>
      </w:r>
      <w:r w:rsidRPr="004E7E5A">
        <w:rPr>
          <w:rStyle w:val="fontstyle01"/>
          <w:rFonts w:ascii="Times New Roman" w:hAnsi="Times New Roman" w:cs="Times New Roman" w:hint="default"/>
          <w:color w:val="000000" w:themeColor="text1"/>
          <w:sz w:val="24"/>
          <w:szCs w:val="24"/>
        </w:rPr>
        <w:t xml:space="preserve"> is tested by Equation (2)</w:t>
      </w:r>
      <w:r w:rsidRPr="004E7E5A">
        <w:rPr>
          <w:rFonts w:cs="Times New Roman"/>
          <w:szCs w:val="24"/>
        </w:rPr>
        <w:t xml:space="preserve">. </w:t>
      </w:r>
      <w:r w:rsidRPr="004E7E5A">
        <w:rPr>
          <w:rFonts w:cs="Times New Roman"/>
          <w:i/>
          <w:iCs/>
          <w:szCs w:val="24"/>
        </w:rPr>
        <w:t>Advertising</w:t>
      </w:r>
      <w:r w:rsidRPr="004E7E5A">
        <w:rPr>
          <w:rFonts w:cs="Times New Roman"/>
          <w:szCs w:val="24"/>
        </w:rPr>
        <w:t xml:space="preserve"> is a proxy for marketing strategy, which is calculated by advertising expenditures divided by sales. </w:t>
      </w:r>
      <w:r w:rsidRPr="004E7E5A">
        <w:rPr>
          <w:rStyle w:val="fontstyle01"/>
          <w:rFonts w:ascii="Times New Roman" w:hAnsi="Times New Roman" w:cs="Times New Roman" w:hint="default"/>
          <w:color w:val="000000" w:themeColor="text1"/>
          <w:sz w:val="24"/>
          <w:szCs w:val="24"/>
        </w:rPr>
        <w:t xml:space="preserve">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eastAsia="Times New Roman" w:cs="Times New Roman"/>
          <w:i/>
          <w:iCs/>
          <w:szCs w:val="24"/>
          <w:lang w:eastAsia="en-GB"/>
        </w:rPr>
        <w:t xml:space="preserve">Controls </w:t>
      </w:r>
      <w:r w:rsidRPr="004E7E5A">
        <w:rPr>
          <w:rFonts w:eastAsia="Times New Roman" w:cs="Times New Roman"/>
          <w:szCs w:val="24"/>
          <w:lang w:eastAsia="en-GB"/>
        </w:rPr>
        <w:t xml:space="preserve">are the control variables included in Equation (1).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other variables are provided in Appendix A.</w:t>
      </w:r>
    </w:p>
    <w:p w14:paraId="11DFC1F3"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50204BB0" w14:textId="5132F4B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2AE2EE38" w14:textId="77777777" w:rsidR="004313EB" w:rsidRPr="004E7E5A" w:rsidRDefault="004313EB"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17F36F8A" w14:textId="77777777" w:rsidR="002A5E43" w:rsidRPr="004E7E5A" w:rsidRDefault="002A5E43"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02047290" w14:textId="73506A56"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7</w:t>
      </w:r>
    </w:p>
    <w:p w14:paraId="7FABA6B2"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Second-Stage Regressions of 2SLS Model for Testing the Moderating Role of Analysts’ Attention</w:t>
      </w:r>
    </w:p>
    <w:tbl>
      <w:tblPr>
        <w:tblW w:w="5000" w:type="pct"/>
        <w:tblLook w:val="0000" w:firstRow="0" w:lastRow="0" w:firstColumn="0" w:lastColumn="0" w:noHBand="0" w:noVBand="0"/>
      </w:tblPr>
      <w:tblGrid>
        <w:gridCol w:w="2424"/>
        <w:gridCol w:w="263"/>
        <w:gridCol w:w="1407"/>
        <w:gridCol w:w="264"/>
        <w:gridCol w:w="1392"/>
        <w:gridCol w:w="258"/>
        <w:gridCol w:w="1407"/>
        <w:gridCol w:w="248"/>
        <w:gridCol w:w="1407"/>
      </w:tblGrid>
      <w:tr w:rsidR="001E3466" w:rsidRPr="004E7E5A" w14:paraId="1AE6A670" w14:textId="77777777" w:rsidTr="00116073">
        <w:tc>
          <w:tcPr>
            <w:tcW w:w="2445" w:type="dxa"/>
            <w:tcBorders>
              <w:top w:val="single" w:sz="4" w:space="0" w:color="auto"/>
              <w:left w:val="nil"/>
              <w:bottom w:val="single" w:sz="4" w:space="0" w:color="auto"/>
              <w:right w:val="nil"/>
            </w:tcBorders>
          </w:tcPr>
          <w:p w14:paraId="7726F732"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69" w:type="dxa"/>
            <w:tcBorders>
              <w:top w:val="single" w:sz="4" w:space="0" w:color="auto"/>
              <w:left w:val="nil"/>
              <w:right w:val="nil"/>
            </w:tcBorders>
          </w:tcPr>
          <w:p w14:paraId="2CE625B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51" w:type="dxa"/>
            <w:tcBorders>
              <w:top w:val="single" w:sz="4" w:space="0" w:color="auto"/>
              <w:left w:val="nil"/>
              <w:bottom w:val="single" w:sz="4" w:space="0" w:color="auto"/>
              <w:right w:val="nil"/>
            </w:tcBorders>
          </w:tcPr>
          <w:p w14:paraId="14427EC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70" w:type="dxa"/>
            <w:tcBorders>
              <w:top w:val="single" w:sz="4" w:space="0" w:color="auto"/>
              <w:left w:val="nil"/>
              <w:right w:val="nil"/>
            </w:tcBorders>
          </w:tcPr>
          <w:p w14:paraId="56067E3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34" w:type="dxa"/>
            <w:tcBorders>
              <w:top w:val="single" w:sz="4" w:space="0" w:color="auto"/>
              <w:left w:val="nil"/>
              <w:bottom w:val="single" w:sz="4" w:space="0" w:color="auto"/>
              <w:right w:val="nil"/>
            </w:tcBorders>
          </w:tcPr>
          <w:p w14:paraId="52241F3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63" w:type="dxa"/>
            <w:tcBorders>
              <w:top w:val="single" w:sz="4" w:space="0" w:color="auto"/>
              <w:left w:val="nil"/>
              <w:right w:val="nil"/>
            </w:tcBorders>
          </w:tcPr>
          <w:p w14:paraId="4ECDDBF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51" w:type="dxa"/>
            <w:tcBorders>
              <w:top w:val="single" w:sz="4" w:space="0" w:color="auto"/>
              <w:left w:val="nil"/>
              <w:bottom w:val="single" w:sz="4" w:space="0" w:color="auto"/>
              <w:right w:val="nil"/>
            </w:tcBorders>
          </w:tcPr>
          <w:p w14:paraId="4A7C76E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52" w:type="dxa"/>
            <w:tcBorders>
              <w:top w:val="single" w:sz="4" w:space="0" w:color="auto"/>
              <w:left w:val="nil"/>
              <w:right w:val="nil"/>
            </w:tcBorders>
          </w:tcPr>
          <w:p w14:paraId="23EA9CD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51" w:type="dxa"/>
            <w:tcBorders>
              <w:top w:val="single" w:sz="4" w:space="0" w:color="auto"/>
              <w:left w:val="nil"/>
              <w:bottom w:val="single" w:sz="4" w:space="0" w:color="auto"/>
              <w:right w:val="nil"/>
            </w:tcBorders>
          </w:tcPr>
          <w:p w14:paraId="7A90AA6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75437D56" w14:textId="77777777" w:rsidTr="00116073">
        <w:tc>
          <w:tcPr>
            <w:tcW w:w="2445" w:type="dxa"/>
            <w:tcBorders>
              <w:top w:val="single" w:sz="4" w:space="0" w:color="auto"/>
              <w:left w:val="nil"/>
              <w:bottom w:val="nil"/>
              <w:right w:val="nil"/>
            </w:tcBorders>
          </w:tcPr>
          <w:p w14:paraId="1D8BC8F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69" w:type="dxa"/>
            <w:tcBorders>
              <w:left w:val="nil"/>
              <w:bottom w:val="nil"/>
              <w:right w:val="nil"/>
            </w:tcBorders>
          </w:tcPr>
          <w:p w14:paraId="16A981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single" w:sz="4" w:space="0" w:color="auto"/>
              <w:left w:val="nil"/>
              <w:bottom w:val="nil"/>
              <w:right w:val="nil"/>
            </w:tcBorders>
          </w:tcPr>
          <w:p w14:paraId="7FC6AB9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3.503</w:t>
            </w:r>
            <w:r w:rsidRPr="004E7E5A">
              <w:rPr>
                <w:rFonts w:ascii="Times New Roman" w:hAnsi="Times New Roman"/>
                <w:color w:val="000000" w:themeColor="text1"/>
                <w:kern w:val="0"/>
                <w:sz w:val="24"/>
                <w:vertAlign w:val="superscript"/>
              </w:rPr>
              <w:t>***</w:t>
            </w:r>
          </w:p>
        </w:tc>
        <w:tc>
          <w:tcPr>
            <w:tcW w:w="270" w:type="dxa"/>
            <w:tcBorders>
              <w:left w:val="nil"/>
              <w:bottom w:val="nil"/>
              <w:right w:val="nil"/>
            </w:tcBorders>
          </w:tcPr>
          <w:p w14:paraId="03B1FB2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single" w:sz="4" w:space="0" w:color="auto"/>
              <w:left w:val="nil"/>
              <w:bottom w:val="nil"/>
              <w:right w:val="nil"/>
            </w:tcBorders>
          </w:tcPr>
          <w:p w14:paraId="5DFDCB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left w:val="nil"/>
              <w:bottom w:val="nil"/>
              <w:right w:val="nil"/>
            </w:tcBorders>
          </w:tcPr>
          <w:p w14:paraId="6C64C76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single" w:sz="4" w:space="0" w:color="auto"/>
              <w:left w:val="nil"/>
              <w:bottom w:val="nil"/>
              <w:right w:val="nil"/>
            </w:tcBorders>
          </w:tcPr>
          <w:p w14:paraId="7141E3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left w:val="nil"/>
              <w:bottom w:val="nil"/>
              <w:right w:val="nil"/>
            </w:tcBorders>
          </w:tcPr>
          <w:p w14:paraId="07CFEA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single" w:sz="4" w:space="0" w:color="auto"/>
              <w:left w:val="nil"/>
              <w:bottom w:val="nil"/>
              <w:right w:val="nil"/>
            </w:tcBorders>
          </w:tcPr>
          <w:p w14:paraId="4E56DC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89CA626" w14:textId="77777777" w:rsidTr="00116073">
        <w:tc>
          <w:tcPr>
            <w:tcW w:w="2445" w:type="dxa"/>
            <w:tcBorders>
              <w:top w:val="nil"/>
              <w:left w:val="nil"/>
              <w:bottom w:val="nil"/>
              <w:right w:val="nil"/>
            </w:tcBorders>
          </w:tcPr>
          <w:p w14:paraId="392C3E0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71559BF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7C4E31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(3.44)</w:t>
            </w:r>
          </w:p>
        </w:tc>
        <w:tc>
          <w:tcPr>
            <w:tcW w:w="270" w:type="dxa"/>
            <w:tcBorders>
              <w:top w:val="nil"/>
              <w:left w:val="nil"/>
              <w:bottom w:val="nil"/>
              <w:right w:val="nil"/>
            </w:tcBorders>
          </w:tcPr>
          <w:p w14:paraId="5EC40CE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22311E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517CCF8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3C324EE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710AAE9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1D9B9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4A507369" w14:textId="77777777" w:rsidTr="00116073">
        <w:tc>
          <w:tcPr>
            <w:tcW w:w="2445" w:type="dxa"/>
            <w:tcBorders>
              <w:top w:val="nil"/>
              <w:left w:val="nil"/>
              <w:bottom w:val="nil"/>
              <w:right w:val="nil"/>
            </w:tcBorders>
          </w:tcPr>
          <w:p w14:paraId="0C9EE0C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Score_max×Analyst</w:t>
            </w:r>
            <w:proofErr w:type="spellEnd"/>
          </w:p>
        </w:tc>
        <w:tc>
          <w:tcPr>
            <w:tcW w:w="269" w:type="dxa"/>
            <w:tcBorders>
              <w:top w:val="nil"/>
              <w:left w:val="nil"/>
              <w:bottom w:val="nil"/>
              <w:right w:val="nil"/>
            </w:tcBorders>
          </w:tcPr>
          <w:p w14:paraId="4621745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0C788C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-0.486</w:t>
            </w:r>
            <w:r w:rsidRPr="004E7E5A">
              <w:rPr>
                <w:rFonts w:ascii="Times New Roman" w:hAnsi="Times New Roman"/>
                <w:color w:val="000000" w:themeColor="text1"/>
                <w:kern w:val="0"/>
                <w:sz w:val="24"/>
                <w:vertAlign w:val="superscript"/>
              </w:rPr>
              <w:t>**</w:t>
            </w:r>
          </w:p>
        </w:tc>
        <w:tc>
          <w:tcPr>
            <w:tcW w:w="270" w:type="dxa"/>
            <w:tcBorders>
              <w:top w:val="nil"/>
              <w:left w:val="nil"/>
              <w:bottom w:val="nil"/>
              <w:right w:val="nil"/>
            </w:tcBorders>
          </w:tcPr>
          <w:p w14:paraId="07A127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4C654D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655972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3398A8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02731EA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156B23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D1806EF" w14:textId="77777777" w:rsidTr="00116073">
        <w:tc>
          <w:tcPr>
            <w:tcW w:w="2445" w:type="dxa"/>
            <w:tcBorders>
              <w:top w:val="nil"/>
              <w:left w:val="nil"/>
              <w:bottom w:val="nil"/>
              <w:right w:val="nil"/>
            </w:tcBorders>
          </w:tcPr>
          <w:p w14:paraId="0B684D1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3B629C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11FE9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(-1.99)</w:t>
            </w:r>
          </w:p>
        </w:tc>
        <w:tc>
          <w:tcPr>
            <w:tcW w:w="270" w:type="dxa"/>
            <w:tcBorders>
              <w:top w:val="nil"/>
              <w:left w:val="nil"/>
              <w:bottom w:val="nil"/>
              <w:right w:val="nil"/>
            </w:tcBorders>
          </w:tcPr>
          <w:p w14:paraId="505D81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2E3F423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4BDBB22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64DBC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2F365E6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3CF91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E038F69" w14:textId="77777777" w:rsidTr="00116073">
        <w:tc>
          <w:tcPr>
            <w:tcW w:w="2445" w:type="dxa"/>
            <w:tcBorders>
              <w:top w:val="nil"/>
              <w:left w:val="nil"/>
              <w:bottom w:val="nil"/>
              <w:right w:val="nil"/>
            </w:tcBorders>
          </w:tcPr>
          <w:p w14:paraId="7DCEECE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69" w:type="dxa"/>
            <w:tcBorders>
              <w:top w:val="nil"/>
              <w:left w:val="nil"/>
              <w:bottom w:val="nil"/>
              <w:right w:val="nil"/>
            </w:tcBorders>
          </w:tcPr>
          <w:p w14:paraId="0662E0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1A4BDA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6B16DD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6742BD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3.071</w:t>
            </w:r>
            <w:r w:rsidRPr="004E7E5A">
              <w:rPr>
                <w:rFonts w:ascii="Times New Roman" w:hAnsi="Times New Roman"/>
                <w:color w:val="000000" w:themeColor="text1"/>
                <w:kern w:val="0"/>
                <w:sz w:val="24"/>
                <w:vertAlign w:val="superscript"/>
              </w:rPr>
              <w:t>***</w:t>
            </w:r>
          </w:p>
        </w:tc>
        <w:tc>
          <w:tcPr>
            <w:tcW w:w="263" w:type="dxa"/>
            <w:tcBorders>
              <w:top w:val="nil"/>
              <w:left w:val="nil"/>
              <w:bottom w:val="nil"/>
              <w:right w:val="nil"/>
            </w:tcBorders>
          </w:tcPr>
          <w:p w14:paraId="065DF33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D47DA6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289334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325124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E7D7FAC" w14:textId="77777777" w:rsidTr="00116073">
        <w:tc>
          <w:tcPr>
            <w:tcW w:w="2445" w:type="dxa"/>
            <w:tcBorders>
              <w:top w:val="nil"/>
              <w:left w:val="nil"/>
              <w:bottom w:val="nil"/>
              <w:right w:val="nil"/>
            </w:tcBorders>
          </w:tcPr>
          <w:p w14:paraId="19A1A92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69E225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23CE99D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47F02F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645B71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(3.74)</w:t>
            </w:r>
          </w:p>
        </w:tc>
        <w:tc>
          <w:tcPr>
            <w:tcW w:w="263" w:type="dxa"/>
            <w:tcBorders>
              <w:top w:val="nil"/>
              <w:left w:val="nil"/>
              <w:bottom w:val="nil"/>
              <w:right w:val="nil"/>
            </w:tcBorders>
          </w:tcPr>
          <w:p w14:paraId="2326F52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28982B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70BAF6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F7FA22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D400DA8" w14:textId="77777777" w:rsidTr="00116073">
        <w:tc>
          <w:tcPr>
            <w:tcW w:w="2445" w:type="dxa"/>
            <w:tcBorders>
              <w:top w:val="nil"/>
              <w:left w:val="nil"/>
              <w:bottom w:val="nil"/>
              <w:right w:val="nil"/>
            </w:tcBorders>
          </w:tcPr>
          <w:p w14:paraId="5F97D5D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Score_mean×Analyst</w:t>
            </w:r>
            <w:proofErr w:type="spellEnd"/>
          </w:p>
        </w:tc>
        <w:tc>
          <w:tcPr>
            <w:tcW w:w="269" w:type="dxa"/>
            <w:tcBorders>
              <w:top w:val="nil"/>
              <w:left w:val="nil"/>
              <w:bottom w:val="nil"/>
              <w:right w:val="nil"/>
            </w:tcBorders>
          </w:tcPr>
          <w:p w14:paraId="5EF319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2F141A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31541A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027997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-0.441</w:t>
            </w:r>
            <w:r w:rsidRPr="004E7E5A">
              <w:rPr>
                <w:rFonts w:ascii="Times New Roman" w:hAnsi="Times New Roman"/>
                <w:color w:val="000000" w:themeColor="text1"/>
                <w:kern w:val="0"/>
                <w:sz w:val="24"/>
                <w:vertAlign w:val="superscript"/>
              </w:rPr>
              <w:t>**</w:t>
            </w:r>
          </w:p>
        </w:tc>
        <w:tc>
          <w:tcPr>
            <w:tcW w:w="263" w:type="dxa"/>
            <w:tcBorders>
              <w:top w:val="nil"/>
              <w:left w:val="nil"/>
              <w:bottom w:val="nil"/>
              <w:right w:val="nil"/>
            </w:tcBorders>
          </w:tcPr>
          <w:p w14:paraId="0DA2F9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049775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5D733F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29592D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E881249" w14:textId="77777777" w:rsidTr="00116073">
        <w:tc>
          <w:tcPr>
            <w:tcW w:w="2445" w:type="dxa"/>
            <w:tcBorders>
              <w:top w:val="nil"/>
              <w:left w:val="nil"/>
              <w:bottom w:val="nil"/>
              <w:right w:val="nil"/>
            </w:tcBorders>
          </w:tcPr>
          <w:p w14:paraId="7D58D89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547A350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6F5055E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77FB95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09B14C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(-1.99)</w:t>
            </w:r>
          </w:p>
        </w:tc>
        <w:tc>
          <w:tcPr>
            <w:tcW w:w="263" w:type="dxa"/>
            <w:tcBorders>
              <w:top w:val="nil"/>
              <w:left w:val="nil"/>
              <w:bottom w:val="nil"/>
              <w:right w:val="nil"/>
            </w:tcBorders>
          </w:tcPr>
          <w:p w14:paraId="71D7596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6D8D5B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6301AE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29A8F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0E80516" w14:textId="77777777" w:rsidTr="00116073">
        <w:tc>
          <w:tcPr>
            <w:tcW w:w="2445" w:type="dxa"/>
            <w:tcBorders>
              <w:top w:val="nil"/>
              <w:left w:val="nil"/>
              <w:bottom w:val="nil"/>
              <w:right w:val="nil"/>
            </w:tcBorders>
          </w:tcPr>
          <w:p w14:paraId="153233D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69" w:type="dxa"/>
            <w:tcBorders>
              <w:top w:val="nil"/>
              <w:left w:val="nil"/>
              <w:bottom w:val="nil"/>
              <w:right w:val="nil"/>
            </w:tcBorders>
          </w:tcPr>
          <w:p w14:paraId="41FB97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6BE530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5284C96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4B2F13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6817F08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797315F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5.666</w:t>
            </w:r>
            <w:r w:rsidRPr="004E7E5A">
              <w:rPr>
                <w:rFonts w:ascii="Times New Roman" w:hAnsi="Times New Roman"/>
                <w:color w:val="000000" w:themeColor="text1"/>
                <w:kern w:val="0"/>
                <w:sz w:val="24"/>
                <w:vertAlign w:val="superscript"/>
              </w:rPr>
              <w:t>***</w:t>
            </w:r>
          </w:p>
        </w:tc>
        <w:tc>
          <w:tcPr>
            <w:tcW w:w="252" w:type="dxa"/>
            <w:tcBorders>
              <w:top w:val="nil"/>
              <w:left w:val="nil"/>
              <w:bottom w:val="nil"/>
              <w:right w:val="nil"/>
            </w:tcBorders>
          </w:tcPr>
          <w:p w14:paraId="4F1EF4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719F8CC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3F4BF5D" w14:textId="77777777" w:rsidTr="00116073">
        <w:tc>
          <w:tcPr>
            <w:tcW w:w="2445" w:type="dxa"/>
            <w:tcBorders>
              <w:top w:val="nil"/>
              <w:left w:val="nil"/>
              <w:bottom w:val="nil"/>
              <w:right w:val="nil"/>
            </w:tcBorders>
          </w:tcPr>
          <w:p w14:paraId="3017D45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1D3AD68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7545556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7FEA58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5C5187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3ED5AB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2619CB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(3.67)</w:t>
            </w:r>
          </w:p>
        </w:tc>
        <w:tc>
          <w:tcPr>
            <w:tcW w:w="252" w:type="dxa"/>
            <w:tcBorders>
              <w:top w:val="nil"/>
              <w:left w:val="nil"/>
              <w:bottom w:val="nil"/>
              <w:right w:val="nil"/>
            </w:tcBorders>
          </w:tcPr>
          <w:p w14:paraId="46AED9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3CCD1D9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49173389" w14:textId="77777777" w:rsidTr="00116073">
        <w:tc>
          <w:tcPr>
            <w:tcW w:w="2445" w:type="dxa"/>
            <w:tcBorders>
              <w:top w:val="nil"/>
              <w:left w:val="nil"/>
              <w:bottom w:val="nil"/>
              <w:right w:val="nil"/>
            </w:tcBorders>
          </w:tcPr>
          <w:p w14:paraId="7F5E0B4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Score_med×Analyst</w:t>
            </w:r>
            <w:proofErr w:type="spellEnd"/>
          </w:p>
        </w:tc>
        <w:tc>
          <w:tcPr>
            <w:tcW w:w="269" w:type="dxa"/>
            <w:tcBorders>
              <w:top w:val="nil"/>
              <w:left w:val="nil"/>
              <w:bottom w:val="nil"/>
              <w:right w:val="nil"/>
            </w:tcBorders>
          </w:tcPr>
          <w:p w14:paraId="55E3A1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18B1A5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721C90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4CDB28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0E9AC8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62F916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-0.858</w:t>
            </w:r>
            <w:r w:rsidRPr="004E7E5A">
              <w:rPr>
                <w:rFonts w:ascii="Times New Roman" w:hAnsi="Times New Roman"/>
                <w:color w:val="000000" w:themeColor="text1"/>
                <w:kern w:val="0"/>
                <w:sz w:val="24"/>
                <w:vertAlign w:val="superscript"/>
              </w:rPr>
              <w:t>**</w:t>
            </w:r>
          </w:p>
        </w:tc>
        <w:tc>
          <w:tcPr>
            <w:tcW w:w="252" w:type="dxa"/>
            <w:tcBorders>
              <w:top w:val="nil"/>
              <w:left w:val="nil"/>
              <w:bottom w:val="nil"/>
              <w:right w:val="nil"/>
            </w:tcBorders>
          </w:tcPr>
          <w:p w14:paraId="08DC4C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067171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3713565" w14:textId="77777777" w:rsidTr="00116073">
        <w:tc>
          <w:tcPr>
            <w:tcW w:w="2445" w:type="dxa"/>
            <w:tcBorders>
              <w:top w:val="nil"/>
              <w:left w:val="nil"/>
              <w:bottom w:val="nil"/>
              <w:right w:val="nil"/>
            </w:tcBorders>
          </w:tcPr>
          <w:p w14:paraId="1A20E96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7BA818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7AD0E8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3B6718E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7D323B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0B159D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73F2B3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(-2.20)</w:t>
            </w:r>
          </w:p>
        </w:tc>
        <w:tc>
          <w:tcPr>
            <w:tcW w:w="252" w:type="dxa"/>
            <w:tcBorders>
              <w:top w:val="nil"/>
              <w:left w:val="nil"/>
              <w:bottom w:val="nil"/>
              <w:right w:val="nil"/>
            </w:tcBorders>
          </w:tcPr>
          <w:p w14:paraId="2D69E44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26839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9233B49" w14:textId="77777777" w:rsidTr="00116073">
        <w:tc>
          <w:tcPr>
            <w:tcW w:w="2445" w:type="dxa"/>
            <w:tcBorders>
              <w:top w:val="nil"/>
              <w:left w:val="nil"/>
              <w:bottom w:val="nil"/>
              <w:right w:val="nil"/>
            </w:tcBorders>
          </w:tcPr>
          <w:p w14:paraId="291A08C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69" w:type="dxa"/>
            <w:tcBorders>
              <w:top w:val="nil"/>
              <w:left w:val="nil"/>
              <w:bottom w:val="nil"/>
              <w:right w:val="nil"/>
            </w:tcBorders>
          </w:tcPr>
          <w:p w14:paraId="66CFB71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9B111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28FE208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3831FE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710ECD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FF91DC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72F8A7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84925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5.543</w:t>
            </w:r>
            <w:r w:rsidRPr="004E7E5A">
              <w:rPr>
                <w:rFonts w:ascii="Times New Roman" w:hAnsi="Times New Roman"/>
                <w:color w:val="000000" w:themeColor="text1"/>
                <w:kern w:val="0"/>
                <w:sz w:val="24"/>
                <w:vertAlign w:val="superscript"/>
              </w:rPr>
              <w:t>***</w:t>
            </w:r>
          </w:p>
        </w:tc>
      </w:tr>
      <w:tr w:rsidR="001E3466" w:rsidRPr="004E7E5A" w14:paraId="7DC082D9" w14:textId="77777777" w:rsidTr="00116073">
        <w:tc>
          <w:tcPr>
            <w:tcW w:w="2445" w:type="dxa"/>
            <w:tcBorders>
              <w:top w:val="nil"/>
              <w:left w:val="nil"/>
              <w:bottom w:val="nil"/>
              <w:right w:val="nil"/>
            </w:tcBorders>
          </w:tcPr>
          <w:p w14:paraId="17A62B8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5CDF88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0671FC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5DEA44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7F6183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5B0045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347685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41F52F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761AD0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(3.75)</w:t>
            </w:r>
          </w:p>
        </w:tc>
      </w:tr>
      <w:tr w:rsidR="001E3466" w:rsidRPr="004E7E5A" w14:paraId="0716CA76" w14:textId="77777777" w:rsidTr="00116073">
        <w:tc>
          <w:tcPr>
            <w:tcW w:w="2445" w:type="dxa"/>
            <w:tcBorders>
              <w:top w:val="nil"/>
              <w:left w:val="nil"/>
              <w:bottom w:val="nil"/>
              <w:right w:val="nil"/>
            </w:tcBorders>
          </w:tcPr>
          <w:p w14:paraId="5D68AAF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Score_min×Analyst</w:t>
            </w:r>
            <w:proofErr w:type="spellEnd"/>
          </w:p>
        </w:tc>
        <w:tc>
          <w:tcPr>
            <w:tcW w:w="269" w:type="dxa"/>
            <w:tcBorders>
              <w:top w:val="nil"/>
              <w:left w:val="nil"/>
              <w:bottom w:val="nil"/>
              <w:right w:val="nil"/>
            </w:tcBorders>
          </w:tcPr>
          <w:p w14:paraId="137330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51F35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5945725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583FBD5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205038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09F19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32A758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590A9C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-0.767</w:t>
            </w:r>
            <w:r w:rsidRPr="004E7E5A">
              <w:rPr>
                <w:rFonts w:ascii="Times New Roman" w:hAnsi="Times New Roman"/>
                <w:color w:val="000000" w:themeColor="text1"/>
                <w:kern w:val="0"/>
                <w:sz w:val="24"/>
                <w:vertAlign w:val="superscript"/>
              </w:rPr>
              <w:t>**</w:t>
            </w:r>
          </w:p>
        </w:tc>
      </w:tr>
      <w:tr w:rsidR="001E3466" w:rsidRPr="004E7E5A" w14:paraId="1B6DDD88" w14:textId="77777777" w:rsidTr="00116073">
        <w:tc>
          <w:tcPr>
            <w:tcW w:w="2445" w:type="dxa"/>
            <w:tcBorders>
              <w:top w:val="nil"/>
              <w:left w:val="nil"/>
              <w:bottom w:val="nil"/>
              <w:right w:val="nil"/>
            </w:tcBorders>
          </w:tcPr>
          <w:p w14:paraId="1061CF5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135CC2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68A37B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0" w:type="dxa"/>
            <w:tcBorders>
              <w:top w:val="nil"/>
              <w:left w:val="nil"/>
              <w:bottom w:val="nil"/>
              <w:right w:val="nil"/>
            </w:tcBorders>
          </w:tcPr>
          <w:p w14:paraId="62D4DF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1B80AD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3" w:type="dxa"/>
            <w:tcBorders>
              <w:top w:val="nil"/>
              <w:left w:val="nil"/>
              <w:bottom w:val="nil"/>
              <w:right w:val="nil"/>
            </w:tcBorders>
          </w:tcPr>
          <w:p w14:paraId="3297C5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03890B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2" w:type="dxa"/>
            <w:tcBorders>
              <w:top w:val="nil"/>
              <w:left w:val="nil"/>
              <w:bottom w:val="nil"/>
              <w:right w:val="nil"/>
            </w:tcBorders>
          </w:tcPr>
          <w:p w14:paraId="3B8CBC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212174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(-2.13)</w:t>
            </w:r>
          </w:p>
        </w:tc>
      </w:tr>
      <w:tr w:rsidR="001E3466" w:rsidRPr="004E7E5A" w14:paraId="4ECDB685" w14:textId="77777777" w:rsidTr="00116073">
        <w:tc>
          <w:tcPr>
            <w:tcW w:w="2445" w:type="dxa"/>
            <w:tcBorders>
              <w:top w:val="nil"/>
              <w:left w:val="nil"/>
              <w:bottom w:val="nil"/>
              <w:right w:val="nil"/>
            </w:tcBorders>
          </w:tcPr>
          <w:p w14:paraId="60D876D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Analyst</w:t>
            </w:r>
          </w:p>
        </w:tc>
        <w:tc>
          <w:tcPr>
            <w:tcW w:w="269" w:type="dxa"/>
            <w:tcBorders>
              <w:top w:val="nil"/>
              <w:left w:val="nil"/>
              <w:bottom w:val="nil"/>
              <w:right w:val="nil"/>
            </w:tcBorders>
          </w:tcPr>
          <w:p w14:paraId="6B53ADB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043BDAE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-0.331</w:t>
            </w:r>
            <w:r w:rsidRPr="004E7E5A">
              <w:rPr>
                <w:rFonts w:ascii="Times New Roman" w:hAnsi="Times New Roman"/>
                <w:color w:val="000000" w:themeColor="text1"/>
                <w:kern w:val="0"/>
                <w:sz w:val="24"/>
                <w:vertAlign w:val="superscript"/>
              </w:rPr>
              <w:t>*</w:t>
            </w:r>
          </w:p>
        </w:tc>
        <w:tc>
          <w:tcPr>
            <w:tcW w:w="270" w:type="dxa"/>
            <w:tcBorders>
              <w:top w:val="nil"/>
              <w:left w:val="nil"/>
              <w:bottom w:val="nil"/>
              <w:right w:val="nil"/>
            </w:tcBorders>
          </w:tcPr>
          <w:p w14:paraId="0749F4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3B3CC7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-0.304</w:t>
            </w:r>
          </w:p>
        </w:tc>
        <w:tc>
          <w:tcPr>
            <w:tcW w:w="263" w:type="dxa"/>
            <w:tcBorders>
              <w:top w:val="nil"/>
              <w:left w:val="nil"/>
              <w:bottom w:val="nil"/>
              <w:right w:val="nil"/>
            </w:tcBorders>
          </w:tcPr>
          <w:p w14:paraId="25CAB2D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6C3C67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-0.301</w:t>
            </w:r>
          </w:p>
        </w:tc>
        <w:tc>
          <w:tcPr>
            <w:tcW w:w="252" w:type="dxa"/>
            <w:tcBorders>
              <w:top w:val="nil"/>
              <w:left w:val="nil"/>
              <w:bottom w:val="nil"/>
              <w:right w:val="nil"/>
            </w:tcBorders>
          </w:tcPr>
          <w:p w14:paraId="644E3D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2889F0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-0.284</w:t>
            </w:r>
          </w:p>
        </w:tc>
      </w:tr>
      <w:tr w:rsidR="001E3466" w:rsidRPr="004E7E5A" w14:paraId="22813630" w14:textId="77777777" w:rsidTr="00116073">
        <w:tc>
          <w:tcPr>
            <w:tcW w:w="2445" w:type="dxa"/>
            <w:tcBorders>
              <w:top w:val="nil"/>
              <w:left w:val="nil"/>
              <w:bottom w:val="nil"/>
              <w:right w:val="nil"/>
            </w:tcBorders>
          </w:tcPr>
          <w:p w14:paraId="44DFDD5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9" w:type="dxa"/>
            <w:tcBorders>
              <w:top w:val="nil"/>
              <w:left w:val="nil"/>
              <w:bottom w:val="nil"/>
              <w:right w:val="nil"/>
            </w:tcBorders>
          </w:tcPr>
          <w:p w14:paraId="5B3A2D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61EEFB2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(-1.66)</w:t>
            </w:r>
          </w:p>
        </w:tc>
        <w:tc>
          <w:tcPr>
            <w:tcW w:w="270" w:type="dxa"/>
            <w:tcBorders>
              <w:top w:val="nil"/>
              <w:left w:val="nil"/>
              <w:bottom w:val="nil"/>
              <w:right w:val="nil"/>
            </w:tcBorders>
          </w:tcPr>
          <w:p w14:paraId="282702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bottom w:val="nil"/>
              <w:right w:val="nil"/>
            </w:tcBorders>
          </w:tcPr>
          <w:p w14:paraId="7B9607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(-1.63)</w:t>
            </w:r>
          </w:p>
        </w:tc>
        <w:tc>
          <w:tcPr>
            <w:tcW w:w="263" w:type="dxa"/>
            <w:tcBorders>
              <w:top w:val="nil"/>
              <w:left w:val="nil"/>
              <w:bottom w:val="nil"/>
              <w:right w:val="nil"/>
            </w:tcBorders>
          </w:tcPr>
          <w:p w14:paraId="45B691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07E86F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(-1.53)</w:t>
            </w:r>
          </w:p>
        </w:tc>
        <w:tc>
          <w:tcPr>
            <w:tcW w:w="252" w:type="dxa"/>
            <w:tcBorders>
              <w:top w:val="nil"/>
              <w:left w:val="nil"/>
              <w:bottom w:val="nil"/>
              <w:right w:val="nil"/>
            </w:tcBorders>
          </w:tcPr>
          <w:p w14:paraId="7B1AB1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bottom w:val="nil"/>
              <w:right w:val="nil"/>
            </w:tcBorders>
          </w:tcPr>
          <w:p w14:paraId="4A22577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(-1.51)</w:t>
            </w:r>
          </w:p>
        </w:tc>
      </w:tr>
      <w:tr w:rsidR="001E3466" w:rsidRPr="004E7E5A" w14:paraId="15196D64" w14:textId="77777777" w:rsidTr="00116073">
        <w:tc>
          <w:tcPr>
            <w:tcW w:w="2445" w:type="dxa"/>
            <w:tcBorders>
              <w:top w:val="nil"/>
              <w:left w:val="nil"/>
              <w:right w:val="nil"/>
            </w:tcBorders>
          </w:tcPr>
          <w:p w14:paraId="5208826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69" w:type="dxa"/>
            <w:tcBorders>
              <w:top w:val="nil"/>
              <w:left w:val="nil"/>
              <w:right w:val="nil"/>
            </w:tcBorders>
          </w:tcPr>
          <w:p w14:paraId="2B7EFD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41D3335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0" w:type="dxa"/>
            <w:tcBorders>
              <w:top w:val="nil"/>
              <w:left w:val="nil"/>
              <w:right w:val="nil"/>
            </w:tcBorders>
          </w:tcPr>
          <w:p w14:paraId="5E6668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right w:val="nil"/>
            </w:tcBorders>
          </w:tcPr>
          <w:p w14:paraId="19CD72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3" w:type="dxa"/>
            <w:tcBorders>
              <w:top w:val="nil"/>
              <w:left w:val="nil"/>
              <w:right w:val="nil"/>
            </w:tcBorders>
          </w:tcPr>
          <w:p w14:paraId="79A12B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3706B0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2" w:type="dxa"/>
            <w:tcBorders>
              <w:top w:val="nil"/>
              <w:left w:val="nil"/>
              <w:right w:val="nil"/>
            </w:tcBorders>
          </w:tcPr>
          <w:p w14:paraId="169B664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62B000B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70E722A7" w14:textId="77777777" w:rsidTr="00116073">
        <w:tc>
          <w:tcPr>
            <w:tcW w:w="2445" w:type="dxa"/>
            <w:tcBorders>
              <w:top w:val="nil"/>
              <w:left w:val="nil"/>
              <w:right w:val="nil"/>
            </w:tcBorders>
          </w:tcPr>
          <w:p w14:paraId="0B864C2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69" w:type="dxa"/>
            <w:tcBorders>
              <w:top w:val="nil"/>
              <w:left w:val="nil"/>
              <w:right w:val="nil"/>
            </w:tcBorders>
          </w:tcPr>
          <w:p w14:paraId="3A2532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401669B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0" w:type="dxa"/>
            <w:tcBorders>
              <w:top w:val="nil"/>
              <w:left w:val="nil"/>
              <w:right w:val="nil"/>
            </w:tcBorders>
          </w:tcPr>
          <w:p w14:paraId="36E1B0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right w:val="nil"/>
            </w:tcBorders>
          </w:tcPr>
          <w:p w14:paraId="0B467C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3" w:type="dxa"/>
            <w:tcBorders>
              <w:top w:val="nil"/>
              <w:left w:val="nil"/>
              <w:right w:val="nil"/>
            </w:tcBorders>
          </w:tcPr>
          <w:p w14:paraId="2A2266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04C34B5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2" w:type="dxa"/>
            <w:tcBorders>
              <w:top w:val="nil"/>
              <w:left w:val="nil"/>
              <w:right w:val="nil"/>
            </w:tcBorders>
          </w:tcPr>
          <w:p w14:paraId="532D1D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04DEC2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5DA19AC3" w14:textId="77777777" w:rsidTr="00116073">
        <w:tc>
          <w:tcPr>
            <w:tcW w:w="2445" w:type="dxa"/>
            <w:tcBorders>
              <w:top w:val="nil"/>
              <w:left w:val="nil"/>
              <w:right w:val="nil"/>
            </w:tcBorders>
          </w:tcPr>
          <w:p w14:paraId="6E29569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69" w:type="dxa"/>
            <w:tcBorders>
              <w:top w:val="nil"/>
              <w:left w:val="nil"/>
              <w:right w:val="nil"/>
            </w:tcBorders>
          </w:tcPr>
          <w:p w14:paraId="42EC4E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7E8E53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0" w:type="dxa"/>
            <w:tcBorders>
              <w:top w:val="nil"/>
              <w:left w:val="nil"/>
              <w:right w:val="nil"/>
            </w:tcBorders>
          </w:tcPr>
          <w:p w14:paraId="35301FD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top w:val="nil"/>
              <w:left w:val="nil"/>
              <w:right w:val="nil"/>
            </w:tcBorders>
          </w:tcPr>
          <w:p w14:paraId="1241E6A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3" w:type="dxa"/>
            <w:tcBorders>
              <w:top w:val="nil"/>
              <w:left w:val="nil"/>
              <w:right w:val="nil"/>
            </w:tcBorders>
          </w:tcPr>
          <w:p w14:paraId="053A57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2A4D09D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2" w:type="dxa"/>
            <w:tcBorders>
              <w:top w:val="nil"/>
              <w:left w:val="nil"/>
              <w:right w:val="nil"/>
            </w:tcBorders>
          </w:tcPr>
          <w:p w14:paraId="687EC9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top w:val="nil"/>
              <w:left w:val="nil"/>
              <w:right w:val="nil"/>
            </w:tcBorders>
          </w:tcPr>
          <w:p w14:paraId="6312A7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53EDE0E8" w14:textId="77777777" w:rsidTr="00116073">
        <w:tc>
          <w:tcPr>
            <w:tcW w:w="2445" w:type="dxa"/>
            <w:tcBorders>
              <w:left w:val="nil"/>
              <w:right w:val="nil"/>
            </w:tcBorders>
          </w:tcPr>
          <w:p w14:paraId="1BBB108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69" w:type="dxa"/>
            <w:tcBorders>
              <w:left w:val="nil"/>
              <w:right w:val="nil"/>
            </w:tcBorders>
          </w:tcPr>
          <w:p w14:paraId="727584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left w:val="nil"/>
              <w:right w:val="nil"/>
            </w:tcBorders>
          </w:tcPr>
          <w:p w14:paraId="21670A3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3496</w:t>
            </w:r>
          </w:p>
        </w:tc>
        <w:tc>
          <w:tcPr>
            <w:tcW w:w="270" w:type="dxa"/>
            <w:tcBorders>
              <w:left w:val="nil"/>
              <w:right w:val="nil"/>
            </w:tcBorders>
          </w:tcPr>
          <w:p w14:paraId="08FFC3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left w:val="nil"/>
              <w:right w:val="nil"/>
            </w:tcBorders>
          </w:tcPr>
          <w:p w14:paraId="56ECEE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3496</w:t>
            </w:r>
          </w:p>
        </w:tc>
        <w:tc>
          <w:tcPr>
            <w:tcW w:w="263" w:type="dxa"/>
            <w:tcBorders>
              <w:left w:val="nil"/>
              <w:right w:val="nil"/>
            </w:tcBorders>
          </w:tcPr>
          <w:p w14:paraId="5A96C73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left w:val="nil"/>
              <w:right w:val="nil"/>
            </w:tcBorders>
          </w:tcPr>
          <w:p w14:paraId="6564C5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3496</w:t>
            </w:r>
          </w:p>
        </w:tc>
        <w:tc>
          <w:tcPr>
            <w:tcW w:w="252" w:type="dxa"/>
            <w:tcBorders>
              <w:left w:val="nil"/>
              <w:right w:val="nil"/>
            </w:tcBorders>
          </w:tcPr>
          <w:p w14:paraId="6606D2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left w:val="nil"/>
              <w:right w:val="nil"/>
            </w:tcBorders>
          </w:tcPr>
          <w:p w14:paraId="2ED59C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3496</w:t>
            </w:r>
          </w:p>
        </w:tc>
      </w:tr>
      <w:tr w:rsidR="001E3466" w:rsidRPr="004E7E5A" w14:paraId="73D840F9" w14:textId="77777777" w:rsidTr="00116073">
        <w:tc>
          <w:tcPr>
            <w:tcW w:w="2445" w:type="dxa"/>
            <w:tcBorders>
              <w:left w:val="nil"/>
              <w:bottom w:val="single" w:sz="4" w:space="0" w:color="auto"/>
              <w:right w:val="nil"/>
            </w:tcBorders>
          </w:tcPr>
          <w:p w14:paraId="67D9FC1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69" w:type="dxa"/>
            <w:tcBorders>
              <w:left w:val="nil"/>
              <w:bottom w:val="single" w:sz="4" w:space="0" w:color="auto"/>
              <w:right w:val="nil"/>
            </w:tcBorders>
          </w:tcPr>
          <w:p w14:paraId="30A920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left w:val="nil"/>
              <w:bottom w:val="single" w:sz="4" w:space="0" w:color="auto"/>
              <w:right w:val="nil"/>
            </w:tcBorders>
          </w:tcPr>
          <w:p w14:paraId="634DCB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1208.105</w:t>
            </w:r>
          </w:p>
        </w:tc>
        <w:tc>
          <w:tcPr>
            <w:tcW w:w="270" w:type="dxa"/>
            <w:tcBorders>
              <w:left w:val="nil"/>
              <w:bottom w:val="single" w:sz="4" w:space="0" w:color="auto"/>
              <w:right w:val="nil"/>
            </w:tcBorders>
          </w:tcPr>
          <w:p w14:paraId="3A77F4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4" w:type="dxa"/>
            <w:tcBorders>
              <w:left w:val="nil"/>
              <w:bottom w:val="single" w:sz="4" w:space="0" w:color="auto"/>
              <w:right w:val="nil"/>
            </w:tcBorders>
          </w:tcPr>
          <w:p w14:paraId="26F4880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1427.344</w:t>
            </w:r>
          </w:p>
        </w:tc>
        <w:tc>
          <w:tcPr>
            <w:tcW w:w="263" w:type="dxa"/>
            <w:tcBorders>
              <w:left w:val="nil"/>
              <w:bottom w:val="single" w:sz="4" w:space="0" w:color="auto"/>
              <w:right w:val="nil"/>
            </w:tcBorders>
          </w:tcPr>
          <w:p w14:paraId="0E13ED3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left w:val="nil"/>
              <w:bottom w:val="single" w:sz="4" w:space="0" w:color="auto"/>
              <w:right w:val="nil"/>
            </w:tcBorders>
          </w:tcPr>
          <w:p w14:paraId="2D80C5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1375.471</w:t>
            </w:r>
          </w:p>
        </w:tc>
        <w:tc>
          <w:tcPr>
            <w:tcW w:w="252" w:type="dxa"/>
            <w:tcBorders>
              <w:left w:val="nil"/>
              <w:bottom w:val="single" w:sz="4" w:space="0" w:color="auto"/>
              <w:right w:val="nil"/>
            </w:tcBorders>
          </w:tcPr>
          <w:p w14:paraId="40165A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1" w:type="dxa"/>
            <w:tcBorders>
              <w:left w:val="nil"/>
              <w:bottom w:val="single" w:sz="4" w:space="0" w:color="auto"/>
              <w:right w:val="nil"/>
            </w:tcBorders>
          </w:tcPr>
          <w:p w14:paraId="3488816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1435.651</w:t>
            </w:r>
          </w:p>
        </w:tc>
      </w:tr>
    </w:tbl>
    <w:p w14:paraId="4A418F63" w14:textId="77B90915"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presents the second stage of the 2SLS model to test hypothesis 3. </w:t>
      </w:r>
      <w:r w:rsidRPr="004E7E5A">
        <w:rPr>
          <w:rFonts w:cs="Times New Roman"/>
          <w:szCs w:val="24"/>
        </w:rPr>
        <w:t>The effect of analysts’ attention on the relationship between directors’ network and CSR disclosure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quality</w:t>
      </w:r>
      <w:r w:rsidRPr="004E7E5A">
        <w:rPr>
          <w:rStyle w:val="fontstyle01"/>
          <w:rFonts w:ascii="Times New Roman" w:hAnsi="Times New Roman" w:cs="Times New Roman" w:hint="default"/>
          <w:color w:val="000000" w:themeColor="text1"/>
          <w:sz w:val="24"/>
          <w:szCs w:val="24"/>
        </w:rPr>
        <w:t xml:space="preserve"> is tested by Equation (3)</w:t>
      </w:r>
      <w:r w:rsidRPr="004E7E5A">
        <w:rPr>
          <w:rFonts w:cs="Times New Roman"/>
          <w:szCs w:val="24"/>
        </w:rPr>
        <w:t xml:space="preserve">. </w:t>
      </w:r>
      <w:r w:rsidRPr="004E7E5A">
        <w:rPr>
          <w:rFonts w:cs="Times New Roman"/>
        </w:rPr>
        <w:t xml:space="preserve">Following the literature </w:t>
      </w:r>
      <w:r w:rsidRPr="004E7E5A">
        <w:rPr>
          <w:rFonts w:cs="Times New Roman"/>
        </w:rPr>
        <w:fldChar w:fldCharType="begin"/>
      </w:r>
      <w:r w:rsidR="006F6C86" w:rsidRPr="004E7E5A">
        <w:rPr>
          <w:rFonts w:cs="Times New Roman"/>
        </w:rPr>
        <w:instrText xml:space="preserve"> ADDIN EN.CITE &lt;EndNote&gt;&lt;Cite&gt;&lt;Author&gt;Chen&lt;/Author&gt;&lt;Year&gt;2011&lt;/Year&gt;&lt;RecNum&gt;2092&lt;/RecNum&gt;&lt;DisplayText&gt;(Chen et al. 2011; Ding et al. 2021)&lt;/DisplayText&gt;&lt;record&gt;&lt;rec-number&gt;2092&lt;/rec-number&gt;&lt;foreign-keys&gt;&lt;key app="EN" db-id="trr00pfsbzzex0ezwf6v5swd9fpfpwfa90xp" timestamp="1629554300" guid="33319abb-6738-43c8-bcbf-622dcc9aca93"&gt;2092&lt;/key&gt;&lt;/foreign-keys&gt;&lt;ref-type name="Journal Article"&gt;17&lt;/ref-type&gt;&lt;contributors&gt;&lt;authors&gt;&lt;author&gt;Chen, Shu Ping &lt;/author&gt;&lt;author&gt;Matsumoto, Dawn &lt;/author&gt;&lt;author&gt;Rajgopal, Shiva &lt;/author&gt;&lt;/authors&gt;&lt;/contributors&gt;&lt;titles&gt;&lt;title&gt;Is silence golden? An empirical analysis of firms that stop giving quarterly earnings guidance&lt;/title&gt;&lt;secondary-title&gt;Journal of Accounting &amp;amp; Economics&lt;/secondary-title&gt;&lt;/titles&gt;&lt;periodical&gt;&lt;full-title&gt;Journal of Accounting &amp;amp; Economics&lt;/full-title&gt;&lt;/periodical&gt;&lt;pages&gt;134-150&lt;/pages&gt;&lt;volume&gt;51&lt;/volume&gt;&lt;number&gt;1&lt;/number&gt;&lt;dates&gt;&lt;year&gt;2011&lt;/year&gt;&lt;/dates&gt;&lt;urls&gt;&lt;/urls&gt;&lt;/record&gt;&lt;/Cite&gt;&lt;Cite&gt;&lt;Author&gt;Ding&lt;/Author&gt;&lt;Year&gt;2021&lt;/Year&gt;&lt;RecNum&gt;2020&lt;/RecNum&gt;&lt;record&gt;&lt;rec-number&gt;2020&lt;/rec-number&gt;&lt;foreign-keys&gt;&lt;key app="EN" db-id="trr00pfsbzzex0ezwf6v5swd9fpfpwfa90xp" timestamp="1627289792" guid="b00706dc-5243-4d75-80ce-c24f17c93ead"&gt;2020&lt;/key&gt;&lt;/foreign-keys&gt;&lt;ref-type name="Journal Article"&gt;17&lt;/ref-type&gt;&lt;contributors&gt;&lt;authors&gt;&lt;author&gt;Rong Ding&lt;/author&gt;&lt;author&gt;Sushil Sainani&lt;/author&gt;&lt;author&gt;Ziyang (John) Zhang&lt;/author&gt;&lt;/authors&gt;&lt;/contributors&gt;&lt;titles&gt;&lt;title&gt;Protection of trade secrets and corporate tax avoidance: Evidence from the inevitable disclosure doctrine&lt;/title&gt;&lt;secondary-title&gt;Journal of Business Research&lt;/secondary-title&gt;&lt;/titles&gt;&lt;periodical&gt;&lt;full-title&gt;Journal of Business Research&lt;/full-title&gt;&lt;/periodical&gt;&lt;pages&gt;221-232&lt;/pages&gt;&lt;volume&gt;132&lt;/volume&gt;&lt;number&gt;5&lt;/number&gt;&lt;dates&gt;&lt;year&gt;2021&lt;/year&gt;&lt;/dates&gt;&lt;urls&gt;&lt;/urls&gt;&lt;/record&gt;&lt;/Cite&gt;&lt;/EndNote&gt;</w:instrText>
      </w:r>
      <w:r w:rsidRPr="004E7E5A">
        <w:rPr>
          <w:rFonts w:cs="Times New Roman"/>
        </w:rPr>
        <w:fldChar w:fldCharType="separate"/>
      </w:r>
      <w:r w:rsidR="004922F5" w:rsidRPr="004E7E5A">
        <w:rPr>
          <w:rFonts w:cs="Times New Roman"/>
          <w:noProof/>
        </w:rPr>
        <w:t>(Chen et al. 2011; Ding et al. 2021)</w:t>
      </w:r>
      <w:r w:rsidRPr="004E7E5A">
        <w:rPr>
          <w:rFonts w:cs="Times New Roman"/>
        </w:rPr>
        <w:fldChar w:fldCharType="end"/>
      </w:r>
      <w:r w:rsidRPr="004E7E5A">
        <w:rPr>
          <w:rFonts w:cs="Times New Roman"/>
        </w:rPr>
        <w:t>, we use analyst coverage (</w:t>
      </w:r>
      <w:r w:rsidRPr="004E7E5A">
        <w:rPr>
          <w:rFonts w:cs="Times New Roman"/>
          <w:i/>
          <w:iCs/>
        </w:rPr>
        <w:t>Analyst</w:t>
      </w:r>
      <w:r w:rsidRPr="004E7E5A">
        <w:rPr>
          <w:rFonts w:cs="Times New Roman"/>
        </w:rPr>
        <w:t xml:space="preserve">) as the proxy of analysts’ attention, which is calculated by </w:t>
      </w:r>
      <w:r w:rsidRPr="004E7E5A">
        <w:rPr>
          <w:rFonts w:cs="Times New Roman"/>
          <w:szCs w:val="24"/>
        </w:rPr>
        <w:t xml:space="preserve">the total number of analysts for a firm in one year. </w:t>
      </w:r>
      <w:r w:rsidRPr="004E7E5A">
        <w:rPr>
          <w:rStyle w:val="fontstyle01"/>
          <w:rFonts w:ascii="Times New Roman" w:hAnsi="Times New Roman" w:cs="Times New Roman" w:hint="default"/>
          <w:color w:val="000000" w:themeColor="text1"/>
          <w:sz w:val="24"/>
          <w:szCs w:val="24"/>
        </w:rPr>
        <w:t xml:space="preserve">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eastAsia="Times New Roman" w:cs="Times New Roman"/>
          <w:i/>
          <w:iCs/>
          <w:szCs w:val="24"/>
          <w:lang w:eastAsia="en-GB"/>
        </w:rPr>
        <w:t xml:space="preserve">Controls </w:t>
      </w:r>
      <w:r w:rsidRPr="004E7E5A">
        <w:rPr>
          <w:rFonts w:eastAsia="Times New Roman" w:cs="Times New Roman"/>
          <w:szCs w:val="24"/>
          <w:lang w:eastAsia="en-GB"/>
        </w:rPr>
        <w:t xml:space="preserve">are the control variables included in Equation (1).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other variables are provided in Appendix A.</w:t>
      </w:r>
    </w:p>
    <w:p w14:paraId="5026976A" w14:textId="77777777" w:rsidR="00A53CFE" w:rsidRPr="004E7E5A" w:rsidRDefault="00A53CFE" w:rsidP="00A53CFE">
      <w:pPr>
        <w:pStyle w:val="a7"/>
        <w:spacing w:line="240" w:lineRule="auto"/>
        <w:ind w:leftChars="50" w:left="105" w:rightChars="50" w:right="105" w:firstLineChars="0" w:firstLine="0"/>
        <w:rPr>
          <w:rFonts w:cs="Times New Roman"/>
          <w:szCs w:val="24"/>
        </w:rPr>
      </w:pPr>
    </w:p>
    <w:p w14:paraId="738B9E2A" w14:textId="7777777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4E3F973C" w14:textId="7777777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7899BAE0" w14:textId="7777777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3CA31AA9" w14:textId="7777777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5842A5D3" w14:textId="7777777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0FE08717" w14:textId="46B6F98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8</w:t>
      </w:r>
    </w:p>
    <w:p w14:paraId="33AB455D" w14:textId="583444C5"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 xml:space="preserve">Second-Stage Regressions of 2SLS Model for Testing the Moderating Role of </w:t>
      </w:r>
      <w:r w:rsidR="00766CEA" w:rsidRPr="004E7E5A">
        <w:rPr>
          <w:rFonts w:ascii="Times New Roman" w:eastAsia="宋体" w:hAnsi="Times New Roman" w:hint="eastAsia"/>
          <w:b/>
          <w:bCs/>
          <w:color w:val="000000" w:themeColor="text1"/>
          <w:sz w:val="24"/>
          <w:szCs w:val="24"/>
        </w:rPr>
        <w:t>CSR</w:t>
      </w:r>
      <w:r w:rsidR="00766CEA" w:rsidRPr="004E7E5A">
        <w:rPr>
          <w:rFonts w:ascii="Times New Roman" w:eastAsia="宋体" w:hAnsi="Times New Roman"/>
          <w:b/>
          <w:bCs/>
          <w:color w:val="000000" w:themeColor="text1"/>
          <w:sz w:val="24"/>
          <w:szCs w:val="24"/>
        </w:rPr>
        <w:t xml:space="preserve"> Assurance</w:t>
      </w:r>
    </w:p>
    <w:tbl>
      <w:tblPr>
        <w:tblW w:w="5000" w:type="pct"/>
        <w:tblLook w:val="0000" w:firstRow="0" w:lastRow="0" w:firstColumn="0" w:lastColumn="0" w:noHBand="0" w:noVBand="0"/>
      </w:tblPr>
      <w:tblGrid>
        <w:gridCol w:w="3055"/>
        <w:gridCol w:w="246"/>
        <w:gridCol w:w="1279"/>
        <w:gridCol w:w="246"/>
        <w:gridCol w:w="1271"/>
        <w:gridCol w:w="242"/>
        <w:gridCol w:w="1215"/>
        <w:gridCol w:w="237"/>
        <w:gridCol w:w="1279"/>
      </w:tblGrid>
      <w:tr w:rsidR="001E3466" w:rsidRPr="004E7E5A" w14:paraId="43A1C4E2" w14:textId="77777777" w:rsidTr="00287407">
        <w:tc>
          <w:tcPr>
            <w:tcW w:w="4253" w:type="dxa"/>
            <w:tcBorders>
              <w:top w:val="single" w:sz="4" w:space="0" w:color="auto"/>
              <w:left w:val="nil"/>
              <w:bottom w:val="single" w:sz="4" w:space="0" w:color="auto"/>
              <w:right w:val="nil"/>
            </w:tcBorders>
          </w:tcPr>
          <w:p w14:paraId="4C90C99D"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72" w:type="dxa"/>
            <w:tcBorders>
              <w:top w:val="single" w:sz="4" w:space="0" w:color="auto"/>
              <w:left w:val="nil"/>
              <w:right w:val="nil"/>
            </w:tcBorders>
          </w:tcPr>
          <w:p w14:paraId="69937B2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62" w:type="dxa"/>
            <w:tcBorders>
              <w:top w:val="single" w:sz="4" w:space="0" w:color="auto"/>
              <w:left w:val="nil"/>
              <w:bottom w:val="single" w:sz="4" w:space="0" w:color="auto"/>
              <w:right w:val="nil"/>
            </w:tcBorders>
          </w:tcPr>
          <w:p w14:paraId="59E86F5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73" w:type="dxa"/>
            <w:tcBorders>
              <w:top w:val="single" w:sz="4" w:space="0" w:color="auto"/>
              <w:left w:val="nil"/>
              <w:right w:val="nil"/>
            </w:tcBorders>
          </w:tcPr>
          <w:p w14:paraId="450362B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45" w:type="dxa"/>
            <w:tcBorders>
              <w:top w:val="single" w:sz="4" w:space="0" w:color="auto"/>
              <w:left w:val="nil"/>
              <w:bottom w:val="single" w:sz="4" w:space="0" w:color="auto"/>
              <w:right w:val="nil"/>
            </w:tcBorders>
          </w:tcPr>
          <w:p w14:paraId="2DEE329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65" w:type="dxa"/>
            <w:tcBorders>
              <w:top w:val="single" w:sz="4" w:space="0" w:color="auto"/>
              <w:left w:val="nil"/>
              <w:right w:val="nil"/>
            </w:tcBorders>
          </w:tcPr>
          <w:p w14:paraId="2616875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62" w:type="dxa"/>
            <w:tcBorders>
              <w:top w:val="single" w:sz="4" w:space="0" w:color="auto"/>
              <w:left w:val="nil"/>
              <w:bottom w:val="single" w:sz="4" w:space="0" w:color="auto"/>
              <w:right w:val="nil"/>
            </w:tcBorders>
          </w:tcPr>
          <w:p w14:paraId="4953FEC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54" w:type="dxa"/>
            <w:tcBorders>
              <w:top w:val="single" w:sz="4" w:space="0" w:color="auto"/>
              <w:left w:val="nil"/>
              <w:right w:val="nil"/>
            </w:tcBorders>
          </w:tcPr>
          <w:p w14:paraId="366326F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62" w:type="dxa"/>
            <w:tcBorders>
              <w:top w:val="single" w:sz="4" w:space="0" w:color="auto"/>
              <w:left w:val="nil"/>
              <w:bottom w:val="single" w:sz="4" w:space="0" w:color="auto"/>
              <w:right w:val="nil"/>
            </w:tcBorders>
          </w:tcPr>
          <w:p w14:paraId="14DB7EF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602EA977" w14:textId="77777777" w:rsidTr="00287407">
        <w:tc>
          <w:tcPr>
            <w:tcW w:w="4253" w:type="dxa"/>
            <w:tcBorders>
              <w:top w:val="single" w:sz="4" w:space="0" w:color="auto"/>
              <w:left w:val="nil"/>
              <w:bottom w:val="nil"/>
              <w:right w:val="nil"/>
            </w:tcBorders>
          </w:tcPr>
          <w:p w14:paraId="300AEA12"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72" w:type="dxa"/>
            <w:tcBorders>
              <w:left w:val="nil"/>
              <w:bottom w:val="nil"/>
              <w:right w:val="nil"/>
            </w:tcBorders>
          </w:tcPr>
          <w:p w14:paraId="2DC27175"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single" w:sz="4" w:space="0" w:color="auto"/>
              <w:left w:val="nil"/>
              <w:bottom w:val="nil"/>
              <w:right w:val="nil"/>
            </w:tcBorders>
          </w:tcPr>
          <w:p w14:paraId="178762D5" w14:textId="0445906C"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2.301***</w:t>
            </w:r>
          </w:p>
        </w:tc>
        <w:tc>
          <w:tcPr>
            <w:tcW w:w="273" w:type="dxa"/>
            <w:tcBorders>
              <w:left w:val="nil"/>
              <w:bottom w:val="nil"/>
              <w:right w:val="nil"/>
            </w:tcBorders>
          </w:tcPr>
          <w:p w14:paraId="3FE74A3D"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single" w:sz="4" w:space="0" w:color="auto"/>
              <w:left w:val="nil"/>
              <w:bottom w:val="nil"/>
              <w:right w:val="nil"/>
            </w:tcBorders>
          </w:tcPr>
          <w:p w14:paraId="2717DD3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left w:val="nil"/>
              <w:bottom w:val="nil"/>
              <w:right w:val="nil"/>
            </w:tcBorders>
          </w:tcPr>
          <w:p w14:paraId="598ED675"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single" w:sz="4" w:space="0" w:color="auto"/>
              <w:left w:val="nil"/>
              <w:bottom w:val="nil"/>
              <w:right w:val="nil"/>
            </w:tcBorders>
          </w:tcPr>
          <w:p w14:paraId="57C61EE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54" w:type="dxa"/>
            <w:tcBorders>
              <w:left w:val="nil"/>
              <w:bottom w:val="nil"/>
              <w:right w:val="nil"/>
            </w:tcBorders>
          </w:tcPr>
          <w:p w14:paraId="669D041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single" w:sz="4" w:space="0" w:color="auto"/>
              <w:left w:val="nil"/>
              <w:bottom w:val="nil"/>
              <w:right w:val="nil"/>
            </w:tcBorders>
          </w:tcPr>
          <w:p w14:paraId="30B30E0C"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r>
      <w:tr w:rsidR="001E3466" w:rsidRPr="004E7E5A" w14:paraId="62A5A637" w14:textId="77777777" w:rsidTr="00287407">
        <w:tc>
          <w:tcPr>
            <w:tcW w:w="4253" w:type="dxa"/>
            <w:tcBorders>
              <w:top w:val="nil"/>
              <w:left w:val="nil"/>
              <w:bottom w:val="nil"/>
              <w:right w:val="nil"/>
            </w:tcBorders>
          </w:tcPr>
          <w:p w14:paraId="79282287"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13C18F41"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03A16DFC" w14:textId="7BC22D50"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(2.77)</w:t>
            </w:r>
          </w:p>
        </w:tc>
        <w:tc>
          <w:tcPr>
            <w:tcW w:w="273" w:type="dxa"/>
            <w:tcBorders>
              <w:top w:val="nil"/>
              <w:left w:val="nil"/>
              <w:bottom w:val="nil"/>
              <w:right w:val="nil"/>
            </w:tcBorders>
          </w:tcPr>
          <w:p w14:paraId="630506F4"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52E8B78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44D482D1"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27AB532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54" w:type="dxa"/>
            <w:tcBorders>
              <w:top w:val="nil"/>
              <w:left w:val="nil"/>
              <w:bottom w:val="nil"/>
              <w:right w:val="nil"/>
            </w:tcBorders>
          </w:tcPr>
          <w:p w14:paraId="72A301F2"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728E92E1"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r>
      <w:tr w:rsidR="001E3466" w:rsidRPr="004E7E5A" w14:paraId="1374C1E4" w14:textId="77777777" w:rsidTr="00287407">
        <w:tc>
          <w:tcPr>
            <w:tcW w:w="4253" w:type="dxa"/>
            <w:tcBorders>
              <w:top w:val="nil"/>
              <w:left w:val="nil"/>
              <w:bottom w:val="nil"/>
              <w:right w:val="nil"/>
            </w:tcBorders>
          </w:tcPr>
          <w:p w14:paraId="07E67C27" w14:textId="50954B56"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Score_max×CSR</w:t>
            </w:r>
            <w:proofErr w:type="spellEnd"/>
            <w:r w:rsidR="00287407" w:rsidRPr="004E7E5A">
              <w:rPr>
                <w:rFonts w:ascii="Times New Roman" w:hAnsi="Times New Roman"/>
                <w:i/>
                <w:iCs/>
                <w:color w:val="000000" w:themeColor="text1"/>
                <w:kern w:val="0"/>
                <w:sz w:val="24"/>
                <w:szCs w:val="24"/>
              </w:rPr>
              <w:t xml:space="preserve"> </w:t>
            </w:r>
            <w:r w:rsidRPr="004E7E5A">
              <w:rPr>
                <w:rFonts w:ascii="Times New Roman" w:hAnsi="Times New Roman"/>
                <w:i/>
                <w:iCs/>
                <w:color w:val="000000" w:themeColor="text1"/>
                <w:kern w:val="0"/>
                <w:sz w:val="24"/>
                <w:szCs w:val="24"/>
              </w:rPr>
              <w:t>Assurance</w:t>
            </w:r>
          </w:p>
        </w:tc>
        <w:tc>
          <w:tcPr>
            <w:tcW w:w="272" w:type="dxa"/>
            <w:tcBorders>
              <w:top w:val="nil"/>
              <w:left w:val="nil"/>
              <w:bottom w:val="nil"/>
              <w:right w:val="nil"/>
            </w:tcBorders>
          </w:tcPr>
          <w:p w14:paraId="3035946C"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128BCC2D" w14:textId="63514B19"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-15.938**</w:t>
            </w:r>
          </w:p>
        </w:tc>
        <w:tc>
          <w:tcPr>
            <w:tcW w:w="273" w:type="dxa"/>
            <w:tcBorders>
              <w:top w:val="nil"/>
              <w:left w:val="nil"/>
              <w:bottom w:val="nil"/>
              <w:right w:val="nil"/>
            </w:tcBorders>
          </w:tcPr>
          <w:p w14:paraId="1824A521"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50DFA11A"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2E34528A"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284F47C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54" w:type="dxa"/>
            <w:tcBorders>
              <w:top w:val="nil"/>
              <w:left w:val="nil"/>
              <w:bottom w:val="nil"/>
              <w:right w:val="nil"/>
            </w:tcBorders>
          </w:tcPr>
          <w:p w14:paraId="0481A0B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7BFF7D3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r>
      <w:tr w:rsidR="001E3466" w:rsidRPr="004E7E5A" w14:paraId="4E267C7D" w14:textId="77777777" w:rsidTr="00287407">
        <w:tc>
          <w:tcPr>
            <w:tcW w:w="4253" w:type="dxa"/>
            <w:tcBorders>
              <w:top w:val="nil"/>
              <w:left w:val="nil"/>
              <w:bottom w:val="nil"/>
              <w:right w:val="nil"/>
            </w:tcBorders>
          </w:tcPr>
          <w:p w14:paraId="013EFFCE"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8E8293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2D83448F" w14:textId="40BAF3CB"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(-2.22)</w:t>
            </w:r>
          </w:p>
        </w:tc>
        <w:tc>
          <w:tcPr>
            <w:tcW w:w="273" w:type="dxa"/>
            <w:tcBorders>
              <w:top w:val="nil"/>
              <w:left w:val="nil"/>
              <w:bottom w:val="nil"/>
              <w:right w:val="nil"/>
            </w:tcBorders>
          </w:tcPr>
          <w:p w14:paraId="1FE9EBC2"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6C0621BA"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4248DBE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0027EB3C"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54" w:type="dxa"/>
            <w:tcBorders>
              <w:top w:val="nil"/>
              <w:left w:val="nil"/>
              <w:bottom w:val="nil"/>
              <w:right w:val="nil"/>
            </w:tcBorders>
          </w:tcPr>
          <w:p w14:paraId="1677FB85"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13F8E2EE"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r>
      <w:tr w:rsidR="001E3466" w:rsidRPr="004E7E5A" w14:paraId="06AAF548" w14:textId="77777777" w:rsidTr="00287407">
        <w:tc>
          <w:tcPr>
            <w:tcW w:w="4253" w:type="dxa"/>
            <w:tcBorders>
              <w:top w:val="nil"/>
              <w:left w:val="nil"/>
              <w:bottom w:val="nil"/>
              <w:right w:val="nil"/>
            </w:tcBorders>
          </w:tcPr>
          <w:p w14:paraId="3582A401"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72" w:type="dxa"/>
            <w:tcBorders>
              <w:top w:val="nil"/>
              <w:left w:val="nil"/>
              <w:bottom w:val="nil"/>
              <w:right w:val="nil"/>
            </w:tcBorders>
          </w:tcPr>
          <w:p w14:paraId="6FDA892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2DCDD393"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4C3A7FD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7B4792AD" w14:textId="1CEB72FC"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2.019***</w:t>
            </w:r>
          </w:p>
        </w:tc>
        <w:tc>
          <w:tcPr>
            <w:tcW w:w="265" w:type="dxa"/>
            <w:tcBorders>
              <w:top w:val="nil"/>
              <w:left w:val="nil"/>
              <w:bottom w:val="nil"/>
              <w:right w:val="nil"/>
            </w:tcBorders>
          </w:tcPr>
          <w:p w14:paraId="03D2F7CE"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4F793E2D"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54" w:type="dxa"/>
            <w:tcBorders>
              <w:top w:val="nil"/>
              <w:left w:val="nil"/>
              <w:bottom w:val="nil"/>
              <w:right w:val="nil"/>
            </w:tcBorders>
          </w:tcPr>
          <w:p w14:paraId="795321D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0546C2C7"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r>
      <w:tr w:rsidR="001E3466" w:rsidRPr="004E7E5A" w14:paraId="297184C7" w14:textId="77777777" w:rsidTr="00287407">
        <w:tc>
          <w:tcPr>
            <w:tcW w:w="4253" w:type="dxa"/>
            <w:tcBorders>
              <w:top w:val="nil"/>
              <w:left w:val="nil"/>
              <w:bottom w:val="nil"/>
              <w:right w:val="nil"/>
            </w:tcBorders>
          </w:tcPr>
          <w:p w14:paraId="67908C57"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2F64E6DC"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4CF9460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120199E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6278D37B" w14:textId="0FA6DCC1"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(3.04)</w:t>
            </w:r>
          </w:p>
        </w:tc>
        <w:tc>
          <w:tcPr>
            <w:tcW w:w="265" w:type="dxa"/>
            <w:tcBorders>
              <w:top w:val="nil"/>
              <w:left w:val="nil"/>
              <w:bottom w:val="nil"/>
              <w:right w:val="nil"/>
            </w:tcBorders>
          </w:tcPr>
          <w:p w14:paraId="5055FCDC"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0DD26256"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54" w:type="dxa"/>
            <w:tcBorders>
              <w:top w:val="nil"/>
              <w:left w:val="nil"/>
              <w:bottom w:val="nil"/>
              <w:right w:val="nil"/>
            </w:tcBorders>
          </w:tcPr>
          <w:p w14:paraId="5B132B9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097D5D5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r>
      <w:tr w:rsidR="001E3466" w:rsidRPr="004E7E5A" w14:paraId="7474B8DA" w14:textId="77777777" w:rsidTr="00287407">
        <w:tc>
          <w:tcPr>
            <w:tcW w:w="4253" w:type="dxa"/>
            <w:tcBorders>
              <w:top w:val="nil"/>
              <w:left w:val="nil"/>
              <w:bottom w:val="nil"/>
              <w:right w:val="nil"/>
            </w:tcBorders>
          </w:tcPr>
          <w:p w14:paraId="02FFA169" w14:textId="54A3216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Score_mean×CSR</w:t>
            </w:r>
            <w:proofErr w:type="spellEnd"/>
            <w:r w:rsidR="00287407" w:rsidRPr="004E7E5A">
              <w:rPr>
                <w:rFonts w:ascii="Times New Roman" w:hAnsi="Times New Roman"/>
                <w:i/>
                <w:iCs/>
                <w:color w:val="000000" w:themeColor="text1"/>
                <w:kern w:val="0"/>
                <w:sz w:val="24"/>
                <w:szCs w:val="24"/>
              </w:rPr>
              <w:t xml:space="preserve"> </w:t>
            </w:r>
            <w:r w:rsidRPr="004E7E5A">
              <w:rPr>
                <w:rFonts w:ascii="Times New Roman" w:hAnsi="Times New Roman"/>
                <w:i/>
                <w:iCs/>
                <w:color w:val="000000" w:themeColor="text1"/>
                <w:kern w:val="0"/>
                <w:sz w:val="24"/>
                <w:szCs w:val="24"/>
              </w:rPr>
              <w:t>Assurance</w:t>
            </w:r>
          </w:p>
        </w:tc>
        <w:tc>
          <w:tcPr>
            <w:tcW w:w="272" w:type="dxa"/>
            <w:tcBorders>
              <w:top w:val="nil"/>
              <w:left w:val="nil"/>
              <w:bottom w:val="nil"/>
              <w:right w:val="nil"/>
            </w:tcBorders>
          </w:tcPr>
          <w:p w14:paraId="23DFE7D4"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5FCD69B6"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665D56B6"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25D47E07" w14:textId="0F6F9C3A"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-11.245**</w:t>
            </w:r>
          </w:p>
        </w:tc>
        <w:tc>
          <w:tcPr>
            <w:tcW w:w="265" w:type="dxa"/>
            <w:tcBorders>
              <w:top w:val="nil"/>
              <w:left w:val="nil"/>
              <w:bottom w:val="nil"/>
              <w:right w:val="nil"/>
            </w:tcBorders>
          </w:tcPr>
          <w:p w14:paraId="63F39A53"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13743C72"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54" w:type="dxa"/>
            <w:tcBorders>
              <w:top w:val="nil"/>
              <w:left w:val="nil"/>
              <w:bottom w:val="nil"/>
              <w:right w:val="nil"/>
            </w:tcBorders>
          </w:tcPr>
          <w:p w14:paraId="6D3F902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3A8AA8A6"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r>
      <w:tr w:rsidR="001E3466" w:rsidRPr="004E7E5A" w14:paraId="2A08FCC1" w14:textId="77777777" w:rsidTr="00287407">
        <w:tc>
          <w:tcPr>
            <w:tcW w:w="4253" w:type="dxa"/>
            <w:tcBorders>
              <w:top w:val="nil"/>
              <w:left w:val="nil"/>
              <w:bottom w:val="nil"/>
              <w:right w:val="nil"/>
            </w:tcBorders>
          </w:tcPr>
          <w:p w14:paraId="3CE46726"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215602A2"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7BAFD4E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238833E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3B3D1557" w14:textId="47C914D1"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(-2.38)</w:t>
            </w:r>
          </w:p>
        </w:tc>
        <w:tc>
          <w:tcPr>
            <w:tcW w:w="265" w:type="dxa"/>
            <w:tcBorders>
              <w:top w:val="nil"/>
              <w:left w:val="nil"/>
              <w:bottom w:val="nil"/>
              <w:right w:val="nil"/>
            </w:tcBorders>
          </w:tcPr>
          <w:p w14:paraId="31688951"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1268B2AF"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254" w:type="dxa"/>
            <w:tcBorders>
              <w:top w:val="nil"/>
              <w:left w:val="nil"/>
              <w:bottom w:val="nil"/>
              <w:right w:val="nil"/>
            </w:tcBorders>
          </w:tcPr>
          <w:p w14:paraId="559B9746"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4D073F02"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r>
      <w:tr w:rsidR="001E3466" w:rsidRPr="004E7E5A" w14:paraId="4281B005" w14:textId="77777777" w:rsidTr="00287407">
        <w:tc>
          <w:tcPr>
            <w:tcW w:w="4253" w:type="dxa"/>
            <w:tcBorders>
              <w:top w:val="nil"/>
              <w:left w:val="nil"/>
              <w:bottom w:val="nil"/>
              <w:right w:val="nil"/>
            </w:tcBorders>
          </w:tcPr>
          <w:p w14:paraId="35D54777"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72" w:type="dxa"/>
            <w:tcBorders>
              <w:top w:val="nil"/>
              <w:left w:val="nil"/>
              <w:bottom w:val="nil"/>
              <w:right w:val="nil"/>
            </w:tcBorders>
          </w:tcPr>
          <w:p w14:paraId="5223616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325D20C3"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39BE98F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5FFF9B3D"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6BF36CFE"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74A93372" w14:textId="1662CD35"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4.825**</w:t>
            </w:r>
          </w:p>
        </w:tc>
        <w:tc>
          <w:tcPr>
            <w:tcW w:w="254" w:type="dxa"/>
            <w:tcBorders>
              <w:top w:val="nil"/>
              <w:left w:val="nil"/>
              <w:bottom w:val="nil"/>
              <w:right w:val="nil"/>
            </w:tcBorders>
          </w:tcPr>
          <w:p w14:paraId="1A27A144"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7D626320"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r>
      <w:tr w:rsidR="001E3466" w:rsidRPr="004E7E5A" w14:paraId="20EBCBA8" w14:textId="77777777" w:rsidTr="00287407">
        <w:tc>
          <w:tcPr>
            <w:tcW w:w="4253" w:type="dxa"/>
            <w:tcBorders>
              <w:top w:val="nil"/>
              <w:left w:val="nil"/>
              <w:bottom w:val="nil"/>
              <w:right w:val="nil"/>
            </w:tcBorders>
          </w:tcPr>
          <w:p w14:paraId="044A9127"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3BAF36C5"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4BD506D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46748028"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7E6569C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1396E82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1F560940" w14:textId="67672B5D"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(2.42)</w:t>
            </w:r>
          </w:p>
        </w:tc>
        <w:tc>
          <w:tcPr>
            <w:tcW w:w="254" w:type="dxa"/>
            <w:tcBorders>
              <w:top w:val="nil"/>
              <w:left w:val="nil"/>
              <w:bottom w:val="nil"/>
              <w:right w:val="nil"/>
            </w:tcBorders>
          </w:tcPr>
          <w:p w14:paraId="42AD9C3D"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194FAEA6"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r>
      <w:tr w:rsidR="001E3466" w:rsidRPr="004E7E5A" w14:paraId="4706A761" w14:textId="77777777" w:rsidTr="00287407">
        <w:tc>
          <w:tcPr>
            <w:tcW w:w="4253" w:type="dxa"/>
            <w:tcBorders>
              <w:top w:val="nil"/>
              <w:left w:val="nil"/>
              <w:bottom w:val="nil"/>
              <w:right w:val="nil"/>
            </w:tcBorders>
          </w:tcPr>
          <w:p w14:paraId="10F0AC19" w14:textId="26D08525"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Score_med×CSR</w:t>
            </w:r>
            <w:proofErr w:type="spellEnd"/>
            <w:r w:rsidRPr="004E7E5A">
              <w:rPr>
                <w:rFonts w:ascii="Times New Roman" w:hAnsi="Times New Roman"/>
                <w:i/>
                <w:iCs/>
                <w:color w:val="000000" w:themeColor="text1"/>
                <w:kern w:val="0"/>
                <w:sz w:val="24"/>
                <w:szCs w:val="24"/>
              </w:rPr>
              <w:t xml:space="preserve"> Assurance</w:t>
            </w:r>
          </w:p>
        </w:tc>
        <w:tc>
          <w:tcPr>
            <w:tcW w:w="272" w:type="dxa"/>
            <w:tcBorders>
              <w:top w:val="nil"/>
              <w:left w:val="nil"/>
              <w:bottom w:val="nil"/>
              <w:right w:val="nil"/>
            </w:tcBorders>
          </w:tcPr>
          <w:p w14:paraId="7C06FA2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32B84194"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61B88B47"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7FC40BB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1F016A88"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1460A62C" w14:textId="7BF78911"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-49.416*</w:t>
            </w:r>
          </w:p>
        </w:tc>
        <w:tc>
          <w:tcPr>
            <w:tcW w:w="254" w:type="dxa"/>
            <w:tcBorders>
              <w:top w:val="nil"/>
              <w:left w:val="nil"/>
              <w:bottom w:val="nil"/>
              <w:right w:val="nil"/>
            </w:tcBorders>
          </w:tcPr>
          <w:p w14:paraId="5AD39364"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01CA4005"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r>
      <w:tr w:rsidR="001E3466" w:rsidRPr="004E7E5A" w14:paraId="3C310BA6" w14:textId="77777777" w:rsidTr="00287407">
        <w:tc>
          <w:tcPr>
            <w:tcW w:w="4253" w:type="dxa"/>
            <w:tcBorders>
              <w:top w:val="nil"/>
              <w:left w:val="nil"/>
              <w:bottom w:val="nil"/>
              <w:right w:val="nil"/>
            </w:tcBorders>
          </w:tcPr>
          <w:p w14:paraId="65500A7B"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4AAF0426"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373EFC1F"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065B14B2"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6F35A59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781D684A"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1B36DD24" w14:textId="62523BCC"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(-1.73)</w:t>
            </w:r>
          </w:p>
        </w:tc>
        <w:tc>
          <w:tcPr>
            <w:tcW w:w="254" w:type="dxa"/>
            <w:tcBorders>
              <w:top w:val="nil"/>
              <w:left w:val="nil"/>
              <w:bottom w:val="nil"/>
              <w:right w:val="nil"/>
            </w:tcBorders>
          </w:tcPr>
          <w:p w14:paraId="22CE641B"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62E311DC"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r>
      <w:tr w:rsidR="001E3466" w:rsidRPr="004E7E5A" w14:paraId="1B1B3D7C" w14:textId="77777777" w:rsidTr="00287407">
        <w:tc>
          <w:tcPr>
            <w:tcW w:w="4253" w:type="dxa"/>
            <w:tcBorders>
              <w:top w:val="nil"/>
              <w:left w:val="nil"/>
              <w:bottom w:val="nil"/>
              <w:right w:val="nil"/>
            </w:tcBorders>
          </w:tcPr>
          <w:p w14:paraId="4098BA45"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72" w:type="dxa"/>
            <w:tcBorders>
              <w:top w:val="nil"/>
              <w:left w:val="nil"/>
              <w:bottom w:val="nil"/>
              <w:right w:val="nil"/>
            </w:tcBorders>
          </w:tcPr>
          <w:p w14:paraId="3E2EB02C"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2029704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70C5745D"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620DF77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4CDA7401"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73A12EEA"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254" w:type="dxa"/>
            <w:tcBorders>
              <w:top w:val="nil"/>
              <w:left w:val="nil"/>
              <w:bottom w:val="nil"/>
              <w:right w:val="nil"/>
            </w:tcBorders>
          </w:tcPr>
          <w:p w14:paraId="0991BE13"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37358424" w14:textId="7F709682"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3.041***</w:t>
            </w:r>
          </w:p>
        </w:tc>
      </w:tr>
      <w:tr w:rsidR="001E3466" w:rsidRPr="004E7E5A" w14:paraId="2058E7B3" w14:textId="77777777" w:rsidTr="00287407">
        <w:tc>
          <w:tcPr>
            <w:tcW w:w="4253" w:type="dxa"/>
            <w:tcBorders>
              <w:top w:val="nil"/>
              <w:left w:val="nil"/>
              <w:bottom w:val="nil"/>
              <w:right w:val="nil"/>
            </w:tcBorders>
          </w:tcPr>
          <w:p w14:paraId="7F1280CE"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03E458F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6A35FEED"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3481CC53"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72885A26"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73F7676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7545CC93"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254" w:type="dxa"/>
            <w:tcBorders>
              <w:top w:val="nil"/>
              <w:left w:val="nil"/>
              <w:bottom w:val="nil"/>
              <w:right w:val="nil"/>
            </w:tcBorders>
          </w:tcPr>
          <w:p w14:paraId="11C6299A"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7A36B8B5" w14:textId="1D4AF17D"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(2.84)</w:t>
            </w:r>
          </w:p>
        </w:tc>
      </w:tr>
      <w:tr w:rsidR="001E3466" w:rsidRPr="004E7E5A" w14:paraId="7E27CAF1" w14:textId="77777777" w:rsidTr="00287407">
        <w:tc>
          <w:tcPr>
            <w:tcW w:w="4253" w:type="dxa"/>
            <w:tcBorders>
              <w:top w:val="nil"/>
              <w:left w:val="nil"/>
              <w:bottom w:val="nil"/>
              <w:right w:val="nil"/>
            </w:tcBorders>
          </w:tcPr>
          <w:p w14:paraId="0DBD7FE5" w14:textId="1A9674D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Score_min×CSR</w:t>
            </w:r>
            <w:proofErr w:type="spellEnd"/>
            <w:r w:rsidRPr="004E7E5A">
              <w:rPr>
                <w:rFonts w:ascii="Times New Roman" w:hAnsi="Times New Roman"/>
                <w:i/>
                <w:iCs/>
                <w:color w:val="000000" w:themeColor="text1"/>
                <w:kern w:val="0"/>
                <w:sz w:val="24"/>
                <w:szCs w:val="24"/>
              </w:rPr>
              <w:t xml:space="preserve"> Assurance</w:t>
            </w:r>
          </w:p>
        </w:tc>
        <w:tc>
          <w:tcPr>
            <w:tcW w:w="272" w:type="dxa"/>
            <w:tcBorders>
              <w:top w:val="nil"/>
              <w:left w:val="nil"/>
              <w:bottom w:val="nil"/>
              <w:right w:val="nil"/>
            </w:tcBorders>
          </w:tcPr>
          <w:p w14:paraId="39E01AB5"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656D532A"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73" w:type="dxa"/>
            <w:tcBorders>
              <w:top w:val="nil"/>
              <w:left w:val="nil"/>
              <w:bottom w:val="nil"/>
              <w:right w:val="nil"/>
            </w:tcBorders>
          </w:tcPr>
          <w:p w14:paraId="2E1C620D"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45" w:type="dxa"/>
            <w:tcBorders>
              <w:top w:val="nil"/>
              <w:left w:val="nil"/>
              <w:bottom w:val="nil"/>
              <w:right w:val="nil"/>
            </w:tcBorders>
          </w:tcPr>
          <w:p w14:paraId="11EA66DD"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265" w:type="dxa"/>
            <w:tcBorders>
              <w:top w:val="nil"/>
              <w:left w:val="nil"/>
              <w:bottom w:val="nil"/>
              <w:right w:val="nil"/>
            </w:tcBorders>
          </w:tcPr>
          <w:p w14:paraId="6878F377"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03210B81"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254" w:type="dxa"/>
            <w:tcBorders>
              <w:top w:val="nil"/>
              <w:left w:val="nil"/>
              <w:bottom w:val="nil"/>
              <w:right w:val="nil"/>
            </w:tcBorders>
          </w:tcPr>
          <w:p w14:paraId="25C2FD3A"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447957BD" w14:textId="5F1F106A"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-24.154**</w:t>
            </w:r>
          </w:p>
        </w:tc>
      </w:tr>
      <w:tr w:rsidR="001E3466" w:rsidRPr="004E7E5A" w14:paraId="5BC12C0C" w14:textId="77777777" w:rsidTr="00287407">
        <w:tc>
          <w:tcPr>
            <w:tcW w:w="4253" w:type="dxa"/>
            <w:tcBorders>
              <w:top w:val="nil"/>
              <w:left w:val="nil"/>
              <w:bottom w:val="nil"/>
              <w:right w:val="nil"/>
            </w:tcBorders>
          </w:tcPr>
          <w:p w14:paraId="57A18539"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6A80B758"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67068A6D"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273" w:type="dxa"/>
            <w:tcBorders>
              <w:top w:val="nil"/>
              <w:left w:val="nil"/>
              <w:bottom w:val="nil"/>
              <w:right w:val="nil"/>
            </w:tcBorders>
          </w:tcPr>
          <w:p w14:paraId="00F9612D"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top w:val="nil"/>
              <w:left w:val="nil"/>
              <w:bottom w:val="nil"/>
              <w:right w:val="nil"/>
            </w:tcBorders>
          </w:tcPr>
          <w:p w14:paraId="7A11AC33"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265" w:type="dxa"/>
            <w:tcBorders>
              <w:top w:val="nil"/>
              <w:left w:val="nil"/>
              <w:bottom w:val="nil"/>
              <w:right w:val="nil"/>
            </w:tcBorders>
          </w:tcPr>
          <w:p w14:paraId="13080ADB"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369528FC"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254" w:type="dxa"/>
            <w:tcBorders>
              <w:top w:val="nil"/>
              <w:left w:val="nil"/>
              <w:bottom w:val="nil"/>
              <w:right w:val="nil"/>
            </w:tcBorders>
          </w:tcPr>
          <w:p w14:paraId="13521295"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4E9F9919" w14:textId="45C5A1B4"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(-2.18)</w:t>
            </w:r>
          </w:p>
        </w:tc>
      </w:tr>
      <w:tr w:rsidR="001E3466" w:rsidRPr="004E7E5A" w14:paraId="08362AB9" w14:textId="77777777" w:rsidTr="00287407">
        <w:tc>
          <w:tcPr>
            <w:tcW w:w="4253" w:type="dxa"/>
            <w:tcBorders>
              <w:top w:val="nil"/>
              <w:left w:val="nil"/>
              <w:bottom w:val="nil"/>
              <w:right w:val="nil"/>
            </w:tcBorders>
          </w:tcPr>
          <w:p w14:paraId="1CC3ABA4" w14:textId="3178829A"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CSR Assurance</w:t>
            </w:r>
          </w:p>
        </w:tc>
        <w:tc>
          <w:tcPr>
            <w:tcW w:w="272" w:type="dxa"/>
            <w:tcBorders>
              <w:top w:val="nil"/>
              <w:left w:val="nil"/>
              <w:bottom w:val="nil"/>
              <w:right w:val="nil"/>
            </w:tcBorders>
          </w:tcPr>
          <w:p w14:paraId="199C7FE8"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23E3AC24" w14:textId="1AE4008E"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-2.594</w:t>
            </w:r>
          </w:p>
        </w:tc>
        <w:tc>
          <w:tcPr>
            <w:tcW w:w="273" w:type="dxa"/>
            <w:tcBorders>
              <w:top w:val="nil"/>
              <w:left w:val="nil"/>
              <w:bottom w:val="nil"/>
              <w:right w:val="nil"/>
            </w:tcBorders>
          </w:tcPr>
          <w:p w14:paraId="704FB824"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top w:val="nil"/>
              <w:left w:val="nil"/>
              <w:bottom w:val="nil"/>
              <w:right w:val="nil"/>
            </w:tcBorders>
          </w:tcPr>
          <w:p w14:paraId="3D583FD4" w14:textId="5A48D45A"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3.526</w:t>
            </w:r>
          </w:p>
        </w:tc>
        <w:tc>
          <w:tcPr>
            <w:tcW w:w="265" w:type="dxa"/>
            <w:tcBorders>
              <w:top w:val="nil"/>
              <w:left w:val="nil"/>
              <w:bottom w:val="nil"/>
              <w:right w:val="nil"/>
            </w:tcBorders>
          </w:tcPr>
          <w:p w14:paraId="7D958081"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6B6FC28E" w14:textId="10177513"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-25.608</w:t>
            </w:r>
          </w:p>
        </w:tc>
        <w:tc>
          <w:tcPr>
            <w:tcW w:w="254" w:type="dxa"/>
            <w:tcBorders>
              <w:top w:val="nil"/>
              <w:left w:val="nil"/>
              <w:bottom w:val="nil"/>
              <w:right w:val="nil"/>
            </w:tcBorders>
          </w:tcPr>
          <w:p w14:paraId="3987BECB"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27AF394E" w14:textId="0238E91F"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-8.220</w:t>
            </w:r>
          </w:p>
        </w:tc>
      </w:tr>
      <w:tr w:rsidR="001E3466" w:rsidRPr="004E7E5A" w14:paraId="07176A83" w14:textId="77777777" w:rsidTr="00287407">
        <w:tc>
          <w:tcPr>
            <w:tcW w:w="4253" w:type="dxa"/>
            <w:tcBorders>
              <w:top w:val="nil"/>
              <w:left w:val="nil"/>
              <w:bottom w:val="nil"/>
              <w:right w:val="nil"/>
            </w:tcBorders>
          </w:tcPr>
          <w:p w14:paraId="2111B654"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3F8C740E"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bottom w:val="nil"/>
              <w:right w:val="nil"/>
            </w:tcBorders>
          </w:tcPr>
          <w:p w14:paraId="0A4D1821" w14:textId="37F60195"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(-0.28)</w:t>
            </w:r>
          </w:p>
        </w:tc>
        <w:tc>
          <w:tcPr>
            <w:tcW w:w="273" w:type="dxa"/>
            <w:tcBorders>
              <w:top w:val="nil"/>
              <w:left w:val="nil"/>
              <w:bottom w:val="nil"/>
              <w:right w:val="nil"/>
            </w:tcBorders>
          </w:tcPr>
          <w:p w14:paraId="4AA351B3"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top w:val="nil"/>
              <w:left w:val="nil"/>
              <w:bottom w:val="nil"/>
              <w:right w:val="nil"/>
            </w:tcBorders>
          </w:tcPr>
          <w:p w14:paraId="76822434" w14:textId="37076540"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(0.56)</w:t>
            </w:r>
          </w:p>
        </w:tc>
        <w:tc>
          <w:tcPr>
            <w:tcW w:w="265" w:type="dxa"/>
            <w:tcBorders>
              <w:top w:val="nil"/>
              <w:left w:val="nil"/>
              <w:bottom w:val="nil"/>
              <w:right w:val="nil"/>
            </w:tcBorders>
          </w:tcPr>
          <w:p w14:paraId="79B3D978"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03AAD718" w14:textId="6EF3079B"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(-1.01)</w:t>
            </w:r>
          </w:p>
        </w:tc>
        <w:tc>
          <w:tcPr>
            <w:tcW w:w="254" w:type="dxa"/>
            <w:tcBorders>
              <w:top w:val="nil"/>
              <w:left w:val="nil"/>
              <w:bottom w:val="nil"/>
              <w:right w:val="nil"/>
            </w:tcBorders>
          </w:tcPr>
          <w:p w14:paraId="4C0A68FE"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bottom w:val="nil"/>
              <w:right w:val="nil"/>
            </w:tcBorders>
          </w:tcPr>
          <w:p w14:paraId="466AB7BB" w14:textId="5C53F9B1"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(-0.68)</w:t>
            </w:r>
          </w:p>
        </w:tc>
      </w:tr>
      <w:tr w:rsidR="001E3466" w:rsidRPr="004E7E5A" w14:paraId="0B5CCB8B" w14:textId="77777777" w:rsidTr="00287407">
        <w:tc>
          <w:tcPr>
            <w:tcW w:w="4253" w:type="dxa"/>
            <w:tcBorders>
              <w:top w:val="nil"/>
              <w:left w:val="nil"/>
              <w:right w:val="nil"/>
            </w:tcBorders>
          </w:tcPr>
          <w:p w14:paraId="285DD472"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72" w:type="dxa"/>
            <w:tcBorders>
              <w:top w:val="nil"/>
              <w:left w:val="nil"/>
              <w:right w:val="nil"/>
            </w:tcBorders>
          </w:tcPr>
          <w:p w14:paraId="32ABDD60"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right w:val="nil"/>
            </w:tcBorders>
          </w:tcPr>
          <w:p w14:paraId="06587C0D"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73" w:type="dxa"/>
            <w:tcBorders>
              <w:top w:val="nil"/>
              <w:left w:val="nil"/>
              <w:right w:val="nil"/>
            </w:tcBorders>
          </w:tcPr>
          <w:p w14:paraId="0B9BBFD7"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top w:val="nil"/>
              <w:left w:val="nil"/>
              <w:right w:val="nil"/>
            </w:tcBorders>
          </w:tcPr>
          <w:p w14:paraId="711B48A9"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65" w:type="dxa"/>
            <w:tcBorders>
              <w:top w:val="nil"/>
              <w:left w:val="nil"/>
              <w:right w:val="nil"/>
            </w:tcBorders>
          </w:tcPr>
          <w:p w14:paraId="3EBF6605"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right w:val="nil"/>
            </w:tcBorders>
          </w:tcPr>
          <w:p w14:paraId="4FB99393"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54" w:type="dxa"/>
            <w:tcBorders>
              <w:top w:val="nil"/>
              <w:left w:val="nil"/>
              <w:right w:val="nil"/>
            </w:tcBorders>
          </w:tcPr>
          <w:p w14:paraId="1D5F4C5D"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right w:val="nil"/>
            </w:tcBorders>
          </w:tcPr>
          <w:p w14:paraId="6C015D14"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r>
      <w:tr w:rsidR="001E3466" w:rsidRPr="004E7E5A" w14:paraId="10BD5FB6" w14:textId="77777777" w:rsidTr="00287407">
        <w:tc>
          <w:tcPr>
            <w:tcW w:w="4253" w:type="dxa"/>
            <w:tcBorders>
              <w:top w:val="nil"/>
              <w:left w:val="nil"/>
              <w:right w:val="nil"/>
            </w:tcBorders>
          </w:tcPr>
          <w:p w14:paraId="01F94FF8"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72" w:type="dxa"/>
            <w:tcBorders>
              <w:top w:val="nil"/>
              <w:left w:val="nil"/>
              <w:right w:val="nil"/>
            </w:tcBorders>
          </w:tcPr>
          <w:p w14:paraId="547D809C"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right w:val="nil"/>
            </w:tcBorders>
          </w:tcPr>
          <w:p w14:paraId="6DBBBE42"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73" w:type="dxa"/>
            <w:tcBorders>
              <w:top w:val="nil"/>
              <w:left w:val="nil"/>
              <w:right w:val="nil"/>
            </w:tcBorders>
          </w:tcPr>
          <w:p w14:paraId="567ED5CC"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top w:val="nil"/>
              <w:left w:val="nil"/>
              <w:right w:val="nil"/>
            </w:tcBorders>
          </w:tcPr>
          <w:p w14:paraId="5ADCDBA2"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65" w:type="dxa"/>
            <w:tcBorders>
              <w:top w:val="nil"/>
              <w:left w:val="nil"/>
              <w:right w:val="nil"/>
            </w:tcBorders>
          </w:tcPr>
          <w:p w14:paraId="65E2BE99"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right w:val="nil"/>
            </w:tcBorders>
          </w:tcPr>
          <w:p w14:paraId="46B6F13D"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54" w:type="dxa"/>
            <w:tcBorders>
              <w:top w:val="nil"/>
              <w:left w:val="nil"/>
              <w:right w:val="nil"/>
            </w:tcBorders>
          </w:tcPr>
          <w:p w14:paraId="73517C16"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right w:val="nil"/>
            </w:tcBorders>
          </w:tcPr>
          <w:p w14:paraId="18124A69"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r>
      <w:tr w:rsidR="001E3466" w:rsidRPr="004E7E5A" w14:paraId="57E10F34" w14:textId="77777777" w:rsidTr="00287407">
        <w:tc>
          <w:tcPr>
            <w:tcW w:w="4253" w:type="dxa"/>
            <w:tcBorders>
              <w:top w:val="nil"/>
              <w:left w:val="nil"/>
              <w:right w:val="nil"/>
            </w:tcBorders>
          </w:tcPr>
          <w:p w14:paraId="4C0D7A1F"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72" w:type="dxa"/>
            <w:tcBorders>
              <w:top w:val="nil"/>
              <w:left w:val="nil"/>
              <w:right w:val="nil"/>
            </w:tcBorders>
          </w:tcPr>
          <w:p w14:paraId="3C12C92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top w:val="nil"/>
              <w:left w:val="nil"/>
              <w:right w:val="nil"/>
            </w:tcBorders>
          </w:tcPr>
          <w:p w14:paraId="37BBF1D4"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73" w:type="dxa"/>
            <w:tcBorders>
              <w:top w:val="nil"/>
              <w:left w:val="nil"/>
              <w:right w:val="nil"/>
            </w:tcBorders>
          </w:tcPr>
          <w:p w14:paraId="403913E1"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top w:val="nil"/>
              <w:left w:val="nil"/>
              <w:right w:val="nil"/>
            </w:tcBorders>
          </w:tcPr>
          <w:p w14:paraId="68BC6B9D"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65" w:type="dxa"/>
            <w:tcBorders>
              <w:top w:val="nil"/>
              <w:left w:val="nil"/>
              <w:right w:val="nil"/>
            </w:tcBorders>
          </w:tcPr>
          <w:p w14:paraId="1F794DD0"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right w:val="nil"/>
            </w:tcBorders>
          </w:tcPr>
          <w:p w14:paraId="0BAAEDFF"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c>
          <w:tcPr>
            <w:tcW w:w="254" w:type="dxa"/>
            <w:tcBorders>
              <w:top w:val="nil"/>
              <w:left w:val="nil"/>
              <w:right w:val="nil"/>
            </w:tcBorders>
          </w:tcPr>
          <w:p w14:paraId="3779036A"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top w:val="nil"/>
              <w:left w:val="nil"/>
              <w:right w:val="nil"/>
            </w:tcBorders>
          </w:tcPr>
          <w:p w14:paraId="3884C0B1"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Yes</w:t>
            </w:r>
          </w:p>
        </w:tc>
      </w:tr>
      <w:tr w:rsidR="001E3466" w:rsidRPr="004E7E5A" w14:paraId="1A96BF37" w14:textId="77777777" w:rsidTr="00287407">
        <w:tc>
          <w:tcPr>
            <w:tcW w:w="4253" w:type="dxa"/>
            <w:tcBorders>
              <w:left w:val="nil"/>
              <w:right w:val="nil"/>
            </w:tcBorders>
          </w:tcPr>
          <w:p w14:paraId="701133FA"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72" w:type="dxa"/>
            <w:tcBorders>
              <w:left w:val="nil"/>
              <w:right w:val="nil"/>
            </w:tcBorders>
          </w:tcPr>
          <w:p w14:paraId="5F03E1D9"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left w:val="nil"/>
              <w:right w:val="nil"/>
            </w:tcBorders>
          </w:tcPr>
          <w:p w14:paraId="32FC2E8E" w14:textId="4DA9CC0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3956</w:t>
            </w:r>
          </w:p>
        </w:tc>
        <w:tc>
          <w:tcPr>
            <w:tcW w:w="273" w:type="dxa"/>
            <w:tcBorders>
              <w:left w:val="nil"/>
              <w:right w:val="nil"/>
            </w:tcBorders>
          </w:tcPr>
          <w:p w14:paraId="0F92C692"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left w:val="nil"/>
              <w:right w:val="nil"/>
            </w:tcBorders>
          </w:tcPr>
          <w:p w14:paraId="0CD87F5F" w14:textId="0C785111"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3956</w:t>
            </w:r>
          </w:p>
        </w:tc>
        <w:tc>
          <w:tcPr>
            <w:tcW w:w="265" w:type="dxa"/>
            <w:tcBorders>
              <w:left w:val="nil"/>
              <w:right w:val="nil"/>
            </w:tcBorders>
          </w:tcPr>
          <w:p w14:paraId="689B190E"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left w:val="nil"/>
              <w:right w:val="nil"/>
            </w:tcBorders>
          </w:tcPr>
          <w:p w14:paraId="211D1B1C" w14:textId="38CCB9C2"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3956</w:t>
            </w:r>
          </w:p>
        </w:tc>
        <w:tc>
          <w:tcPr>
            <w:tcW w:w="254" w:type="dxa"/>
            <w:tcBorders>
              <w:left w:val="nil"/>
              <w:right w:val="nil"/>
            </w:tcBorders>
          </w:tcPr>
          <w:p w14:paraId="74A5BFA9"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left w:val="nil"/>
              <w:right w:val="nil"/>
            </w:tcBorders>
          </w:tcPr>
          <w:p w14:paraId="15B6A2F8" w14:textId="566CD790"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3956</w:t>
            </w:r>
          </w:p>
        </w:tc>
      </w:tr>
      <w:tr w:rsidR="001E3466" w:rsidRPr="004E7E5A" w14:paraId="2C667621" w14:textId="77777777" w:rsidTr="00287407">
        <w:tc>
          <w:tcPr>
            <w:tcW w:w="4253" w:type="dxa"/>
            <w:tcBorders>
              <w:left w:val="nil"/>
              <w:bottom w:val="single" w:sz="4" w:space="0" w:color="auto"/>
              <w:right w:val="nil"/>
            </w:tcBorders>
          </w:tcPr>
          <w:p w14:paraId="24326086" w14:textId="77777777" w:rsidR="00396D8F" w:rsidRPr="004E7E5A" w:rsidRDefault="00396D8F" w:rsidP="00396D8F">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72" w:type="dxa"/>
            <w:tcBorders>
              <w:left w:val="nil"/>
              <w:bottom w:val="single" w:sz="4" w:space="0" w:color="auto"/>
              <w:right w:val="nil"/>
            </w:tcBorders>
          </w:tcPr>
          <w:p w14:paraId="3BADA95B" w14:textId="77777777" w:rsidR="00396D8F" w:rsidRPr="004E7E5A" w:rsidRDefault="00396D8F" w:rsidP="00396D8F">
            <w:pPr>
              <w:autoSpaceDE w:val="0"/>
              <w:autoSpaceDN w:val="0"/>
              <w:adjustRightInd w:val="0"/>
              <w:jc w:val="center"/>
              <w:rPr>
                <w:rFonts w:ascii="Times New Roman" w:hAnsi="Times New Roman"/>
                <w:color w:val="000000" w:themeColor="text1"/>
                <w:kern w:val="0"/>
                <w:sz w:val="24"/>
                <w:szCs w:val="24"/>
              </w:rPr>
            </w:pPr>
          </w:p>
        </w:tc>
        <w:tc>
          <w:tcPr>
            <w:tcW w:w="1462" w:type="dxa"/>
            <w:tcBorders>
              <w:left w:val="nil"/>
              <w:bottom w:val="single" w:sz="4" w:space="0" w:color="auto"/>
              <w:right w:val="nil"/>
            </w:tcBorders>
          </w:tcPr>
          <w:p w14:paraId="1046D623" w14:textId="52DE7400"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1626.293</w:t>
            </w:r>
          </w:p>
        </w:tc>
        <w:tc>
          <w:tcPr>
            <w:tcW w:w="273" w:type="dxa"/>
            <w:tcBorders>
              <w:left w:val="nil"/>
              <w:bottom w:val="single" w:sz="4" w:space="0" w:color="auto"/>
              <w:right w:val="nil"/>
            </w:tcBorders>
          </w:tcPr>
          <w:p w14:paraId="0891BA89"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45" w:type="dxa"/>
            <w:tcBorders>
              <w:left w:val="nil"/>
              <w:bottom w:val="single" w:sz="4" w:space="0" w:color="auto"/>
              <w:right w:val="nil"/>
            </w:tcBorders>
          </w:tcPr>
          <w:p w14:paraId="59ADC7A0" w14:textId="5F30B851"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2017.551</w:t>
            </w:r>
          </w:p>
        </w:tc>
        <w:tc>
          <w:tcPr>
            <w:tcW w:w="265" w:type="dxa"/>
            <w:tcBorders>
              <w:left w:val="nil"/>
              <w:bottom w:val="single" w:sz="4" w:space="0" w:color="auto"/>
              <w:right w:val="nil"/>
            </w:tcBorders>
          </w:tcPr>
          <w:p w14:paraId="7AD02541"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left w:val="nil"/>
              <w:bottom w:val="single" w:sz="4" w:space="0" w:color="auto"/>
              <w:right w:val="nil"/>
            </w:tcBorders>
          </w:tcPr>
          <w:p w14:paraId="1E32308B" w14:textId="374A72E1"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951.645</w:t>
            </w:r>
          </w:p>
        </w:tc>
        <w:tc>
          <w:tcPr>
            <w:tcW w:w="254" w:type="dxa"/>
            <w:tcBorders>
              <w:left w:val="nil"/>
              <w:bottom w:val="single" w:sz="4" w:space="0" w:color="auto"/>
              <w:right w:val="nil"/>
            </w:tcBorders>
          </w:tcPr>
          <w:p w14:paraId="067CF6C7" w14:textId="77777777"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p>
        </w:tc>
        <w:tc>
          <w:tcPr>
            <w:tcW w:w="1462" w:type="dxa"/>
            <w:tcBorders>
              <w:left w:val="nil"/>
              <w:bottom w:val="single" w:sz="4" w:space="0" w:color="auto"/>
              <w:right w:val="nil"/>
            </w:tcBorders>
          </w:tcPr>
          <w:p w14:paraId="0313DF34" w14:textId="5E0AEAF5" w:rsidR="00396D8F" w:rsidRPr="004E7E5A" w:rsidRDefault="00396D8F" w:rsidP="00396D8F">
            <w:pPr>
              <w:autoSpaceDE w:val="0"/>
              <w:autoSpaceDN w:val="0"/>
              <w:adjustRightInd w:val="0"/>
              <w:jc w:val="center"/>
              <w:rPr>
                <w:rFonts w:ascii="Times New Roman" w:hAnsi="Times New Roman" w:cs="Times New Roman"/>
                <w:color w:val="000000" w:themeColor="text1"/>
                <w:kern w:val="0"/>
                <w:sz w:val="24"/>
              </w:rPr>
            </w:pPr>
            <w:r w:rsidRPr="004E7E5A">
              <w:rPr>
                <w:rFonts w:ascii="Times New Roman" w:hAnsi="Times New Roman" w:cs="Times New Roman"/>
                <w:color w:val="000000" w:themeColor="text1"/>
                <w:kern w:val="0"/>
                <w:sz w:val="24"/>
              </w:rPr>
              <w:t>1541.041</w:t>
            </w:r>
          </w:p>
        </w:tc>
      </w:tr>
    </w:tbl>
    <w:p w14:paraId="71CE9838" w14:textId="061C5E71" w:rsidR="00A53CFE" w:rsidRPr="004E7E5A" w:rsidRDefault="00A53CFE" w:rsidP="00004CB4">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1"/>
        </w:rPr>
      </w:pPr>
      <w:r w:rsidRPr="004E7E5A">
        <w:rPr>
          <w:rStyle w:val="fontstyle01"/>
          <w:rFonts w:ascii="Times New Roman" w:hAnsi="Times New Roman" w:cs="Times New Roman" w:hint="default"/>
          <w:color w:val="000000" w:themeColor="text1"/>
          <w:sz w:val="24"/>
          <w:szCs w:val="24"/>
        </w:rPr>
        <w:t xml:space="preserve">This table reports the second stage of the 2SLS model to test hypothesis 4. </w:t>
      </w:r>
      <w:r w:rsidRPr="004E7E5A">
        <w:rPr>
          <w:rFonts w:cs="Times New Roman"/>
          <w:szCs w:val="24"/>
        </w:rPr>
        <w:t xml:space="preserve">The effect of </w:t>
      </w:r>
      <w:r w:rsidR="00004CB4" w:rsidRPr="004E7E5A">
        <w:rPr>
          <w:rFonts w:eastAsia="Times New Roman" w:cs="Times New Roman"/>
          <w:szCs w:val="24"/>
          <w:lang w:eastAsia="en-GB"/>
        </w:rPr>
        <w:t>assurance of CSR reports</w:t>
      </w:r>
      <w:r w:rsidRPr="004E7E5A">
        <w:rPr>
          <w:rFonts w:eastAsia="Times New Roman" w:cs="Times New Roman"/>
          <w:szCs w:val="24"/>
          <w:lang w:eastAsia="en-GB"/>
        </w:rPr>
        <w:t xml:space="preserve"> on the relationship between directors’ network and CSR disclosure </w:t>
      </w:r>
      <w:r w:rsidRPr="004E7E5A">
        <w:rPr>
          <w:rFonts w:cs="Times New Roman"/>
          <w:szCs w:val="24"/>
        </w:rPr>
        <w:t>quality</w:t>
      </w:r>
      <w:r w:rsidRPr="004E7E5A">
        <w:rPr>
          <w:rStyle w:val="fontstyle01"/>
          <w:rFonts w:ascii="Times New Roman" w:hAnsi="Times New Roman" w:cs="Times New Roman" w:hint="default"/>
          <w:color w:val="000000" w:themeColor="text1"/>
          <w:sz w:val="24"/>
          <w:szCs w:val="24"/>
        </w:rPr>
        <w:t xml:space="preserve"> is tested by Equation (4)</w:t>
      </w:r>
      <w:r w:rsidRPr="004E7E5A">
        <w:rPr>
          <w:rFonts w:cs="Times New Roman"/>
          <w:szCs w:val="24"/>
        </w:rPr>
        <w:t xml:space="preserve">. </w:t>
      </w:r>
      <w:r w:rsidR="00004CB4" w:rsidRPr="004E7E5A">
        <w:rPr>
          <w:rFonts w:cs="Times New Roman"/>
          <w:szCs w:val="24"/>
        </w:rPr>
        <w:t xml:space="preserve">Following prior literature </w:t>
      </w:r>
      <w:r w:rsidR="008E7AE7" w:rsidRPr="004E7E5A">
        <w:rPr>
          <w:rFonts w:cs="Times New Roman"/>
        </w:rPr>
        <w:fldChar w:fldCharType="begin"/>
      </w:r>
      <w:r w:rsidR="00317C6A" w:rsidRPr="004E7E5A">
        <w:rPr>
          <w:rFonts w:cs="Times New Roman"/>
        </w:rPr>
        <w:instrText xml:space="preserve"> ADDIN EN.CITE &lt;EndNote&gt;&lt;Cite&gt;&lt;Author&gt;Simnett&lt;/Author&gt;&lt;Year&gt;2009&lt;/Year&gt;&lt;RecNum&gt;2062&lt;/RecNum&gt;&lt;DisplayText&gt;(Simnett et al. 2009; Liao et al. 2016)&lt;/DisplayText&gt;&lt;record&gt;&lt;rec-number&gt;2062&lt;/rec-number&gt;&lt;foreign-keys&gt;&lt;key app="EN" db-id="trr00pfsbzzex0ezwf6v5swd9fpfpwfa90xp" timestamp="1627809955" guid="4dc6f8bf-0de1-4269-8813-55d1a3db074b"&gt;2062&lt;/key&gt;&lt;/foreign-keys&gt;&lt;ref-type name="Journal Article"&gt;17&lt;/ref-type&gt;&lt;contributors&gt;&lt;authors&gt;&lt;author&gt;Simnett, R.&lt;/author&gt;&lt;author&gt;Vanstraelen, A.&lt;/author&gt;&lt;author&gt;Chua, W. F.&lt;/author&gt;&lt;/authors&gt;&lt;/contributors&gt;&lt;titles&gt;&lt;title&gt;Assurance on sustainability reports: An international comparison&lt;/title&gt;&lt;secondary-title&gt;The Accounting Review&lt;/secondary-title&gt;&lt;/titles&gt;&lt;periodical&gt;&lt;full-title&gt;The Accounting Review&lt;/full-title&gt;&lt;/periodical&gt;&lt;pages&gt;937-967&lt;/pages&gt;&lt;volume&gt;84&lt;/volume&gt;&lt;number&gt;3&lt;/number&gt;&lt;dates&gt;&lt;year&gt;2009&lt;/year&gt;&lt;/dates&gt;&lt;urls&gt;&lt;/urls&gt;&lt;/record&gt;&lt;/Cite&gt;&lt;Cite&gt;&lt;Author&gt;Liao&lt;/Author&gt;&lt;Year&gt;2016&lt;/Year&gt;&lt;RecNum&gt;318&lt;/RecNum&gt;&lt;record&gt;&lt;rec-number&gt;318&lt;/rec-number&gt;&lt;foreign-keys&gt;&lt;key app="EN" db-id="trr00pfsbzzex0ezwf6v5swd9fpfpwfa90xp" timestamp="1581079817" guid="7dc15a5b-f60d-4b0c-bbf5-fdeba0dd4bb7"&gt;318&lt;/key&gt;&lt;/foreign-keys&gt;&lt;ref-type name="Journal Article"&gt;17&lt;/ref-type&gt;&lt;contributors&gt;&lt;authors&gt;&lt;author&gt;Liao, Lin&lt;/author&gt;&lt;author&gt;Lin, Teng&lt;/author&gt;&lt;author&gt;Zhang, Yuyu&lt;/author&gt;&lt;/authors&gt;&lt;/contributors&gt;&lt;titles&gt;&lt;title&gt;Corporate board and corporate social responsibility assurance: Evidence from China&lt;/title&gt;&lt;secondary-title&gt;Journal of Business Ethics&lt;/secondary-title&gt;&lt;/titles&gt;&lt;periodical&gt;&lt;full-title&gt;Journal of Business Ethics&lt;/full-title&gt;&lt;/periodical&gt;&lt;pages&gt;211-225&lt;/pages&gt;&lt;volume&gt;150&lt;/volume&gt;&lt;number&gt;1&lt;/number&gt;&lt;section&gt;211&lt;/section&gt;&lt;dates&gt;&lt;year&gt;2016&lt;/year&gt;&lt;/dates&gt;&lt;isbn&gt;0167-4544&amp;#xD;1573-0697&lt;/isbn&gt;&lt;urls&gt;&lt;/urls&gt;&lt;electronic-resource-num&gt;10.1007/s10551-016-3176-9&lt;/electronic-resource-num&gt;&lt;/record&gt;&lt;/Cite&gt;&lt;/EndNote&gt;</w:instrText>
      </w:r>
      <w:r w:rsidR="008E7AE7" w:rsidRPr="004E7E5A">
        <w:rPr>
          <w:rFonts w:cs="Times New Roman"/>
        </w:rPr>
        <w:fldChar w:fldCharType="separate"/>
      </w:r>
      <w:r w:rsidR="008E7AE7" w:rsidRPr="004E7E5A">
        <w:rPr>
          <w:rFonts w:cs="Times New Roman"/>
          <w:noProof/>
        </w:rPr>
        <w:t>(Simnett et al. 2009; Liao et al. 2016)</w:t>
      </w:r>
      <w:r w:rsidR="008E7AE7" w:rsidRPr="004E7E5A">
        <w:rPr>
          <w:rFonts w:cs="Times New Roman"/>
        </w:rPr>
        <w:fldChar w:fldCharType="end"/>
      </w:r>
      <w:r w:rsidR="00004CB4" w:rsidRPr="004E7E5A">
        <w:rPr>
          <w:rFonts w:cs="Times New Roman"/>
          <w:szCs w:val="24"/>
        </w:rPr>
        <w:t>, we use assurance over CSR reports (</w:t>
      </w:r>
      <w:r w:rsidR="00004CB4" w:rsidRPr="004E7E5A">
        <w:rPr>
          <w:rFonts w:cs="Times New Roman"/>
          <w:i/>
          <w:iCs/>
          <w:szCs w:val="24"/>
        </w:rPr>
        <w:t>CSR assurance</w:t>
      </w:r>
      <w:r w:rsidR="00004CB4" w:rsidRPr="004E7E5A">
        <w:rPr>
          <w:rFonts w:cs="Times New Roman"/>
          <w:szCs w:val="24"/>
        </w:rPr>
        <w:t>) as the proxy of auditors.</w:t>
      </w:r>
      <w:r w:rsidRPr="004E7E5A">
        <w:rPr>
          <w:rFonts w:cs="Times New Roman"/>
        </w:rPr>
        <w:t xml:space="preserve"> </w:t>
      </w:r>
      <w:r w:rsidR="00004CB4" w:rsidRPr="004E7E5A">
        <w:rPr>
          <w:rFonts w:cs="Times New Roman"/>
          <w:i/>
          <w:iCs/>
        </w:rPr>
        <w:t>CSR assurance</w:t>
      </w:r>
      <w:r w:rsidR="00004CB4" w:rsidRPr="004E7E5A">
        <w:rPr>
          <w:rFonts w:cs="Times New Roman"/>
        </w:rPr>
        <w:t xml:space="preserve"> is a dummy variable equal to 1 if the CSR report is assured, and zero otherwise (Liao et al. 2016). </w:t>
      </w:r>
      <w:r w:rsidRPr="004E7E5A">
        <w:rPr>
          <w:rStyle w:val="fontstyle01"/>
          <w:rFonts w:ascii="Times New Roman" w:hAnsi="Times New Roman" w:cs="Times New Roman" w:hint="default"/>
          <w:color w:val="000000" w:themeColor="text1"/>
          <w:sz w:val="24"/>
          <w:szCs w:val="24"/>
        </w:rPr>
        <w:t xml:space="preserve">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eastAsia="Times New Roman" w:cs="Times New Roman"/>
          <w:i/>
          <w:iCs/>
          <w:szCs w:val="24"/>
          <w:lang w:eastAsia="en-GB"/>
        </w:rPr>
        <w:t xml:space="preserve">Controls </w:t>
      </w:r>
      <w:r w:rsidRPr="004E7E5A">
        <w:rPr>
          <w:rFonts w:eastAsia="Times New Roman" w:cs="Times New Roman"/>
          <w:szCs w:val="24"/>
          <w:lang w:eastAsia="en-GB"/>
        </w:rPr>
        <w:t xml:space="preserve">are the control variables included in Equation (1).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other variables are provided in Appendix A.</w:t>
      </w:r>
    </w:p>
    <w:p w14:paraId="1DB29116" w14:textId="77777777" w:rsidR="00A53CFE" w:rsidRPr="004E7E5A" w:rsidRDefault="00A53CFE" w:rsidP="00A53CFE">
      <w:pPr>
        <w:pStyle w:val="a7"/>
        <w:spacing w:line="240" w:lineRule="auto"/>
        <w:ind w:leftChars="50" w:left="105" w:rightChars="50" w:right="105" w:firstLineChars="0" w:firstLine="0"/>
        <w:rPr>
          <w:rFonts w:cs="Times New Roman"/>
          <w:szCs w:val="24"/>
        </w:rPr>
      </w:pPr>
    </w:p>
    <w:p w14:paraId="6674AC77"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p>
    <w:p w14:paraId="25094944"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p>
    <w:p w14:paraId="704C8F17"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p>
    <w:p w14:paraId="441A59F2"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p>
    <w:p w14:paraId="41F964AB" w14:textId="4102BC46"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9</w:t>
      </w:r>
    </w:p>
    <w:p w14:paraId="1797C01A"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Second-Stage Regressions of 2SLS Model for Testing the Moderating Role of External Punishment Pressure</w:t>
      </w:r>
    </w:p>
    <w:tbl>
      <w:tblPr>
        <w:tblW w:w="5000" w:type="pct"/>
        <w:tblLook w:val="0000" w:firstRow="0" w:lastRow="0" w:firstColumn="0" w:lastColumn="0" w:noHBand="0" w:noVBand="0"/>
      </w:tblPr>
      <w:tblGrid>
        <w:gridCol w:w="2231"/>
        <w:gridCol w:w="270"/>
        <w:gridCol w:w="1448"/>
        <w:gridCol w:w="272"/>
        <w:gridCol w:w="1433"/>
        <w:gridCol w:w="264"/>
        <w:gridCol w:w="1450"/>
        <w:gridCol w:w="253"/>
        <w:gridCol w:w="1449"/>
      </w:tblGrid>
      <w:tr w:rsidR="001E3466" w:rsidRPr="004E7E5A" w14:paraId="78FCCBF7" w14:textId="77777777" w:rsidTr="00116073">
        <w:tc>
          <w:tcPr>
            <w:tcW w:w="2231" w:type="dxa"/>
            <w:tcBorders>
              <w:top w:val="single" w:sz="4" w:space="0" w:color="auto"/>
              <w:left w:val="nil"/>
              <w:bottom w:val="single" w:sz="4" w:space="0" w:color="auto"/>
              <w:right w:val="nil"/>
            </w:tcBorders>
          </w:tcPr>
          <w:p w14:paraId="33B15FF7"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70" w:type="dxa"/>
            <w:tcBorders>
              <w:top w:val="single" w:sz="4" w:space="0" w:color="auto"/>
              <w:left w:val="nil"/>
              <w:right w:val="nil"/>
            </w:tcBorders>
          </w:tcPr>
          <w:p w14:paraId="36BB5B4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48" w:type="dxa"/>
            <w:tcBorders>
              <w:top w:val="single" w:sz="4" w:space="0" w:color="auto"/>
              <w:left w:val="nil"/>
              <w:bottom w:val="single" w:sz="4" w:space="0" w:color="auto"/>
              <w:right w:val="nil"/>
            </w:tcBorders>
          </w:tcPr>
          <w:p w14:paraId="4CA87BE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72" w:type="dxa"/>
            <w:tcBorders>
              <w:top w:val="single" w:sz="4" w:space="0" w:color="auto"/>
              <w:left w:val="nil"/>
              <w:right w:val="nil"/>
            </w:tcBorders>
          </w:tcPr>
          <w:p w14:paraId="76A5CB4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33" w:type="dxa"/>
            <w:tcBorders>
              <w:top w:val="single" w:sz="4" w:space="0" w:color="auto"/>
              <w:left w:val="nil"/>
              <w:bottom w:val="single" w:sz="4" w:space="0" w:color="auto"/>
              <w:right w:val="nil"/>
            </w:tcBorders>
          </w:tcPr>
          <w:p w14:paraId="5173F00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64" w:type="dxa"/>
            <w:tcBorders>
              <w:top w:val="single" w:sz="4" w:space="0" w:color="auto"/>
              <w:left w:val="nil"/>
              <w:right w:val="nil"/>
            </w:tcBorders>
          </w:tcPr>
          <w:p w14:paraId="67CD28C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50" w:type="dxa"/>
            <w:tcBorders>
              <w:top w:val="single" w:sz="4" w:space="0" w:color="auto"/>
              <w:left w:val="nil"/>
              <w:bottom w:val="single" w:sz="4" w:space="0" w:color="auto"/>
              <w:right w:val="nil"/>
            </w:tcBorders>
          </w:tcPr>
          <w:p w14:paraId="44A1E5A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53" w:type="dxa"/>
            <w:tcBorders>
              <w:top w:val="single" w:sz="4" w:space="0" w:color="auto"/>
              <w:left w:val="nil"/>
              <w:right w:val="nil"/>
            </w:tcBorders>
          </w:tcPr>
          <w:p w14:paraId="11F5356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449" w:type="dxa"/>
            <w:tcBorders>
              <w:top w:val="single" w:sz="4" w:space="0" w:color="auto"/>
              <w:left w:val="nil"/>
              <w:bottom w:val="single" w:sz="4" w:space="0" w:color="auto"/>
              <w:right w:val="nil"/>
            </w:tcBorders>
          </w:tcPr>
          <w:p w14:paraId="070F820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7EDB8C4F" w14:textId="77777777" w:rsidTr="00116073">
        <w:tc>
          <w:tcPr>
            <w:tcW w:w="2231" w:type="dxa"/>
            <w:tcBorders>
              <w:top w:val="single" w:sz="4" w:space="0" w:color="auto"/>
              <w:left w:val="nil"/>
              <w:bottom w:val="nil"/>
              <w:right w:val="nil"/>
            </w:tcBorders>
          </w:tcPr>
          <w:p w14:paraId="1529B91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70" w:type="dxa"/>
            <w:tcBorders>
              <w:left w:val="nil"/>
              <w:bottom w:val="nil"/>
              <w:right w:val="nil"/>
            </w:tcBorders>
          </w:tcPr>
          <w:p w14:paraId="7CAF8D6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single" w:sz="4" w:space="0" w:color="auto"/>
              <w:left w:val="nil"/>
              <w:bottom w:val="nil"/>
              <w:right w:val="nil"/>
            </w:tcBorders>
          </w:tcPr>
          <w:p w14:paraId="75D1DDD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2.457</w:t>
            </w:r>
            <w:r w:rsidRPr="004E7E5A">
              <w:rPr>
                <w:rFonts w:ascii="Times New Roman" w:hAnsi="Times New Roman"/>
                <w:color w:val="000000" w:themeColor="text1"/>
                <w:kern w:val="0"/>
                <w:sz w:val="24"/>
                <w:vertAlign w:val="superscript"/>
              </w:rPr>
              <w:t>***</w:t>
            </w:r>
          </w:p>
        </w:tc>
        <w:tc>
          <w:tcPr>
            <w:tcW w:w="272" w:type="dxa"/>
            <w:tcBorders>
              <w:left w:val="nil"/>
              <w:bottom w:val="nil"/>
              <w:right w:val="nil"/>
            </w:tcBorders>
          </w:tcPr>
          <w:p w14:paraId="0F38B7D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single" w:sz="4" w:space="0" w:color="auto"/>
              <w:left w:val="nil"/>
              <w:bottom w:val="nil"/>
              <w:right w:val="nil"/>
            </w:tcBorders>
          </w:tcPr>
          <w:p w14:paraId="0DF2274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left w:val="nil"/>
              <w:bottom w:val="nil"/>
              <w:right w:val="nil"/>
            </w:tcBorders>
          </w:tcPr>
          <w:p w14:paraId="1DDA672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single" w:sz="4" w:space="0" w:color="auto"/>
              <w:left w:val="nil"/>
              <w:bottom w:val="nil"/>
              <w:right w:val="nil"/>
            </w:tcBorders>
          </w:tcPr>
          <w:p w14:paraId="5EB4F7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left w:val="nil"/>
              <w:bottom w:val="nil"/>
              <w:right w:val="nil"/>
            </w:tcBorders>
          </w:tcPr>
          <w:p w14:paraId="5F8D6E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single" w:sz="4" w:space="0" w:color="auto"/>
              <w:left w:val="nil"/>
              <w:bottom w:val="nil"/>
              <w:right w:val="nil"/>
            </w:tcBorders>
          </w:tcPr>
          <w:p w14:paraId="4FC2CA6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34ECD5F" w14:textId="77777777" w:rsidTr="00116073">
        <w:tc>
          <w:tcPr>
            <w:tcW w:w="2231" w:type="dxa"/>
            <w:tcBorders>
              <w:top w:val="nil"/>
              <w:left w:val="nil"/>
              <w:bottom w:val="nil"/>
              <w:right w:val="nil"/>
            </w:tcBorders>
          </w:tcPr>
          <w:p w14:paraId="47A2AA0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4662E8E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5B8EA0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(3.19)</w:t>
            </w:r>
          </w:p>
        </w:tc>
        <w:tc>
          <w:tcPr>
            <w:tcW w:w="272" w:type="dxa"/>
            <w:tcBorders>
              <w:top w:val="nil"/>
              <w:left w:val="nil"/>
              <w:bottom w:val="nil"/>
              <w:right w:val="nil"/>
            </w:tcBorders>
          </w:tcPr>
          <w:p w14:paraId="099DA4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7FAC58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11DD39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6EEAE1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43DC0E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6C235A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C516A84" w14:textId="77777777" w:rsidTr="00116073">
        <w:tc>
          <w:tcPr>
            <w:tcW w:w="2231" w:type="dxa"/>
            <w:tcBorders>
              <w:top w:val="nil"/>
              <w:left w:val="nil"/>
              <w:bottom w:val="nil"/>
              <w:right w:val="nil"/>
            </w:tcBorders>
          </w:tcPr>
          <w:p w14:paraId="21298DD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Score_max×Punish</w:t>
            </w:r>
            <w:proofErr w:type="spellEnd"/>
          </w:p>
        </w:tc>
        <w:tc>
          <w:tcPr>
            <w:tcW w:w="270" w:type="dxa"/>
            <w:tcBorders>
              <w:top w:val="nil"/>
              <w:left w:val="nil"/>
              <w:bottom w:val="nil"/>
              <w:right w:val="nil"/>
            </w:tcBorders>
          </w:tcPr>
          <w:p w14:paraId="5233C3F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26F146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-0.523</w:t>
            </w:r>
          </w:p>
        </w:tc>
        <w:tc>
          <w:tcPr>
            <w:tcW w:w="272" w:type="dxa"/>
            <w:tcBorders>
              <w:top w:val="nil"/>
              <w:left w:val="nil"/>
              <w:bottom w:val="nil"/>
              <w:right w:val="nil"/>
            </w:tcBorders>
          </w:tcPr>
          <w:p w14:paraId="113314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6F9EB9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374A89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417E25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1F61F3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0BB6BBD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56C2B8C" w14:textId="77777777" w:rsidTr="00116073">
        <w:tc>
          <w:tcPr>
            <w:tcW w:w="2231" w:type="dxa"/>
            <w:tcBorders>
              <w:top w:val="nil"/>
              <w:left w:val="nil"/>
              <w:bottom w:val="nil"/>
              <w:right w:val="nil"/>
            </w:tcBorders>
          </w:tcPr>
          <w:p w14:paraId="5A703F5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1F3BC4E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52FD9D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(-0.40)</w:t>
            </w:r>
          </w:p>
        </w:tc>
        <w:tc>
          <w:tcPr>
            <w:tcW w:w="272" w:type="dxa"/>
            <w:tcBorders>
              <w:top w:val="nil"/>
              <w:left w:val="nil"/>
              <w:bottom w:val="nil"/>
              <w:right w:val="nil"/>
            </w:tcBorders>
          </w:tcPr>
          <w:p w14:paraId="669F3B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05AA1C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6A1130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308CF2D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2A4C15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43F191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478E4A25" w14:textId="77777777" w:rsidTr="00116073">
        <w:tc>
          <w:tcPr>
            <w:tcW w:w="2231" w:type="dxa"/>
            <w:tcBorders>
              <w:top w:val="nil"/>
              <w:left w:val="nil"/>
              <w:bottom w:val="nil"/>
              <w:right w:val="nil"/>
            </w:tcBorders>
          </w:tcPr>
          <w:p w14:paraId="41CF68D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70" w:type="dxa"/>
            <w:tcBorders>
              <w:top w:val="nil"/>
              <w:left w:val="nil"/>
              <w:bottom w:val="nil"/>
              <w:right w:val="nil"/>
            </w:tcBorders>
          </w:tcPr>
          <w:p w14:paraId="4CF59E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05CC91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13EDE8B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2904CC5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2.198</w:t>
            </w:r>
            <w:r w:rsidRPr="004E7E5A">
              <w:rPr>
                <w:rFonts w:ascii="Times New Roman" w:hAnsi="Times New Roman"/>
                <w:color w:val="000000" w:themeColor="text1"/>
                <w:kern w:val="0"/>
                <w:sz w:val="24"/>
                <w:vertAlign w:val="superscript"/>
              </w:rPr>
              <w:t>***</w:t>
            </w:r>
          </w:p>
        </w:tc>
        <w:tc>
          <w:tcPr>
            <w:tcW w:w="264" w:type="dxa"/>
            <w:tcBorders>
              <w:top w:val="nil"/>
              <w:left w:val="nil"/>
              <w:bottom w:val="nil"/>
              <w:right w:val="nil"/>
            </w:tcBorders>
          </w:tcPr>
          <w:p w14:paraId="381FA0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3054EE5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4547F63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74BE67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33F7A1B" w14:textId="77777777" w:rsidTr="00116073">
        <w:tc>
          <w:tcPr>
            <w:tcW w:w="2231" w:type="dxa"/>
            <w:tcBorders>
              <w:top w:val="nil"/>
              <w:left w:val="nil"/>
              <w:bottom w:val="nil"/>
              <w:right w:val="nil"/>
            </w:tcBorders>
          </w:tcPr>
          <w:p w14:paraId="38BF3E7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1BCB36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5DE6DD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7CC4E8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290832F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(3.35)</w:t>
            </w:r>
          </w:p>
        </w:tc>
        <w:tc>
          <w:tcPr>
            <w:tcW w:w="264" w:type="dxa"/>
            <w:tcBorders>
              <w:top w:val="nil"/>
              <w:left w:val="nil"/>
              <w:bottom w:val="nil"/>
              <w:right w:val="nil"/>
            </w:tcBorders>
          </w:tcPr>
          <w:p w14:paraId="3A96FB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4D45CB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09ACF3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4AFDBC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105E9D9" w14:textId="77777777" w:rsidTr="00116073">
        <w:tc>
          <w:tcPr>
            <w:tcW w:w="2231" w:type="dxa"/>
            <w:tcBorders>
              <w:top w:val="nil"/>
              <w:left w:val="nil"/>
              <w:bottom w:val="nil"/>
              <w:right w:val="nil"/>
            </w:tcBorders>
          </w:tcPr>
          <w:p w14:paraId="353C1B8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Score_mean×Punish</w:t>
            </w:r>
            <w:proofErr w:type="spellEnd"/>
          </w:p>
        </w:tc>
        <w:tc>
          <w:tcPr>
            <w:tcW w:w="270" w:type="dxa"/>
            <w:tcBorders>
              <w:top w:val="nil"/>
              <w:left w:val="nil"/>
              <w:bottom w:val="nil"/>
              <w:right w:val="nil"/>
            </w:tcBorders>
          </w:tcPr>
          <w:p w14:paraId="5DF9BD7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50E6C6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404EFE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317708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-0.556</w:t>
            </w:r>
          </w:p>
        </w:tc>
        <w:tc>
          <w:tcPr>
            <w:tcW w:w="264" w:type="dxa"/>
            <w:tcBorders>
              <w:top w:val="nil"/>
              <w:left w:val="nil"/>
              <w:bottom w:val="nil"/>
              <w:right w:val="nil"/>
            </w:tcBorders>
          </w:tcPr>
          <w:p w14:paraId="3E858E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24A623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14B8E6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1461A50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3557213" w14:textId="77777777" w:rsidTr="00116073">
        <w:tc>
          <w:tcPr>
            <w:tcW w:w="2231" w:type="dxa"/>
            <w:tcBorders>
              <w:top w:val="nil"/>
              <w:left w:val="nil"/>
              <w:bottom w:val="nil"/>
              <w:right w:val="nil"/>
            </w:tcBorders>
          </w:tcPr>
          <w:p w14:paraId="5AE8E28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334828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723FA2B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0E52008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7AEBF25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(-0.54)</w:t>
            </w:r>
          </w:p>
        </w:tc>
        <w:tc>
          <w:tcPr>
            <w:tcW w:w="264" w:type="dxa"/>
            <w:tcBorders>
              <w:top w:val="nil"/>
              <w:left w:val="nil"/>
              <w:bottom w:val="nil"/>
              <w:right w:val="nil"/>
            </w:tcBorders>
          </w:tcPr>
          <w:p w14:paraId="48BDF5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3A7F814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488F0B2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32AAF3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2828F38" w14:textId="77777777" w:rsidTr="00116073">
        <w:tc>
          <w:tcPr>
            <w:tcW w:w="2231" w:type="dxa"/>
            <w:tcBorders>
              <w:top w:val="nil"/>
              <w:left w:val="nil"/>
              <w:bottom w:val="nil"/>
              <w:right w:val="nil"/>
            </w:tcBorders>
          </w:tcPr>
          <w:p w14:paraId="600629A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70" w:type="dxa"/>
            <w:tcBorders>
              <w:top w:val="nil"/>
              <w:left w:val="nil"/>
              <w:bottom w:val="nil"/>
              <w:right w:val="nil"/>
            </w:tcBorders>
          </w:tcPr>
          <w:p w14:paraId="6777E0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7CEA89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4CA01E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35B2EB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2BF90C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0C6D51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3.781</w:t>
            </w:r>
            <w:r w:rsidRPr="004E7E5A">
              <w:rPr>
                <w:rFonts w:ascii="Times New Roman" w:hAnsi="Times New Roman"/>
                <w:color w:val="000000" w:themeColor="text1"/>
                <w:kern w:val="0"/>
                <w:sz w:val="24"/>
                <w:vertAlign w:val="superscript"/>
              </w:rPr>
              <w:t>***</w:t>
            </w:r>
          </w:p>
        </w:tc>
        <w:tc>
          <w:tcPr>
            <w:tcW w:w="253" w:type="dxa"/>
            <w:tcBorders>
              <w:top w:val="nil"/>
              <w:left w:val="nil"/>
              <w:bottom w:val="nil"/>
              <w:right w:val="nil"/>
            </w:tcBorders>
          </w:tcPr>
          <w:p w14:paraId="58D759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589B8D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3FBD546" w14:textId="77777777" w:rsidTr="00116073">
        <w:tc>
          <w:tcPr>
            <w:tcW w:w="2231" w:type="dxa"/>
            <w:tcBorders>
              <w:top w:val="nil"/>
              <w:left w:val="nil"/>
              <w:bottom w:val="nil"/>
              <w:right w:val="nil"/>
            </w:tcBorders>
          </w:tcPr>
          <w:p w14:paraId="45BD3BD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07ACD7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0CCF9A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135D665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012AD57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634C1E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7A309B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(3.38)</w:t>
            </w:r>
          </w:p>
        </w:tc>
        <w:tc>
          <w:tcPr>
            <w:tcW w:w="253" w:type="dxa"/>
            <w:tcBorders>
              <w:top w:val="nil"/>
              <w:left w:val="nil"/>
              <w:bottom w:val="nil"/>
              <w:right w:val="nil"/>
            </w:tcBorders>
          </w:tcPr>
          <w:p w14:paraId="35D4AD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3B1C9E9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BBEF4D0" w14:textId="77777777" w:rsidTr="00116073">
        <w:tc>
          <w:tcPr>
            <w:tcW w:w="2231" w:type="dxa"/>
            <w:tcBorders>
              <w:top w:val="nil"/>
              <w:left w:val="nil"/>
              <w:bottom w:val="nil"/>
              <w:right w:val="nil"/>
            </w:tcBorders>
          </w:tcPr>
          <w:p w14:paraId="7F31CBE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Score_med×Punish</w:t>
            </w:r>
            <w:proofErr w:type="spellEnd"/>
          </w:p>
        </w:tc>
        <w:tc>
          <w:tcPr>
            <w:tcW w:w="270" w:type="dxa"/>
            <w:tcBorders>
              <w:top w:val="nil"/>
              <w:left w:val="nil"/>
              <w:bottom w:val="nil"/>
              <w:right w:val="nil"/>
            </w:tcBorders>
          </w:tcPr>
          <w:p w14:paraId="34681ED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19748B6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2714D2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64CBEC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7E44B25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2C7BBF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-0.821</w:t>
            </w:r>
          </w:p>
        </w:tc>
        <w:tc>
          <w:tcPr>
            <w:tcW w:w="253" w:type="dxa"/>
            <w:tcBorders>
              <w:top w:val="nil"/>
              <w:left w:val="nil"/>
              <w:bottom w:val="nil"/>
              <w:right w:val="nil"/>
            </w:tcBorders>
          </w:tcPr>
          <w:p w14:paraId="226C8FF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39DCEE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E8F64F8" w14:textId="77777777" w:rsidTr="00116073">
        <w:tc>
          <w:tcPr>
            <w:tcW w:w="2231" w:type="dxa"/>
            <w:tcBorders>
              <w:top w:val="nil"/>
              <w:left w:val="nil"/>
              <w:bottom w:val="nil"/>
              <w:right w:val="nil"/>
            </w:tcBorders>
          </w:tcPr>
          <w:p w14:paraId="17C2C5F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2630D4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3A6132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3DCB5F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3E2994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C2E00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6BDE3E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(-0.46)</w:t>
            </w:r>
          </w:p>
        </w:tc>
        <w:tc>
          <w:tcPr>
            <w:tcW w:w="253" w:type="dxa"/>
            <w:tcBorders>
              <w:top w:val="nil"/>
              <w:left w:val="nil"/>
              <w:bottom w:val="nil"/>
              <w:right w:val="nil"/>
            </w:tcBorders>
          </w:tcPr>
          <w:p w14:paraId="480337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3E7737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407537D" w14:textId="77777777" w:rsidTr="00116073">
        <w:tc>
          <w:tcPr>
            <w:tcW w:w="2231" w:type="dxa"/>
            <w:tcBorders>
              <w:top w:val="nil"/>
              <w:left w:val="nil"/>
              <w:bottom w:val="nil"/>
              <w:right w:val="nil"/>
            </w:tcBorders>
          </w:tcPr>
          <w:p w14:paraId="5E216C5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70" w:type="dxa"/>
            <w:tcBorders>
              <w:top w:val="nil"/>
              <w:left w:val="nil"/>
              <w:bottom w:val="nil"/>
              <w:right w:val="nil"/>
            </w:tcBorders>
          </w:tcPr>
          <w:p w14:paraId="43451A6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4D126C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56DF4C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4F7F66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6587CF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26243B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570BA0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740F8F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3.898</w:t>
            </w:r>
            <w:r w:rsidRPr="004E7E5A">
              <w:rPr>
                <w:rFonts w:ascii="Times New Roman" w:hAnsi="Times New Roman"/>
                <w:color w:val="000000" w:themeColor="text1"/>
                <w:kern w:val="0"/>
                <w:sz w:val="24"/>
                <w:vertAlign w:val="superscript"/>
              </w:rPr>
              <w:t>***</w:t>
            </w:r>
          </w:p>
        </w:tc>
      </w:tr>
      <w:tr w:rsidR="001E3466" w:rsidRPr="004E7E5A" w14:paraId="66C1F3DB" w14:textId="77777777" w:rsidTr="00116073">
        <w:tc>
          <w:tcPr>
            <w:tcW w:w="2231" w:type="dxa"/>
            <w:tcBorders>
              <w:top w:val="nil"/>
              <w:left w:val="nil"/>
              <w:bottom w:val="nil"/>
              <w:right w:val="nil"/>
            </w:tcBorders>
          </w:tcPr>
          <w:p w14:paraId="781A971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2F22F5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6B2071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56AF440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1CD14BD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2457FA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5E3DA06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7D3F7B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075F1C0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(3.38)</w:t>
            </w:r>
          </w:p>
        </w:tc>
      </w:tr>
      <w:tr w:rsidR="001E3466" w:rsidRPr="004E7E5A" w14:paraId="164753B3" w14:textId="77777777" w:rsidTr="00116073">
        <w:tc>
          <w:tcPr>
            <w:tcW w:w="2231" w:type="dxa"/>
            <w:tcBorders>
              <w:top w:val="nil"/>
              <w:left w:val="nil"/>
              <w:bottom w:val="nil"/>
              <w:right w:val="nil"/>
            </w:tcBorders>
          </w:tcPr>
          <w:p w14:paraId="39B4F9D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Score_min×Punish</w:t>
            </w:r>
            <w:proofErr w:type="spellEnd"/>
          </w:p>
        </w:tc>
        <w:tc>
          <w:tcPr>
            <w:tcW w:w="270" w:type="dxa"/>
            <w:tcBorders>
              <w:top w:val="nil"/>
              <w:left w:val="nil"/>
              <w:bottom w:val="nil"/>
              <w:right w:val="nil"/>
            </w:tcBorders>
          </w:tcPr>
          <w:p w14:paraId="6EE097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3931202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2CAAAB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2A8887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2C3252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2375E38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7CA569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70C0248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-0.491</w:t>
            </w:r>
          </w:p>
        </w:tc>
      </w:tr>
      <w:tr w:rsidR="001E3466" w:rsidRPr="004E7E5A" w14:paraId="3C2AEE80" w14:textId="77777777" w:rsidTr="00116073">
        <w:tc>
          <w:tcPr>
            <w:tcW w:w="2231" w:type="dxa"/>
            <w:tcBorders>
              <w:top w:val="nil"/>
              <w:left w:val="nil"/>
              <w:bottom w:val="nil"/>
              <w:right w:val="nil"/>
            </w:tcBorders>
          </w:tcPr>
          <w:p w14:paraId="4962B41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6AA3F4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2EDA6A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0C35F8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0D9CE4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6F651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4295D77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3" w:type="dxa"/>
            <w:tcBorders>
              <w:top w:val="nil"/>
              <w:left w:val="nil"/>
              <w:bottom w:val="nil"/>
              <w:right w:val="nil"/>
            </w:tcBorders>
          </w:tcPr>
          <w:p w14:paraId="0976A93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2846B8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(-0.23)</w:t>
            </w:r>
          </w:p>
        </w:tc>
      </w:tr>
      <w:tr w:rsidR="001E3466" w:rsidRPr="004E7E5A" w14:paraId="4F8B7197" w14:textId="77777777" w:rsidTr="00116073">
        <w:tc>
          <w:tcPr>
            <w:tcW w:w="2231" w:type="dxa"/>
            <w:tcBorders>
              <w:top w:val="nil"/>
              <w:left w:val="nil"/>
              <w:bottom w:val="nil"/>
              <w:right w:val="nil"/>
            </w:tcBorders>
          </w:tcPr>
          <w:p w14:paraId="560C804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Punish</w:t>
            </w:r>
          </w:p>
        </w:tc>
        <w:tc>
          <w:tcPr>
            <w:tcW w:w="270" w:type="dxa"/>
            <w:tcBorders>
              <w:top w:val="nil"/>
              <w:left w:val="nil"/>
              <w:bottom w:val="nil"/>
              <w:right w:val="nil"/>
            </w:tcBorders>
          </w:tcPr>
          <w:p w14:paraId="38A25DE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47F9BB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-1.060</w:t>
            </w:r>
            <w:r w:rsidRPr="004E7E5A">
              <w:rPr>
                <w:rFonts w:ascii="Times New Roman" w:hAnsi="Times New Roman"/>
                <w:color w:val="000000" w:themeColor="text1"/>
                <w:kern w:val="0"/>
                <w:sz w:val="24"/>
                <w:vertAlign w:val="superscript"/>
              </w:rPr>
              <w:t>*</w:t>
            </w:r>
          </w:p>
        </w:tc>
        <w:tc>
          <w:tcPr>
            <w:tcW w:w="272" w:type="dxa"/>
            <w:tcBorders>
              <w:top w:val="nil"/>
              <w:left w:val="nil"/>
              <w:bottom w:val="nil"/>
              <w:right w:val="nil"/>
            </w:tcBorders>
          </w:tcPr>
          <w:p w14:paraId="5294D0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321254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-0.926</w:t>
            </w:r>
          </w:p>
        </w:tc>
        <w:tc>
          <w:tcPr>
            <w:tcW w:w="264" w:type="dxa"/>
            <w:tcBorders>
              <w:top w:val="nil"/>
              <w:left w:val="nil"/>
              <w:bottom w:val="nil"/>
              <w:right w:val="nil"/>
            </w:tcBorders>
          </w:tcPr>
          <w:p w14:paraId="04399B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310092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-1.139</w:t>
            </w:r>
            <w:r w:rsidRPr="004E7E5A">
              <w:rPr>
                <w:rFonts w:ascii="Times New Roman" w:hAnsi="Times New Roman"/>
                <w:color w:val="000000" w:themeColor="text1"/>
                <w:kern w:val="0"/>
                <w:sz w:val="24"/>
                <w:vertAlign w:val="superscript"/>
              </w:rPr>
              <w:t>*</w:t>
            </w:r>
          </w:p>
        </w:tc>
        <w:tc>
          <w:tcPr>
            <w:tcW w:w="253" w:type="dxa"/>
            <w:tcBorders>
              <w:top w:val="nil"/>
              <w:left w:val="nil"/>
              <w:bottom w:val="nil"/>
              <w:right w:val="nil"/>
            </w:tcBorders>
          </w:tcPr>
          <w:p w14:paraId="7E0AF3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052DF7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-1.006</w:t>
            </w:r>
          </w:p>
        </w:tc>
      </w:tr>
      <w:tr w:rsidR="001E3466" w:rsidRPr="004E7E5A" w14:paraId="159570E3" w14:textId="77777777" w:rsidTr="00116073">
        <w:tc>
          <w:tcPr>
            <w:tcW w:w="2231" w:type="dxa"/>
            <w:tcBorders>
              <w:top w:val="nil"/>
              <w:left w:val="nil"/>
              <w:bottom w:val="nil"/>
              <w:right w:val="nil"/>
            </w:tcBorders>
          </w:tcPr>
          <w:p w14:paraId="33919B8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0" w:type="dxa"/>
            <w:tcBorders>
              <w:top w:val="nil"/>
              <w:left w:val="nil"/>
              <w:bottom w:val="nil"/>
              <w:right w:val="nil"/>
            </w:tcBorders>
          </w:tcPr>
          <w:p w14:paraId="740947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bottom w:val="nil"/>
              <w:right w:val="nil"/>
            </w:tcBorders>
          </w:tcPr>
          <w:p w14:paraId="22F81E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(-1.65)</w:t>
            </w:r>
          </w:p>
        </w:tc>
        <w:tc>
          <w:tcPr>
            <w:tcW w:w="272" w:type="dxa"/>
            <w:tcBorders>
              <w:top w:val="nil"/>
              <w:left w:val="nil"/>
              <w:bottom w:val="nil"/>
              <w:right w:val="nil"/>
            </w:tcBorders>
          </w:tcPr>
          <w:p w14:paraId="23BCF7F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bottom w:val="nil"/>
              <w:right w:val="nil"/>
            </w:tcBorders>
          </w:tcPr>
          <w:p w14:paraId="238165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(-1.44)</w:t>
            </w:r>
          </w:p>
        </w:tc>
        <w:tc>
          <w:tcPr>
            <w:tcW w:w="264" w:type="dxa"/>
            <w:tcBorders>
              <w:top w:val="nil"/>
              <w:left w:val="nil"/>
              <w:bottom w:val="nil"/>
              <w:right w:val="nil"/>
            </w:tcBorders>
          </w:tcPr>
          <w:p w14:paraId="362162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bottom w:val="nil"/>
              <w:right w:val="nil"/>
            </w:tcBorders>
          </w:tcPr>
          <w:p w14:paraId="39D771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(-1.92)</w:t>
            </w:r>
          </w:p>
        </w:tc>
        <w:tc>
          <w:tcPr>
            <w:tcW w:w="253" w:type="dxa"/>
            <w:tcBorders>
              <w:top w:val="nil"/>
              <w:left w:val="nil"/>
              <w:bottom w:val="nil"/>
              <w:right w:val="nil"/>
            </w:tcBorders>
          </w:tcPr>
          <w:p w14:paraId="193BEC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bottom w:val="nil"/>
              <w:right w:val="nil"/>
            </w:tcBorders>
          </w:tcPr>
          <w:p w14:paraId="2AE7B1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(-1.55)</w:t>
            </w:r>
          </w:p>
        </w:tc>
      </w:tr>
      <w:tr w:rsidR="001E3466" w:rsidRPr="004E7E5A" w14:paraId="02D11896" w14:textId="77777777" w:rsidTr="00116073">
        <w:tc>
          <w:tcPr>
            <w:tcW w:w="2231" w:type="dxa"/>
            <w:tcBorders>
              <w:top w:val="nil"/>
              <w:left w:val="nil"/>
              <w:right w:val="nil"/>
            </w:tcBorders>
          </w:tcPr>
          <w:p w14:paraId="2118655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70" w:type="dxa"/>
            <w:tcBorders>
              <w:top w:val="nil"/>
              <w:left w:val="nil"/>
              <w:right w:val="nil"/>
            </w:tcBorders>
          </w:tcPr>
          <w:p w14:paraId="3FF3BE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right w:val="nil"/>
            </w:tcBorders>
          </w:tcPr>
          <w:p w14:paraId="04E99BE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110F94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right w:val="nil"/>
            </w:tcBorders>
          </w:tcPr>
          <w:p w14:paraId="1DB5AF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4" w:type="dxa"/>
            <w:tcBorders>
              <w:top w:val="nil"/>
              <w:left w:val="nil"/>
              <w:right w:val="nil"/>
            </w:tcBorders>
          </w:tcPr>
          <w:p w14:paraId="5E1C056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right w:val="nil"/>
            </w:tcBorders>
          </w:tcPr>
          <w:p w14:paraId="7407B9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3" w:type="dxa"/>
            <w:tcBorders>
              <w:top w:val="nil"/>
              <w:left w:val="nil"/>
              <w:right w:val="nil"/>
            </w:tcBorders>
          </w:tcPr>
          <w:p w14:paraId="675F6E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right w:val="nil"/>
            </w:tcBorders>
          </w:tcPr>
          <w:p w14:paraId="532D10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12C29348" w14:textId="77777777" w:rsidTr="00116073">
        <w:tc>
          <w:tcPr>
            <w:tcW w:w="2231" w:type="dxa"/>
            <w:tcBorders>
              <w:top w:val="nil"/>
              <w:left w:val="nil"/>
              <w:right w:val="nil"/>
            </w:tcBorders>
          </w:tcPr>
          <w:p w14:paraId="2AA8EE5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70" w:type="dxa"/>
            <w:tcBorders>
              <w:top w:val="nil"/>
              <w:left w:val="nil"/>
              <w:right w:val="nil"/>
            </w:tcBorders>
          </w:tcPr>
          <w:p w14:paraId="2DCD1E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right w:val="nil"/>
            </w:tcBorders>
          </w:tcPr>
          <w:p w14:paraId="310F9F5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3F6108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right w:val="nil"/>
            </w:tcBorders>
          </w:tcPr>
          <w:p w14:paraId="088E0B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4" w:type="dxa"/>
            <w:tcBorders>
              <w:top w:val="nil"/>
              <w:left w:val="nil"/>
              <w:right w:val="nil"/>
            </w:tcBorders>
          </w:tcPr>
          <w:p w14:paraId="4C6C6F5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right w:val="nil"/>
            </w:tcBorders>
          </w:tcPr>
          <w:p w14:paraId="76F955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3" w:type="dxa"/>
            <w:tcBorders>
              <w:top w:val="nil"/>
              <w:left w:val="nil"/>
              <w:right w:val="nil"/>
            </w:tcBorders>
          </w:tcPr>
          <w:p w14:paraId="564076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right w:val="nil"/>
            </w:tcBorders>
          </w:tcPr>
          <w:p w14:paraId="020B9E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406BC5F4" w14:textId="77777777" w:rsidTr="00116073">
        <w:tc>
          <w:tcPr>
            <w:tcW w:w="2231" w:type="dxa"/>
            <w:tcBorders>
              <w:top w:val="nil"/>
              <w:left w:val="nil"/>
              <w:right w:val="nil"/>
            </w:tcBorders>
          </w:tcPr>
          <w:p w14:paraId="4D98F41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70" w:type="dxa"/>
            <w:tcBorders>
              <w:top w:val="nil"/>
              <w:left w:val="nil"/>
              <w:right w:val="nil"/>
            </w:tcBorders>
          </w:tcPr>
          <w:p w14:paraId="7FD828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top w:val="nil"/>
              <w:left w:val="nil"/>
              <w:right w:val="nil"/>
            </w:tcBorders>
          </w:tcPr>
          <w:p w14:paraId="22A557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3C27C9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top w:val="nil"/>
              <w:left w:val="nil"/>
              <w:right w:val="nil"/>
            </w:tcBorders>
          </w:tcPr>
          <w:p w14:paraId="5D5B60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4" w:type="dxa"/>
            <w:tcBorders>
              <w:top w:val="nil"/>
              <w:left w:val="nil"/>
              <w:right w:val="nil"/>
            </w:tcBorders>
          </w:tcPr>
          <w:p w14:paraId="15A387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top w:val="nil"/>
              <w:left w:val="nil"/>
              <w:right w:val="nil"/>
            </w:tcBorders>
          </w:tcPr>
          <w:p w14:paraId="3D9C78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3" w:type="dxa"/>
            <w:tcBorders>
              <w:top w:val="nil"/>
              <w:left w:val="nil"/>
              <w:right w:val="nil"/>
            </w:tcBorders>
          </w:tcPr>
          <w:p w14:paraId="36CA31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top w:val="nil"/>
              <w:left w:val="nil"/>
              <w:right w:val="nil"/>
            </w:tcBorders>
          </w:tcPr>
          <w:p w14:paraId="05C70DD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12FD12FA" w14:textId="77777777" w:rsidTr="00116073">
        <w:tc>
          <w:tcPr>
            <w:tcW w:w="2231" w:type="dxa"/>
            <w:tcBorders>
              <w:left w:val="nil"/>
              <w:right w:val="nil"/>
            </w:tcBorders>
          </w:tcPr>
          <w:p w14:paraId="0196065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70" w:type="dxa"/>
            <w:tcBorders>
              <w:left w:val="nil"/>
              <w:right w:val="nil"/>
            </w:tcBorders>
          </w:tcPr>
          <w:p w14:paraId="737E3C9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left w:val="nil"/>
              <w:right w:val="nil"/>
            </w:tcBorders>
          </w:tcPr>
          <w:p w14:paraId="4CE7C9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c>
          <w:tcPr>
            <w:tcW w:w="272" w:type="dxa"/>
            <w:tcBorders>
              <w:left w:val="nil"/>
              <w:right w:val="nil"/>
            </w:tcBorders>
          </w:tcPr>
          <w:p w14:paraId="732DB5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left w:val="nil"/>
              <w:right w:val="nil"/>
            </w:tcBorders>
          </w:tcPr>
          <w:p w14:paraId="3BA9C3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c>
          <w:tcPr>
            <w:tcW w:w="264" w:type="dxa"/>
            <w:tcBorders>
              <w:left w:val="nil"/>
              <w:right w:val="nil"/>
            </w:tcBorders>
          </w:tcPr>
          <w:p w14:paraId="7AC5B2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left w:val="nil"/>
              <w:right w:val="nil"/>
            </w:tcBorders>
          </w:tcPr>
          <w:p w14:paraId="0D625CA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c>
          <w:tcPr>
            <w:tcW w:w="253" w:type="dxa"/>
            <w:tcBorders>
              <w:left w:val="nil"/>
              <w:right w:val="nil"/>
            </w:tcBorders>
          </w:tcPr>
          <w:p w14:paraId="118818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left w:val="nil"/>
              <w:right w:val="nil"/>
            </w:tcBorders>
          </w:tcPr>
          <w:p w14:paraId="2D117D3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r>
      <w:tr w:rsidR="001E3466" w:rsidRPr="004E7E5A" w14:paraId="431597E6" w14:textId="77777777" w:rsidTr="00116073">
        <w:tc>
          <w:tcPr>
            <w:tcW w:w="2231" w:type="dxa"/>
            <w:tcBorders>
              <w:left w:val="nil"/>
              <w:bottom w:val="single" w:sz="4" w:space="0" w:color="auto"/>
              <w:right w:val="nil"/>
            </w:tcBorders>
          </w:tcPr>
          <w:p w14:paraId="11CDC78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70" w:type="dxa"/>
            <w:tcBorders>
              <w:left w:val="nil"/>
              <w:bottom w:val="single" w:sz="4" w:space="0" w:color="auto"/>
              <w:right w:val="nil"/>
            </w:tcBorders>
          </w:tcPr>
          <w:p w14:paraId="1E6D580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8" w:type="dxa"/>
            <w:tcBorders>
              <w:left w:val="nil"/>
              <w:bottom w:val="single" w:sz="4" w:space="0" w:color="auto"/>
              <w:right w:val="nil"/>
            </w:tcBorders>
          </w:tcPr>
          <w:p w14:paraId="63D786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1633.221</w:t>
            </w:r>
          </w:p>
        </w:tc>
        <w:tc>
          <w:tcPr>
            <w:tcW w:w="272" w:type="dxa"/>
            <w:tcBorders>
              <w:left w:val="nil"/>
              <w:bottom w:val="single" w:sz="4" w:space="0" w:color="auto"/>
              <w:right w:val="nil"/>
            </w:tcBorders>
          </w:tcPr>
          <w:p w14:paraId="5E4DA5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33" w:type="dxa"/>
            <w:tcBorders>
              <w:left w:val="nil"/>
              <w:bottom w:val="single" w:sz="4" w:space="0" w:color="auto"/>
              <w:right w:val="nil"/>
            </w:tcBorders>
          </w:tcPr>
          <w:p w14:paraId="63C74A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1787.286</w:t>
            </w:r>
          </w:p>
        </w:tc>
        <w:tc>
          <w:tcPr>
            <w:tcW w:w="264" w:type="dxa"/>
            <w:tcBorders>
              <w:left w:val="nil"/>
              <w:bottom w:val="single" w:sz="4" w:space="0" w:color="auto"/>
              <w:right w:val="nil"/>
            </w:tcBorders>
          </w:tcPr>
          <w:p w14:paraId="6F84DA5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50" w:type="dxa"/>
            <w:tcBorders>
              <w:left w:val="nil"/>
              <w:bottom w:val="single" w:sz="4" w:space="0" w:color="auto"/>
              <w:right w:val="nil"/>
            </w:tcBorders>
          </w:tcPr>
          <w:p w14:paraId="56B84B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1812.540</w:t>
            </w:r>
          </w:p>
        </w:tc>
        <w:tc>
          <w:tcPr>
            <w:tcW w:w="253" w:type="dxa"/>
            <w:tcBorders>
              <w:left w:val="nil"/>
              <w:bottom w:val="single" w:sz="4" w:space="0" w:color="auto"/>
              <w:right w:val="nil"/>
            </w:tcBorders>
          </w:tcPr>
          <w:p w14:paraId="773005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449" w:type="dxa"/>
            <w:tcBorders>
              <w:left w:val="nil"/>
              <w:bottom w:val="single" w:sz="4" w:space="0" w:color="auto"/>
              <w:right w:val="nil"/>
            </w:tcBorders>
          </w:tcPr>
          <w:p w14:paraId="083DBA0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1823.116</w:t>
            </w:r>
          </w:p>
        </w:tc>
      </w:tr>
    </w:tbl>
    <w:p w14:paraId="2E711CBC"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reports the second stage of the 2SLS model to test hypothesis 5. </w:t>
      </w:r>
      <w:r w:rsidRPr="004E7E5A">
        <w:rPr>
          <w:rFonts w:cs="Times New Roman"/>
          <w:szCs w:val="24"/>
        </w:rPr>
        <w:t xml:space="preserve">The effect of </w:t>
      </w:r>
      <w:r w:rsidRPr="004E7E5A">
        <w:rPr>
          <w:rFonts w:cs="Times New Roman"/>
          <w:shd w:val="clear" w:color="auto" w:fill="FFFFFF"/>
        </w:rPr>
        <w:t>external punishment pressure on the relationship between directors’ network and CSR disclosure quality</w:t>
      </w:r>
      <w:r w:rsidRPr="004E7E5A">
        <w:rPr>
          <w:rStyle w:val="fontstyle01"/>
          <w:rFonts w:ascii="Times New Roman" w:hAnsi="Times New Roman" w:cs="Times New Roman" w:hint="default"/>
          <w:color w:val="000000" w:themeColor="text1"/>
          <w:sz w:val="24"/>
          <w:szCs w:val="24"/>
        </w:rPr>
        <w:t xml:space="preserve"> is tested by Equation (5)</w:t>
      </w:r>
      <w:r w:rsidRPr="004E7E5A">
        <w:rPr>
          <w:rFonts w:cs="Times New Roman"/>
          <w:szCs w:val="24"/>
        </w:rPr>
        <w:t xml:space="preserve">. </w:t>
      </w:r>
      <w:r w:rsidRPr="004E7E5A">
        <w:rPr>
          <w:rFonts w:cs="Times New Roman"/>
        </w:rPr>
        <w:t xml:space="preserve">We use </w:t>
      </w:r>
      <w:r w:rsidRPr="004E7E5A">
        <w:rPr>
          <w:rFonts w:cs="Times New Roman"/>
          <w:shd w:val="clear" w:color="auto" w:fill="FFFFFF"/>
        </w:rPr>
        <w:t>environmental regulatory penalty (</w:t>
      </w:r>
      <w:r w:rsidRPr="004E7E5A">
        <w:rPr>
          <w:rFonts w:cs="Times New Roman"/>
          <w:i/>
          <w:iCs/>
          <w:shd w:val="clear" w:color="auto" w:fill="FFFFFF"/>
        </w:rPr>
        <w:t>Punish</w:t>
      </w:r>
      <w:r w:rsidRPr="004E7E5A">
        <w:rPr>
          <w:rFonts w:cs="Times New Roman"/>
          <w:shd w:val="clear" w:color="auto" w:fill="FFFFFF"/>
        </w:rPr>
        <w:t>)</w:t>
      </w:r>
      <w:r w:rsidRPr="004E7E5A">
        <w:rPr>
          <w:rFonts w:cs="Times New Roman"/>
        </w:rPr>
        <w:t xml:space="preserve"> as a proxy for external punishment pressure. </w:t>
      </w:r>
      <w:r w:rsidRPr="004E7E5A">
        <w:rPr>
          <w:rFonts w:cs="Times New Roman"/>
          <w:i/>
          <w:iCs/>
          <w:shd w:val="clear" w:color="auto" w:fill="FFFFFF"/>
        </w:rPr>
        <w:t>Punish</w:t>
      </w:r>
      <w:r w:rsidRPr="004E7E5A">
        <w:rPr>
          <w:rFonts w:eastAsia="Times New Roman" w:cs="Times New Roman"/>
          <w:szCs w:val="24"/>
          <w:lang w:eastAsia="en-GB"/>
        </w:rPr>
        <w:t xml:space="preserve"> is an indicator variable equal to 1 if </w:t>
      </w:r>
      <w:r w:rsidRPr="004E7E5A">
        <w:rPr>
          <w:rFonts w:cs="Times New Roman"/>
          <w:szCs w:val="24"/>
        </w:rPr>
        <w:t>there is statement about environmental regulatory penalty with respect to environmental protection in the annual report of the listed firm</w:t>
      </w:r>
      <w:r w:rsidRPr="004E7E5A">
        <w:rPr>
          <w:rFonts w:eastAsia="Times New Roman" w:cs="Times New Roman"/>
          <w:szCs w:val="24"/>
          <w:lang w:eastAsia="en-GB"/>
        </w:rPr>
        <w:t>, and 0 otherwise</w:t>
      </w:r>
      <w:r w:rsidRPr="004E7E5A">
        <w:rPr>
          <w:rFonts w:cs="Times New Roman"/>
          <w:szCs w:val="24"/>
        </w:rPr>
        <w:t xml:space="preserve">. </w:t>
      </w:r>
      <w:r w:rsidRPr="004E7E5A">
        <w:rPr>
          <w:rStyle w:val="fontstyle01"/>
          <w:rFonts w:ascii="Times New Roman" w:hAnsi="Times New Roman" w:cs="Times New Roman" w:hint="default"/>
          <w:color w:val="000000" w:themeColor="text1"/>
          <w:sz w:val="24"/>
          <w:szCs w:val="24"/>
        </w:rPr>
        <w:t xml:space="preserve">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eastAsia="Times New Roman" w:cs="Times New Roman"/>
          <w:i/>
          <w:iCs/>
          <w:szCs w:val="24"/>
          <w:lang w:eastAsia="en-GB"/>
        </w:rPr>
        <w:t xml:space="preserve">Controls </w:t>
      </w:r>
      <w:r w:rsidRPr="004E7E5A">
        <w:rPr>
          <w:rFonts w:eastAsia="Times New Roman" w:cs="Times New Roman"/>
          <w:szCs w:val="24"/>
          <w:lang w:eastAsia="en-GB"/>
        </w:rPr>
        <w:t xml:space="preserve">are the control variables included in Equation (1).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other variables are provided in Appendix A.</w:t>
      </w:r>
    </w:p>
    <w:p w14:paraId="44682B64" w14:textId="77777777" w:rsidR="00A53CFE" w:rsidRPr="004E7E5A" w:rsidRDefault="00A53CFE" w:rsidP="00A53CFE">
      <w:pPr>
        <w:pStyle w:val="a7"/>
        <w:spacing w:line="240" w:lineRule="auto"/>
        <w:ind w:leftChars="50" w:left="105" w:rightChars="50" w:right="105" w:firstLineChars="0" w:firstLine="0"/>
        <w:rPr>
          <w:rFonts w:cs="Times New Roman"/>
          <w:szCs w:val="24"/>
        </w:rPr>
      </w:pPr>
    </w:p>
    <w:p w14:paraId="6B558606" w14:textId="77777777" w:rsidR="00A53CFE" w:rsidRPr="004E7E5A" w:rsidRDefault="00A53CFE" w:rsidP="00A53CFE">
      <w:pPr>
        <w:pStyle w:val="a7"/>
        <w:spacing w:line="480" w:lineRule="auto"/>
        <w:ind w:firstLine="480"/>
        <w:rPr>
          <w:rFonts w:cs="Times New Roman"/>
          <w:szCs w:val="24"/>
        </w:rPr>
      </w:pPr>
    </w:p>
    <w:p w14:paraId="4B038732" w14:textId="77777777" w:rsidR="00A53CFE" w:rsidRPr="004E7E5A" w:rsidRDefault="00A53CFE" w:rsidP="00A53CFE">
      <w:pPr>
        <w:pStyle w:val="a7"/>
        <w:spacing w:line="480" w:lineRule="auto"/>
        <w:ind w:firstLine="480"/>
        <w:rPr>
          <w:rStyle w:val="fontstyle01"/>
          <w:rFonts w:ascii="Times New Roman" w:hAnsi="Times New Roman" w:cs="Times New Roman" w:hint="default"/>
          <w:color w:val="000000" w:themeColor="text1"/>
          <w:sz w:val="24"/>
          <w:szCs w:val="24"/>
        </w:rPr>
      </w:pPr>
    </w:p>
    <w:p w14:paraId="61665C1C" w14:textId="66CD02CD"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 xml:space="preserve">Table </w:t>
      </w:r>
      <w:r w:rsidR="0071114F" w:rsidRPr="004E7E5A">
        <w:rPr>
          <w:rFonts w:ascii="Times New Roman" w:eastAsia="宋体" w:hAnsi="Times New Roman"/>
          <w:b/>
          <w:bCs/>
          <w:color w:val="000000" w:themeColor="text1"/>
          <w:sz w:val="24"/>
          <w:szCs w:val="24"/>
        </w:rPr>
        <w:t>10</w:t>
      </w:r>
    </w:p>
    <w:p w14:paraId="2EE87AEF"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Second-Stage Regressions of 2SLS Model for Testing the Moderating Role of Financial Constraints</w:t>
      </w:r>
    </w:p>
    <w:tbl>
      <w:tblPr>
        <w:tblW w:w="5000" w:type="pct"/>
        <w:tblLook w:val="0000" w:firstRow="0" w:lastRow="0" w:firstColumn="0" w:lastColumn="0" w:noHBand="0" w:noVBand="0"/>
      </w:tblPr>
      <w:tblGrid>
        <w:gridCol w:w="2482"/>
        <w:gridCol w:w="262"/>
        <w:gridCol w:w="1392"/>
        <w:gridCol w:w="264"/>
        <w:gridCol w:w="1379"/>
        <w:gridCol w:w="257"/>
        <w:gridCol w:w="1393"/>
        <w:gridCol w:w="248"/>
        <w:gridCol w:w="1393"/>
      </w:tblGrid>
      <w:tr w:rsidR="001E3466" w:rsidRPr="004E7E5A" w14:paraId="344E721F" w14:textId="77777777" w:rsidTr="00116073">
        <w:tc>
          <w:tcPr>
            <w:tcW w:w="2482" w:type="dxa"/>
            <w:tcBorders>
              <w:top w:val="single" w:sz="4" w:space="0" w:color="auto"/>
              <w:left w:val="nil"/>
              <w:bottom w:val="single" w:sz="4" w:space="0" w:color="auto"/>
              <w:right w:val="nil"/>
            </w:tcBorders>
          </w:tcPr>
          <w:p w14:paraId="27C0F7B8"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62" w:type="dxa"/>
            <w:tcBorders>
              <w:top w:val="single" w:sz="4" w:space="0" w:color="auto"/>
              <w:left w:val="nil"/>
              <w:right w:val="nil"/>
            </w:tcBorders>
          </w:tcPr>
          <w:p w14:paraId="30EC1FF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92" w:type="dxa"/>
            <w:tcBorders>
              <w:top w:val="single" w:sz="4" w:space="0" w:color="auto"/>
              <w:left w:val="nil"/>
              <w:bottom w:val="single" w:sz="4" w:space="0" w:color="auto"/>
              <w:right w:val="nil"/>
            </w:tcBorders>
          </w:tcPr>
          <w:p w14:paraId="6D93239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64" w:type="dxa"/>
            <w:tcBorders>
              <w:top w:val="single" w:sz="4" w:space="0" w:color="auto"/>
              <w:left w:val="nil"/>
              <w:right w:val="nil"/>
            </w:tcBorders>
          </w:tcPr>
          <w:p w14:paraId="40C84D8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79" w:type="dxa"/>
            <w:tcBorders>
              <w:top w:val="single" w:sz="4" w:space="0" w:color="auto"/>
              <w:left w:val="nil"/>
              <w:bottom w:val="single" w:sz="4" w:space="0" w:color="auto"/>
              <w:right w:val="nil"/>
            </w:tcBorders>
          </w:tcPr>
          <w:p w14:paraId="5F53754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57" w:type="dxa"/>
            <w:tcBorders>
              <w:top w:val="single" w:sz="4" w:space="0" w:color="auto"/>
              <w:left w:val="nil"/>
              <w:right w:val="nil"/>
            </w:tcBorders>
          </w:tcPr>
          <w:p w14:paraId="1FC7364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93" w:type="dxa"/>
            <w:tcBorders>
              <w:top w:val="single" w:sz="4" w:space="0" w:color="auto"/>
              <w:left w:val="nil"/>
              <w:bottom w:val="single" w:sz="4" w:space="0" w:color="auto"/>
              <w:right w:val="nil"/>
            </w:tcBorders>
          </w:tcPr>
          <w:p w14:paraId="387B1E6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48" w:type="dxa"/>
            <w:tcBorders>
              <w:top w:val="single" w:sz="4" w:space="0" w:color="auto"/>
              <w:left w:val="nil"/>
              <w:right w:val="nil"/>
            </w:tcBorders>
          </w:tcPr>
          <w:p w14:paraId="664B68D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393" w:type="dxa"/>
            <w:tcBorders>
              <w:top w:val="single" w:sz="4" w:space="0" w:color="auto"/>
              <w:left w:val="nil"/>
              <w:bottom w:val="single" w:sz="4" w:space="0" w:color="auto"/>
              <w:right w:val="nil"/>
            </w:tcBorders>
          </w:tcPr>
          <w:p w14:paraId="76018B6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2CD69531" w14:textId="77777777" w:rsidTr="00116073">
        <w:tc>
          <w:tcPr>
            <w:tcW w:w="2482" w:type="dxa"/>
            <w:tcBorders>
              <w:top w:val="single" w:sz="4" w:space="0" w:color="auto"/>
              <w:left w:val="nil"/>
              <w:bottom w:val="nil"/>
              <w:right w:val="nil"/>
            </w:tcBorders>
          </w:tcPr>
          <w:p w14:paraId="407CD89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62" w:type="dxa"/>
            <w:tcBorders>
              <w:left w:val="nil"/>
              <w:bottom w:val="nil"/>
              <w:right w:val="nil"/>
            </w:tcBorders>
          </w:tcPr>
          <w:p w14:paraId="108EF8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single" w:sz="4" w:space="0" w:color="auto"/>
              <w:left w:val="nil"/>
              <w:bottom w:val="nil"/>
              <w:right w:val="nil"/>
            </w:tcBorders>
          </w:tcPr>
          <w:p w14:paraId="57E2C4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1.997</w:t>
            </w:r>
            <w:r w:rsidRPr="004E7E5A">
              <w:rPr>
                <w:rFonts w:ascii="Times New Roman" w:hAnsi="Times New Roman"/>
                <w:color w:val="000000" w:themeColor="text1"/>
                <w:kern w:val="0"/>
                <w:sz w:val="24"/>
                <w:vertAlign w:val="superscript"/>
              </w:rPr>
              <w:t>**</w:t>
            </w:r>
          </w:p>
        </w:tc>
        <w:tc>
          <w:tcPr>
            <w:tcW w:w="264" w:type="dxa"/>
            <w:tcBorders>
              <w:left w:val="nil"/>
              <w:bottom w:val="nil"/>
              <w:right w:val="nil"/>
            </w:tcBorders>
          </w:tcPr>
          <w:p w14:paraId="31932C8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single" w:sz="4" w:space="0" w:color="auto"/>
              <w:left w:val="nil"/>
              <w:bottom w:val="nil"/>
              <w:right w:val="nil"/>
            </w:tcBorders>
          </w:tcPr>
          <w:p w14:paraId="761EFDB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left w:val="nil"/>
              <w:bottom w:val="nil"/>
              <w:right w:val="nil"/>
            </w:tcBorders>
          </w:tcPr>
          <w:p w14:paraId="1DF95A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single" w:sz="4" w:space="0" w:color="auto"/>
              <w:left w:val="nil"/>
              <w:bottom w:val="nil"/>
              <w:right w:val="nil"/>
            </w:tcBorders>
          </w:tcPr>
          <w:p w14:paraId="0217C9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left w:val="nil"/>
              <w:bottom w:val="nil"/>
              <w:right w:val="nil"/>
            </w:tcBorders>
          </w:tcPr>
          <w:p w14:paraId="65AB77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single" w:sz="4" w:space="0" w:color="auto"/>
              <w:left w:val="nil"/>
              <w:bottom w:val="nil"/>
              <w:right w:val="nil"/>
            </w:tcBorders>
          </w:tcPr>
          <w:p w14:paraId="7E08A6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768CD71" w14:textId="77777777" w:rsidTr="00116073">
        <w:tc>
          <w:tcPr>
            <w:tcW w:w="2482" w:type="dxa"/>
            <w:tcBorders>
              <w:top w:val="nil"/>
              <w:left w:val="nil"/>
              <w:bottom w:val="nil"/>
              <w:right w:val="nil"/>
            </w:tcBorders>
          </w:tcPr>
          <w:p w14:paraId="3F263E4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392F52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77A016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(2.49)</w:t>
            </w:r>
          </w:p>
        </w:tc>
        <w:tc>
          <w:tcPr>
            <w:tcW w:w="264" w:type="dxa"/>
            <w:tcBorders>
              <w:top w:val="nil"/>
              <w:left w:val="nil"/>
              <w:bottom w:val="nil"/>
              <w:right w:val="nil"/>
            </w:tcBorders>
          </w:tcPr>
          <w:p w14:paraId="4E93C1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1578EE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5B57D0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52DE30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30EDD5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2F2EF4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0FD7504" w14:textId="77777777" w:rsidTr="00116073">
        <w:tc>
          <w:tcPr>
            <w:tcW w:w="2482" w:type="dxa"/>
            <w:tcBorders>
              <w:top w:val="nil"/>
              <w:left w:val="nil"/>
              <w:bottom w:val="nil"/>
              <w:right w:val="nil"/>
            </w:tcBorders>
          </w:tcPr>
          <w:p w14:paraId="4A9E4A6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Score_max×FC</w:t>
            </w:r>
            <w:proofErr w:type="spellEnd"/>
            <w:r w:rsidRPr="004E7E5A">
              <w:rPr>
                <w:rFonts w:ascii="Times New Roman" w:hAnsi="Times New Roman"/>
                <w:i/>
                <w:iCs/>
                <w:color w:val="000000" w:themeColor="text1"/>
                <w:kern w:val="0"/>
                <w:sz w:val="24"/>
                <w:szCs w:val="24"/>
              </w:rPr>
              <w:t xml:space="preserve"> index</w:t>
            </w:r>
          </w:p>
        </w:tc>
        <w:tc>
          <w:tcPr>
            <w:tcW w:w="262" w:type="dxa"/>
            <w:tcBorders>
              <w:top w:val="nil"/>
              <w:left w:val="nil"/>
              <w:bottom w:val="nil"/>
              <w:right w:val="nil"/>
            </w:tcBorders>
          </w:tcPr>
          <w:p w14:paraId="359A4A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7B32C46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-8.423</w:t>
            </w:r>
            <w:r w:rsidRPr="004E7E5A">
              <w:rPr>
                <w:rFonts w:ascii="Times New Roman" w:hAnsi="Times New Roman"/>
                <w:color w:val="000000" w:themeColor="text1"/>
                <w:kern w:val="0"/>
                <w:sz w:val="24"/>
                <w:vertAlign w:val="superscript"/>
              </w:rPr>
              <w:t>***</w:t>
            </w:r>
          </w:p>
        </w:tc>
        <w:tc>
          <w:tcPr>
            <w:tcW w:w="264" w:type="dxa"/>
            <w:tcBorders>
              <w:top w:val="nil"/>
              <w:left w:val="nil"/>
              <w:bottom w:val="nil"/>
              <w:right w:val="nil"/>
            </w:tcBorders>
          </w:tcPr>
          <w:p w14:paraId="65A65C2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3A2ABE0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14C9F0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220F1CE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38D492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4E0E98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40B34A6" w14:textId="77777777" w:rsidTr="00116073">
        <w:tc>
          <w:tcPr>
            <w:tcW w:w="2482" w:type="dxa"/>
            <w:tcBorders>
              <w:top w:val="nil"/>
              <w:left w:val="nil"/>
              <w:bottom w:val="nil"/>
              <w:right w:val="nil"/>
            </w:tcBorders>
          </w:tcPr>
          <w:p w14:paraId="367EE05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3C7215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7FA8B3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(-3.33)</w:t>
            </w:r>
          </w:p>
        </w:tc>
        <w:tc>
          <w:tcPr>
            <w:tcW w:w="264" w:type="dxa"/>
            <w:tcBorders>
              <w:top w:val="nil"/>
              <w:left w:val="nil"/>
              <w:bottom w:val="nil"/>
              <w:right w:val="nil"/>
            </w:tcBorders>
          </w:tcPr>
          <w:p w14:paraId="0608432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060424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68096D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4CA9FE4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308C4F6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1CF98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97AC2CF" w14:textId="77777777" w:rsidTr="00116073">
        <w:tc>
          <w:tcPr>
            <w:tcW w:w="2482" w:type="dxa"/>
            <w:tcBorders>
              <w:top w:val="nil"/>
              <w:left w:val="nil"/>
              <w:bottom w:val="nil"/>
              <w:right w:val="nil"/>
            </w:tcBorders>
          </w:tcPr>
          <w:p w14:paraId="1CEFB34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62" w:type="dxa"/>
            <w:tcBorders>
              <w:top w:val="nil"/>
              <w:left w:val="nil"/>
              <w:bottom w:val="nil"/>
              <w:right w:val="nil"/>
            </w:tcBorders>
          </w:tcPr>
          <w:p w14:paraId="32BD5E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25E4AE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0F793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44E28BF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1.950</w:t>
            </w:r>
            <w:r w:rsidRPr="004E7E5A">
              <w:rPr>
                <w:rFonts w:ascii="Times New Roman" w:hAnsi="Times New Roman"/>
                <w:color w:val="000000" w:themeColor="text1"/>
                <w:kern w:val="0"/>
                <w:sz w:val="24"/>
                <w:vertAlign w:val="superscript"/>
              </w:rPr>
              <w:t>***</w:t>
            </w:r>
          </w:p>
        </w:tc>
        <w:tc>
          <w:tcPr>
            <w:tcW w:w="257" w:type="dxa"/>
            <w:tcBorders>
              <w:top w:val="nil"/>
              <w:left w:val="nil"/>
              <w:bottom w:val="nil"/>
              <w:right w:val="nil"/>
            </w:tcBorders>
          </w:tcPr>
          <w:p w14:paraId="42203C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69CC35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5A2A0D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A5E94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65B66C8" w14:textId="77777777" w:rsidTr="00116073">
        <w:tc>
          <w:tcPr>
            <w:tcW w:w="2482" w:type="dxa"/>
            <w:tcBorders>
              <w:top w:val="nil"/>
              <w:left w:val="nil"/>
              <w:bottom w:val="nil"/>
              <w:right w:val="nil"/>
            </w:tcBorders>
          </w:tcPr>
          <w:p w14:paraId="359052B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7CC331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74218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6DC277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587C3A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(2.80)</w:t>
            </w:r>
          </w:p>
        </w:tc>
        <w:tc>
          <w:tcPr>
            <w:tcW w:w="257" w:type="dxa"/>
            <w:tcBorders>
              <w:top w:val="nil"/>
              <w:left w:val="nil"/>
              <w:bottom w:val="nil"/>
              <w:right w:val="nil"/>
            </w:tcBorders>
          </w:tcPr>
          <w:p w14:paraId="30E631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09F31D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4EBDAB0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5D580F9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B6378A4" w14:textId="77777777" w:rsidTr="00116073">
        <w:tc>
          <w:tcPr>
            <w:tcW w:w="2482" w:type="dxa"/>
            <w:tcBorders>
              <w:top w:val="nil"/>
              <w:left w:val="nil"/>
              <w:bottom w:val="nil"/>
              <w:right w:val="nil"/>
            </w:tcBorders>
          </w:tcPr>
          <w:p w14:paraId="4B82C65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Score_mean×FC</w:t>
            </w:r>
            <w:proofErr w:type="spellEnd"/>
            <w:r w:rsidRPr="004E7E5A">
              <w:rPr>
                <w:rFonts w:ascii="Times New Roman" w:hAnsi="Times New Roman"/>
                <w:i/>
                <w:iCs/>
                <w:color w:val="000000" w:themeColor="text1"/>
                <w:kern w:val="0"/>
                <w:sz w:val="24"/>
                <w:szCs w:val="24"/>
              </w:rPr>
              <w:t xml:space="preserve"> index</w:t>
            </w:r>
          </w:p>
        </w:tc>
        <w:tc>
          <w:tcPr>
            <w:tcW w:w="262" w:type="dxa"/>
            <w:tcBorders>
              <w:top w:val="nil"/>
              <w:left w:val="nil"/>
              <w:bottom w:val="nil"/>
              <w:right w:val="nil"/>
            </w:tcBorders>
          </w:tcPr>
          <w:p w14:paraId="730006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31737B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0CC27F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1C9B139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-8.739</w:t>
            </w:r>
            <w:r w:rsidRPr="004E7E5A">
              <w:rPr>
                <w:rFonts w:ascii="Times New Roman" w:hAnsi="Times New Roman"/>
                <w:color w:val="000000" w:themeColor="text1"/>
                <w:kern w:val="0"/>
                <w:sz w:val="24"/>
                <w:vertAlign w:val="superscript"/>
              </w:rPr>
              <w:t>***</w:t>
            </w:r>
          </w:p>
        </w:tc>
        <w:tc>
          <w:tcPr>
            <w:tcW w:w="257" w:type="dxa"/>
            <w:tcBorders>
              <w:top w:val="nil"/>
              <w:left w:val="nil"/>
              <w:bottom w:val="nil"/>
              <w:right w:val="nil"/>
            </w:tcBorders>
          </w:tcPr>
          <w:p w14:paraId="044BD83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6CB32E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31150AA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0F46D4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8EA0908" w14:textId="77777777" w:rsidTr="00116073">
        <w:tc>
          <w:tcPr>
            <w:tcW w:w="2482" w:type="dxa"/>
            <w:tcBorders>
              <w:top w:val="nil"/>
              <w:left w:val="nil"/>
              <w:bottom w:val="nil"/>
              <w:right w:val="nil"/>
            </w:tcBorders>
          </w:tcPr>
          <w:p w14:paraId="2217FEA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0D91F7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33C492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173DBC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367310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(-3.62)</w:t>
            </w:r>
          </w:p>
        </w:tc>
        <w:tc>
          <w:tcPr>
            <w:tcW w:w="257" w:type="dxa"/>
            <w:tcBorders>
              <w:top w:val="nil"/>
              <w:left w:val="nil"/>
              <w:bottom w:val="nil"/>
              <w:right w:val="nil"/>
            </w:tcBorders>
          </w:tcPr>
          <w:p w14:paraId="775A07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53DDF1C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0491D9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6A458A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733E411" w14:textId="77777777" w:rsidTr="00116073">
        <w:tc>
          <w:tcPr>
            <w:tcW w:w="2482" w:type="dxa"/>
            <w:tcBorders>
              <w:top w:val="nil"/>
              <w:left w:val="nil"/>
              <w:bottom w:val="nil"/>
              <w:right w:val="nil"/>
            </w:tcBorders>
          </w:tcPr>
          <w:p w14:paraId="15691A6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62" w:type="dxa"/>
            <w:tcBorders>
              <w:top w:val="nil"/>
              <w:left w:val="nil"/>
              <w:bottom w:val="nil"/>
              <w:right w:val="nil"/>
            </w:tcBorders>
          </w:tcPr>
          <w:p w14:paraId="7C259D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4A1D11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83A86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584BEE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741096B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3B7422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3.841</w:t>
            </w:r>
            <w:r w:rsidRPr="004E7E5A">
              <w:rPr>
                <w:rFonts w:ascii="Times New Roman" w:hAnsi="Times New Roman"/>
                <w:color w:val="000000" w:themeColor="text1"/>
                <w:kern w:val="0"/>
                <w:sz w:val="24"/>
                <w:vertAlign w:val="superscript"/>
              </w:rPr>
              <w:t>***</w:t>
            </w:r>
          </w:p>
        </w:tc>
        <w:tc>
          <w:tcPr>
            <w:tcW w:w="248" w:type="dxa"/>
            <w:tcBorders>
              <w:top w:val="nil"/>
              <w:left w:val="nil"/>
              <w:bottom w:val="nil"/>
              <w:right w:val="nil"/>
            </w:tcBorders>
          </w:tcPr>
          <w:p w14:paraId="714F53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0B487E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781DD8AD" w14:textId="77777777" w:rsidTr="00116073">
        <w:tc>
          <w:tcPr>
            <w:tcW w:w="2482" w:type="dxa"/>
            <w:tcBorders>
              <w:top w:val="nil"/>
              <w:left w:val="nil"/>
              <w:bottom w:val="nil"/>
              <w:right w:val="nil"/>
            </w:tcBorders>
          </w:tcPr>
          <w:p w14:paraId="1CC1493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3E2303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037C5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6A2EA9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430FB0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4BEA57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7829D7C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(3.07)</w:t>
            </w:r>
          </w:p>
        </w:tc>
        <w:tc>
          <w:tcPr>
            <w:tcW w:w="248" w:type="dxa"/>
            <w:tcBorders>
              <w:top w:val="nil"/>
              <w:left w:val="nil"/>
              <w:bottom w:val="nil"/>
              <w:right w:val="nil"/>
            </w:tcBorders>
          </w:tcPr>
          <w:p w14:paraId="7848CB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BB133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5CB98FB" w14:textId="77777777" w:rsidTr="00116073">
        <w:tc>
          <w:tcPr>
            <w:tcW w:w="2482" w:type="dxa"/>
            <w:tcBorders>
              <w:top w:val="nil"/>
              <w:left w:val="nil"/>
              <w:bottom w:val="nil"/>
              <w:right w:val="nil"/>
            </w:tcBorders>
          </w:tcPr>
          <w:p w14:paraId="2C0E597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Score_med×FC</w:t>
            </w:r>
            <w:proofErr w:type="spellEnd"/>
            <w:r w:rsidRPr="004E7E5A">
              <w:rPr>
                <w:rFonts w:ascii="Times New Roman" w:hAnsi="Times New Roman"/>
                <w:i/>
                <w:iCs/>
                <w:color w:val="000000" w:themeColor="text1"/>
                <w:kern w:val="0"/>
                <w:sz w:val="24"/>
                <w:szCs w:val="24"/>
              </w:rPr>
              <w:t xml:space="preserve"> index</w:t>
            </w:r>
          </w:p>
        </w:tc>
        <w:tc>
          <w:tcPr>
            <w:tcW w:w="262" w:type="dxa"/>
            <w:tcBorders>
              <w:top w:val="nil"/>
              <w:left w:val="nil"/>
              <w:bottom w:val="nil"/>
              <w:right w:val="nil"/>
            </w:tcBorders>
          </w:tcPr>
          <w:p w14:paraId="3D89E9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ECD60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7E9CD6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3F7AA33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5ED36B6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6FCC88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-15.599</w:t>
            </w:r>
            <w:r w:rsidRPr="004E7E5A">
              <w:rPr>
                <w:rFonts w:ascii="Times New Roman" w:hAnsi="Times New Roman"/>
                <w:color w:val="000000" w:themeColor="text1"/>
                <w:kern w:val="0"/>
                <w:sz w:val="24"/>
                <w:vertAlign w:val="superscript"/>
              </w:rPr>
              <w:t>***</w:t>
            </w:r>
          </w:p>
        </w:tc>
        <w:tc>
          <w:tcPr>
            <w:tcW w:w="248" w:type="dxa"/>
            <w:tcBorders>
              <w:top w:val="nil"/>
              <w:left w:val="nil"/>
              <w:bottom w:val="nil"/>
              <w:right w:val="nil"/>
            </w:tcBorders>
          </w:tcPr>
          <w:p w14:paraId="149C179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4341FE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561898AC" w14:textId="77777777" w:rsidTr="00116073">
        <w:tc>
          <w:tcPr>
            <w:tcW w:w="2482" w:type="dxa"/>
            <w:tcBorders>
              <w:top w:val="nil"/>
              <w:left w:val="nil"/>
              <w:bottom w:val="nil"/>
              <w:right w:val="nil"/>
            </w:tcBorders>
          </w:tcPr>
          <w:p w14:paraId="7EB8C42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1149E6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5B180B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4487AF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2473DA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0B98192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650AAB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(-3.72)</w:t>
            </w:r>
          </w:p>
        </w:tc>
        <w:tc>
          <w:tcPr>
            <w:tcW w:w="248" w:type="dxa"/>
            <w:tcBorders>
              <w:top w:val="nil"/>
              <w:left w:val="nil"/>
              <w:bottom w:val="nil"/>
              <w:right w:val="nil"/>
            </w:tcBorders>
          </w:tcPr>
          <w:p w14:paraId="655DDF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5D490A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03C2545" w14:textId="77777777" w:rsidTr="00116073">
        <w:tc>
          <w:tcPr>
            <w:tcW w:w="2482" w:type="dxa"/>
            <w:tcBorders>
              <w:top w:val="nil"/>
              <w:left w:val="nil"/>
              <w:bottom w:val="nil"/>
              <w:right w:val="nil"/>
            </w:tcBorders>
          </w:tcPr>
          <w:p w14:paraId="08A5D208"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62" w:type="dxa"/>
            <w:tcBorders>
              <w:top w:val="nil"/>
              <w:left w:val="nil"/>
              <w:bottom w:val="nil"/>
              <w:right w:val="nil"/>
            </w:tcBorders>
          </w:tcPr>
          <w:p w14:paraId="5C7744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692EE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2DC9FC3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38DCA47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039E39B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68188B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10A7CB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03D71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3.551</w:t>
            </w:r>
            <w:r w:rsidRPr="004E7E5A">
              <w:rPr>
                <w:rFonts w:ascii="Times New Roman" w:hAnsi="Times New Roman"/>
                <w:color w:val="000000" w:themeColor="text1"/>
                <w:kern w:val="0"/>
                <w:sz w:val="24"/>
                <w:vertAlign w:val="superscript"/>
              </w:rPr>
              <w:t>***</w:t>
            </w:r>
          </w:p>
        </w:tc>
      </w:tr>
      <w:tr w:rsidR="001E3466" w:rsidRPr="004E7E5A" w14:paraId="6D5C14C2" w14:textId="77777777" w:rsidTr="00116073">
        <w:tc>
          <w:tcPr>
            <w:tcW w:w="2482" w:type="dxa"/>
            <w:tcBorders>
              <w:top w:val="nil"/>
              <w:left w:val="nil"/>
              <w:bottom w:val="nil"/>
              <w:right w:val="nil"/>
            </w:tcBorders>
          </w:tcPr>
          <w:p w14:paraId="3E6E995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33FE61B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40F6CC7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570FEE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192AED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1ED46D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5677C64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4BFF0C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284026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(2.87)</w:t>
            </w:r>
          </w:p>
        </w:tc>
      </w:tr>
      <w:tr w:rsidR="001E3466" w:rsidRPr="004E7E5A" w14:paraId="5A7A19F1" w14:textId="77777777" w:rsidTr="00116073">
        <w:tc>
          <w:tcPr>
            <w:tcW w:w="2482" w:type="dxa"/>
            <w:tcBorders>
              <w:top w:val="nil"/>
              <w:left w:val="nil"/>
              <w:bottom w:val="nil"/>
              <w:right w:val="nil"/>
            </w:tcBorders>
          </w:tcPr>
          <w:p w14:paraId="0095484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Score_min×FC</w:t>
            </w:r>
            <w:proofErr w:type="spellEnd"/>
            <w:r w:rsidRPr="004E7E5A">
              <w:rPr>
                <w:rFonts w:ascii="Times New Roman" w:hAnsi="Times New Roman"/>
                <w:i/>
                <w:iCs/>
                <w:color w:val="000000" w:themeColor="text1"/>
                <w:kern w:val="0"/>
                <w:sz w:val="24"/>
                <w:szCs w:val="24"/>
              </w:rPr>
              <w:t xml:space="preserve"> index</w:t>
            </w:r>
          </w:p>
        </w:tc>
        <w:tc>
          <w:tcPr>
            <w:tcW w:w="262" w:type="dxa"/>
            <w:tcBorders>
              <w:top w:val="nil"/>
              <w:left w:val="nil"/>
              <w:bottom w:val="nil"/>
              <w:right w:val="nil"/>
            </w:tcBorders>
          </w:tcPr>
          <w:p w14:paraId="7A033BC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919865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13442B8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39458A3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3BD358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35FA43B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5D04996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47EAB3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-14.771</w:t>
            </w:r>
            <w:r w:rsidRPr="004E7E5A">
              <w:rPr>
                <w:rFonts w:ascii="Times New Roman" w:hAnsi="Times New Roman"/>
                <w:color w:val="000000" w:themeColor="text1"/>
                <w:kern w:val="0"/>
                <w:sz w:val="24"/>
                <w:vertAlign w:val="superscript"/>
              </w:rPr>
              <w:t>***</w:t>
            </w:r>
          </w:p>
        </w:tc>
      </w:tr>
      <w:tr w:rsidR="001E3466" w:rsidRPr="004E7E5A" w14:paraId="59E0F5DC" w14:textId="77777777" w:rsidTr="00116073">
        <w:tc>
          <w:tcPr>
            <w:tcW w:w="2482" w:type="dxa"/>
            <w:tcBorders>
              <w:top w:val="nil"/>
              <w:left w:val="nil"/>
              <w:bottom w:val="nil"/>
              <w:right w:val="nil"/>
            </w:tcBorders>
          </w:tcPr>
          <w:p w14:paraId="194213A9"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16F8FD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9203A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4" w:type="dxa"/>
            <w:tcBorders>
              <w:top w:val="nil"/>
              <w:left w:val="nil"/>
              <w:bottom w:val="nil"/>
              <w:right w:val="nil"/>
            </w:tcBorders>
          </w:tcPr>
          <w:p w14:paraId="147BFD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73AE432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7" w:type="dxa"/>
            <w:tcBorders>
              <w:top w:val="nil"/>
              <w:left w:val="nil"/>
              <w:bottom w:val="nil"/>
              <w:right w:val="nil"/>
            </w:tcBorders>
          </w:tcPr>
          <w:p w14:paraId="7F52378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0284D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8" w:type="dxa"/>
            <w:tcBorders>
              <w:top w:val="nil"/>
              <w:left w:val="nil"/>
              <w:bottom w:val="nil"/>
              <w:right w:val="nil"/>
            </w:tcBorders>
          </w:tcPr>
          <w:p w14:paraId="752173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F494B7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(-3.71)</w:t>
            </w:r>
          </w:p>
        </w:tc>
      </w:tr>
      <w:tr w:rsidR="001E3466" w:rsidRPr="004E7E5A" w14:paraId="616C2EDB" w14:textId="77777777" w:rsidTr="00116073">
        <w:tc>
          <w:tcPr>
            <w:tcW w:w="2482" w:type="dxa"/>
            <w:tcBorders>
              <w:top w:val="nil"/>
              <w:left w:val="nil"/>
              <w:bottom w:val="nil"/>
              <w:right w:val="nil"/>
            </w:tcBorders>
          </w:tcPr>
          <w:p w14:paraId="2644ECC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FC index</w:t>
            </w:r>
          </w:p>
        </w:tc>
        <w:tc>
          <w:tcPr>
            <w:tcW w:w="262" w:type="dxa"/>
            <w:tcBorders>
              <w:top w:val="nil"/>
              <w:left w:val="nil"/>
              <w:bottom w:val="nil"/>
              <w:right w:val="nil"/>
            </w:tcBorders>
          </w:tcPr>
          <w:p w14:paraId="3D3BC7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3966870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-5.996</w:t>
            </w:r>
            <w:r w:rsidRPr="004E7E5A">
              <w:rPr>
                <w:rFonts w:ascii="Times New Roman" w:hAnsi="Times New Roman"/>
                <w:color w:val="000000" w:themeColor="text1"/>
                <w:kern w:val="0"/>
                <w:sz w:val="24"/>
                <w:vertAlign w:val="superscript"/>
              </w:rPr>
              <w:t>***</w:t>
            </w:r>
          </w:p>
        </w:tc>
        <w:tc>
          <w:tcPr>
            <w:tcW w:w="264" w:type="dxa"/>
            <w:tcBorders>
              <w:top w:val="nil"/>
              <w:left w:val="nil"/>
              <w:bottom w:val="nil"/>
              <w:right w:val="nil"/>
            </w:tcBorders>
          </w:tcPr>
          <w:p w14:paraId="2D5767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0D34C1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-8.163</w:t>
            </w:r>
            <w:r w:rsidRPr="004E7E5A">
              <w:rPr>
                <w:rFonts w:ascii="Times New Roman" w:hAnsi="Times New Roman"/>
                <w:color w:val="000000" w:themeColor="text1"/>
                <w:kern w:val="0"/>
                <w:sz w:val="24"/>
                <w:vertAlign w:val="superscript"/>
              </w:rPr>
              <w:t>***</w:t>
            </w:r>
          </w:p>
        </w:tc>
        <w:tc>
          <w:tcPr>
            <w:tcW w:w="257" w:type="dxa"/>
            <w:tcBorders>
              <w:top w:val="nil"/>
              <w:left w:val="nil"/>
              <w:bottom w:val="nil"/>
              <w:right w:val="nil"/>
            </w:tcBorders>
          </w:tcPr>
          <w:p w14:paraId="3C00F81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0C3982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-11.199</w:t>
            </w:r>
            <w:r w:rsidRPr="004E7E5A">
              <w:rPr>
                <w:rFonts w:ascii="Times New Roman" w:hAnsi="Times New Roman"/>
                <w:color w:val="000000" w:themeColor="text1"/>
                <w:kern w:val="0"/>
                <w:sz w:val="24"/>
                <w:vertAlign w:val="superscript"/>
              </w:rPr>
              <w:t>***</w:t>
            </w:r>
          </w:p>
        </w:tc>
        <w:tc>
          <w:tcPr>
            <w:tcW w:w="248" w:type="dxa"/>
            <w:tcBorders>
              <w:top w:val="nil"/>
              <w:left w:val="nil"/>
              <w:bottom w:val="nil"/>
              <w:right w:val="nil"/>
            </w:tcBorders>
          </w:tcPr>
          <w:p w14:paraId="155F08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79DE54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-10.313</w:t>
            </w:r>
            <w:r w:rsidRPr="004E7E5A">
              <w:rPr>
                <w:rFonts w:ascii="Times New Roman" w:hAnsi="Times New Roman"/>
                <w:color w:val="000000" w:themeColor="text1"/>
                <w:kern w:val="0"/>
                <w:sz w:val="24"/>
                <w:vertAlign w:val="superscript"/>
              </w:rPr>
              <w:t>***</w:t>
            </w:r>
          </w:p>
        </w:tc>
      </w:tr>
      <w:tr w:rsidR="001E3466" w:rsidRPr="004E7E5A" w14:paraId="08D25E3B" w14:textId="77777777" w:rsidTr="00116073">
        <w:tc>
          <w:tcPr>
            <w:tcW w:w="2482" w:type="dxa"/>
            <w:tcBorders>
              <w:top w:val="nil"/>
              <w:left w:val="nil"/>
              <w:bottom w:val="nil"/>
              <w:right w:val="nil"/>
            </w:tcBorders>
          </w:tcPr>
          <w:p w14:paraId="0E4E7B0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62" w:type="dxa"/>
            <w:tcBorders>
              <w:top w:val="nil"/>
              <w:left w:val="nil"/>
              <w:bottom w:val="nil"/>
              <w:right w:val="nil"/>
            </w:tcBorders>
          </w:tcPr>
          <w:p w14:paraId="73D26B7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bottom w:val="nil"/>
              <w:right w:val="nil"/>
            </w:tcBorders>
          </w:tcPr>
          <w:p w14:paraId="6A72CA9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(-2.82)</w:t>
            </w:r>
          </w:p>
        </w:tc>
        <w:tc>
          <w:tcPr>
            <w:tcW w:w="264" w:type="dxa"/>
            <w:tcBorders>
              <w:top w:val="nil"/>
              <w:left w:val="nil"/>
              <w:bottom w:val="nil"/>
              <w:right w:val="nil"/>
            </w:tcBorders>
          </w:tcPr>
          <w:p w14:paraId="50D1F8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bottom w:val="nil"/>
              <w:right w:val="nil"/>
            </w:tcBorders>
          </w:tcPr>
          <w:p w14:paraId="2224750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(-3.37)</w:t>
            </w:r>
          </w:p>
        </w:tc>
        <w:tc>
          <w:tcPr>
            <w:tcW w:w="257" w:type="dxa"/>
            <w:tcBorders>
              <w:top w:val="nil"/>
              <w:left w:val="nil"/>
              <w:bottom w:val="nil"/>
              <w:right w:val="nil"/>
            </w:tcBorders>
          </w:tcPr>
          <w:p w14:paraId="6BAAD45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3A0703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(-3.41)</w:t>
            </w:r>
          </w:p>
        </w:tc>
        <w:tc>
          <w:tcPr>
            <w:tcW w:w="248" w:type="dxa"/>
            <w:tcBorders>
              <w:top w:val="nil"/>
              <w:left w:val="nil"/>
              <w:bottom w:val="nil"/>
              <w:right w:val="nil"/>
            </w:tcBorders>
          </w:tcPr>
          <w:p w14:paraId="0CFE7FD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bottom w:val="nil"/>
              <w:right w:val="nil"/>
            </w:tcBorders>
          </w:tcPr>
          <w:p w14:paraId="1A7B57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(-3.31)</w:t>
            </w:r>
          </w:p>
        </w:tc>
      </w:tr>
      <w:tr w:rsidR="001E3466" w:rsidRPr="004E7E5A" w14:paraId="585A5F87" w14:textId="77777777" w:rsidTr="00116073">
        <w:tc>
          <w:tcPr>
            <w:tcW w:w="2482" w:type="dxa"/>
            <w:tcBorders>
              <w:top w:val="nil"/>
              <w:left w:val="nil"/>
              <w:right w:val="nil"/>
            </w:tcBorders>
          </w:tcPr>
          <w:p w14:paraId="0975A4B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62" w:type="dxa"/>
            <w:tcBorders>
              <w:top w:val="nil"/>
              <w:left w:val="nil"/>
              <w:right w:val="nil"/>
            </w:tcBorders>
          </w:tcPr>
          <w:p w14:paraId="013C216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right w:val="nil"/>
            </w:tcBorders>
          </w:tcPr>
          <w:p w14:paraId="7ADA0C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4" w:type="dxa"/>
            <w:tcBorders>
              <w:top w:val="nil"/>
              <w:left w:val="nil"/>
              <w:right w:val="nil"/>
            </w:tcBorders>
          </w:tcPr>
          <w:p w14:paraId="1A23A7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right w:val="nil"/>
            </w:tcBorders>
          </w:tcPr>
          <w:p w14:paraId="64CE66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7" w:type="dxa"/>
            <w:tcBorders>
              <w:top w:val="nil"/>
              <w:left w:val="nil"/>
              <w:right w:val="nil"/>
            </w:tcBorders>
          </w:tcPr>
          <w:p w14:paraId="5D3ACAE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right w:val="nil"/>
            </w:tcBorders>
          </w:tcPr>
          <w:p w14:paraId="338762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8" w:type="dxa"/>
            <w:tcBorders>
              <w:top w:val="nil"/>
              <w:left w:val="nil"/>
              <w:right w:val="nil"/>
            </w:tcBorders>
          </w:tcPr>
          <w:p w14:paraId="6BE90C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right w:val="nil"/>
            </w:tcBorders>
          </w:tcPr>
          <w:p w14:paraId="6690B4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68B87796" w14:textId="77777777" w:rsidTr="00116073">
        <w:tc>
          <w:tcPr>
            <w:tcW w:w="2482" w:type="dxa"/>
            <w:tcBorders>
              <w:top w:val="nil"/>
              <w:left w:val="nil"/>
              <w:right w:val="nil"/>
            </w:tcBorders>
          </w:tcPr>
          <w:p w14:paraId="1E0F913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62" w:type="dxa"/>
            <w:tcBorders>
              <w:top w:val="nil"/>
              <w:left w:val="nil"/>
              <w:right w:val="nil"/>
            </w:tcBorders>
          </w:tcPr>
          <w:p w14:paraId="5642B6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right w:val="nil"/>
            </w:tcBorders>
          </w:tcPr>
          <w:p w14:paraId="5857D70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4" w:type="dxa"/>
            <w:tcBorders>
              <w:top w:val="nil"/>
              <w:left w:val="nil"/>
              <w:right w:val="nil"/>
            </w:tcBorders>
          </w:tcPr>
          <w:p w14:paraId="3CE1E0F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right w:val="nil"/>
            </w:tcBorders>
          </w:tcPr>
          <w:p w14:paraId="40805C5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7" w:type="dxa"/>
            <w:tcBorders>
              <w:top w:val="nil"/>
              <w:left w:val="nil"/>
              <w:right w:val="nil"/>
            </w:tcBorders>
          </w:tcPr>
          <w:p w14:paraId="1764469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right w:val="nil"/>
            </w:tcBorders>
          </w:tcPr>
          <w:p w14:paraId="7CF3AF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8" w:type="dxa"/>
            <w:tcBorders>
              <w:top w:val="nil"/>
              <w:left w:val="nil"/>
              <w:right w:val="nil"/>
            </w:tcBorders>
          </w:tcPr>
          <w:p w14:paraId="2BA342C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right w:val="nil"/>
            </w:tcBorders>
          </w:tcPr>
          <w:p w14:paraId="314615A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5107911A" w14:textId="77777777" w:rsidTr="00116073">
        <w:tc>
          <w:tcPr>
            <w:tcW w:w="2482" w:type="dxa"/>
            <w:tcBorders>
              <w:top w:val="nil"/>
              <w:left w:val="nil"/>
              <w:right w:val="nil"/>
            </w:tcBorders>
          </w:tcPr>
          <w:p w14:paraId="07D094E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62" w:type="dxa"/>
            <w:tcBorders>
              <w:top w:val="nil"/>
              <w:left w:val="nil"/>
              <w:right w:val="nil"/>
            </w:tcBorders>
          </w:tcPr>
          <w:p w14:paraId="67EC37F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top w:val="nil"/>
              <w:left w:val="nil"/>
              <w:right w:val="nil"/>
            </w:tcBorders>
          </w:tcPr>
          <w:p w14:paraId="6C2C738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4" w:type="dxa"/>
            <w:tcBorders>
              <w:top w:val="nil"/>
              <w:left w:val="nil"/>
              <w:right w:val="nil"/>
            </w:tcBorders>
          </w:tcPr>
          <w:p w14:paraId="00589F4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top w:val="nil"/>
              <w:left w:val="nil"/>
              <w:right w:val="nil"/>
            </w:tcBorders>
          </w:tcPr>
          <w:p w14:paraId="62E2C7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7" w:type="dxa"/>
            <w:tcBorders>
              <w:top w:val="nil"/>
              <w:left w:val="nil"/>
              <w:right w:val="nil"/>
            </w:tcBorders>
          </w:tcPr>
          <w:p w14:paraId="310E29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right w:val="nil"/>
            </w:tcBorders>
          </w:tcPr>
          <w:p w14:paraId="075B85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8" w:type="dxa"/>
            <w:tcBorders>
              <w:top w:val="nil"/>
              <w:left w:val="nil"/>
              <w:right w:val="nil"/>
            </w:tcBorders>
          </w:tcPr>
          <w:p w14:paraId="5D0FAE4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top w:val="nil"/>
              <w:left w:val="nil"/>
              <w:right w:val="nil"/>
            </w:tcBorders>
          </w:tcPr>
          <w:p w14:paraId="3D9D27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2310D8EC" w14:textId="77777777" w:rsidTr="00116073">
        <w:tc>
          <w:tcPr>
            <w:tcW w:w="2482" w:type="dxa"/>
            <w:tcBorders>
              <w:left w:val="nil"/>
              <w:right w:val="nil"/>
            </w:tcBorders>
          </w:tcPr>
          <w:p w14:paraId="2A56855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62" w:type="dxa"/>
            <w:tcBorders>
              <w:left w:val="nil"/>
              <w:right w:val="nil"/>
            </w:tcBorders>
          </w:tcPr>
          <w:p w14:paraId="544512F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left w:val="nil"/>
              <w:right w:val="nil"/>
            </w:tcBorders>
          </w:tcPr>
          <w:p w14:paraId="78F69E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c>
          <w:tcPr>
            <w:tcW w:w="264" w:type="dxa"/>
            <w:tcBorders>
              <w:left w:val="nil"/>
              <w:right w:val="nil"/>
            </w:tcBorders>
          </w:tcPr>
          <w:p w14:paraId="283204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left w:val="nil"/>
              <w:right w:val="nil"/>
            </w:tcBorders>
          </w:tcPr>
          <w:p w14:paraId="21ED12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c>
          <w:tcPr>
            <w:tcW w:w="257" w:type="dxa"/>
            <w:tcBorders>
              <w:left w:val="nil"/>
              <w:right w:val="nil"/>
            </w:tcBorders>
          </w:tcPr>
          <w:p w14:paraId="1EF2DB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left w:val="nil"/>
              <w:right w:val="nil"/>
            </w:tcBorders>
          </w:tcPr>
          <w:p w14:paraId="65CB72B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c>
          <w:tcPr>
            <w:tcW w:w="248" w:type="dxa"/>
            <w:tcBorders>
              <w:left w:val="nil"/>
              <w:right w:val="nil"/>
            </w:tcBorders>
          </w:tcPr>
          <w:p w14:paraId="48FDD31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left w:val="nil"/>
              <w:right w:val="nil"/>
            </w:tcBorders>
          </w:tcPr>
          <w:p w14:paraId="4C98F5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3986</w:t>
            </w:r>
          </w:p>
        </w:tc>
      </w:tr>
      <w:tr w:rsidR="001E3466" w:rsidRPr="004E7E5A" w14:paraId="2CECA4E4" w14:textId="77777777" w:rsidTr="00116073">
        <w:tc>
          <w:tcPr>
            <w:tcW w:w="2482" w:type="dxa"/>
            <w:tcBorders>
              <w:left w:val="nil"/>
              <w:bottom w:val="single" w:sz="4" w:space="0" w:color="auto"/>
              <w:right w:val="nil"/>
            </w:tcBorders>
          </w:tcPr>
          <w:p w14:paraId="585EA02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62" w:type="dxa"/>
            <w:tcBorders>
              <w:left w:val="nil"/>
              <w:bottom w:val="single" w:sz="4" w:space="0" w:color="auto"/>
              <w:right w:val="nil"/>
            </w:tcBorders>
          </w:tcPr>
          <w:p w14:paraId="413246B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2" w:type="dxa"/>
            <w:tcBorders>
              <w:left w:val="nil"/>
              <w:bottom w:val="single" w:sz="4" w:space="0" w:color="auto"/>
              <w:right w:val="nil"/>
            </w:tcBorders>
          </w:tcPr>
          <w:p w14:paraId="40CFB8D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1514.661</w:t>
            </w:r>
          </w:p>
        </w:tc>
        <w:tc>
          <w:tcPr>
            <w:tcW w:w="264" w:type="dxa"/>
            <w:tcBorders>
              <w:left w:val="nil"/>
              <w:bottom w:val="single" w:sz="4" w:space="0" w:color="auto"/>
              <w:right w:val="nil"/>
            </w:tcBorders>
          </w:tcPr>
          <w:p w14:paraId="7BF1F7B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79" w:type="dxa"/>
            <w:tcBorders>
              <w:left w:val="nil"/>
              <w:bottom w:val="single" w:sz="4" w:space="0" w:color="auto"/>
              <w:right w:val="nil"/>
            </w:tcBorders>
          </w:tcPr>
          <w:p w14:paraId="0CB87CB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1570.941</w:t>
            </w:r>
          </w:p>
        </w:tc>
        <w:tc>
          <w:tcPr>
            <w:tcW w:w="257" w:type="dxa"/>
            <w:tcBorders>
              <w:left w:val="nil"/>
              <w:bottom w:val="single" w:sz="4" w:space="0" w:color="auto"/>
              <w:right w:val="nil"/>
            </w:tcBorders>
          </w:tcPr>
          <w:p w14:paraId="1C949D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left w:val="nil"/>
              <w:bottom w:val="single" w:sz="4" w:space="0" w:color="auto"/>
              <w:right w:val="nil"/>
            </w:tcBorders>
          </w:tcPr>
          <w:p w14:paraId="0C68DD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1469.604</w:t>
            </w:r>
          </w:p>
        </w:tc>
        <w:tc>
          <w:tcPr>
            <w:tcW w:w="248" w:type="dxa"/>
            <w:tcBorders>
              <w:left w:val="nil"/>
              <w:bottom w:val="single" w:sz="4" w:space="0" w:color="auto"/>
              <w:right w:val="nil"/>
            </w:tcBorders>
          </w:tcPr>
          <w:p w14:paraId="2E0C35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393" w:type="dxa"/>
            <w:tcBorders>
              <w:left w:val="nil"/>
              <w:bottom w:val="single" w:sz="4" w:space="0" w:color="auto"/>
              <w:right w:val="nil"/>
            </w:tcBorders>
          </w:tcPr>
          <w:p w14:paraId="25619D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1593.079</w:t>
            </w:r>
          </w:p>
        </w:tc>
      </w:tr>
    </w:tbl>
    <w:p w14:paraId="0D7E7AC6" w14:textId="280CEBA5"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1"/>
        </w:rPr>
      </w:pPr>
      <w:r w:rsidRPr="004E7E5A">
        <w:rPr>
          <w:rStyle w:val="fontstyle01"/>
          <w:rFonts w:ascii="Times New Roman" w:hAnsi="Times New Roman" w:cs="Times New Roman" w:hint="default"/>
          <w:color w:val="000000" w:themeColor="text1"/>
          <w:sz w:val="24"/>
          <w:szCs w:val="24"/>
        </w:rPr>
        <w:t xml:space="preserve">This table reports the second stage of the 2SLS model to test hypothesis 6. </w:t>
      </w:r>
      <w:r w:rsidRPr="004E7E5A">
        <w:rPr>
          <w:rFonts w:cs="Times New Roman"/>
          <w:szCs w:val="24"/>
        </w:rPr>
        <w:t>The effect of financial constraints on the relationship between directors’ network and CSR disclosure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quality</w:t>
      </w:r>
      <w:r w:rsidRPr="004E7E5A">
        <w:rPr>
          <w:rStyle w:val="fontstyle01"/>
          <w:rFonts w:ascii="Times New Roman" w:hAnsi="Times New Roman" w:cs="Times New Roman" w:hint="default"/>
          <w:color w:val="000000" w:themeColor="text1"/>
          <w:sz w:val="24"/>
          <w:szCs w:val="24"/>
        </w:rPr>
        <w:t xml:space="preserve"> is tested by Equation (6)</w:t>
      </w:r>
      <w:r w:rsidRPr="004E7E5A">
        <w:rPr>
          <w:rFonts w:cs="Times New Roman"/>
          <w:szCs w:val="24"/>
        </w:rPr>
        <w:t xml:space="preserve">. </w:t>
      </w:r>
      <w:r w:rsidRPr="004E7E5A">
        <w:rPr>
          <w:rFonts w:cs="Times New Roman"/>
        </w:rPr>
        <w:t xml:space="preserve">We use </w:t>
      </w:r>
      <w:r w:rsidRPr="004E7E5A">
        <w:rPr>
          <w:rFonts w:cs="Times New Roman"/>
          <w:i/>
          <w:iCs/>
        </w:rPr>
        <w:t xml:space="preserve">FC index </w:t>
      </w:r>
      <w:r w:rsidRPr="004E7E5A">
        <w:rPr>
          <w:rFonts w:cs="Times New Roman"/>
        </w:rPr>
        <w:t xml:space="preserve">to measure financial constraints. Details for </w:t>
      </w:r>
      <w:r w:rsidRPr="004E7E5A">
        <w:rPr>
          <w:rFonts w:cs="Times New Roman"/>
          <w:i/>
          <w:iCs/>
        </w:rPr>
        <w:t>FC index</w:t>
      </w:r>
      <w:r w:rsidRPr="004E7E5A">
        <w:rPr>
          <w:rFonts w:cs="Times New Roman"/>
        </w:rPr>
        <w:t xml:space="preserve"> is provided in Appendix A. We add the interaction between our variable of interest (</w:t>
      </w:r>
      <w:r w:rsidRPr="004E7E5A">
        <w:rPr>
          <w:rFonts w:cs="Times New Roman"/>
          <w:i/>
          <w:iCs/>
        </w:rPr>
        <w:t>Score</w:t>
      </w:r>
      <w:r w:rsidRPr="004E7E5A">
        <w:rPr>
          <w:rFonts w:cs="Times New Roman"/>
        </w:rPr>
        <w:t>) and our moderating variable (</w:t>
      </w:r>
      <w:r w:rsidRPr="004E7E5A">
        <w:rPr>
          <w:rFonts w:cs="Times New Roman"/>
          <w:i/>
          <w:iCs/>
        </w:rPr>
        <w:t>FC index</w:t>
      </w:r>
      <w:r w:rsidRPr="004E7E5A">
        <w:rPr>
          <w:rFonts w:cs="Times New Roman"/>
        </w:rPr>
        <w:t xml:space="preserve">) to Equation (6) to test the moderating role of financial constraints. Firms with higher </w:t>
      </w:r>
      <w:r w:rsidRPr="004E7E5A">
        <w:rPr>
          <w:rFonts w:cs="Times New Roman"/>
          <w:i/>
          <w:iCs/>
          <w:szCs w:val="24"/>
        </w:rPr>
        <w:t>FC index</w:t>
      </w:r>
      <w:r w:rsidRPr="004E7E5A">
        <w:rPr>
          <w:rFonts w:cs="Times New Roman"/>
        </w:rPr>
        <w:t xml:space="preserve"> are highly financial constrained </w:t>
      </w:r>
      <w:r w:rsidRPr="004E7E5A">
        <w:rPr>
          <w:rFonts w:cs="Times New Roman"/>
        </w:rPr>
        <w:fldChar w:fldCharType="begin"/>
      </w:r>
      <w:r w:rsidR="001A1175" w:rsidRPr="004E7E5A">
        <w:rPr>
          <w:rFonts w:cs="Times New Roman"/>
        </w:rPr>
        <w:instrText xml:space="preserve"> ADDIN EN.CITE &lt;EndNote&gt;&lt;Cite&gt;&lt;Author&gt;Hadlock&lt;/Author&gt;&lt;Year&gt;2010&lt;/Year&gt;&lt;RecNum&gt;1761&lt;/RecNum&gt;&lt;DisplayText&gt;(Hadlock and Pierce 2010)&lt;/DisplayText&gt;&lt;record&gt;&lt;rec-number&gt;1761&lt;/rec-number&gt;&lt;foreign-keys&gt;&lt;key app="EN" db-id="trr00pfsbzzex0ezwf6v5swd9fpfpwfa90xp" timestamp="1591694805" guid="a764e6b5-f35f-4fdf-b7dc-75bc6d7fef4a"&gt;1761&lt;/key&gt;&lt;/foreign-keys&gt;&lt;ref-type name="Journal Article"&gt;17&lt;/ref-type&gt;&lt;contributors&gt;&lt;authors&gt;&lt;author&gt;Hadlock, Charles J.&lt;/author&gt;&lt;author&gt;Pierce, Joshua R.&lt;/author&gt;&lt;/authors&gt;&lt;/contributors&gt;&lt;titles&gt;&lt;title&gt;New evidence on measuring financial constraints: Moving beyond the KZ index&lt;/title&gt;&lt;secondary-title&gt;Review of Financial Studies&lt;/secondary-title&gt;&lt;/titles&gt;&lt;periodical&gt;&lt;full-title&gt;Review of Financial Studies&lt;/full-title&gt;&lt;/periodical&gt;&lt;pages&gt;1909-1940&lt;/pages&gt;&lt;volume&gt;23&lt;/volume&gt;&lt;number&gt;5&lt;/number&gt;&lt;section&gt;1909&lt;/section&gt;&lt;dates&gt;&lt;year&gt;2010&lt;/year&gt;&lt;/dates&gt;&lt;isbn&gt;0893-9454&amp;#xD;1465-7368&lt;/isbn&gt;&lt;urls&gt;&lt;/urls&gt;&lt;electronic-resource-num&gt;10.1093/rfs/hhq009&lt;/electronic-resource-num&gt;&lt;/record&gt;&lt;/Cite&gt;&lt;/EndNote&gt;</w:instrText>
      </w:r>
      <w:r w:rsidRPr="004E7E5A">
        <w:rPr>
          <w:rFonts w:cs="Times New Roman"/>
        </w:rPr>
        <w:fldChar w:fldCharType="separate"/>
      </w:r>
      <w:r w:rsidRPr="004E7E5A">
        <w:rPr>
          <w:rFonts w:cs="Times New Roman"/>
          <w:noProof/>
        </w:rPr>
        <w:t>(Hadlock and Pierce 2010)</w:t>
      </w:r>
      <w:r w:rsidRPr="004E7E5A">
        <w:rPr>
          <w:rFonts w:cs="Times New Roman"/>
        </w:rPr>
        <w:fldChar w:fldCharType="end"/>
      </w:r>
      <w:r w:rsidRPr="004E7E5A">
        <w:rPr>
          <w:rFonts w:cs="Times New Roman"/>
        </w:rPr>
        <w:t xml:space="preserve">. </w:t>
      </w:r>
      <w:r w:rsidRPr="004E7E5A">
        <w:rPr>
          <w:rStyle w:val="fontstyle01"/>
          <w:rFonts w:ascii="Times New Roman" w:hAnsi="Times New Roman" w:cs="Times New Roman" w:hint="default"/>
          <w:color w:val="000000" w:themeColor="text1"/>
          <w:sz w:val="24"/>
          <w:szCs w:val="24"/>
        </w:rPr>
        <w:t xml:space="preserve">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eastAsia="Times New Roman" w:cs="Times New Roman"/>
          <w:i/>
          <w:iCs/>
          <w:szCs w:val="24"/>
          <w:lang w:eastAsia="en-GB"/>
        </w:rPr>
        <w:t xml:space="preserve">Controls </w:t>
      </w:r>
      <w:r w:rsidRPr="004E7E5A">
        <w:rPr>
          <w:rFonts w:eastAsia="Times New Roman" w:cs="Times New Roman"/>
          <w:szCs w:val="24"/>
          <w:lang w:eastAsia="en-GB"/>
        </w:rPr>
        <w:t xml:space="preserve">are the control variables included in Equation (1).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other variables are provided in Appendix A.</w:t>
      </w:r>
    </w:p>
    <w:p w14:paraId="4838BD65" w14:textId="77777777" w:rsidR="00A53CFE" w:rsidRPr="004E7E5A" w:rsidRDefault="00A53CFE" w:rsidP="00A53CFE">
      <w:pPr>
        <w:pStyle w:val="a7"/>
        <w:spacing w:line="240" w:lineRule="auto"/>
        <w:ind w:leftChars="50" w:left="105" w:rightChars="50" w:right="105" w:firstLineChars="0" w:firstLine="0"/>
        <w:rPr>
          <w:rFonts w:cs="Times New Roman"/>
          <w:szCs w:val="24"/>
        </w:rPr>
      </w:pPr>
    </w:p>
    <w:p w14:paraId="43C69FC3" w14:textId="7777777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35EBCE0A" w14:textId="710ACB02"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461B0FAD" w14:textId="77777777" w:rsidR="002A5E43" w:rsidRPr="004E7E5A" w:rsidRDefault="002A5E43" w:rsidP="00A53CFE">
      <w:pPr>
        <w:autoSpaceDE w:val="0"/>
        <w:autoSpaceDN w:val="0"/>
        <w:adjustRightInd w:val="0"/>
        <w:jc w:val="center"/>
        <w:rPr>
          <w:rFonts w:ascii="Times New Roman" w:eastAsia="宋体" w:hAnsi="Times New Roman"/>
          <w:b/>
          <w:bCs/>
          <w:color w:val="000000" w:themeColor="text1"/>
          <w:sz w:val="24"/>
          <w:szCs w:val="24"/>
        </w:rPr>
      </w:pPr>
    </w:p>
    <w:p w14:paraId="324C1313" w14:textId="0595965C"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Table 1</w:t>
      </w:r>
      <w:r w:rsidR="0071114F" w:rsidRPr="004E7E5A">
        <w:rPr>
          <w:rFonts w:ascii="Times New Roman" w:eastAsia="宋体" w:hAnsi="Times New Roman"/>
          <w:b/>
          <w:bCs/>
          <w:color w:val="000000" w:themeColor="text1"/>
          <w:sz w:val="24"/>
          <w:szCs w:val="24"/>
        </w:rPr>
        <w:t>1</w:t>
      </w:r>
    </w:p>
    <w:p w14:paraId="2B8497A5"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 xml:space="preserve"> Second-Stage Regressions of 2SLS Model for Testing the Influence of Independent Directors’ Network on CSR Disclosure Quality</w:t>
      </w:r>
    </w:p>
    <w:tbl>
      <w:tblPr>
        <w:tblW w:w="5000" w:type="pct"/>
        <w:tblLook w:val="0000" w:firstRow="0" w:lastRow="0" w:firstColumn="0" w:lastColumn="0" w:noHBand="0" w:noVBand="0"/>
      </w:tblPr>
      <w:tblGrid>
        <w:gridCol w:w="1829"/>
        <w:gridCol w:w="272"/>
        <w:gridCol w:w="1548"/>
        <w:gridCol w:w="272"/>
        <w:gridCol w:w="1548"/>
        <w:gridCol w:w="260"/>
        <w:gridCol w:w="1548"/>
        <w:gridCol w:w="244"/>
        <w:gridCol w:w="1549"/>
      </w:tblGrid>
      <w:tr w:rsidR="001E3466" w:rsidRPr="004E7E5A" w14:paraId="652AD78A" w14:textId="77777777" w:rsidTr="00116073">
        <w:tc>
          <w:tcPr>
            <w:tcW w:w="1829" w:type="dxa"/>
            <w:tcBorders>
              <w:top w:val="single" w:sz="4" w:space="0" w:color="auto"/>
              <w:left w:val="nil"/>
              <w:bottom w:val="single" w:sz="4" w:space="0" w:color="auto"/>
              <w:right w:val="nil"/>
            </w:tcBorders>
          </w:tcPr>
          <w:p w14:paraId="18BA6352"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72" w:type="dxa"/>
            <w:tcBorders>
              <w:top w:val="single" w:sz="4" w:space="0" w:color="auto"/>
              <w:left w:val="nil"/>
              <w:right w:val="nil"/>
            </w:tcBorders>
          </w:tcPr>
          <w:p w14:paraId="4180F41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48" w:type="dxa"/>
            <w:tcBorders>
              <w:top w:val="single" w:sz="4" w:space="0" w:color="auto"/>
              <w:left w:val="nil"/>
              <w:bottom w:val="single" w:sz="4" w:space="0" w:color="auto"/>
              <w:right w:val="nil"/>
            </w:tcBorders>
          </w:tcPr>
          <w:p w14:paraId="0B21E6A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72" w:type="dxa"/>
            <w:tcBorders>
              <w:top w:val="single" w:sz="4" w:space="0" w:color="auto"/>
              <w:left w:val="nil"/>
              <w:right w:val="nil"/>
            </w:tcBorders>
          </w:tcPr>
          <w:p w14:paraId="2E99B67C"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48" w:type="dxa"/>
            <w:tcBorders>
              <w:top w:val="single" w:sz="4" w:space="0" w:color="auto"/>
              <w:left w:val="nil"/>
              <w:bottom w:val="single" w:sz="4" w:space="0" w:color="auto"/>
              <w:right w:val="nil"/>
            </w:tcBorders>
          </w:tcPr>
          <w:p w14:paraId="59FA808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60" w:type="dxa"/>
            <w:tcBorders>
              <w:top w:val="single" w:sz="4" w:space="0" w:color="auto"/>
              <w:left w:val="nil"/>
              <w:right w:val="nil"/>
            </w:tcBorders>
          </w:tcPr>
          <w:p w14:paraId="7A21677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48" w:type="dxa"/>
            <w:tcBorders>
              <w:top w:val="single" w:sz="4" w:space="0" w:color="auto"/>
              <w:left w:val="nil"/>
              <w:bottom w:val="single" w:sz="4" w:space="0" w:color="auto"/>
              <w:right w:val="nil"/>
            </w:tcBorders>
          </w:tcPr>
          <w:p w14:paraId="6E8B822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44" w:type="dxa"/>
            <w:tcBorders>
              <w:top w:val="single" w:sz="4" w:space="0" w:color="auto"/>
              <w:left w:val="nil"/>
              <w:right w:val="nil"/>
            </w:tcBorders>
          </w:tcPr>
          <w:p w14:paraId="790CA29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49" w:type="dxa"/>
            <w:tcBorders>
              <w:top w:val="single" w:sz="4" w:space="0" w:color="auto"/>
              <w:left w:val="nil"/>
              <w:bottom w:val="single" w:sz="4" w:space="0" w:color="auto"/>
              <w:right w:val="nil"/>
            </w:tcBorders>
          </w:tcPr>
          <w:p w14:paraId="74C5D936"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7B9ED1B2" w14:textId="77777777" w:rsidTr="00116073">
        <w:tc>
          <w:tcPr>
            <w:tcW w:w="1829" w:type="dxa"/>
            <w:tcBorders>
              <w:top w:val="single" w:sz="4" w:space="0" w:color="auto"/>
              <w:left w:val="nil"/>
              <w:bottom w:val="nil"/>
              <w:right w:val="nil"/>
            </w:tcBorders>
          </w:tcPr>
          <w:p w14:paraId="379BAAC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Score_max_ind</w:t>
            </w:r>
            <w:proofErr w:type="spellEnd"/>
          </w:p>
        </w:tc>
        <w:tc>
          <w:tcPr>
            <w:tcW w:w="272" w:type="dxa"/>
            <w:tcBorders>
              <w:left w:val="nil"/>
              <w:bottom w:val="nil"/>
              <w:right w:val="nil"/>
            </w:tcBorders>
          </w:tcPr>
          <w:p w14:paraId="69F2EE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single" w:sz="4" w:space="0" w:color="auto"/>
              <w:left w:val="nil"/>
              <w:bottom w:val="nil"/>
              <w:right w:val="nil"/>
            </w:tcBorders>
          </w:tcPr>
          <w:p w14:paraId="27BB5C0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2.571</w:t>
            </w:r>
            <w:r w:rsidRPr="004E7E5A">
              <w:rPr>
                <w:rFonts w:ascii="Times New Roman" w:hAnsi="Times New Roman"/>
                <w:color w:val="000000" w:themeColor="text1"/>
                <w:kern w:val="0"/>
                <w:sz w:val="24"/>
                <w:vertAlign w:val="superscript"/>
              </w:rPr>
              <w:t>***</w:t>
            </w:r>
          </w:p>
        </w:tc>
        <w:tc>
          <w:tcPr>
            <w:tcW w:w="272" w:type="dxa"/>
            <w:tcBorders>
              <w:left w:val="nil"/>
              <w:bottom w:val="nil"/>
              <w:right w:val="nil"/>
            </w:tcBorders>
          </w:tcPr>
          <w:p w14:paraId="59C587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single" w:sz="4" w:space="0" w:color="auto"/>
              <w:left w:val="nil"/>
              <w:bottom w:val="nil"/>
              <w:right w:val="nil"/>
            </w:tcBorders>
          </w:tcPr>
          <w:p w14:paraId="09EE09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left w:val="nil"/>
              <w:bottom w:val="nil"/>
              <w:right w:val="nil"/>
            </w:tcBorders>
          </w:tcPr>
          <w:p w14:paraId="0BE9DFC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single" w:sz="4" w:space="0" w:color="auto"/>
              <w:left w:val="nil"/>
              <w:bottom w:val="nil"/>
              <w:right w:val="nil"/>
            </w:tcBorders>
          </w:tcPr>
          <w:p w14:paraId="263B52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left w:val="nil"/>
              <w:bottom w:val="nil"/>
              <w:right w:val="nil"/>
            </w:tcBorders>
          </w:tcPr>
          <w:p w14:paraId="4CDDA2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single" w:sz="4" w:space="0" w:color="auto"/>
              <w:left w:val="nil"/>
              <w:bottom w:val="nil"/>
              <w:right w:val="nil"/>
            </w:tcBorders>
          </w:tcPr>
          <w:p w14:paraId="6DBCB5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DBC8DA5" w14:textId="77777777" w:rsidTr="00116073">
        <w:tc>
          <w:tcPr>
            <w:tcW w:w="1829" w:type="dxa"/>
            <w:tcBorders>
              <w:top w:val="nil"/>
              <w:left w:val="nil"/>
              <w:bottom w:val="nil"/>
              <w:right w:val="nil"/>
            </w:tcBorders>
          </w:tcPr>
          <w:p w14:paraId="16DFA6C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1D0D152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19F147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(3.14)</w:t>
            </w:r>
          </w:p>
        </w:tc>
        <w:tc>
          <w:tcPr>
            <w:tcW w:w="272" w:type="dxa"/>
            <w:tcBorders>
              <w:top w:val="nil"/>
              <w:left w:val="nil"/>
              <w:bottom w:val="nil"/>
              <w:right w:val="nil"/>
            </w:tcBorders>
          </w:tcPr>
          <w:p w14:paraId="5846F9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35E6429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5D963AC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675ACC6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21603D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nil"/>
              <w:right w:val="nil"/>
            </w:tcBorders>
          </w:tcPr>
          <w:p w14:paraId="0425EB3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D12DA28" w14:textId="77777777" w:rsidTr="00116073">
        <w:tc>
          <w:tcPr>
            <w:tcW w:w="1829" w:type="dxa"/>
            <w:tcBorders>
              <w:top w:val="nil"/>
              <w:left w:val="nil"/>
              <w:bottom w:val="nil"/>
              <w:right w:val="nil"/>
            </w:tcBorders>
          </w:tcPr>
          <w:p w14:paraId="0592BA6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Score_mean_ind</w:t>
            </w:r>
            <w:proofErr w:type="spellEnd"/>
          </w:p>
        </w:tc>
        <w:tc>
          <w:tcPr>
            <w:tcW w:w="272" w:type="dxa"/>
            <w:tcBorders>
              <w:top w:val="nil"/>
              <w:left w:val="nil"/>
              <w:bottom w:val="nil"/>
              <w:right w:val="nil"/>
            </w:tcBorders>
          </w:tcPr>
          <w:p w14:paraId="6906A60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3F1BA6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22D6B9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22A3D89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2.562</w:t>
            </w:r>
            <w:r w:rsidRPr="004E7E5A">
              <w:rPr>
                <w:rFonts w:ascii="Times New Roman" w:hAnsi="Times New Roman"/>
                <w:color w:val="000000" w:themeColor="text1"/>
                <w:kern w:val="0"/>
                <w:sz w:val="24"/>
                <w:vertAlign w:val="superscript"/>
              </w:rPr>
              <w:t>***</w:t>
            </w:r>
          </w:p>
        </w:tc>
        <w:tc>
          <w:tcPr>
            <w:tcW w:w="260" w:type="dxa"/>
            <w:tcBorders>
              <w:top w:val="nil"/>
              <w:left w:val="nil"/>
              <w:bottom w:val="nil"/>
              <w:right w:val="nil"/>
            </w:tcBorders>
          </w:tcPr>
          <w:p w14:paraId="02B862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7697A1E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322C33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nil"/>
              <w:right w:val="nil"/>
            </w:tcBorders>
          </w:tcPr>
          <w:p w14:paraId="64C678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6D2DE30" w14:textId="77777777" w:rsidTr="00116073">
        <w:tc>
          <w:tcPr>
            <w:tcW w:w="1829" w:type="dxa"/>
            <w:tcBorders>
              <w:top w:val="nil"/>
              <w:left w:val="nil"/>
              <w:bottom w:val="nil"/>
              <w:right w:val="nil"/>
            </w:tcBorders>
          </w:tcPr>
          <w:p w14:paraId="4747EEC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2DA0DFC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0FB59C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45495C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2A7B677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(3.16)</w:t>
            </w:r>
          </w:p>
        </w:tc>
        <w:tc>
          <w:tcPr>
            <w:tcW w:w="260" w:type="dxa"/>
            <w:tcBorders>
              <w:top w:val="nil"/>
              <w:left w:val="nil"/>
              <w:bottom w:val="nil"/>
              <w:right w:val="nil"/>
            </w:tcBorders>
          </w:tcPr>
          <w:p w14:paraId="5B3D256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53D002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6E03C47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nil"/>
              <w:right w:val="nil"/>
            </w:tcBorders>
          </w:tcPr>
          <w:p w14:paraId="21961C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6BE1D97" w14:textId="77777777" w:rsidTr="00116073">
        <w:tc>
          <w:tcPr>
            <w:tcW w:w="1829" w:type="dxa"/>
            <w:tcBorders>
              <w:top w:val="nil"/>
              <w:left w:val="nil"/>
              <w:bottom w:val="nil"/>
              <w:right w:val="nil"/>
            </w:tcBorders>
          </w:tcPr>
          <w:p w14:paraId="32A2A66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Score_med_ind</w:t>
            </w:r>
            <w:proofErr w:type="spellEnd"/>
          </w:p>
        </w:tc>
        <w:tc>
          <w:tcPr>
            <w:tcW w:w="272" w:type="dxa"/>
            <w:tcBorders>
              <w:top w:val="nil"/>
              <w:left w:val="nil"/>
              <w:bottom w:val="nil"/>
              <w:right w:val="nil"/>
            </w:tcBorders>
          </w:tcPr>
          <w:p w14:paraId="24D6F53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658A2E7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0125BC9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1FC09E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3B8052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44E23D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2.944</w:t>
            </w:r>
            <w:r w:rsidRPr="004E7E5A">
              <w:rPr>
                <w:rFonts w:ascii="Times New Roman" w:hAnsi="Times New Roman"/>
                <w:color w:val="000000" w:themeColor="text1"/>
                <w:kern w:val="0"/>
                <w:sz w:val="24"/>
                <w:vertAlign w:val="superscript"/>
              </w:rPr>
              <w:t>***</w:t>
            </w:r>
          </w:p>
        </w:tc>
        <w:tc>
          <w:tcPr>
            <w:tcW w:w="244" w:type="dxa"/>
            <w:tcBorders>
              <w:top w:val="nil"/>
              <w:left w:val="nil"/>
              <w:bottom w:val="nil"/>
              <w:right w:val="nil"/>
            </w:tcBorders>
          </w:tcPr>
          <w:p w14:paraId="3655EB7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nil"/>
              <w:right w:val="nil"/>
            </w:tcBorders>
          </w:tcPr>
          <w:p w14:paraId="19380F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C5202DE" w14:textId="77777777" w:rsidTr="00116073">
        <w:tc>
          <w:tcPr>
            <w:tcW w:w="1829" w:type="dxa"/>
            <w:tcBorders>
              <w:top w:val="nil"/>
              <w:left w:val="nil"/>
              <w:bottom w:val="nil"/>
              <w:right w:val="nil"/>
            </w:tcBorders>
          </w:tcPr>
          <w:p w14:paraId="1681F71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12F1AB1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5C3C60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133BBC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75A89B0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6050308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7F61EA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(2.95)</w:t>
            </w:r>
          </w:p>
        </w:tc>
        <w:tc>
          <w:tcPr>
            <w:tcW w:w="244" w:type="dxa"/>
            <w:tcBorders>
              <w:top w:val="nil"/>
              <w:left w:val="nil"/>
              <w:bottom w:val="nil"/>
              <w:right w:val="nil"/>
            </w:tcBorders>
          </w:tcPr>
          <w:p w14:paraId="6A7AAD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nil"/>
              <w:right w:val="nil"/>
            </w:tcBorders>
          </w:tcPr>
          <w:p w14:paraId="7F654D4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A720D8B" w14:textId="77777777" w:rsidTr="00116073">
        <w:tc>
          <w:tcPr>
            <w:tcW w:w="1829" w:type="dxa"/>
            <w:tcBorders>
              <w:top w:val="nil"/>
              <w:left w:val="nil"/>
              <w:bottom w:val="nil"/>
              <w:right w:val="nil"/>
            </w:tcBorders>
          </w:tcPr>
          <w:p w14:paraId="2144DE7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Score_min_ind</w:t>
            </w:r>
            <w:proofErr w:type="spellEnd"/>
          </w:p>
        </w:tc>
        <w:tc>
          <w:tcPr>
            <w:tcW w:w="272" w:type="dxa"/>
            <w:tcBorders>
              <w:top w:val="nil"/>
              <w:left w:val="nil"/>
              <w:bottom w:val="nil"/>
              <w:right w:val="nil"/>
            </w:tcBorders>
          </w:tcPr>
          <w:p w14:paraId="6A17FA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34FDC72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06CD982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1852F57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419FEC9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2F450B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06DF4C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nil"/>
              <w:right w:val="nil"/>
            </w:tcBorders>
          </w:tcPr>
          <w:p w14:paraId="3F8CDFC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5.085</w:t>
            </w:r>
            <w:r w:rsidRPr="004E7E5A">
              <w:rPr>
                <w:rFonts w:ascii="Times New Roman" w:hAnsi="Times New Roman"/>
                <w:color w:val="000000" w:themeColor="text1"/>
                <w:kern w:val="0"/>
                <w:sz w:val="24"/>
                <w:vertAlign w:val="superscript"/>
              </w:rPr>
              <w:t>**</w:t>
            </w:r>
          </w:p>
        </w:tc>
      </w:tr>
      <w:tr w:rsidR="001E3466" w:rsidRPr="004E7E5A" w14:paraId="596B7985" w14:textId="77777777" w:rsidTr="00116073">
        <w:tc>
          <w:tcPr>
            <w:tcW w:w="1829" w:type="dxa"/>
            <w:tcBorders>
              <w:top w:val="nil"/>
              <w:left w:val="nil"/>
              <w:bottom w:val="nil"/>
              <w:right w:val="nil"/>
            </w:tcBorders>
          </w:tcPr>
          <w:p w14:paraId="247E5A1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2" w:type="dxa"/>
            <w:tcBorders>
              <w:top w:val="nil"/>
              <w:left w:val="nil"/>
              <w:bottom w:val="nil"/>
              <w:right w:val="nil"/>
            </w:tcBorders>
          </w:tcPr>
          <w:p w14:paraId="1E5256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57D8F6C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2" w:type="dxa"/>
            <w:tcBorders>
              <w:top w:val="nil"/>
              <w:left w:val="nil"/>
              <w:bottom w:val="nil"/>
              <w:right w:val="nil"/>
            </w:tcBorders>
          </w:tcPr>
          <w:p w14:paraId="397EFC6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57A55D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0" w:type="dxa"/>
            <w:tcBorders>
              <w:top w:val="nil"/>
              <w:left w:val="nil"/>
              <w:bottom w:val="nil"/>
              <w:right w:val="nil"/>
            </w:tcBorders>
          </w:tcPr>
          <w:p w14:paraId="7E04852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nil"/>
              <w:right w:val="nil"/>
            </w:tcBorders>
          </w:tcPr>
          <w:p w14:paraId="0E7624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44" w:type="dxa"/>
            <w:tcBorders>
              <w:top w:val="nil"/>
              <w:left w:val="nil"/>
              <w:bottom w:val="nil"/>
              <w:right w:val="nil"/>
            </w:tcBorders>
          </w:tcPr>
          <w:p w14:paraId="655BA2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nil"/>
              <w:right w:val="nil"/>
            </w:tcBorders>
          </w:tcPr>
          <w:p w14:paraId="07656F4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(2.52)</w:t>
            </w:r>
          </w:p>
        </w:tc>
      </w:tr>
      <w:tr w:rsidR="001E3466" w:rsidRPr="004E7E5A" w14:paraId="45129F67" w14:textId="77777777" w:rsidTr="00116073">
        <w:tc>
          <w:tcPr>
            <w:tcW w:w="1829" w:type="dxa"/>
            <w:tcBorders>
              <w:top w:val="nil"/>
              <w:left w:val="nil"/>
              <w:right w:val="nil"/>
            </w:tcBorders>
          </w:tcPr>
          <w:p w14:paraId="0B21C50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72" w:type="dxa"/>
            <w:tcBorders>
              <w:top w:val="nil"/>
              <w:left w:val="nil"/>
              <w:right w:val="nil"/>
            </w:tcBorders>
          </w:tcPr>
          <w:p w14:paraId="29904BA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1FB207C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0BE212A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7AF32A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0" w:type="dxa"/>
            <w:tcBorders>
              <w:top w:val="nil"/>
              <w:left w:val="nil"/>
              <w:right w:val="nil"/>
            </w:tcBorders>
          </w:tcPr>
          <w:p w14:paraId="5DA2E4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4D19D1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4" w:type="dxa"/>
            <w:tcBorders>
              <w:top w:val="nil"/>
              <w:left w:val="nil"/>
              <w:right w:val="nil"/>
            </w:tcBorders>
          </w:tcPr>
          <w:p w14:paraId="7284D6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right w:val="nil"/>
            </w:tcBorders>
          </w:tcPr>
          <w:p w14:paraId="6D2525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1644A22C" w14:textId="77777777" w:rsidTr="00116073">
        <w:tc>
          <w:tcPr>
            <w:tcW w:w="1829" w:type="dxa"/>
            <w:tcBorders>
              <w:top w:val="nil"/>
              <w:left w:val="nil"/>
              <w:right w:val="nil"/>
            </w:tcBorders>
          </w:tcPr>
          <w:p w14:paraId="767A113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72" w:type="dxa"/>
            <w:tcBorders>
              <w:top w:val="nil"/>
              <w:left w:val="nil"/>
              <w:right w:val="nil"/>
            </w:tcBorders>
          </w:tcPr>
          <w:p w14:paraId="43F2C9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541A33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0C35B64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039E64F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0" w:type="dxa"/>
            <w:tcBorders>
              <w:top w:val="nil"/>
              <w:left w:val="nil"/>
              <w:right w:val="nil"/>
            </w:tcBorders>
          </w:tcPr>
          <w:p w14:paraId="6E9305E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195764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4" w:type="dxa"/>
            <w:tcBorders>
              <w:top w:val="nil"/>
              <w:left w:val="nil"/>
              <w:right w:val="nil"/>
            </w:tcBorders>
          </w:tcPr>
          <w:p w14:paraId="48C621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right w:val="nil"/>
            </w:tcBorders>
          </w:tcPr>
          <w:p w14:paraId="740C48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00C2732D" w14:textId="77777777" w:rsidTr="00116073">
        <w:tc>
          <w:tcPr>
            <w:tcW w:w="1829" w:type="dxa"/>
            <w:tcBorders>
              <w:top w:val="nil"/>
              <w:left w:val="nil"/>
              <w:right w:val="nil"/>
            </w:tcBorders>
          </w:tcPr>
          <w:p w14:paraId="620E3A9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72" w:type="dxa"/>
            <w:tcBorders>
              <w:top w:val="nil"/>
              <w:left w:val="nil"/>
              <w:right w:val="nil"/>
            </w:tcBorders>
          </w:tcPr>
          <w:p w14:paraId="56EA8D1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7F32B9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2" w:type="dxa"/>
            <w:tcBorders>
              <w:top w:val="nil"/>
              <w:left w:val="nil"/>
              <w:right w:val="nil"/>
            </w:tcBorders>
          </w:tcPr>
          <w:p w14:paraId="580A80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25E09C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0" w:type="dxa"/>
            <w:tcBorders>
              <w:top w:val="nil"/>
              <w:left w:val="nil"/>
              <w:right w:val="nil"/>
            </w:tcBorders>
          </w:tcPr>
          <w:p w14:paraId="34D6BE9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right w:val="nil"/>
            </w:tcBorders>
          </w:tcPr>
          <w:p w14:paraId="2D5B10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44" w:type="dxa"/>
            <w:tcBorders>
              <w:top w:val="nil"/>
              <w:left w:val="nil"/>
              <w:right w:val="nil"/>
            </w:tcBorders>
          </w:tcPr>
          <w:p w14:paraId="1985C6C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right w:val="nil"/>
            </w:tcBorders>
          </w:tcPr>
          <w:p w14:paraId="3C28B5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739A8CC5" w14:textId="77777777" w:rsidTr="00116073">
        <w:tc>
          <w:tcPr>
            <w:tcW w:w="1829" w:type="dxa"/>
            <w:tcBorders>
              <w:left w:val="nil"/>
              <w:right w:val="nil"/>
            </w:tcBorders>
          </w:tcPr>
          <w:p w14:paraId="3EC9364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72" w:type="dxa"/>
            <w:tcBorders>
              <w:left w:val="nil"/>
              <w:right w:val="nil"/>
            </w:tcBorders>
          </w:tcPr>
          <w:p w14:paraId="48340C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left w:val="nil"/>
              <w:right w:val="nil"/>
            </w:tcBorders>
          </w:tcPr>
          <w:p w14:paraId="0FD8EC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72" w:type="dxa"/>
            <w:tcBorders>
              <w:left w:val="nil"/>
              <w:right w:val="nil"/>
            </w:tcBorders>
          </w:tcPr>
          <w:p w14:paraId="0FFE55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left w:val="nil"/>
              <w:right w:val="nil"/>
            </w:tcBorders>
          </w:tcPr>
          <w:p w14:paraId="2B1146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60" w:type="dxa"/>
            <w:tcBorders>
              <w:left w:val="nil"/>
              <w:right w:val="nil"/>
            </w:tcBorders>
          </w:tcPr>
          <w:p w14:paraId="50D190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left w:val="nil"/>
              <w:right w:val="nil"/>
            </w:tcBorders>
          </w:tcPr>
          <w:p w14:paraId="12A3370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c>
          <w:tcPr>
            <w:tcW w:w="244" w:type="dxa"/>
            <w:tcBorders>
              <w:left w:val="nil"/>
              <w:right w:val="nil"/>
            </w:tcBorders>
          </w:tcPr>
          <w:p w14:paraId="1A83F9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left w:val="nil"/>
              <w:right w:val="nil"/>
            </w:tcBorders>
          </w:tcPr>
          <w:p w14:paraId="53F4DB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3986</w:t>
            </w:r>
          </w:p>
        </w:tc>
      </w:tr>
      <w:tr w:rsidR="001E3466" w:rsidRPr="004E7E5A" w14:paraId="75072C5A" w14:textId="77777777" w:rsidTr="00116073">
        <w:tc>
          <w:tcPr>
            <w:tcW w:w="1829" w:type="dxa"/>
            <w:tcBorders>
              <w:top w:val="nil"/>
              <w:left w:val="nil"/>
              <w:bottom w:val="single" w:sz="4" w:space="0" w:color="auto"/>
              <w:right w:val="nil"/>
            </w:tcBorders>
          </w:tcPr>
          <w:p w14:paraId="0B17673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72" w:type="dxa"/>
            <w:tcBorders>
              <w:top w:val="nil"/>
              <w:left w:val="nil"/>
              <w:bottom w:val="single" w:sz="4" w:space="0" w:color="auto"/>
              <w:right w:val="nil"/>
            </w:tcBorders>
          </w:tcPr>
          <w:p w14:paraId="1BE06AC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single" w:sz="4" w:space="0" w:color="auto"/>
              <w:right w:val="nil"/>
            </w:tcBorders>
          </w:tcPr>
          <w:p w14:paraId="0B6DF3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1553.819</w:t>
            </w:r>
          </w:p>
        </w:tc>
        <w:tc>
          <w:tcPr>
            <w:tcW w:w="272" w:type="dxa"/>
            <w:tcBorders>
              <w:top w:val="nil"/>
              <w:left w:val="nil"/>
              <w:bottom w:val="single" w:sz="4" w:space="0" w:color="auto"/>
              <w:right w:val="nil"/>
            </w:tcBorders>
          </w:tcPr>
          <w:p w14:paraId="1425EB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single" w:sz="4" w:space="0" w:color="auto"/>
              <w:right w:val="nil"/>
            </w:tcBorders>
          </w:tcPr>
          <w:p w14:paraId="0DBECD7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1573.486</w:t>
            </w:r>
          </w:p>
        </w:tc>
        <w:tc>
          <w:tcPr>
            <w:tcW w:w="260" w:type="dxa"/>
            <w:tcBorders>
              <w:top w:val="nil"/>
              <w:left w:val="nil"/>
              <w:bottom w:val="single" w:sz="4" w:space="0" w:color="auto"/>
              <w:right w:val="nil"/>
            </w:tcBorders>
          </w:tcPr>
          <w:p w14:paraId="6BDD38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8" w:type="dxa"/>
            <w:tcBorders>
              <w:top w:val="nil"/>
              <w:left w:val="nil"/>
              <w:bottom w:val="single" w:sz="4" w:space="0" w:color="auto"/>
              <w:right w:val="nil"/>
            </w:tcBorders>
          </w:tcPr>
          <w:p w14:paraId="20CF6FC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1369.649</w:t>
            </w:r>
          </w:p>
        </w:tc>
        <w:tc>
          <w:tcPr>
            <w:tcW w:w="244" w:type="dxa"/>
            <w:tcBorders>
              <w:top w:val="nil"/>
              <w:left w:val="nil"/>
              <w:bottom w:val="single" w:sz="4" w:space="0" w:color="auto"/>
              <w:right w:val="nil"/>
            </w:tcBorders>
          </w:tcPr>
          <w:p w14:paraId="50FF4D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49" w:type="dxa"/>
            <w:tcBorders>
              <w:top w:val="nil"/>
              <w:left w:val="nil"/>
              <w:bottom w:val="single" w:sz="4" w:space="0" w:color="auto"/>
              <w:right w:val="nil"/>
            </w:tcBorders>
          </w:tcPr>
          <w:p w14:paraId="6D3DC04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1002.445</w:t>
            </w:r>
          </w:p>
        </w:tc>
      </w:tr>
    </w:tbl>
    <w:p w14:paraId="2F3D6591"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This table presents the second stage of a two-stage least squares (2SLS) model based on Equation (1) using the measures for independent directors</w:t>
      </w:r>
      <w:r w:rsidRPr="004E7E5A">
        <w:rPr>
          <w:rFonts w:cs="Times New Roman"/>
          <w:szCs w:val="24"/>
        </w:rPr>
        <w:t>’ network.</w:t>
      </w:r>
      <w:r w:rsidRPr="004E7E5A">
        <w:rPr>
          <w:rStyle w:val="fontstyle01"/>
          <w:rFonts w:ascii="Times New Roman" w:hAnsi="Times New Roman" w:cs="Times New Roman" w:hint="default"/>
          <w:color w:val="000000" w:themeColor="text1"/>
          <w:sz w:val="24"/>
          <w:szCs w:val="24"/>
        </w:rPr>
        <w:t xml:space="preserve"> Columns (1) to (4) use </w:t>
      </w:r>
      <w:proofErr w:type="spellStart"/>
      <w:r w:rsidRPr="004E7E5A">
        <w:rPr>
          <w:rStyle w:val="fontstyle01"/>
          <w:rFonts w:ascii="Times New Roman" w:hAnsi="Times New Roman" w:cs="Times New Roman" w:hint="default"/>
          <w:i/>
          <w:iCs/>
          <w:color w:val="000000" w:themeColor="text1"/>
          <w:sz w:val="24"/>
          <w:szCs w:val="24"/>
        </w:rPr>
        <w:t>Score_max_ind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Score_mean_ind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Score_med_ind</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Score_min_ind</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w:t>
      </w:r>
      <w:proofErr w:type="spellStart"/>
      <w:r w:rsidRPr="004E7E5A">
        <w:rPr>
          <w:rFonts w:cs="Times New Roman"/>
          <w:i/>
          <w:iCs/>
          <w:szCs w:val="24"/>
        </w:rPr>
        <w:t>Score_max</w:t>
      </w:r>
      <w:r w:rsidRPr="004E7E5A">
        <w:rPr>
          <w:rStyle w:val="fontstyle01"/>
          <w:rFonts w:ascii="Times New Roman" w:hAnsi="Times New Roman" w:cs="Times New Roman" w:hint="default"/>
          <w:i/>
          <w:iCs/>
          <w:color w:val="000000" w:themeColor="text1"/>
          <w:sz w:val="24"/>
          <w:szCs w:val="24"/>
        </w:rPr>
        <w:t>_ind</w:t>
      </w:r>
      <w:proofErr w:type="spellEnd"/>
      <w:r w:rsidRPr="004E7E5A">
        <w:rPr>
          <w:rFonts w:cs="Times New Roman"/>
          <w:i/>
          <w:iCs/>
          <w:szCs w:val="24"/>
        </w:rPr>
        <w:t xml:space="preserve"> </w:t>
      </w:r>
      <w:r w:rsidRPr="004E7E5A">
        <w:rPr>
          <w:rFonts w:cs="Times New Roman"/>
          <w:szCs w:val="24"/>
        </w:rPr>
        <w:t xml:space="preserve">is the sum of the three centrality measures of the maximum values of each firm’ independent directors. </w:t>
      </w:r>
      <w:proofErr w:type="spellStart"/>
      <w:r w:rsidRPr="004E7E5A">
        <w:rPr>
          <w:rFonts w:cs="Times New Roman"/>
          <w:i/>
          <w:iCs/>
          <w:szCs w:val="24"/>
        </w:rPr>
        <w:t>Score_mean</w:t>
      </w:r>
      <w:r w:rsidRPr="004E7E5A">
        <w:rPr>
          <w:rStyle w:val="fontstyle01"/>
          <w:rFonts w:ascii="Times New Roman" w:hAnsi="Times New Roman" w:cs="Times New Roman" w:hint="default"/>
          <w:i/>
          <w:iCs/>
          <w:color w:val="000000" w:themeColor="text1"/>
          <w:sz w:val="24"/>
          <w:szCs w:val="24"/>
        </w:rPr>
        <w:t>_ind</w:t>
      </w:r>
      <w:proofErr w:type="spellEnd"/>
      <w:r w:rsidRPr="004E7E5A">
        <w:rPr>
          <w:rFonts w:cs="Times New Roman"/>
          <w:i/>
          <w:iCs/>
          <w:szCs w:val="24"/>
        </w:rPr>
        <w:t xml:space="preserve"> </w:t>
      </w:r>
      <w:r w:rsidRPr="004E7E5A">
        <w:rPr>
          <w:rFonts w:cs="Times New Roman"/>
          <w:szCs w:val="24"/>
        </w:rPr>
        <w:t xml:space="preserve">is the sum of the three centrality measures of the mean values of each firm’ independent directors. </w:t>
      </w:r>
      <w:proofErr w:type="spellStart"/>
      <w:r w:rsidRPr="004E7E5A">
        <w:rPr>
          <w:rFonts w:cs="Times New Roman"/>
          <w:i/>
          <w:iCs/>
          <w:szCs w:val="24"/>
        </w:rPr>
        <w:t>Score_med</w:t>
      </w:r>
      <w:r w:rsidRPr="004E7E5A">
        <w:rPr>
          <w:rStyle w:val="fontstyle01"/>
          <w:rFonts w:ascii="Times New Roman" w:hAnsi="Times New Roman" w:cs="Times New Roman" w:hint="default"/>
          <w:i/>
          <w:iCs/>
          <w:color w:val="000000" w:themeColor="text1"/>
          <w:sz w:val="24"/>
          <w:szCs w:val="24"/>
        </w:rPr>
        <w:t>_ind</w:t>
      </w:r>
      <w:proofErr w:type="spellEnd"/>
      <w:r w:rsidRPr="004E7E5A">
        <w:rPr>
          <w:rFonts w:cs="Times New Roman"/>
          <w:i/>
          <w:iCs/>
          <w:szCs w:val="24"/>
        </w:rPr>
        <w:t xml:space="preserve"> </w:t>
      </w:r>
      <w:r w:rsidRPr="004E7E5A">
        <w:rPr>
          <w:rFonts w:cs="Times New Roman"/>
          <w:szCs w:val="24"/>
        </w:rPr>
        <w:t xml:space="preserve">is the sum of the three centrality measures of the median values of each firm’ independent directors. </w:t>
      </w:r>
      <w:proofErr w:type="spellStart"/>
      <w:r w:rsidRPr="004E7E5A">
        <w:rPr>
          <w:rFonts w:cs="Times New Roman"/>
          <w:i/>
          <w:iCs/>
          <w:szCs w:val="24"/>
        </w:rPr>
        <w:t>Score_min</w:t>
      </w:r>
      <w:r w:rsidRPr="004E7E5A">
        <w:rPr>
          <w:rStyle w:val="fontstyle01"/>
          <w:rFonts w:ascii="Times New Roman" w:hAnsi="Times New Roman" w:cs="Times New Roman" w:hint="default"/>
          <w:i/>
          <w:iCs/>
          <w:color w:val="000000" w:themeColor="text1"/>
          <w:sz w:val="24"/>
          <w:szCs w:val="24"/>
        </w:rPr>
        <w:t>_ind</w:t>
      </w:r>
      <w:proofErr w:type="spellEnd"/>
      <w:r w:rsidRPr="004E7E5A">
        <w:rPr>
          <w:rFonts w:cs="Times New Roman"/>
          <w:i/>
          <w:iCs/>
          <w:szCs w:val="24"/>
        </w:rPr>
        <w:t xml:space="preserve"> </w:t>
      </w:r>
      <w:r w:rsidRPr="004E7E5A">
        <w:rPr>
          <w:rFonts w:cs="Times New Roman"/>
          <w:szCs w:val="24"/>
        </w:rPr>
        <w:t xml:space="preserve">is the sum of the three centrality measures of the minimum values of each firm’ independent directors. </w:t>
      </w:r>
      <w:r w:rsidRPr="004E7E5A">
        <w:rPr>
          <w:rStyle w:val="fontstyle01"/>
          <w:rFonts w:ascii="Times New Roman" w:hAnsi="Times New Roman" w:cs="Times New Roman" w:hint="default"/>
          <w:color w:val="000000" w:themeColor="text1"/>
          <w:sz w:val="24"/>
          <w:szCs w:val="24"/>
        </w:rPr>
        <w:t xml:space="preserve">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the other variables are provided in Appendix A.</w:t>
      </w:r>
    </w:p>
    <w:p w14:paraId="616E42AA"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5E006F8A"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51C3DDAB"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621BCF79"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5FF33371"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100951C4"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50928C44"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211BF229"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4825C01F" w14:textId="5AD34B3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76F96CB2" w14:textId="59CBE232" w:rsidR="00C26C88" w:rsidRPr="004E7E5A" w:rsidRDefault="00C26C88" w:rsidP="00A53CFE">
      <w:pPr>
        <w:autoSpaceDE w:val="0"/>
        <w:autoSpaceDN w:val="0"/>
        <w:adjustRightInd w:val="0"/>
        <w:jc w:val="center"/>
        <w:rPr>
          <w:rFonts w:ascii="Times New Roman" w:eastAsia="宋体" w:hAnsi="Times New Roman"/>
          <w:color w:val="000000" w:themeColor="text1"/>
          <w:sz w:val="24"/>
          <w:szCs w:val="24"/>
        </w:rPr>
      </w:pPr>
    </w:p>
    <w:p w14:paraId="7DB189FA" w14:textId="77777777" w:rsidR="00C26C88" w:rsidRPr="004E7E5A" w:rsidRDefault="00C26C88" w:rsidP="00A53CFE">
      <w:pPr>
        <w:autoSpaceDE w:val="0"/>
        <w:autoSpaceDN w:val="0"/>
        <w:adjustRightInd w:val="0"/>
        <w:jc w:val="center"/>
        <w:rPr>
          <w:rFonts w:ascii="Times New Roman" w:eastAsia="宋体" w:hAnsi="Times New Roman"/>
          <w:color w:val="000000" w:themeColor="text1"/>
          <w:sz w:val="24"/>
          <w:szCs w:val="24"/>
        </w:rPr>
      </w:pPr>
    </w:p>
    <w:p w14:paraId="6B484C10"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4F9AE3BE" w14:textId="77777777" w:rsidR="00A53CFE" w:rsidRPr="004E7E5A" w:rsidRDefault="00A53CFE" w:rsidP="00A53CFE">
      <w:pPr>
        <w:autoSpaceDE w:val="0"/>
        <w:autoSpaceDN w:val="0"/>
        <w:adjustRightInd w:val="0"/>
        <w:jc w:val="center"/>
        <w:rPr>
          <w:rFonts w:ascii="Times New Roman" w:eastAsia="宋体" w:hAnsi="Times New Roman"/>
          <w:color w:val="000000" w:themeColor="text1"/>
          <w:sz w:val="24"/>
          <w:szCs w:val="24"/>
        </w:rPr>
      </w:pPr>
    </w:p>
    <w:p w14:paraId="041FD974" w14:textId="212D1B49"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Table 1</w:t>
      </w:r>
      <w:r w:rsidR="0071114F" w:rsidRPr="004E7E5A">
        <w:rPr>
          <w:rFonts w:ascii="Times New Roman" w:eastAsia="宋体" w:hAnsi="Times New Roman"/>
          <w:b/>
          <w:bCs/>
          <w:color w:val="000000" w:themeColor="text1"/>
          <w:sz w:val="24"/>
          <w:szCs w:val="24"/>
        </w:rPr>
        <w:t>2</w:t>
      </w:r>
    </w:p>
    <w:p w14:paraId="54E5DA0E" w14:textId="77777777" w:rsidR="00A53CFE" w:rsidRPr="004E7E5A" w:rsidRDefault="00A53CFE" w:rsidP="00A53CFE">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Second-Stage Regressions of 2SLS Model while Excluding Political Connections</w:t>
      </w:r>
    </w:p>
    <w:tbl>
      <w:tblPr>
        <w:tblW w:w="5000" w:type="pct"/>
        <w:tblLook w:val="0000" w:firstRow="0" w:lastRow="0" w:firstColumn="0" w:lastColumn="0" w:noHBand="0" w:noVBand="0"/>
      </w:tblPr>
      <w:tblGrid>
        <w:gridCol w:w="1822"/>
        <w:gridCol w:w="274"/>
        <w:gridCol w:w="1547"/>
        <w:gridCol w:w="274"/>
        <w:gridCol w:w="1547"/>
        <w:gridCol w:w="263"/>
        <w:gridCol w:w="1547"/>
        <w:gridCol w:w="248"/>
        <w:gridCol w:w="1548"/>
      </w:tblGrid>
      <w:tr w:rsidR="001E3466" w:rsidRPr="004E7E5A" w14:paraId="5520A95C" w14:textId="77777777" w:rsidTr="00116073">
        <w:tc>
          <w:tcPr>
            <w:tcW w:w="1853" w:type="dxa"/>
            <w:tcBorders>
              <w:top w:val="single" w:sz="4" w:space="0" w:color="auto"/>
              <w:left w:val="nil"/>
              <w:bottom w:val="single" w:sz="4" w:space="0" w:color="auto"/>
              <w:right w:val="nil"/>
            </w:tcBorders>
          </w:tcPr>
          <w:p w14:paraId="10EB3DA8"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78" w:type="dxa"/>
            <w:tcBorders>
              <w:top w:val="single" w:sz="4" w:space="0" w:color="auto"/>
              <w:left w:val="nil"/>
              <w:right w:val="nil"/>
            </w:tcBorders>
          </w:tcPr>
          <w:p w14:paraId="2BA8FF1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90" w:type="dxa"/>
            <w:tcBorders>
              <w:top w:val="single" w:sz="4" w:space="0" w:color="auto"/>
              <w:left w:val="nil"/>
              <w:bottom w:val="single" w:sz="4" w:space="0" w:color="auto"/>
              <w:right w:val="nil"/>
            </w:tcBorders>
          </w:tcPr>
          <w:p w14:paraId="0D4F03E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78" w:type="dxa"/>
            <w:tcBorders>
              <w:top w:val="single" w:sz="4" w:space="0" w:color="auto"/>
              <w:left w:val="nil"/>
              <w:right w:val="nil"/>
            </w:tcBorders>
          </w:tcPr>
          <w:p w14:paraId="2B547F2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90" w:type="dxa"/>
            <w:tcBorders>
              <w:top w:val="single" w:sz="4" w:space="0" w:color="auto"/>
              <w:left w:val="nil"/>
              <w:bottom w:val="single" w:sz="4" w:space="0" w:color="auto"/>
              <w:right w:val="nil"/>
            </w:tcBorders>
          </w:tcPr>
          <w:p w14:paraId="639E6EF4"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66" w:type="dxa"/>
            <w:tcBorders>
              <w:top w:val="single" w:sz="4" w:space="0" w:color="auto"/>
              <w:left w:val="nil"/>
              <w:right w:val="nil"/>
            </w:tcBorders>
          </w:tcPr>
          <w:p w14:paraId="50136F8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90" w:type="dxa"/>
            <w:tcBorders>
              <w:top w:val="single" w:sz="4" w:space="0" w:color="auto"/>
              <w:left w:val="nil"/>
              <w:bottom w:val="single" w:sz="4" w:space="0" w:color="auto"/>
              <w:right w:val="nil"/>
            </w:tcBorders>
          </w:tcPr>
          <w:p w14:paraId="14AAE65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50" w:type="dxa"/>
            <w:tcBorders>
              <w:top w:val="single" w:sz="4" w:space="0" w:color="auto"/>
              <w:left w:val="nil"/>
              <w:right w:val="nil"/>
            </w:tcBorders>
          </w:tcPr>
          <w:p w14:paraId="7B544078"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1591" w:type="dxa"/>
            <w:tcBorders>
              <w:top w:val="single" w:sz="4" w:space="0" w:color="auto"/>
              <w:left w:val="nil"/>
              <w:bottom w:val="single" w:sz="4" w:space="0" w:color="auto"/>
              <w:right w:val="nil"/>
            </w:tcBorders>
          </w:tcPr>
          <w:p w14:paraId="6A3A2EC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6334EFF2" w14:textId="77777777" w:rsidTr="00116073">
        <w:tc>
          <w:tcPr>
            <w:tcW w:w="1853" w:type="dxa"/>
            <w:tcBorders>
              <w:top w:val="single" w:sz="4" w:space="0" w:color="auto"/>
              <w:left w:val="nil"/>
              <w:bottom w:val="nil"/>
              <w:right w:val="nil"/>
            </w:tcBorders>
          </w:tcPr>
          <w:p w14:paraId="610E02F0"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78" w:type="dxa"/>
            <w:tcBorders>
              <w:left w:val="nil"/>
              <w:bottom w:val="nil"/>
              <w:right w:val="nil"/>
            </w:tcBorders>
          </w:tcPr>
          <w:p w14:paraId="7193AD3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single" w:sz="4" w:space="0" w:color="auto"/>
              <w:left w:val="nil"/>
              <w:bottom w:val="nil"/>
              <w:right w:val="nil"/>
            </w:tcBorders>
          </w:tcPr>
          <w:p w14:paraId="496822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2.095</w:t>
            </w:r>
            <w:r w:rsidRPr="004E7E5A">
              <w:rPr>
                <w:rFonts w:ascii="Times New Roman" w:hAnsi="Times New Roman"/>
                <w:color w:val="000000" w:themeColor="text1"/>
                <w:kern w:val="0"/>
                <w:sz w:val="24"/>
                <w:vertAlign w:val="superscript"/>
              </w:rPr>
              <w:t>**</w:t>
            </w:r>
          </w:p>
        </w:tc>
        <w:tc>
          <w:tcPr>
            <w:tcW w:w="278" w:type="dxa"/>
            <w:tcBorders>
              <w:left w:val="nil"/>
              <w:bottom w:val="nil"/>
              <w:right w:val="nil"/>
            </w:tcBorders>
          </w:tcPr>
          <w:p w14:paraId="3AF67EA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single" w:sz="4" w:space="0" w:color="auto"/>
              <w:left w:val="nil"/>
              <w:bottom w:val="nil"/>
              <w:right w:val="nil"/>
            </w:tcBorders>
          </w:tcPr>
          <w:p w14:paraId="1D6606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6" w:type="dxa"/>
            <w:tcBorders>
              <w:left w:val="nil"/>
              <w:bottom w:val="nil"/>
              <w:right w:val="nil"/>
            </w:tcBorders>
          </w:tcPr>
          <w:p w14:paraId="6E2514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single" w:sz="4" w:space="0" w:color="auto"/>
              <w:left w:val="nil"/>
              <w:bottom w:val="nil"/>
              <w:right w:val="nil"/>
            </w:tcBorders>
          </w:tcPr>
          <w:p w14:paraId="1F8E9C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0" w:type="dxa"/>
            <w:tcBorders>
              <w:left w:val="nil"/>
              <w:bottom w:val="nil"/>
              <w:right w:val="nil"/>
            </w:tcBorders>
          </w:tcPr>
          <w:p w14:paraId="3D0C41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single" w:sz="4" w:space="0" w:color="auto"/>
              <w:left w:val="nil"/>
              <w:bottom w:val="nil"/>
              <w:right w:val="nil"/>
            </w:tcBorders>
          </w:tcPr>
          <w:p w14:paraId="1A2A48B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273D0A0A" w14:textId="77777777" w:rsidTr="00116073">
        <w:tc>
          <w:tcPr>
            <w:tcW w:w="1853" w:type="dxa"/>
            <w:tcBorders>
              <w:top w:val="nil"/>
              <w:left w:val="nil"/>
              <w:bottom w:val="nil"/>
              <w:right w:val="nil"/>
            </w:tcBorders>
          </w:tcPr>
          <w:p w14:paraId="00E5F1B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8" w:type="dxa"/>
            <w:tcBorders>
              <w:top w:val="nil"/>
              <w:left w:val="nil"/>
              <w:bottom w:val="nil"/>
              <w:right w:val="nil"/>
            </w:tcBorders>
          </w:tcPr>
          <w:p w14:paraId="10774C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4BAF71F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(1.98)</w:t>
            </w:r>
          </w:p>
        </w:tc>
        <w:tc>
          <w:tcPr>
            <w:tcW w:w="278" w:type="dxa"/>
            <w:tcBorders>
              <w:top w:val="nil"/>
              <w:left w:val="nil"/>
              <w:bottom w:val="nil"/>
              <w:right w:val="nil"/>
            </w:tcBorders>
          </w:tcPr>
          <w:p w14:paraId="24B4D5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486FAF3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6" w:type="dxa"/>
            <w:tcBorders>
              <w:top w:val="nil"/>
              <w:left w:val="nil"/>
              <w:bottom w:val="nil"/>
              <w:right w:val="nil"/>
            </w:tcBorders>
          </w:tcPr>
          <w:p w14:paraId="7FA2E79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279C692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0" w:type="dxa"/>
            <w:tcBorders>
              <w:top w:val="nil"/>
              <w:left w:val="nil"/>
              <w:bottom w:val="nil"/>
              <w:right w:val="nil"/>
            </w:tcBorders>
          </w:tcPr>
          <w:p w14:paraId="367B8F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nil"/>
              <w:right w:val="nil"/>
            </w:tcBorders>
          </w:tcPr>
          <w:p w14:paraId="3D41FA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4F9B6CDD" w14:textId="77777777" w:rsidTr="00116073">
        <w:tc>
          <w:tcPr>
            <w:tcW w:w="1853" w:type="dxa"/>
            <w:tcBorders>
              <w:top w:val="nil"/>
              <w:left w:val="nil"/>
              <w:bottom w:val="nil"/>
              <w:right w:val="nil"/>
            </w:tcBorders>
          </w:tcPr>
          <w:p w14:paraId="6BB6F24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78" w:type="dxa"/>
            <w:tcBorders>
              <w:top w:val="nil"/>
              <w:left w:val="nil"/>
              <w:bottom w:val="nil"/>
              <w:right w:val="nil"/>
            </w:tcBorders>
          </w:tcPr>
          <w:p w14:paraId="647892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009A736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8" w:type="dxa"/>
            <w:tcBorders>
              <w:top w:val="nil"/>
              <w:left w:val="nil"/>
              <w:bottom w:val="nil"/>
              <w:right w:val="nil"/>
            </w:tcBorders>
          </w:tcPr>
          <w:p w14:paraId="404A03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72843A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2.071</w:t>
            </w:r>
            <w:r w:rsidRPr="004E7E5A">
              <w:rPr>
                <w:rFonts w:ascii="Times New Roman" w:hAnsi="Times New Roman"/>
                <w:color w:val="000000" w:themeColor="text1"/>
                <w:kern w:val="0"/>
                <w:sz w:val="24"/>
                <w:vertAlign w:val="superscript"/>
              </w:rPr>
              <w:t>**</w:t>
            </w:r>
          </w:p>
        </w:tc>
        <w:tc>
          <w:tcPr>
            <w:tcW w:w="266" w:type="dxa"/>
            <w:tcBorders>
              <w:top w:val="nil"/>
              <w:left w:val="nil"/>
              <w:bottom w:val="nil"/>
              <w:right w:val="nil"/>
            </w:tcBorders>
          </w:tcPr>
          <w:p w14:paraId="55D7D63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544137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0" w:type="dxa"/>
            <w:tcBorders>
              <w:top w:val="nil"/>
              <w:left w:val="nil"/>
              <w:bottom w:val="nil"/>
              <w:right w:val="nil"/>
            </w:tcBorders>
          </w:tcPr>
          <w:p w14:paraId="65037B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nil"/>
              <w:right w:val="nil"/>
            </w:tcBorders>
          </w:tcPr>
          <w:p w14:paraId="51B2B3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8FA86CB" w14:textId="77777777" w:rsidTr="00116073">
        <w:tc>
          <w:tcPr>
            <w:tcW w:w="1853" w:type="dxa"/>
            <w:tcBorders>
              <w:top w:val="nil"/>
              <w:left w:val="nil"/>
              <w:bottom w:val="nil"/>
              <w:right w:val="nil"/>
            </w:tcBorders>
          </w:tcPr>
          <w:p w14:paraId="18AC409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8" w:type="dxa"/>
            <w:tcBorders>
              <w:top w:val="nil"/>
              <w:left w:val="nil"/>
              <w:bottom w:val="nil"/>
              <w:right w:val="nil"/>
            </w:tcBorders>
          </w:tcPr>
          <w:p w14:paraId="2335AB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5D0DC3D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8" w:type="dxa"/>
            <w:tcBorders>
              <w:top w:val="nil"/>
              <w:left w:val="nil"/>
              <w:bottom w:val="nil"/>
              <w:right w:val="nil"/>
            </w:tcBorders>
          </w:tcPr>
          <w:p w14:paraId="741F41E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6E2F641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(2.03)</w:t>
            </w:r>
          </w:p>
        </w:tc>
        <w:tc>
          <w:tcPr>
            <w:tcW w:w="266" w:type="dxa"/>
            <w:tcBorders>
              <w:top w:val="nil"/>
              <w:left w:val="nil"/>
              <w:bottom w:val="nil"/>
              <w:right w:val="nil"/>
            </w:tcBorders>
          </w:tcPr>
          <w:p w14:paraId="2B1F192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631598F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0" w:type="dxa"/>
            <w:tcBorders>
              <w:top w:val="nil"/>
              <w:left w:val="nil"/>
              <w:bottom w:val="nil"/>
              <w:right w:val="nil"/>
            </w:tcBorders>
          </w:tcPr>
          <w:p w14:paraId="4E99BF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nil"/>
              <w:right w:val="nil"/>
            </w:tcBorders>
          </w:tcPr>
          <w:p w14:paraId="7B4249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370420C" w14:textId="77777777" w:rsidTr="00116073">
        <w:tc>
          <w:tcPr>
            <w:tcW w:w="1853" w:type="dxa"/>
            <w:tcBorders>
              <w:top w:val="nil"/>
              <w:left w:val="nil"/>
              <w:bottom w:val="nil"/>
              <w:right w:val="nil"/>
            </w:tcBorders>
          </w:tcPr>
          <w:p w14:paraId="7E11DD6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78" w:type="dxa"/>
            <w:tcBorders>
              <w:top w:val="nil"/>
              <w:left w:val="nil"/>
              <w:bottom w:val="nil"/>
              <w:right w:val="nil"/>
            </w:tcBorders>
          </w:tcPr>
          <w:p w14:paraId="0E67B97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3C421C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8" w:type="dxa"/>
            <w:tcBorders>
              <w:top w:val="nil"/>
              <w:left w:val="nil"/>
              <w:bottom w:val="nil"/>
              <w:right w:val="nil"/>
            </w:tcBorders>
          </w:tcPr>
          <w:p w14:paraId="4F3F31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465154B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6" w:type="dxa"/>
            <w:tcBorders>
              <w:top w:val="nil"/>
              <w:left w:val="nil"/>
              <w:bottom w:val="nil"/>
              <w:right w:val="nil"/>
            </w:tcBorders>
          </w:tcPr>
          <w:p w14:paraId="392BE2F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63AF32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3.804</w:t>
            </w:r>
            <w:r w:rsidRPr="004E7E5A">
              <w:rPr>
                <w:rFonts w:ascii="Times New Roman" w:hAnsi="Times New Roman"/>
                <w:color w:val="000000" w:themeColor="text1"/>
                <w:kern w:val="0"/>
                <w:sz w:val="24"/>
                <w:vertAlign w:val="superscript"/>
              </w:rPr>
              <w:t>**</w:t>
            </w:r>
          </w:p>
        </w:tc>
        <w:tc>
          <w:tcPr>
            <w:tcW w:w="250" w:type="dxa"/>
            <w:tcBorders>
              <w:top w:val="nil"/>
              <w:left w:val="nil"/>
              <w:bottom w:val="nil"/>
              <w:right w:val="nil"/>
            </w:tcBorders>
          </w:tcPr>
          <w:p w14:paraId="534107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nil"/>
              <w:right w:val="nil"/>
            </w:tcBorders>
          </w:tcPr>
          <w:p w14:paraId="00C151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67C0148E" w14:textId="77777777" w:rsidTr="00116073">
        <w:tc>
          <w:tcPr>
            <w:tcW w:w="1853" w:type="dxa"/>
            <w:tcBorders>
              <w:top w:val="nil"/>
              <w:left w:val="nil"/>
              <w:bottom w:val="nil"/>
              <w:right w:val="nil"/>
            </w:tcBorders>
          </w:tcPr>
          <w:p w14:paraId="54A2772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8" w:type="dxa"/>
            <w:tcBorders>
              <w:top w:val="nil"/>
              <w:left w:val="nil"/>
              <w:bottom w:val="nil"/>
              <w:right w:val="nil"/>
            </w:tcBorders>
          </w:tcPr>
          <w:p w14:paraId="77C168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51D58B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8" w:type="dxa"/>
            <w:tcBorders>
              <w:top w:val="nil"/>
              <w:left w:val="nil"/>
              <w:bottom w:val="nil"/>
              <w:right w:val="nil"/>
            </w:tcBorders>
          </w:tcPr>
          <w:p w14:paraId="086693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623F794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6" w:type="dxa"/>
            <w:tcBorders>
              <w:top w:val="nil"/>
              <w:left w:val="nil"/>
              <w:bottom w:val="nil"/>
              <w:right w:val="nil"/>
            </w:tcBorders>
          </w:tcPr>
          <w:p w14:paraId="381D7A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5DF27B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(2.05)</w:t>
            </w:r>
          </w:p>
        </w:tc>
        <w:tc>
          <w:tcPr>
            <w:tcW w:w="250" w:type="dxa"/>
            <w:tcBorders>
              <w:top w:val="nil"/>
              <w:left w:val="nil"/>
              <w:bottom w:val="nil"/>
              <w:right w:val="nil"/>
            </w:tcBorders>
          </w:tcPr>
          <w:p w14:paraId="3A66FA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nil"/>
              <w:right w:val="nil"/>
            </w:tcBorders>
          </w:tcPr>
          <w:p w14:paraId="1BB772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8CFC393" w14:textId="77777777" w:rsidTr="00116073">
        <w:tc>
          <w:tcPr>
            <w:tcW w:w="1853" w:type="dxa"/>
            <w:tcBorders>
              <w:top w:val="nil"/>
              <w:left w:val="nil"/>
              <w:bottom w:val="nil"/>
              <w:right w:val="nil"/>
            </w:tcBorders>
          </w:tcPr>
          <w:p w14:paraId="4EE1897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78" w:type="dxa"/>
            <w:tcBorders>
              <w:top w:val="nil"/>
              <w:left w:val="nil"/>
              <w:bottom w:val="nil"/>
              <w:right w:val="nil"/>
            </w:tcBorders>
          </w:tcPr>
          <w:p w14:paraId="3D637A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2C4E9DD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8" w:type="dxa"/>
            <w:tcBorders>
              <w:top w:val="nil"/>
              <w:left w:val="nil"/>
              <w:bottom w:val="nil"/>
              <w:right w:val="nil"/>
            </w:tcBorders>
          </w:tcPr>
          <w:p w14:paraId="5F0B104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467BA02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6" w:type="dxa"/>
            <w:tcBorders>
              <w:top w:val="nil"/>
              <w:left w:val="nil"/>
              <w:bottom w:val="nil"/>
              <w:right w:val="nil"/>
            </w:tcBorders>
          </w:tcPr>
          <w:p w14:paraId="0FBC9C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51DC8A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0" w:type="dxa"/>
            <w:tcBorders>
              <w:top w:val="nil"/>
              <w:left w:val="nil"/>
              <w:bottom w:val="nil"/>
              <w:right w:val="nil"/>
            </w:tcBorders>
          </w:tcPr>
          <w:p w14:paraId="14AE0A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nil"/>
              <w:right w:val="nil"/>
            </w:tcBorders>
          </w:tcPr>
          <w:p w14:paraId="73D04A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3.740</w:t>
            </w:r>
            <w:r w:rsidRPr="004E7E5A">
              <w:rPr>
                <w:rFonts w:ascii="Times New Roman" w:hAnsi="Times New Roman"/>
                <w:color w:val="000000" w:themeColor="text1"/>
                <w:kern w:val="0"/>
                <w:sz w:val="24"/>
                <w:vertAlign w:val="superscript"/>
              </w:rPr>
              <w:t>**</w:t>
            </w:r>
          </w:p>
        </w:tc>
      </w:tr>
      <w:tr w:rsidR="001E3466" w:rsidRPr="004E7E5A" w14:paraId="3838F5AC" w14:textId="77777777" w:rsidTr="00116073">
        <w:tc>
          <w:tcPr>
            <w:tcW w:w="1853" w:type="dxa"/>
            <w:tcBorders>
              <w:top w:val="nil"/>
              <w:left w:val="nil"/>
              <w:bottom w:val="nil"/>
              <w:right w:val="nil"/>
            </w:tcBorders>
          </w:tcPr>
          <w:p w14:paraId="758E979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278" w:type="dxa"/>
            <w:tcBorders>
              <w:top w:val="nil"/>
              <w:left w:val="nil"/>
              <w:bottom w:val="nil"/>
              <w:right w:val="nil"/>
            </w:tcBorders>
          </w:tcPr>
          <w:p w14:paraId="7A59AC9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5D3EA3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78" w:type="dxa"/>
            <w:tcBorders>
              <w:top w:val="nil"/>
              <w:left w:val="nil"/>
              <w:bottom w:val="nil"/>
              <w:right w:val="nil"/>
            </w:tcBorders>
          </w:tcPr>
          <w:p w14:paraId="470E6C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0F5A92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66" w:type="dxa"/>
            <w:tcBorders>
              <w:top w:val="nil"/>
              <w:left w:val="nil"/>
              <w:bottom w:val="nil"/>
              <w:right w:val="nil"/>
            </w:tcBorders>
          </w:tcPr>
          <w:p w14:paraId="20A3257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nil"/>
              <w:right w:val="nil"/>
            </w:tcBorders>
          </w:tcPr>
          <w:p w14:paraId="2DE221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250" w:type="dxa"/>
            <w:tcBorders>
              <w:top w:val="nil"/>
              <w:left w:val="nil"/>
              <w:bottom w:val="nil"/>
              <w:right w:val="nil"/>
            </w:tcBorders>
          </w:tcPr>
          <w:p w14:paraId="573B473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nil"/>
              <w:right w:val="nil"/>
            </w:tcBorders>
          </w:tcPr>
          <w:p w14:paraId="182756C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(2.08)</w:t>
            </w:r>
          </w:p>
        </w:tc>
      </w:tr>
      <w:tr w:rsidR="001E3466" w:rsidRPr="004E7E5A" w14:paraId="3F167E09" w14:textId="77777777" w:rsidTr="00116073">
        <w:tc>
          <w:tcPr>
            <w:tcW w:w="1853" w:type="dxa"/>
            <w:tcBorders>
              <w:top w:val="nil"/>
              <w:left w:val="nil"/>
              <w:right w:val="nil"/>
            </w:tcBorders>
          </w:tcPr>
          <w:p w14:paraId="7C35981B"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78" w:type="dxa"/>
            <w:tcBorders>
              <w:top w:val="nil"/>
              <w:left w:val="nil"/>
              <w:right w:val="nil"/>
            </w:tcBorders>
          </w:tcPr>
          <w:p w14:paraId="2F192E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74229D9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c>
          <w:tcPr>
            <w:tcW w:w="278" w:type="dxa"/>
            <w:tcBorders>
              <w:top w:val="nil"/>
              <w:left w:val="nil"/>
              <w:right w:val="nil"/>
            </w:tcBorders>
          </w:tcPr>
          <w:p w14:paraId="6F0391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76E458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c>
          <w:tcPr>
            <w:tcW w:w="266" w:type="dxa"/>
            <w:tcBorders>
              <w:top w:val="nil"/>
              <w:left w:val="nil"/>
              <w:right w:val="nil"/>
            </w:tcBorders>
          </w:tcPr>
          <w:p w14:paraId="31152D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147A717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c>
          <w:tcPr>
            <w:tcW w:w="250" w:type="dxa"/>
            <w:tcBorders>
              <w:top w:val="nil"/>
              <w:left w:val="nil"/>
              <w:right w:val="nil"/>
            </w:tcBorders>
          </w:tcPr>
          <w:p w14:paraId="385F1DB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right w:val="nil"/>
            </w:tcBorders>
          </w:tcPr>
          <w:p w14:paraId="3405017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r>
      <w:tr w:rsidR="001E3466" w:rsidRPr="004E7E5A" w14:paraId="1AE72690" w14:textId="77777777" w:rsidTr="00116073">
        <w:tc>
          <w:tcPr>
            <w:tcW w:w="1853" w:type="dxa"/>
            <w:tcBorders>
              <w:top w:val="nil"/>
              <w:left w:val="nil"/>
              <w:right w:val="nil"/>
            </w:tcBorders>
          </w:tcPr>
          <w:p w14:paraId="5CEDFB81"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78" w:type="dxa"/>
            <w:tcBorders>
              <w:top w:val="nil"/>
              <w:left w:val="nil"/>
              <w:right w:val="nil"/>
            </w:tcBorders>
          </w:tcPr>
          <w:p w14:paraId="30D674B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2E480C5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8" w:type="dxa"/>
            <w:tcBorders>
              <w:top w:val="nil"/>
              <w:left w:val="nil"/>
              <w:right w:val="nil"/>
            </w:tcBorders>
          </w:tcPr>
          <w:p w14:paraId="1D0EFF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6371DE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6" w:type="dxa"/>
            <w:tcBorders>
              <w:top w:val="nil"/>
              <w:left w:val="nil"/>
              <w:right w:val="nil"/>
            </w:tcBorders>
          </w:tcPr>
          <w:p w14:paraId="226C80E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379B20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0" w:type="dxa"/>
            <w:tcBorders>
              <w:top w:val="nil"/>
              <w:left w:val="nil"/>
              <w:right w:val="nil"/>
            </w:tcBorders>
          </w:tcPr>
          <w:p w14:paraId="554ADE3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right w:val="nil"/>
            </w:tcBorders>
          </w:tcPr>
          <w:p w14:paraId="343CC8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3ECDF412" w14:textId="77777777" w:rsidTr="00116073">
        <w:tc>
          <w:tcPr>
            <w:tcW w:w="1853" w:type="dxa"/>
            <w:tcBorders>
              <w:top w:val="nil"/>
              <w:left w:val="nil"/>
              <w:right w:val="nil"/>
            </w:tcBorders>
          </w:tcPr>
          <w:p w14:paraId="30BF2B85"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278" w:type="dxa"/>
            <w:tcBorders>
              <w:top w:val="nil"/>
              <w:left w:val="nil"/>
              <w:right w:val="nil"/>
            </w:tcBorders>
          </w:tcPr>
          <w:p w14:paraId="30F5528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4E6CBE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78" w:type="dxa"/>
            <w:tcBorders>
              <w:top w:val="nil"/>
              <w:left w:val="nil"/>
              <w:right w:val="nil"/>
            </w:tcBorders>
          </w:tcPr>
          <w:p w14:paraId="3CDF53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5E8D57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66" w:type="dxa"/>
            <w:tcBorders>
              <w:top w:val="nil"/>
              <w:left w:val="nil"/>
              <w:right w:val="nil"/>
            </w:tcBorders>
          </w:tcPr>
          <w:p w14:paraId="6F6743E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right w:val="nil"/>
            </w:tcBorders>
          </w:tcPr>
          <w:p w14:paraId="67A3F5C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50" w:type="dxa"/>
            <w:tcBorders>
              <w:top w:val="nil"/>
              <w:left w:val="nil"/>
              <w:right w:val="nil"/>
            </w:tcBorders>
          </w:tcPr>
          <w:p w14:paraId="181830C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right w:val="nil"/>
            </w:tcBorders>
          </w:tcPr>
          <w:p w14:paraId="731319B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781C477A" w14:textId="77777777" w:rsidTr="00116073">
        <w:tc>
          <w:tcPr>
            <w:tcW w:w="1853" w:type="dxa"/>
            <w:tcBorders>
              <w:left w:val="nil"/>
              <w:right w:val="nil"/>
            </w:tcBorders>
          </w:tcPr>
          <w:p w14:paraId="7E191CB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78" w:type="dxa"/>
            <w:tcBorders>
              <w:left w:val="nil"/>
              <w:right w:val="nil"/>
            </w:tcBorders>
          </w:tcPr>
          <w:p w14:paraId="2470ACC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left w:val="nil"/>
              <w:right w:val="nil"/>
            </w:tcBorders>
          </w:tcPr>
          <w:p w14:paraId="11A1C6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1029</w:t>
            </w:r>
          </w:p>
        </w:tc>
        <w:tc>
          <w:tcPr>
            <w:tcW w:w="278" w:type="dxa"/>
            <w:tcBorders>
              <w:left w:val="nil"/>
              <w:right w:val="nil"/>
            </w:tcBorders>
          </w:tcPr>
          <w:p w14:paraId="064FE0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left w:val="nil"/>
              <w:right w:val="nil"/>
            </w:tcBorders>
          </w:tcPr>
          <w:p w14:paraId="415F6A3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1029</w:t>
            </w:r>
          </w:p>
        </w:tc>
        <w:tc>
          <w:tcPr>
            <w:tcW w:w="266" w:type="dxa"/>
            <w:tcBorders>
              <w:left w:val="nil"/>
              <w:right w:val="nil"/>
            </w:tcBorders>
          </w:tcPr>
          <w:p w14:paraId="047A81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left w:val="nil"/>
              <w:right w:val="nil"/>
            </w:tcBorders>
          </w:tcPr>
          <w:p w14:paraId="6ABFE9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1029</w:t>
            </w:r>
          </w:p>
        </w:tc>
        <w:tc>
          <w:tcPr>
            <w:tcW w:w="250" w:type="dxa"/>
            <w:tcBorders>
              <w:left w:val="nil"/>
              <w:right w:val="nil"/>
            </w:tcBorders>
          </w:tcPr>
          <w:p w14:paraId="5F641A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left w:val="nil"/>
              <w:right w:val="nil"/>
            </w:tcBorders>
          </w:tcPr>
          <w:p w14:paraId="1E59DA6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1029</w:t>
            </w:r>
          </w:p>
        </w:tc>
      </w:tr>
      <w:tr w:rsidR="001E3466" w:rsidRPr="004E7E5A" w14:paraId="089B3C47" w14:textId="77777777" w:rsidTr="00116073">
        <w:tc>
          <w:tcPr>
            <w:tcW w:w="1853" w:type="dxa"/>
            <w:tcBorders>
              <w:top w:val="nil"/>
              <w:left w:val="nil"/>
              <w:bottom w:val="single" w:sz="4" w:space="0" w:color="auto"/>
              <w:right w:val="nil"/>
            </w:tcBorders>
          </w:tcPr>
          <w:p w14:paraId="6FEF1E03"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278" w:type="dxa"/>
            <w:tcBorders>
              <w:top w:val="nil"/>
              <w:left w:val="nil"/>
              <w:bottom w:val="single" w:sz="4" w:space="0" w:color="auto"/>
              <w:right w:val="nil"/>
            </w:tcBorders>
          </w:tcPr>
          <w:p w14:paraId="435F3B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single" w:sz="4" w:space="0" w:color="auto"/>
              <w:right w:val="nil"/>
            </w:tcBorders>
          </w:tcPr>
          <w:p w14:paraId="377397B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555.769</w:t>
            </w:r>
          </w:p>
        </w:tc>
        <w:tc>
          <w:tcPr>
            <w:tcW w:w="278" w:type="dxa"/>
            <w:tcBorders>
              <w:top w:val="nil"/>
              <w:left w:val="nil"/>
              <w:bottom w:val="single" w:sz="4" w:space="0" w:color="auto"/>
              <w:right w:val="nil"/>
            </w:tcBorders>
          </w:tcPr>
          <w:p w14:paraId="689073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single" w:sz="4" w:space="0" w:color="auto"/>
              <w:right w:val="nil"/>
            </w:tcBorders>
          </w:tcPr>
          <w:p w14:paraId="08A6AAD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585.349</w:t>
            </w:r>
          </w:p>
        </w:tc>
        <w:tc>
          <w:tcPr>
            <w:tcW w:w="266" w:type="dxa"/>
            <w:tcBorders>
              <w:top w:val="nil"/>
              <w:left w:val="nil"/>
              <w:bottom w:val="single" w:sz="4" w:space="0" w:color="auto"/>
              <w:right w:val="nil"/>
            </w:tcBorders>
          </w:tcPr>
          <w:p w14:paraId="7CF52E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0" w:type="dxa"/>
            <w:tcBorders>
              <w:top w:val="nil"/>
              <w:left w:val="nil"/>
              <w:bottom w:val="single" w:sz="4" w:space="0" w:color="auto"/>
              <w:right w:val="nil"/>
            </w:tcBorders>
          </w:tcPr>
          <w:p w14:paraId="6507003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593.865</w:t>
            </w:r>
          </w:p>
        </w:tc>
        <w:tc>
          <w:tcPr>
            <w:tcW w:w="250" w:type="dxa"/>
            <w:tcBorders>
              <w:top w:val="nil"/>
              <w:left w:val="nil"/>
              <w:bottom w:val="single" w:sz="4" w:space="0" w:color="auto"/>
              <w:right w:val="nil"/>
            </w:tcBorders>
          </w:tcPr>
          <w:p w14:paraId="58A0B5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1591" w:type="dxa"/>
            <w:tcBorders>
              <w:top w:val="nil"/>
              <w:left w:val="nil"/>
              <w:bottom w:val="single" w:sz="4" w:space="0" w:color="auto"/>
              <w:right w:val="nil"/>
            </w:tcBorders>
          </w:tcPr>
          <w:p w14:paraId="286A145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610.195</w:t>
            </w:r>
          </w:p>
        </w:tc>
      </w:tr>
    </w:tbl>
    <w:p w14:paraId="46642E22"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presents the second stage of a two-stage least squares (2SLS) model based on Equation (1) to test </w:t>
      </w:r>
      <w:r w:rsidRPr="004E7E5A">
        <w:rPr>
          <w:rFonts w:cs="Times New Roman"/>
          <w:szCs w:val="24"/>
        </w:rPr>
        <w:t>the effect of</w:t>
      </w:r>
      <w:r w:rsidRPr="004E7E5A">
        <w:rPr>
          <w:rStyle w:val="fontstyle01"/>
          <w:rFonts w:ascii="Times New Roman" w:hAnsi="Times New Roman" w:cs="Times New Roman" w:hint="default"/>
          <w:color w:val="000000" w:themeColor="text1"/>
          <w:sz w:val="24"/>
          <w:szCs w:val="24"/>
        </w:rPr>
        <w:t xml:space="preserve"> political connections on the relationship between directors’ network and CSR disclosure quality. We rerun regression equation (1) excluding the 2957 observations that directors, supervisors, and senior executives are politically connected. 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the other variables are provided in Appendix A.</w:t>
      </w:r>
    </w:p>
    <w:p w14:paraId="0C4AACFD"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27DB2933"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1DC8415A"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267FD989"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11C92D52"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6DDC6061"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3A6A4EEB"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pPr>
    </w:p>
    <w:p w14:paraId="1B625395"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sectPr w:rsidR="00A53CFE" w:rsidRPr="004E7E5A" w:rsidSect="008F110D">
          <w:pgSz w:w="11906" w:h="16838"/>
          <w:pgMar w:top="1701" w:right="1418" w:bottom="1361" w:left="1418" w:header="1134" w:footer="1134" w:gutter="0"/>
          <w:cols w:space="425"/>
          <w:docGrid w:type="lines" w:linePitch="312"/>
        </w:sectPr>
      </w:pPr>
    </w:p>
    <w:p w14:paraId="262D362D" w14:textId="75F2342C"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lastRenderedPageBreak/>
        <w:t>Table 1</w:t>
      </w:r>
      <w:r w:rsidR="0071114F" w:rsidRPr="004E7E5A">
        <w:rPr>
          <w:rFonts w:ascii="Times New Roman" w:eastAsia="宋体" w:hAnsi="Times New Roman"/>
          <w:b/>
          <w:bCs/>
          <w:color w:val="000000" w:themeColor="text1"/>
          <w:sz w:val="24"/>
          <w:szCs w:val="24"/>
        </w:rPr>
        <w:t>3</w:t>
      </w:r>
    </w:p>
    <w:p w14:paraId="2F8414EB" w14:textId="77777777" w:rsidR="00A53CFE" w:rsidRPr="004E7E5A" w:rsidRDefault="00A53CFE" w:rsidP="00A53CFE">
      <w:pPr>
        <w:autoSpaceDE w:val="0"/>
        <w:autoSpaceDN w:val="0"/>
        <w:adjustRightInd w:val="0"/>
        <w:spacing w:afterLines="100" w:after="312"/>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Second-Stage Regressions of 2SLS Model for Testing the Influence of CEO Duality Structure</w:t>
      </w:r>
    </w:p>
    <w:tbl>
      <w:tblPr>
        <w:tblW w:w="5000" w:type="pct"/>
        <w:tblLook w:val="0000" w:firstRow="0" w:lastRow="0" w:firstColumn="0" w:lastColumn="0" w:noHBand="0" w:noVBand="0"/>
      </w:tblPr>
      <w:tblGrid>
        <w:gridCol w:w="1823"/>
        <w:gridCol w:w="234"/>
        <w:gridCol w:w="1270"/>
        <w:gridCol w:w="237"/>
        <w:gridCol w:w="1270"/>
        <w:gridCol w:w="237"/>
        <w:gridCol w:w="1270"/>
        <w:gridCol w:w="240"/>
        <w:gridCol w:w="1270"/>
        <w:gridCol w:w="240"/>
        <w:gridCol w:w="1237"/>
        <w:gridCol w:w="240"/>
        <w:gridCol w:w="1237"/>
        <w:gridCol w:w="240"/>
        <w:gridCol w:w="1237"/>
        <w:gridCol w:w="240"/>
        <w:gridCol w:w="1254"/>
      </w:tblGrid>
      <w:tr w:rsidR="001E3466" w:rsidRPr="004E7E5A" w14:paraId="7C1F33EB" w14:textId="77777777" w:rsidTr="00116073">
        <w:tc>
          <w:tcPr>
            <w:tcW w:w="662" w:type="pct"/>
            <w:tcBorders>
              <w:top w:val="single" w:sz="4" w:space="0" w:color="auto"/>
              <w:left w:val="nil"/>
              <w:right w:val="nil"/>
            </w:tcBorders>
          </w:tcPr>
          <w:p w14:paraId="79235A87"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p>
        </w:tc>
        <w:tc>
          <w:tcPr>
            <w:tcW w:w="2275" w:type="pct"/>
            <w:gridSpan w:val="9"/>
            <w:tcBorders>
              <w:top w:val="single" w:sz="4" w:space="0" w:color="auto"/>
              <w:left w:val="nil"/>
              <w:right w:val="nil"/>
            </w:tcBorders>
          </w:tcPr>
          <w:p w14:paraId="5C54E11B" w14:textId="77777777" w:rsidR="00A53CFE" w:rsidRPr="004E7E5A" w:rsidRDefault="00A53CFE" w:rsidP="00116073">
            <w:pPr>
              <w:autoSpaceDE w:val="0"/>
              <w:autoSpaceDN w:val="0"/>
              <w:adjustRightInd w:val="0"/>
              <w:jc w:val="center"/>
              <w:rPr>
                <w:rFonts w:ascii="Times New Roman" w:eastAsia="宋体" w:hAnsi="Times New Roman"/>
                <w:b/>
                <w:bCs/>
                <w:color w:val="000000" w:themeColor="text1"/>
                <w:kern w:val="0"/>
                <w:sz w:val="24"/>
                <w:szCs w:val="24"/>
              </w:rPr>
            </w:pPr>
            <w:r w:rsidRPr="004E7E5A">
              <w:rPr>
                <w:rFonts w:ascii="Times New Roman" w:eastAsia="宋体" w:hAnsi="Times New Roman"/>
                <w:b/>
                <w:bCs/>
                <w:color w:val="000000" w:themeColor="text1"/>
                <w:sz w:val="24"/>
                <w:szCs w:val="24"/>
              </w:rPr>
              <w:t>Non-CEO Duality</w:t>
            </w:r>
          </w:p>
        </w:tc>
        <w:tc>
          <w:tcPr>
            <w:tcW w:w="2063" w:type="pct"/>
            <w:gridSpan w:val="7"/>
            <w:tcBorders>
              <w:top w:val="single" w:sz="4" w:space="0" w:color="auto"/>
              <w:left w:val="nil"/>
            </w:tcBorders>
          </w:tcPr>
          <w:p w14:paraId="3F4CB096" w14:textId="77777777" w:rsidR="00A53CFE" w:rsidRPr="004E7E5A" w:rsidRDefault="00A53CFE" w:rsidP="00116073">
            <w:pPr>
              <w:autoSpaceDE w:val="0"/>
              <w:autoSpaceDN w:val="0"/>
              <w:adjustRightInd w:val="0"/>
              <w:jc w:val="center"/>
              <w:rPr>
                <w:rFonts w:ascii="Times New Roman" w:eastAsia="宋体" w:hAnsi="Times New Roman"/>
                <w:b/>
                <w:bCs/>
                <w:color w:val="000000" w:themeColor="text1"/>
                <w:kern w:val="0"/>
                <w:sz w:val="24"/>
                <w:szCs w:val="24"/>
              </w:rPr>
            </w:pPr>
            <w:r w:rsidRPr="004E7E5A">
              <w:rPr>
                <w:rFonts w:ascii="Times New Roman" w:eastAsia="宋体" w:hAnsi="Times New Roman"/>
                <w:b/>
                <w:bCs/>
                <w:color w:val="000000" w:themeColor="text1"/>
                <w:sz w:val="24"/>
                <w:szCs w:val="24"/>
              </w:rPr>
              <w:t>CEO Duality</w:t>
            </w:r>
          </w:p>
        </w:tc>
      </w:tr>
      <w:tr w:rsidR="001E3466" w:rsidRPr="004E7E5A" w14:paraId="70300BE0" w14:textId="77777777" w:rsidTr="00116073">
        <w:tc>
          <w:tcPr>
            <w:tcW w:w="662" w:type="pct"/>
            <w:tcBorders>
              <w:top w:val="nil"/>
              <w:left w:val="nil"/>
              <w:bottom w:val="single" w:sz="4" w:space="0" w:color="auto"/>
              <w:right w:val="nil"/>
            </w:tcBorders>
          </w:tcPr>
          <w:p w14:paraId="5417BEDF" w14:textId="77777777" w:rsidR="00A53CFE" w:rsidRPr="004E7E5A" w:rsidRDefault="00A53CFE" w:rsidP="0011607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85" w:type="pct"/>
            <w:tcBorders>
              <w:left w:val="nil"/>
              <w:right w:val="nil"/>
            </w:tcBorders>
          </w:tcPr>
          <w:p w14:paraId="2E025EA2"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61" w:type="pct"/>
            <w:tcBorders>
              <w:top w:val="single" w:sz="4" w:space="0" w:color="auto"/>
              <w:left w:val="nil"/>
              <w:bottom w:val="single" w:sz="4" w:space="0" w:color="auto"/>
              <w:right w:val="nil"/>
            </w:tcBorders>
          </w:tcPr>
          <w:p w14:paraId="2BF53CBA"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86" w:type="pct"/>
            <w:tcBorders>
              <w:top w:val="single" w:sz="4" w:space="0" w:color="auto"/>
              <w:left w:val="nil"/>
              <w:right w:val="nil"/>
            </w:tcBorders>
          </w:tcPr>
          <w:p w14:paraId="7A27772B"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61" w:type="pct"/>
            <w:tcBorders>
              <w:top w:val="single" w:sz="4" w:space="0" w:color="auto"/>
              <w:left w:val="nil"/>
              <w:bottom w:val="single" w:sz="4" w:space="0" w:color="auto"/>
              <w:right w:val="nil"/>
            </w:tcBorders>
          </w:tcPr>
          <w:p w14:paraId="5713B763"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86" w:type="pct"/>
            <w:tcBorders>
              <w:top w:val="single" w:sz="4" w:space="0" w:color="auto"/>
              <w:left w:val="nil"/>
              <w:right w:val="nil"/>
            </w:tcBorders>
          </w:tcPr>
          <w:p w14:paraId="2A6F3A1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61" w:type="pct"/>
            <w:tcBorders>
              <w:top w:val="single" w:sz="4" w:space="0" w:color="auto"/>
              <w:left w:val="nil"/>
              <w:bottom w:val="single" w:sz="4" w:space="0" w:color="auto"/>
              <w:right w:val="nil"/>
            </w:tcBorders>
          </w:tcPr>
          <w:p w14:paraId="0814582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87" w:type="pct"/>
            <w:tcBorders>
              <w:top w:val="single" w:sz="4" w:space="0" w:color="auto"/>
              <w:left w:val="nil"/>
              <w:right w:val="nil"/>
            </w:tcBorders>
          </w:tcPr>
          <w:p w14:paraId="0F85A05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61" w:type="pct"/>
            <w:tcBorders>
              <w:top w:val="single" w:sz="4" w:space="0" w:color="auto"/>
              <w:left w:val="nil"/>
              <w:bottom w:val="single" w:sz="4" w:space="0" w:color="auto"/>
              <w:right w:val="nil"/>
            </w:tcBorders>
          </w:tcPr>
          <w:p w14:paraId="1463EAF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c>
          <w:tcPr>
            <w:tcW w:w="87" w:type="pct"/>
            <w:tcBorders>
              <w:left w:val="nil"/>
              <w:right w:val="nil"/>
            </w:tcBorders>
          </w:tcPr>
          <w:p w14:paraId="583AC227"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49" w:type="pct"/>
            <w:tcBorders>
              <w:top w:val="single" w:sz="4" w:space="0" w:color="auto"/>
              <w:left w:val="nil"/>
              <w:bottom w:val="single" w:sz="4" w:space="0" w:color="auto"/>
              <w:right w:val="nil"/>
            </w:tcBorders>
          </w:tcPr>
          <w:p w14:paraId="61372EA1"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(5)</w:t>
            </w:r>
          </w:p>
        </w:tc>
        <w:tc>
          <w:tcPr>
            <w:tcW w:w="87" w:type="pct"/>
            <w:tcBorders>
              <w:top w:val="single" w:sz="4" w:space="0" w:color="auto"/>
              <w:left w:val="nil"/>
              <w:right w:val="nil"/>
            </w:tcBorders>
          </w:tcPr>
          <w:p w14:paraId="1D04B5E0"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49" w:type="pct"/>
            <w:tcBorders>
              <w:top w:val="single" w:sz="4" w:space="0" w:color="auto"/>
              <w:left w:val="nil"/>
              <w:bottom w:val="single" w:sz="4" w:space="0" w:color="auto"/>
              <w:right w:val="nil"/>
            </w:tcBorders>
          </w:tcPr>
          <w:p w14:paraId="58C20E9E"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(6)</w:t>
            </w:r>
          </w:p>
        </w:tc>
        <w:tc>
          <w:tcPr>
            <w:tcW w:w="87" w:type="pct"/>
            <w:tcBorders>
              <w:top w:val="single" w:sz="4" w:space="0" w:color="auto"/>
              <w:left w:val="nil"/>
              <w:right w:val="nil"/>
            </w:tcBorders>
          </w:tcPr>
          <w:p w14:paraId="27B79EBD"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49" w:type="pct"/>
            <w:tcBorders>
              <w:top w:val="single" w:sz="4" w:space="0" w:color="auto"/>
              <w:left w:val="nil"/>
              <w:bottom w:val="single" w:sz="4" w:space="0" w:color="auto"/>
              <w:right w:val="nil"/>
            </w:tcBorders>
          </w:tcPr>
          <w:p w14:paraId="4A517C3F"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(7)</w:t>
            </w:r>
          </w:p>
        </w:tc>
        <w:tc>
          <w:tcPr>
            <w:tcW w:w="87" w:type="pct"/>
            <w:tcBorders>
              <w:top w:val="single" w:sz="4" w:space="0" w:color="auto"/>
              <w:left w:val="nil"/>
              <w:right w:val="nil"/>
            </w:tcBorders>
          </w:tcPr>
          <w:p w14:paraId="33185095"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p>
        </w:tc>
        <w:tc>
          <w:tcPr>
            <w:tcW w:w="455" w:type="pct"/>
            <w:tcBorders>
              <w:top w:val="single" w:sz="4" w:space="0" w:color="auto"/>
              <w:left w:val="nil"/>
              <w:bottom w:val="single" w:sz="4" w:space="0" w:color="auto"/>
              <w:right w:val="nil"/>
            </w:tcBorders>
          </w:tcPr>
          <w:p w14:paraId="46D839D9" w14:textId="77777777" w:rsidR="00A53CFE" w:rsidRPr="004E7E5A" w:rsidRDefault="00A53CFE" w:rsidP="0011607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(8)</w:t>
            </w:r>
          </w:p>
        </w:tc>
      </w:tr>
      <w:tr w:rsidR="001E3466" w:rsidRPr="004E7E5A" w14:paraId="219D55F5" w14:textId="77777777" w:rsidTr="00116073">
        <w:tc>
          <w:tcPr>
            <w:tcW w:w="662" w:type="pct"/>
            <w:tcBorders>
              <w:left w:val="nil"/>
              <w:bottom w:val="nil"/>
              <w:right w:val="nil"/>
            </w:tcBorders>
          </w:tcPr>
          <w:p w14:paraId="7E448C9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rPr>
              <w:t>Score_max</w:t>
            </w:r>
            <w:proofErr w:type="spellEnd"/>
          </w:p>
        </w:tc>
        <w:tc>
          <w:tcPr>
            <w:tcW w:w="85" w:type="pct"/>
            <w:tcBorders>
              <w:left w:val="nil"/>
              <w:bottom w:val="nil"/>
              <w:right w:val="nil"/>
            </w:tcBorders>
          </w:tcPr>
          <w:p w14:paraId="26D2F6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left w:val="nil"/>
              <w:bottom w:val="nil"/>
              <w:right w:val="nil"/>
            </w:tcBorders>
          </w:tcPr>
          <w:p w14:paraId="064528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2.401</w:t>
            </w:r>
            <w:r w:rsidRPr="004E7E5A">
              <w:rPr>
                <w:rFonts w:ascii="Times New Roman" w:hAnsi="Times New Roman"/>
                <w:color w:val="000000" w:themeColor="text1"/>
                <w:kern w:val="0"/>
                <w:sz w:val="24"/>
                <w:vertAlign w:val="superscript"/>
              </w:rPr>
              <w:t>**</w:t>
            </w:r>
          </w:p>
        </w:tc>
        <w:tc>
          <w:tcPr>
            <w:tcW w:w="86" w:type="pct"/>
            <w:tcBorders>
              <w:left w:val="nil"/>
              <w:bottom w:val="nil"/>
              <w:right w:val="nil"/>
            </w:tcBorders>
          </w:tcPr>
          <w:p w14:paraId="2636C76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left w:val="nil"/>
              <w:bottom w:val="nil"/>
              <w:right w:val="nil"/>
            </w:tcBorders>
          </w:tcPr>
          <w:p w14:paraId="1E8C574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left w:val="nil"/>
              <w:bottom w:val="nil"/>
              <w:right w:val="nil"/>
            </w:tcBorders>
          </w:tcPr>
          <w:p w14:paraId="08FCA2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left w:val="nil"/>
              <w:bottom w:val="nil"/>
              <w:right w:val="nil"/>
            </w:tcBorders>
          </w:tcPr>
          <w:p w14:paraId="5F02FBB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left w:val="nil"/>
              <w:bottom w:val="nil"/>
              <w:right w:val="nil"/>
            </w:tcBorders>
          </w:tcPr>
          <w:p w14:paraId="107EAB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left w:val="nil"/>
              <w:bottom w:val="nil"/>
              <w:right w:val="nil"/>
            </w:tcBorders>
          </w:tcPr>
          <w:p w14:paraId="6693183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left w:val="nil"/>
              <w:bottom w:val="nil"/>
              <w:right w:val="nil"/>
            </w:tcBorders>
          </w:tcPr>
          <w:p w14:paraId="3414F04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left w:val="nil"/>
              <w:bottom w:val="nil"/>
              <w:right w:val="nil"/>
            </w:tcBorders>
          </w:tcPr>
          <w:p w14:paraId="225224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2.472</w:t>
            </w:r>
            <w:r w:rsidRPr="004E7E5A">
              <w:rPr>
                <w:rFonts w:ascii="Times New Roman" w:hAnsi="Times New Roman"/>
                <w:color w:val="000000" w:themeColor="text1"/>
                <w:kern w:val="0"/>
                <w:sz w:val="24"/>
                <w:vertAlign w:val="superscript"/>
              </w:rPr>
              <w:t>*</w:t>
            </w:r>
          </w:p>
        </w:tc>
        <w:tc>
          <w:tcPr>
            <w:tcW w:w="87" w:type="pct"/>
            <w:tcBorders>
              <w:left w:val="nil"/>
              <w:bottom w:val="nil"/>
              <w:right w:val="nil"/>
            </w:tcBorders>
          </w:tcPr>
          <w:p w14:paraId="4460DD6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left w:val="nil"/>
              <w:bottom w:val="nil"/>
              <w:right w:val="nil"/>
            </w:tcBorders>
          </w:tcPr>
          <w:p w14:paraId="531B028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left w:val="nil"/>
              <w:bottom w:val="nil"/>
              <w:right w:val="nil"/>
            </w:tcBorders>
          </w:tcPr>
          <w:p w14:paraId="4E3BBDE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left w:val="nil"/>
              <w:bottom w:val="nil"/>
              <w:right w:val="nil"/>
            </w:tcBorders>
          </w:tcPr>
          <w:p w14:paraId="64F1BCE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left w:val="nil"/>
              <w:bottom w:val="nil"/>
              <w:right w:val="nil"/>
            </w:tcBorders>
          </w:tcPr>
          <w:p w14:paraId="28E8F6A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single" w:sz="4" w:space="0" w:color="auto"/>
              <w:left w:val="nil"/>
              <w:bottom w:val="nil"/>
              <w:right w:val="nil"/>
            </w:tcBorders>
          </w:tcPr>
          <w:p w14:paraId="0C4A835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81FC2E7" w14:textId="77777777" w:rsidTr="00116073">
        <w:tc>
          <w:tcPr>
            <w:tcW w:w="662" w:type="pct"/>
            <w:tcBorders>
              <w:top w:val="nil"/>
              <w:left w:val="nil"/>
              <w:bottom w:val="nil"/>
              <w:right w:val="nil"/>
            </w:tcBorders>
          </w:tcPr>
          <w:p w14:paraId="2BF7581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85" w:type="pct"/>
            <w:tcBorders>
              <w:top w:val="nil"/>
              <w:left w:val="nil"/>
              <w:bottom w:val="nil"/>
              <w:right w:val="nil"/>
            </w:tcBorders>
          </w:tcPr>
          <w:p w14:paraId="4AFA69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nil"/>
              <w:right w:val="nil"/>
            </w:tcBorders>
          </w:tcPr>
          <w:p w14:paraId="03B31D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(2.54)</w:t>
            </w:r>
          </w:p>
        </w:tc>
        <w:tc>
          <w:tcPr>
            <w:tcW w:w="86" w:type="pct"/>
            <w:tcBorders>
              <w:top w:val="nil"/>
              <w:left w:val="nil"/>
              <w:bottom w:val="nil"/>
              <w:right w:val="nil"/>
            </w:tcBorders>
          </w:tcPr>
          <w:p w14:paraId="096F6F1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1304C11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3871122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64D2713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784DCE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5BFAD2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407667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nil"/>
              <w:right w:val="nil"/>
            </w:tcBorders>
          </w:tcPr>
          <w:p w14:paraId="19744A3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(1.76)</w:t>
            </w:r>
          </w:p>
        </w:tc>
        <w:tc>
          <w:tcPr>
            <w:tcW w:w="87" w:type="pct"/>
            <w:tcBorders>
              <w:top w:val="nil"/>
              <w:left w:val="nil"/>
              <w:bottom w:val="nil"/>
              <w:right w:val="nil"/>
            </w:tcBorders>
          </w:tcPr>
          <w:p w14:paraId="1D4EF45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78FFC2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06CE265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2DA1C92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32AD8B3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bottom w:val="nil"/>
              <w:right w:val="nil"/>
            </w:tcBorders>
          </w:tcPr>
          <w:p w14:paraId="46C2BE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07165C94" w14:textId="77777777" w:rsidTr="00116073">
        <w:tc>
          <w:tcPr>
            <w:tcW w:w="662" w:type="pct"/>
            <w:tcBorders>
              <w:top w:val="nil"/>
              <w:left w:val="nil"/>
              <w:bottom w:val="nil"/>
              <w:right w:val="nil"/>
            </w:tcBorders>
          </w:tcPr>
          <w:p w14:paraId="3584E35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rPr>
              <w:t>Score_mean</w:t>
            </w:r>
            <w:proofErr w:type="spellEnd"/>
          </w:p>
        </w:tc>
        <w:tc>
          <w:tcPr>
            <w:tcW w:w="85" w:type="pct"/>
            <w:tcBorders>
              <w:top w:val="nil"/>
              <w:left w:val="nil"/>
              <w:bottom w:val="nil"/>
              <w:right w:val="nil"/>
            </w:tcBorders>
          </w:tcPr>
          <w:p w14:paraId="461389F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76A12D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204F5D7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nil"/>
              <w:right w:val="nil"/>
            </w:tcBorders>
          </w:tcPr>
          <w:p w14:paraId="1FC1353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2.082</w:t>
            </w:r>
            <w:r w:rsidRPr="004E7E5A">
              <w:rPr>
                <w:rFonts w:ascii="Times New Roman" w:hAnsi="Times New Roman"/>
                <w:color w:val="000000" w:themeColor="text1"/>
                <w:kern w:val="0"/>
                <w:sz w:val="24"/>
                <w:vertAlign w:val="superscript"/>
              </w:rPr>
              <w:t>***</w:t>
            </w:r>
          </w:p>
        </w:tc>
        <w:tc>
          <w:tcPr>
            <w:tcW w:w="86" w:type="pct"/>
            <w:tcBorders>
              <w:top w:val="nil"/>
              <w:left w:val="nil"/>
              <w:bottom w:val="nil"/>
              <w:right w:val="nil"/>
            </w:tcBorders>
          </w:tcPr>
          <w:p w14:paraId="52240F9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4C76268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6BB12F1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076826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4190353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5455B81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7784775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nil"/>
              <w:right w:val="nil"/>
            </w:tcBorders>
          </w:tcPr>
          <w:p w14:paraId="2FE414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2.973</w:t>
            </w:r>
            <w:r w:rsidRPr="004E7E5A">
              <w:rPr>
                <w:rFonts w:ascii="Times New Roman" w:hAnsi="Times New Roman"/>
                <w:color w:val="000000" w:themeColor="text1"/>
                <w:kern w:val="0"/>
                <w:sz w:val="24"/>
                <w:vertAlign w:val="superscript"/>
              </w:rPr>
              <w:t>*</w:t>
            </w:r>
          </w:p>
        </w:tc>
        <w:tc>
          <w:tcPr>
            <w:tcW w:w="87" w:type="pct"/>
            <w:tcBorders>
              <w:top w:val="nil"/>
              <w:left w:val="nil"/>
              <w:bottom w:val="nil"/>
              <w:right w:val="nil"/>
            </w:tcBorders>
          </w:tcPr>
          <w:p w14:paraId="5BEB04C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6222C1A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6A6BCD1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bottom w:val="nil"/>
              <w:right w:val="nil"/>
            </w:tcBorders>
          </w:tcPr>
          <w:p w14:paraId="44A8497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137FE6E3" w14:textId="77777777" w:rsidTr="00116073">
        <w:tc>
          <w:tcPr>
            <w:tcW w:w="662" w:type="pct"/>
            <w:tcBorders>
              <w:top w:val="nil"/>
              <w:left w:val="nil"/>
              <w:bottom w:val="nil"/>
              <w:right w:val="nil"/>
            </w:tcBorders>
          </w:tcPr>
          <w:p w14:paraId="7FEA5C26"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85" w:type="pct"/>
            <w:tcBorders>
              <w:top w:val="nil"/>
              <w:left w:val="nil"/>
              <w:bottom w:val="nil"/>
              <w:right w:val="nil"/>
            </w:tcBorders>
          </w:tcPr>
          <w:p w14:paraId="5CDE1B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4FD048D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048866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nil"/>
              <w:right w:val="nil"/>
            </w:tcBorders>
          </w:tcPr>
          <w:p w14:paraId="7FBF24A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(2.70)</w:t>
            </w:r>
          </w:p>
        </w:tc>
        <w:tc>
          <w:tcPr>
            <w:tcW w:w="86" w:type="pct"/>
            <w:tcBorders>
              <w:top w:val="nil"/>
              <w:left w:val="nil"/>
              <w:bottom w:val="nil"/>
              <w:right w:val="nil"/>
            </w:tcBorders>
          </w:tcPr>
          <w:p w14:paraId="62ED51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456F298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549A13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35F7DE1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01111BE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086798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093FFFB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nil"/>
              <w:right w:val="nil"/>
            </w:tcBorders>
          </w:tcPr>
          <w:p w14:paraId="7742C7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(1.69)</w:t>
            </w:r>
          </w:p>
        </w:tc>
        <w:tc>
          <w:tcPr>
            <w:tcW w:w="87" w:type="pct"/>
            <w:tcBorders>
              <w:top w:val="nil"/>
              <w:left w:val="nil"/>
              <w:bottom w:val="nil"/>
              <w:right w:val="nil"/>
            </w:tcBorders>
          </w:tcPr>
          <w:p w14:paraId="57F2D0A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193CBED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4A71FBD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bottom w:val="nil"/>
              <w:right w:val="nil"/>
            </w:tcBorders>
          </w:tcPr>
          <w:p w14:paraId="11D781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365FB1C" w14:textId="77777777" w:rsidTr="00116073">
        <w:tc>
          <w:tcPr>
            <w:tcW w:w="662" w:type="pct"/>
            <w:tcBorders>
              <w:top w:val="nil"/>
              <w:left w:val="nil"/>
              <w:bottom w:val="nil"/>
              <w:right w:val="nil"/>
            </w:tcBorders>
          </w:tcPr>
          <w:p w14:paraId="2CC9474A"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rPr>
              <w:t>Score_med</w:t>
            </w:r>
            <w:proofErr w:type="spellEnd"/>
          </w:p>
        </w:tc>
        <w:tc>
          <w:tcPr>
            <w:tcW w:w="85" w:type="pct"/>
            <w:tcBorders>
              <w:top w:val="nil"/>
              <w:left w:val="nil"/>
              <w:bottom w:val="nil"/>
              <w:right w:val="nil"/>
            </w:tcBorders>
          </w:tcPr>
          <w:p w14:paraId="40C0BD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3D41D62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21C084F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71B9841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750D65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nil"/>
              <w:right w:val="nil"/>
            </w:tcBorders>
          </w:tcPr>
          <w:p w14:paraId="1DF92F9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3.809</w:t>
            </w:r>
            <w:r w:rsidRPr="004E7E5A">
              <w:rPr>
                <w:rFonts w:ascii="Times New Roman" w:hAnsi="Times New Roman"/>
                <w:color w:val="000000" w:themeColor="text1"/>
                <w:kern w:val="0"/>
                <w:sz w:val="24"/>
                <w:vertAlign w:val="superscript"/>
              </w:rPr>
              <w:t>***</w:t>
            </w:r>
          </w:p>
        </w:tc>
        <w:tc>
          <w:tcPr>
            <w:tcW w:w="87" w:type="pct"/>
            <w:tcBorders>
              <w:top w:val="nil"/>
              <w:left w:val="nil"/>
              <w:bottom w:val="nil"/>
              <w:right w:val="nil"/>
            </w:tcBorders>
          </w:tcPr>
          <w:p w14:paraId="7BA271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21F721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20C25DF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5B9B0FB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66B7A50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2E43799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6D9CE44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nil"/>
              <w:right w:val="nil"/>
            </w:tcBorders>
          </w:tcPr>
          <w:p w14:paraId="36EE881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4.626</w:t>
            </w:r>
            <w:r w:rsidRPr="004E7E5A">
              <w:rPr>
                <w:rFonts w:ascii="Times New Roman" w:hAnsi="Times New Roman"/>
                <w:color w:val="000000" w:themeColor="text1"/>
                <w:kern w:val="0"/>
                <w:sz w:val="24"/>
                <w:vertAlign w:val="superscript"/>
              </w:rPr>
              <w:t>*</w:t>
            </w:r>
          </w:p>
        </w:tc>
        <w:tc>
          <w:tcPr>
            <w:tcW w:w="87" w:type="pct"/>
            <w:tcBorders>
              <w:top w:val="nil"/>
              <w:left w:val="nil"/>
              <w:bottom w:val="nil"/>
              <w:right w:val="nil"/>
            </w:tcBorders>
          </w:tcPr>
          <w:p w14:paraId="77E847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bottom w:val="nil"/>
              <w:right w:val="nil"/>
            </w:tcBorders>
          </w:tcPr>
          <w:p w14:paraId="2511B55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3DCFB9E7" w14:textId="77777777" w:rsidTr="00116073">
        <w:tc>
          <w:tcPr>
            <w:tcW w:w="662" w:type="pct"/>
            <w:tcBorders>
              <w:top w:val="nil"/>
              <w:left w:val="nil"/>
              <w:bottom w:val="nil"/>
              <w:right w:val="nil"/>
            </w:tcBorders>
          </w:tcPr>
          <w:p w14:paraId="6A5F1F5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85" w:type="pct"/>
            <w:tcBorders>
              <w:top w:val="nil"/>
              <w:left w:val="nil"/>
              <w:bottom w:val="nil"/>
              <w:right w:val="nil"/>
            </w:tcBorders>
          </w:tcPr>
          <w:p w14:paraId="5E43037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4BE977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569D1F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64DB41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4A7F5A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nil"/>
              <w:right w:val="nil"/>
            </w:tcBorders>
          </w:tcPr>
          <w:p w14:paraId="12B8428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(2.67)</w:t>
            </w:r>
          </w:p>
        </w:tc>
        <w:tc>
          <w:tcPr>
            <w:tcW w:w="87" w:type="pct"/>
            <w:tcBorders>
              <w:top w:val="nil"/>
              <w:left w:val="nil"/>
              <w:bottom w:val="nil"/>
              <w:right w:val="nil"/>
            </w:tcBorders>
          </w:tcPr>
          <w:p w14:paraId="41DDB10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70DD2DE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703731B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107B0CE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5BA9CDA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1C438F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66E624A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nil"/>
              <w:right w:val="nil"/>
            </w:tcBorders>
          </w:tcPr>
          <w:p w14:paraId="261909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(1.76)</w:t>
            </w:r>
          </w:p>
        </w:tc>
        <w:tc>
          <w:tcPr>
            <w:tcW w:w="87" w:type="pct"/>
            <w:tcBorders>
              <w:top w:val="nil"/>
              <w:left w:val="nil"/>
              <w:bottom w:val="nil"/>
              <w:right w:val="nil"/>
            </w:tcBorders>
          </w:tcPr>
          <w:p w14:paraId="297F6D5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bottom w:val="nil"/>
              <w:right w:val="nil"/>
            </w:tcBorders>
          </w:tcPr>
          <w:p w14:paraId="189240E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r>
      <w:tr w:rsidR="001E3466" w:rsidRPr="004E7E5A" w14:paraId="42045DAE" w14:textId="77777777" w:rsidTr="00116073">
        <w:tc>
          <w:tcPr>
            <w:tcW w:w="662" w:type="pct"/>
            <w:tcBorders>
              <w:top w:val="nil"/>
              <w:left w:val="nil"/>
              <w:bottom w:val="nil"/>
              <w:right w:val="nil"/>
            </w:tcBorders>
          </w:tcPr>
          <w:p w14:paraId="651B954D"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rPr>
              <w:t>Score_min</w:t>
            </w:r>
            <w:proofErr w:type="spellEnd"/>
          </w:p>
        </w:tc>
        <w:tc>
          <w:tcPr>
            <w:tcW w:w="85" w:type="pct"/>
            <w:tcBorders>
              <w:top w:val="nil"/>
              <w:left w:val="nil"/>
              <w:bottom w:val="nil"/>
              <w:right w:val="nil"/>
            </w:tcBorders>
          </w:tcPr>
          <w:p w14:paraId="6E3BA8A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01C0F36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62471BE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5D07149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73ADA5E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67C20F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1ACBC6E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nil"/>
              <w:right w:val="nil"/>
            </w:tcBorders>
          </w:tcPr>
          <w:p w14:paraId="169A31D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3.966</w:t>
            </w:r>
            <w:r w:rsidRPr="004E7E5A">
              <w:rPr>
                <w:rFonts w:ascii="Times New Roman" w:hAnsi="Times New Roman"/>
                <w:color w:val="000000" w:themeColor="text1"/>
                <w:kern w:val="0"/>
                <w:sz w:val="24"/>
                <w:vertAlign w:val="superscript"/>
              </w:rPr>
              <w:t>***</w:t>
            </w:r>
          </w:p>
        </w:tc>
        <w:tc>
          <w:tcPr>
            <w:tcW w:w="87" w:type="pct"/>
            <w:tcBorders>
              <w:top w:val="nil"/>
              <w:left w:val="nil"/>
              <w:bottom w:val="nil"/>
              <w:right w:val="nil"/>
            </w:tcBorders>
          </w:tcPr>
          <w:p w14:paraId="34768E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435005F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7001ABD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0B2B6D5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1C0F839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1A382C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781F1C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55" w:type="pct"/>
            <w:tcBorders>
              <w:top w:val="nil"/>
              <w:left w:val="nil"/>
              <w:bottom w:val="nil"/>
              <w:right w:val="nil"/>
            </w:tcBorders>
          </w:tcPr>
          <w:p w14:paraId="5C9101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4.938</w:t>
            </w:r>
            <w:r w:rsidRPr="004E7E5A">
              <w:rPr>
                <w:rFonts w:ascii="Times New Roman" w:hAnsi="Times New Roman"/>
                <w:color w:val="000000" w:themeColor="text1"/>
                <w:kern w:val="0"/>
                <w:sz w:val="24"/>
                <w:vertAlign w:val="superscript"/>
              </w:rPr>
              <w:t>*</w:t>
            </w:r>
          </w:p>
        </w:tc>
      </w:tr>
      <w:tr w:rsidR="001E3466" w:rsidRPr="004E7E5A" w14:paraId="250B5B4E" w14:textId="77777777" w:rsidTr="00116073">
        <w:tc>
          <w:tcPr>
            <w:tcW w:w="662" w:type="pct"/>
            <w:tcBorders>
              <w:top w:val="nil"/>
              <w:left w:val="nil"/>
              <w:bottom w:val="nil"/>
              <w:right w:val="nil"/>
            </w:tcBorders>
          </w:tcPr>
          <w:p w14:paraId="3C8AC1F7"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p>
        </w:tc>
        <w:tc>
          <w:tcPr>
            <w:tcW w:w="85" w:type="pct"/>
            <w:tcBorders>
              <w:top w:val="nil"/>
              <w:left w:val="nil"/>
              <w:bottom w:val="nil"/>
              <w:right w:val="nil"/>
            </w:tcBorders>
          </w:tcPr>
          <w:p w14:paraId="323FEDD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5993DAB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1839C21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7AD7EDF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6" w:type="pct"/>
            <w:tcBorders>
              <w:top w:val="nil"/>
              <w:left w:val="nil"/>
              <w:bottom w:val="nil"/>
              <w:right w:val="nil"/>
            </w:tcBorders>
          </w:tcPr>
          <w:p w14:paraId="48D1992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bottom w:val="nil"/>
              <w:right w:val="nil"/>
            </w:tcBorders>
          </w:tcPr>
          <w:p w14:paraId="2BEDB82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59BE661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nil"/>
              <w:right w:val="nil"/>
            </w:tcBorders>
          </w:tcPr>
          <w:p w14:paraId="78605E5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(2.70)</w:t>
            </w:r>
          </w:p>
        </w:tc>
        <w:tc>
          <w:tcPr>
            <w:tcW w:w="87" w:type="pct"/>
            <w:tcBorders>
              <w:top w:val="nil"/>
              <w:left w:val="nil"/>
              <w:bottom w:val="nil"/>
              <w:right w:val="nil"/>
            </w:tcBorders>
          </w:tcPr>
          <w:p w14:paraId="241040D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1E936CA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18BC8E5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14ACD4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455F38D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71153E2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87" w:type="pct"/>
            <w:tcBorders>
              <w:top w:val="nil"/>
              <w:left w:val="nil"/>
              <w:bottom w:val="nil"/>
              <w:right w:val="nil"/>
            </w:tcBorders>
          </w:tcPr>
          <w:p w14:paraId="56FDCC5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55" w:type="pct"/>
            <w:tcBorders>
              <w:top w:val="nil"/>
              <w:left w:val="nil"/>
              <w:bottom w:val="nil"/>
              <w:right w:val="nil"/>
            </w:tcBorders>
          </w:tcPr>
          <w:p w14:paraId="6194D0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(1.72)</w:t>
            </w:r>
          </w:p>
        </w:tc>
      </w:tr>
      <w:tr w:rsidR="001E3466" w:rsidRPr="004E7E5A" w14:paraId="0C6E0137" w14:textId="77777777" w:rsidTr="00116073">
        <w:tc>
          <w:tcPr>
            <w:tcW w:w="662" w:type="pct"/>
            <w:tcBorders>
              <w:top w:val="nil"/>
              <w:left w:val="nil"/>
              <w:bottom w:val="nil"/>
              <w:right w:val="nil"/>
            </w:tcBorders>
          </w:tcPr>
          <w:p w14:paraId="3FBA840C"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85" w:type="pct"/>
            <w:tcBorders>
              <w:top w:val="nil"/>
              <w:left w:val="nil"/>
              <w:bottom w:val="nil"/>
              <w:right w:val="nil"/>
            </w:tcBorders>
          </w:tcPr>
          <w:p w14:paraId="7168897D" w14:textId="77777777" w:rsidR="00A53CFE" w:rsidRPr="004E7E5A" w:rsidRDefault="00A53CFE" w:rsidP="00116073">
            <w:pPr>
              <w:autoSpaceDE w:val="0"/>
              <w:autoSpaceDN w:val="0"/>
              <w:adjustRightInd w:val="0"/>
              <w:jc w:val="center"/>
              <w:rPr>
                <w:rFonts w:ascii="Times New Roman" w:eastAsia="宋体" w:hAnsi="Times New Roman"/>
                <w:color w:val="000000" w:themeColor="text1"/>
                <w:kern w:val="0"/>
                <w:sz w:val="24"/>
                <w:szCs w:val="24"/>
              </w:rPr>
            </w:pPr>
          </w:p>
        </w:tc>
        <w:tc>
          <w:tcPr>
            <w:tcW w:w="461" w:type="pct"/>
            <w:tcBorders>
              <w:top w:val="nil"/>
              <w:left w:val="nil"/>
              <w:bottom w:val="nil"/>
              <w:right w:val="nil"/>
            </w:tcBorders>
          </w:tcPr>
          <w:p w14:paraId="526F650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c>
          <w:tcPr>
            <w:tcW w:w="86" w:type="pct"/>
            <w:tcBorders>
              <w:top w:val="nil"/>
              <w:left w:val="nil"/>
              <w:bottom w:val="nil"/>
              <w:right w:val="nil"/>
            </w:tcBorders>
          </w:tcPr>
          <w:p w14:paraId="16840860" w14:textId="77777777" w:rsidR="00A53CFE" w:rsidRPr="004E7E5A" w:rsidRDefault="00A53CFE" w:rsidP="00116073">
            <w:pPr>
              <w:autoSpaceDE w:val="0"/>
              <w:autoSpaceDN w:val="0"/>
              <w:adjustRightInd w:val="0"/>
              <w:jc w:val="center"/>
              <w:rPr>
                <w:rFonts w:ascii="Times New Roman" w:eastAsia="宋体" w:hAnsi="Times New Roman"/>
                <w:color w:val="000000" w:themeColor="text1"/>
                <w:kern w:val="0"/>
                <w:sz w:val="24"/>
                <w:szCs w:val="24"/>
              </w:rPr>
            </w:pPr>
          </w:p>
        </w:tc>
        <w:tc>
          <w:tcPr>
            <w:tcW w:w="461" w:type="pct"/>
            <w:tcBorders>
              <w:top w:val="nil"/>
              <w:left w:val="nil"/>
              <w:bottom w:val="nil"/>
              <w:right w:val="nil"/>
            </w:tcBorders>
          </w:tcPr>
          <w:p w14:paraId="6242194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c>
          <w:tcPr>
            <w:tcW w:w="86" w:type="pct"/>
            <w:tcBorders>
              <w:top w:val="nil"/>
              <w:left w:val="nil"/>
              <w:bottom w:val="nil"/>
              <w:right w:val="nil"/>
            </w:tcBorders>
          </w:tcPr>
          <w:p w14:paraId="1CCF85F1" w14:textId="77777777" w:rsidR="00A53CFE" w:rsidRPr="004E7E5A" w:rsidRDefault="00A53CFE" w:rsidP="00116073">
            <w:pPr>
              <w:autoSpaceDE w:val="0"/>
              <w:autoSpaceDN w:val="0"/>
              <w:adjustRightInd w:val="0"/>
              <w:jc w:val="center"/>
              <w:rPr>
                <w:rFonts w:ascii="Times New Roman" w:eastAsia="宋体" w:hAnsi="Times New Roman"/>
                <w:color w:val="000000" w:themeColor="text1"/>
                <w:kern w:val="0"/>
                <w:sz w:val="24"/>
                <w:szCs w:val="24"/>
              </w:rPr>
            </w:pPr>
          </w:p>
        </w:tc>
        <w:tc>
          <w:tcPr>
            <w:tcW w:w="461" w:type="pct"/>
            <w:tcBorders>
              <w:top w:val="nil"/>
              <w:left w:val="nil"/>
              <w:bottom w:val="nil"/>
              <w:right w:val="nil"/>
            </w:tcBorders>
          </w:tcPr>
          <w:p w14:paraId="6052324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c>
          <w:tcPr>
            <w:tcW w:w="87" w:type="pct"/>
            <w:tcBorders>
              <w:top w:val="nil"/>
              <w:left w:val="nil"/>
              <w:bottom w:val="nil"/>
              <w:right w:val="nil"/>
            </w:tcBorders>
          </w:tcPr>
          <w:p w14:paraId="4C5FFC27" w14:textId="77777777" w:rsidR="00A53CFE" w:rsidRPr="004E7E5A" w:rsidRDefault="00A53CFE" w:rsidP="00116073">
            <w:pPr>
              <w:autoSpaceDE w:val="0"/>
              <w:autoSpaceDN w:val="0"/>
              <w:adjustRightInd w:val="0"/>
              <w:jc w:val="center"/>
              <w:rPr>
                <w:rFonts w:ascii="Times New Roman" w:eastAsia="宋体" w:hAnsi="Times New Roman"/>
                <w:color w:val="000000" w:themeColor="text1"/>
                <w:kern w:val="0"/>
                <w:sz w:val="24"/>
                <w:szCs w:val="24"/>
              </w:rPr>
            </w:pPr>
          </w:p>
        </w:tc>
        <w:tc>
          <w:tcPr>
            <w:tcW w:w="461" w:type="pct"/>
            <w:tcBorders>
              <w:top w:val="nil"/>
              <w:left w:val="nil"/>
              <w:bottom w:val="nil"/>
              <w:right w:val="nil"/>
            </w:tcBorders>
          </w:tcPr>
          <w:p w14:paraId="195931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eastAsia="宋体" w:hAnsi="Times New Roman"/>
                <w:color w:val="000000" w:themeColor="text1"/>
                <w:kern w:val="0"/>
                <w:sz w:val="24"/>
                <w:szCs w:val="24"/>
              </w:rPr>
              <w:t>Yes</w:t>
            </w:r>
          </w:p>
        </w:tc>
        <w:tc>
          <w:tcPr>
            <w:tcW w:w="87" w:type="pct"/>
            <w:tcBorders>
              <w:top w:val="nil"/>
              <w:left w:val="nil"/>
              <w:bottom w:val="nil"/>
              <w:right w:val="nil"/>
            </w:tcBorders>
          </w:tcPr>
          <w:p w14:paraId="0DD259B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59C9767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bottom w:val="nil"/>
              <w:right w:val="nil"/>
            </w:tcBorders>
          </w:tcPr>
          <w:p w14:paraId="20D3502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65B7EC7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bottom w:val="nil"/>
              <w:right w:val="nil"/>
            </w:tcBorders>
          </w:tcPr>
          <w:p w14:paraId="5BF6B54B"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bottom w:val="nil"/>
              <w:right w:val="nil"/>
            </w:tcBorders>
          </w:tcPr>
          <w:p w14:paraId="2295DCF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bottom w:val="nil"/>
              <w:right w:val="nil"/>
            </w:tcBorders>
          </w:tcPr>
          <w:p w14:paraId="6A4A6D4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bottom w:val="nil"/>
              <w:right w:val="nil"/>
            </w:tcBorders>
          </w:tcPr>
          <w:p w14:paraId="444E570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00E8BE98" w14:textId="77777777" w:rsidTr="00116073">
        <w:tc>
          <w:tcPr>
            <w:tcW w:w="662" w:type="pct"/>
            <w:tcBorders>
              <w:top w:val="nil"/>
              <w:left w:val="nil"/>
              <w:right w:val="nil"/>
            </w:tcBorders>
          </w:tcPr>
          <w:p w14:paraId="733141A4"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85" w:type="pct"/>
            <w:tcBorders>
              <w:top w:val="nil"/>
              <w:left w:val="nil"/>
              <w:right w:val="nil"/>
            </w:tcBorders>
          </w:tcPr>
          <w:p w14:paraId="43B0264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57B9CC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6" w:type="pct"/>
            <w:tcBorders>
              <w:top w:val="nil"/>
              <w:left w:val="nil"/>
              <w:right w:val="nil"/>
            </w:tcBorders>
          </w:tcPr>
          <w:p w14:paraId="0DE7791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041CFD0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6" w:type="pct"/>
            <w:tcBorders>
              <w:top w:val="nil"/>
              <w:left w:val="nil"/>
              <w:right w:val="nil"/>
            </w:tcBorders>
          </w:tcPr>
          <w:p w14:paraId="6723228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49F03EA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209F791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20F414B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4ECC336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right w:val="nil"/>
            </w:tcBorders>
          </w:tcPr>
          <w:p w14:paraId="0ADDF99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00BC447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right w:val="nil"/>
            </w:tcBorders>
          </w:tcPr>
          <w:p w14:paraId="519C18D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6C720177"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right w:val="nil"/>
            </w:tcBorders>
          </w:tcPr>
          <w:p w14:paraId="6CAF263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165A13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right w:val="nil"/>
            </w:tcBorders>
          </w:tcPr>
          <w:p w14:paraId="189AACE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2D4E6C2B" w14:textId="77777777" w:rsidTr="00116073">
        <w:tc>
          <w:tcPr>
            <w:tcW w:w="662" w:type="pct"/>
            <w:tcBorders>
              <w:top w:val="nil"/>
              <w:left w:val="nil"/>
              <w:right w:val="nil"/>
            </w:tcBorders>
          </w:tcPr>
          <w:p w14:paraId="7BE46D0F"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Industry</w:t>
            </w:r>
          </w:p>
        </w:tc>
        <w:tc>
          <w:tcPr>
            <w:tcW w:w="85" w:type="pct"/>
            <w:tcBorders>
              <w:top w:val="nil"/>
              <w:left w:val="nil"/>
              <w:right w:val="nil"/>
            </w:tcBorders>
          </w:tcPr>
          <w:p w14:paraId="0538E03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71FEAED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6" w:type="pct"/>
            <w:tcBorders>
              <w:top w:val="nil"/>
              <w:left w:val="nil"/>
              <w:right w:val="nil"/>
            </w:tcBorders>
          </w:tcPr>
          <w:p w14:paraId="52856609"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62A8468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6" w:type="pct"/>
            <w:tcBorders>
              <w:top w:val="nil"/>
              <w:left w:val="nil"/>
              <w:right w:val="nil"/>
            </w:tcBorders>
          </w:tcPr>
          <w:p w14:paraId="6CA5978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27B31FFD"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1DDEEF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61" w:type="pct"/>
            <w:tcBorders>
              <w:top w:val="nil"/>
              <w:left w:val="nil"/>
              <w:right w:val="nil"/>
            </w:tcBorders>
          </w:tcPr>
          <w:p w14:paraId="0CA32D0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6B02071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right w:val="nil"/>
            </w:tcBorders>
          </w:tcPr>
          <w:p w14:paraId="47D67F4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0ADEA2B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right w:val="nil"/>
            </w:tcBorders>
          </w:tcPr>
          <w:p w14:paraId="1A13FB2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0B95D5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49" w:type="pct"/>
            <w:tcBorders>
              <w:top w:val="nil"/>
              <w:left w:val="nil"/>
              <w:right w:val="nil"/>
            </w:tcBorders>
          </w:tcPr>
          <w:p w14:paraId="0E2CE91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87" w:type="pct"/>
            <w:tcBorders>
              <w:top w:val="nil"/>
              <w:left w:val="nil"/>
              <w:right w:val="nil"/>
            </w:tcBorders>
          </w:tcPr>
          <w:p w14:paraId="6BF703C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p>
        </w:tc>
        <w:tc>
          <w:tcPr>
            <w:tcW w:w="455" w:type="pct"/>
            <w:tcBorders>
              <w:top w:val="nil"/>
              <w:left w:val="nil"/>
              <w:right w:val="nil"/>
            </w:tcBorders>
          </w:tcPr>
          <w:p w14:paraId="7E58BCC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4E432DA8" w14:textId="77777777" w:rsidTr="00116073">
        <w:tc>
          <w:tcPr>
            <w:tcW w:w="662" w:type="pct"/>
            <w:tcBorders>
              <w:left w:val="nil"/>
              <w:right w:val="nil"/>
            </w:tcBorders>
          </w:tcPr>
          <w:p w14:paraId="349873AE"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85" w:type="pct"/>
            <w:tcBorders>
              <w:left w:val="nil"/>
              <w:right w:val="nil"/>
            </w:tcBorders>
          </w:tcPr>
          <w:p w14:paraId="579AAD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left w:val="nil"/>
              <w:right w:val="nil"/>
            </w:tcBorders>
          </w:tcPr>
          <w:p w14:paraId="6405D36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3249</w:t>
            </w:r>
          </w:p>
        </w:tc>
        <w:tc>
          <w:tcPr>
            <w:tcW w:w="86" w:type="pct"/>
            <w:tcBorders>
              <w:left w:val="nil"/>
              <w:right w:val="nil"/>
            </w:tcBorders>
          </w:tcPr>
          <w:p w14:paraId="4E8B5B6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left w:val="nil"/>
              <w:right w:val="nil"/>
            </w:tcBorders>
          </w:tcPr>
          <w:p w14:paraId="533D469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3249</w:t>
            </w:r>
          </w:p>
        </w:tc>
        <w:tc>
          <w:tcPr>
            <w:tcW w:w="86" w:type="pct"/>
            <w:tcBorders>
              <w:left w:val="nil"/>
              <w:right w:val="nil"/>
            </w:tcBorders>
          </w:tcPr>
          <w:p w14:paraId="70CB05F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left w:val="nil"/>
              <w:right w:val="nil"/>
            </w:tcBorders>
          </w:tcPr>
          <w:p w14:paraId="37AFF9F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3249</w:t>
            </w:r>
          </w:p>
        </w:tc>
        <w:tc>
          <w:tcPr>
            <w:tcW w:w="87" w:type="pct"/>
            <w:tcBorders>
              <w:left w:val="nil"/>
              <w:right w:val="nil"/>
            </w:tcBorders>
          </w:tcPr>
          <w:p w14:paraId="7516607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left w:val="nil"/>
              <w:right w:val="nil"/>
            </w:tcBorders>
          </w:tcPr>
          <w:p w14:paraId="767F6AE0"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3249</w:t>
            </w:r>
          </w:p>
        </w:tc>
        <w:tc>
          <w:tcPr>
            <w:tcW w:w="87" w:type="pct"/>
            <w:tcBorders>
              <w:left w:val="nil"/>
              <w:right w:val="nil"/>
            </w:tcBorders>
          </w:tcPr>
          <w:p w14:paraId="113415A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left w:val="nil"/>
              <w:right w:val="nil"/>
            </w:tcBorders>
          </w:tcPr>
          <w:p w14:paraId="163062E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737</w:t>
            </w:r>
          </w:p>
        </w:tc>
        <w:tc>
          <w:tcPr>
            <w:tcW w:w="87" w:type="pct"/>
            <w:tcBorders>
              <w:left w:val="nil"/>
              <w:right w:val="nil"/>
            </w:tcBorders>
          </w:tcPr>
          <w:p w14:paraId="594EA4E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left w:val="nil"/>
              <w:right w:val="nil"/>
            </w:tcBorders>
          </w:tcPr>
          <w:p w14:paraId="39186D0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737</w:t>
            </w:r>
          </w:p>
        </w:tc>
        <w:tc>
          <w:tcPr>
            <w:tcW w:w="87" w:type="pct"/>
            <w:tcBorders>
              <w:left w:val="nil"/>
              <w:right w:val="nil"/>
            </w:tcBorders>
          </w:tcPr>
          <w:p w14:paraId="791CB50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left w:val="nil"/>
              <w:right w:val="nil"/>
            </w:tcBorders>
          </w:tcPr>
          <w:p w14:paraId="5D5AEDC5"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737</w:t>
            </w:r>
          </w:p>
        </w:tc>
        <w:tc>
          <w:tcPr>
            <w:tcW w:w="87" w:type="pct"/>
            <w:tcBorders>
              <w:left w:val="nil"/>
              <w:right w:val="nil"/>
            </w:tcBorders>
          </w:tcPr>
          <w:p w14:paraId="0460790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55" w:type="pct"/>
            <w:tcBorders>
              <w:left w:val="nil"/>
              <w:right w:val="nil"/>
            </w:tcBorders>
          </w:tcPr>
          <w:p w14:paraId="040EFE6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737</w:t>
            </w:r>
          </w:p>
        </w:tc>
      </w:tr>
      <w:tr w:rsidR="00A53CFE" w:rsidRPr="004E7E5A" w14:paraId="4937ADAC" w14:textId="77777777" w:rsidTr="00116073">
        <w:tc>
          <w:tcPr>
            <w:tcW w:w="662" w:type="pct"/>
            <w:tcBorders>
              <w:top w:val="nil"/>
              <w:left w:val="nil"/>
              <w:bottom w:val="single" w:sz="4" w:space="0" w:color="auto"/>
              <w:right w:val="nil"/>
            </w:tcBorders>
          </w:tcPr>
          <w:p w14:paraId="023B5742" w14:textId="77777777" w:rsidR="00A53CFE" w:rsidRPr="004E7E5A" w:rsidRDefault="00A53CFE" w:rsidP="0011607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Wald chi2</w:t>
            </w:r>
          </w:p>
        </w:tc>
        <w:tc>
          <w:tcPr>
            <w:tcW w:w="85" w:type="pct"/>
            <w:tcBorders>
              <w:top w:val="nil"/>
              <w:left w:val="nil"/>
              <w:bottom w:val="single" w:sz="4" w:space="0" w:color="auto"/>
              <w:right w:val="nil"/>
            </w:tcBorders>
          </w:tcPr>
          <w:p w14:paraId="398F2E8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single" w:sz="4" w:space="0" w:color="auto"/>
              <w:right w:val="nil"/>
            </w:tcBorders>
          </w:tcPr>
          <w:p w14:paraId="44F9E48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2129.897</w:t>
            </w:r>
          </w:p>
        </w:tc>
        <w:tc>
          <w:tcPr>
            <w:tcW w:w="86" w:type="pct"/>
            <w:tcBorders>
              <w:top w:val="nil"/>
              <w:left w:val="nil"/>
              <w:bottom w:val="single" w:sz="4" w:space="0" w:color="auto"/>
              <w:right w:val="nil"/>
            </w:tcBorders>
          </w:tcPr>
          <w:p w14:paraId="41C162A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single" w:sz="4" w:space="0" w:color="auto"/>
              <w:right w:val="nil"/>
            </w:tcBorders>
          </w:tcPr>
          <w:p w14:paraId="32F2059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2116.171</w:t>
            </w:r>
          </w:p>
        </w:tc>
        <w:tc>
          <w:tcPr>
            <w:tcW w:w="86" w:type="pct"/>
            <w:tcBorders>
              <w:top w:val="nil"/>
              <w:left w:val="nil"/>
              <w:bottom w:val="single" w:sz="4" w:space="0" w:color="auto"/>
              <w:right w:val="nil"/>
            </w:tcBorders>
          </w:tcPr>
          <w:p w14:paraId="09CE68A6"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single" w:sz="4" w:space="0" w:color="auto"/>
              <w:right w:val="nil"/>
            </w:tcBorders>
          </w:tcPr>
          <w:p w14:paraId="4E917182"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2103.217</w:t>
            </w:r>
          </w:p>
        </w:tc>
        <w:tc>
          <w:tcPr>
            <w:tcW w:w="87" w:type="pct"/>
            <w:tcBorders>
              <w:top w:val="nil"/>
              <w:left w:val="nil"/>
              <w:bottom w:val="single" w:sz="4" w:space="0" w:color="auto"/>
              <w:right w:val="nil"/>
            </w:tcBorders>
          </w:tcPr>
          <w:p w14:paraId="3CBC73D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61" w:type="pct"/>
            <w:tcBorders>
              <w:top w:val="nil"/>
              <w:left w:val="nil"/>
              <w:bottom w:val="single" w:sz="4" w:space="0" w:color="auto"/>
              <w:right w:val="nil"/>
            </w:tcBorders>
          </w:tcPr>
          <w:p w14:paraId="24B43933"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2095.793</w:t>
            </w:r>
          </w:p>
        </w:tc>
        <w:tc>
          <w:tcPr>
            <w:tcW w:w="87" w:type="pct"/>
            <w:tcBorders>
              <w:top w:val="nil"/>
              <w:left w:val="nil"/>
              <w:bottom w:val="single" w:sz="4" w:space="0" w:color="auto"/>
              <w:right w:val="nil"/>
            </w:tcBorders>
          </w:tcPr>
          <w:p w14:paraId="3103214F"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single" w:sz="4" w:space="0" w:color="auto"/>
              <w:right w:val="nil"/>
            </w:tcBorders>
          </w:tcPr>
          <w:p w14:paraId="6021ADFC"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1046.026</w:t>
            </w:r>
          </w:p>
        </w:tc>
        <w:tc>
          <w:tcPr>
            <w:tcW w:w="87" w:type="pct"/>
            <w:tcBorders>
              <w:top w:val="nil"/>
              <w:left w:val="nil"/>
              <w:bottom w:val="single" w:sz="4" w:space="0" w:color="auto"/>
              <w:right w:val="nil"/>
            </w:tcBorders>
          </w:tcPr>
          <w:p w14:paraId="071C9808"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single" w:sz="4" w:space="0" w:color="auto"/>
              <w:right w:val="nil"/>
            </w:tcBorders>
          </w:tcPr>
          <w:p w14:paraId="6F012B9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754.803</w:t>
            </w:r>
          </w:p>
        </w:tc>
        <w:tc>
          <w:tcPr>
            <w:tcW w:w="87" w:type="pct"/>
            <w:tcBorders>
              <w:top w:val="nil"/>
              <w:left w:val="nil"/>
              <w:bottom w:val="single" w:sz="4" w:space="0" w:color="auto"/>
              <w:right w:val="nil"/>
            </w:tcBorders>
          </w:tcPr>
          <w:p w14:paraId="1AF15084"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49" w:type="pct"/>
            <w:tcBorders>
              <w:top w:val="nil"/>
              <w:left w:val="nil"/>
              <w:bottom w:val="single" w:sz="4" w:space="0" w:color="auto"/>
              <w:right w:val="nil"/>
            </w:tcBorders>
          </w:tcPr>
          <w:p w14:paraId="36AA8EBA"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679.243</w:t>
            </w:r>
          </w:p>
        </w:tc>
        <w:tc>
          <w:tcPr>
            <w:tcW w:w="87" w:type="pct"/>
            <w:tcBorders>
              <w:top w:val="nil"/>
              <w:left w:val="nil"/>
              <w:bottom w:val="single" w:sz="4" w:space="0" w:color="auto"/>
              <w:right w:val="nil"/>
            </w:tcBorders>
          </w:tcPr>
          <w:p w14:paraId="483246F1"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rPr>
            </w:pPr>
          </w:p>
        </w:tc>
        <w:tc>
          <w:tcPr>
            <w:tcW w:w="455" w:type="pct"/>
            <w:tcBorders>
              <w:top w:val="nil"/>
              <w:left w:val="nil"/>
              <w:bottom w:val="single" w:sz="4" w:space="0" w:color="auto"/>
              <w:right w:val="nil"/>
            </w:tcBorders>
          </w:tcPr>
          <w:p w14:paraId="4BD86F6E" w14:textId="77777777" w:rsidR="00A53CFE" w:rsidRPr="004E7E5A" w:rsidRDefault="00A53CFE" w:rsidP="0011607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rPr>
              <w:t>795.798</w:t>
            </w:r>
          </w:p>
        </w:tc>
      </w:tr>
    </w:tbl>
    <w:p w14:paraId="780E69BC"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p>
    <w:p w14:paraId="5BFB51B9"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presents the second stage of a two-stage least squares (2SLS) model to test </w:t>
      </w:r>
      <w:r w:rsidRPr="004E7E5A">
        <w:rPr>
          <w:rFonts w:cs="Times New Roman"/>
          <w:szCs w:val="24"/>
        </w:rPr>
        <w:t>the effect of CEO duality structure on the relationship between directors’ network and CSR disclosure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quality</w:t>
      </w:r>
      <w:r w:rsidRPr="004E7E5A">
        <w:rPr>
          <w:rStyle w:val="fontstyle01"/>
          <w:rFonts w:ascii="Times New Roman" w:hAnsi="Times New Roman" w:cs="Times New Roman" w:hint="default"/>
          <w:color w:val="000000" w:themeColor="text1"/>
          <w:sz w:val="24"/>
          <w:szCs w:val="24"/>
        </w:rPr>
        <w:t>.</w:t>
      </w:r>
      <w:r w:rsidRPr="004E7E5A">
        <w:rPr>
          <w:rFonts w:cs="Times New Roman"/>
          <w:szCs w:val="24"/>
        </w:rPr>
        <w:t xml:space="preserve"> We split firms into CEO duality and non-CEO duality groups based on </w:t>
      </w:r>
      <w:r w:rsidRPr="004E7E5A">
        <w:rPr>
          <w:rFonts w:cs="Times New Roman"/>
        </w:rPr>
        <w:t>whether the firm displays CEO duality structure</w:t>
      </w:r>
      <w:r w:rsidRPr="004E7E5A">
        <w:rPr>
          <w:rFonts w:cs="Times New Roman"/>
          <w:szCs w:val="24"/>
        </w:rPr>
        <w:t xml:space="preserve">. </w:t>
      </w:r>
      <w:r w:rsidRPr="004E7E5A">
        <w:rPr>
          <w:rStyle w:val="fontstyle01"/>
          <w:rFonts w:ascii="Times New Roman" w:hAnsi="Times New Roman" w:cs="Times New Roman" w:hint="default"/>
          <w:color w:val="000000" w:themeColor="text1"/>
          <w:sz w:val="24"/>
          <w:szCs w:val="24"/>
        </w:rPr>
        <w:t>Results are based on Equation (1) with different sub-samples.</w:t>
      </w:r>
      <w:r w:rsidRPr="004E7E5A">
        <w:rPr>
          <w:rFonts w:cs="Times New Roman"/>
        </w:rPr>
        <w:t xml:space="preserve"> </w:t>
      </w:r>
      <w:r w:rsidRPr="004E7E5A">
        <w:rPr>
          <w:rFonts w:cs="Times New Roman"/>
          <w:szCs w:val="24"/>
        </w:rPr>
        <w:t xml:space="preserve">Columns (1) to (4) report regression results of the sub-sample of firms without CEO duality. Columns (5) to (8) report regression results of the sub-sample of firms </w:t>
      </w:r>
      <w:r w:rsidRPr="004E7E5A">
        <w:rPr>
          <w:rFonts w:cs="Times New Roman"/>
        </w:rPr>
        <w:t>with CEO duality structure</w:t>
      </w:r>
      <w:r w:rsidRPr="004E7E5A">
        <w:rPr>
          <w:rFonts w:cs="Times New Roman"/>
          <w:szCs w:val="24"/>
        </w:rPr>
        <w:t>.</w:t>
      </w:r>
      <w:r w:rsidRPr="004E7E5A">
        <w:rPr>
          <w:rStyle w:val="fontstyle01"/>
          <w:rFonts w:ascii="Times New Roman" w:hAnsi="Times New Roman" w:cs="Times New Roman" w:hint="default"/>
          <w:color w:val="000000" w:themeColor="text1"/>
          <w:sz w:val="24"/>
          <w:szCs w:val="24"/>
        </w:rPr>
        <w:t xml:space="preserve"> The instrument used is exogenous variable </w:t>
      </w:r>
      <w:r w:rsidRPr="004E7E5A">
        <w:rPr>
          <w:rFonts w:cs="Times New Roman"/>
          <w:i/>
          <w:iCs/>
          <w:szCs w:val="24"/>
        </w:rPr>
        <w:t>Director convenience</w:t>
      </w:r>
      <w:r w:rsidRPr="004E7E5A">
        <w:rPr>
          <w:rStyle w:val="fontstyle01"/>
          <w:rFonts w:ascii="Times New Roman" w:hAnsi="Times New Roman" w:cs="Times New Roman" w:hint="default"/>
          <w:color w:val="000000" w:themeColor="text1"/>
          <w:sz w:val="24"/>
          <w:szCs w:val="24"/>
        </w:rPr>
        <w:t xml:space="preserve">.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the variables are provided in Appendix A.</w:t>
      </w:r>
    </w:p>
    <w:p w14:paraId="537B0CEF" w14:textId="77777777" w:rsidR="00A53CFE" w:rsidRPr="004E7E5A" w:rsidRDefault="00A53CFE" w:rsidP="00A53CFE">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p>
    <w:p w14:paraId="32AC07CA" w14:textId="77777777" w:rsidR="00A53CFE" w:rsidRPr="004E7E5A" w:rsidRDefault="00A53CFE" w:rsidP="00A53CFE">
      <w:pPr>
        <w:spacing w:line="480" w:lineRule="auto"/>
        <w:ind w:firstLineChars="200" w:firstLine="480"/>
        <w:jc w:val="center"/>
        <w:rPr>
          <w:rFonts w:ascii="Times New Roman" w:eastAsia="宋体" w:hAnsi="Times New Roman"/>
          <w:color w:val="000000" w:themeColor="text1"/>
          <w:sz w:val="24"/>
          <w:szCs w:val="24"/>
        </w:rPr>
        <w:sectPr w:rsidR="00A53CFE" w:rsidRPr="004E7E5A" w:rsidSect="00C80475">
          <w:pgSz w:w="16838" w:h="11906" w:orient="landscape"/>
          <w:pgMar w:top="1418" w:right="1361" w:bottom="1418" w:left="1701" w:header="1134" w:footer="1134" w:gutter="0"/>
          <w:cols w:space="425"/>
          <w:docGrid w:type="lines" w:linePitch="312"/>
        </w:sectPr>
      </w:pPr>
    </w:p>
    <w:p w14:paraId="0CB3977E" w14:textId="1114B1FA" w:rsidR="00A53CFE" w:rsidRPr="004E7E5A" w:rsidRDefault="00A53CFE" w:rsidP="00B1242A">
      <w:pPr>
        <w:pStyle w:val="4"/>
        <w:spacing w:before="0" w:after="0" w:line="240" w:lineRule="auto"/>
        <w:jc w:val="center"/>
        <w:rPr>
          <w:color w:val="000000" w:themeColor="text1"/>
        </w:rPr>
      </w:pPr>
      <w:r w:rsidRPr="004E7E5A">
        <w:rPr>
          <w:color w:val="000000" w:themeColor="text1"/>
        </w:rPr>
        <w:lastRenderedPageBreak/>
        <w:t>Table 1</w:t>
      </w:r>
      <w:r w:rsidR="0071114F" w:rsidRPr="004E7E5A">
        <w:rPr>
          <w:color w:val="000000" w:themeColor="text1"/>
        </w:rPr>
        <w:t>4</w:t>
      </w:r>
    </w:p>
    <w:p w14:paraId="6C109721" w14:textId="107C8EEE" w:rsidR="00EC2AF7" w:rsidRPr="004E7E5A" w:rsidRDefault="00EC2AF7" w:rsidP="00EC2AF7">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 xml:space="preserve">Regression of Directors’ Network on CSR Disclosure Quality: Difference GMM </w:t>
      </w:r>
    </w:p>
    <w:tbl>
      <w:tblPr>
        <w:tblW w:w="5000" w:type="pct"/>
        <w:tblLook w:val="0000" w:firstRow="0" w:lastRow="0" w:firstColumn="0" w:lastColumn="0" w:noHBand="0" w:noVBand="0"/>
      </w:tblPr>
      <w:tblGrid>
        <w:gridCol w:w="3007"/>
        <w:gridCol w:w="232"/>
        <w:gridCol w:w="1265"/>
        <w:gridCol w:w="232"/>
        <w:gridCol w:w="1289"/>
        <w:gridCol w:w="229"/>
        <w:gridCol w:w="1289"/>
        <w:gridCol w:w="226"/>
        <w:gridCol w:w="1301"/>
      </w:tblGrid>
      <w:tr w:rsidR="001E3466" w:rsidRPr="004E7E5A" w14:paraId="4B018438" w14:textId="77777777" w:rsidTr="001F0B43">
        <w:tc>
          <w:tcPr>
            <w:tcW w:w="3007" w:type="dxa"/>
            <w:tcBorders>
              <w:top w:val="single" w:sz="4" w:space="0" w:color="auto"/>
              <w:left w:val="nil"/>
              <w:bottom w:val="single" w:sz="4" w:space="0" w:color="auto"/>
              <w:right w:val="nil"/>
            </w:tcBorders>
          </w:tcPr>
          <w:p w14:paraId="5382B55D" w14:textId="77777777" w:rsidR="00EC2AF7" w:rsidRPr="004E7E5A" w:rsidRDefault="00EC2AF7" w:rsidP="001F0B4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32" w:type="dxa"/>
            <w:tcBorders>
              <w:top w:val="single" w:sz="4" w:space="0" w:color="auto"/>
              <w:left w:val="nil"/>
              <w:right w:val="nil"/>
            </w:tcBorders>
          </w:tcPr>
          <w:p w14:paraId="58748BAC"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265" w:type="dxa"/>
            <w:tcBorders>
              <w:top w:val="single" w:sz="4" w:space="0" w:color="auto"/>
              <w:left w:val="nil"/>
              <w:bottom w:val="single" w:sz="4" w:space="0" w:color="auto"/>
              <w:right w:val="nil"/>
            </w:tcBorders>
          </w:tcPr>
          <w:p w14:paraId="0A1F2BFD"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32" w:type="dxa"/>
            <w:tcBorders>
              <w:top w:val="single" w:sz="4" w:space="0" w:color="auto"/>
              <w:left w:val="nil"/>
              <w:right w:val="nil"/>
            </w:tcBorders>
          </w:tcPr>
          <w:p w14:paraId="68E74EF7"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289" w:type="dxa"/>
            <w:tcBorders>
              <w:top w:val="single" w:sz="4" w:space="0" w:color="auto"/>
              <w:left w:val="nil"/>
              <w:bottom w:val="single" w:sz="4" w:space="0" w:color="auto"/>
              <w:right w:val="nil"/>
            </w:tcBorders>
          </w:tcPr>
          <w:p w14:paraId="0CCD5391"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29" w:type="dxa"/>
            <w:tcBorders>
              <w:top w:val="single" w:sz="4" w:space="0" w:color="auto"/>
              <w:left w:val="nil"/>
              <w:right w:val="nil"/>
            </w:tcBorders>
          </w:tcPr>
          <w:p w14:paraId="3C0BA27D"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289" w:type="dxa"/>
            <w:tcBorders>
              <w:top w:val="single" w:sz="4" w:space="0" w:color="auto"/>
              <w:left w:val="nil"/>
              <w:bottom w:val="single" w:sz="4" w:space="0" w:color="auto"/>
              <w:right w:val="nil"/>
            </w:tcBorders>
          </w:tcPr>
          <w:p w14:paraId="256573D2"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26" w:type="dxa"/>
            <w:tcBorders>
              <w:top w:val="single" w:sz="4" w:space="0" w:color="auto"/>
              <w:left w:val="nil"/>
              <w:right w:val="nil"/>
            </w:tcBorders>
          </w:tcPr>
          <w:p w14:paraId="40191409"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301" w:type="dxa"/>
            <w:tcBorders>
              <w:top w:val="single" w:sz="4" w:space="0" w:color="auto"/>
              <w:left w:val="nil"/>
              <w:bottom w:val="single" w:sz="4" w:space="0" w:color="auto"/>
              <w:right w:val="nil"/>
            </w:tcBorders>
          </w:tcPr>
          <w:p w14:paraId="1D226175"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403251B5" w14:textId="77777777" w:rsidTr="001F0B43">
        <w:tc>
          <w:tcPr>
            <w:tcW w:w="3007" w:type="dxa"/>
            <w:tcBorders>
              <w:top w:val="single" w:sz="4" w:space="0" w:color="auto"/>
              <w:left w:val="nil"/>
              <w:right w:val="nil"/>
            </w:tcBorders>
          </w:tcPr>
          <w:p w14:paraId="143A3376" w14:textId="77777777" w:rsidR="00EC2AF7" w:rsidRPr="004E7E5A" w:rsidRDefault="00EC2AF7" w:rsidP="001F0B43">
            <w:pPr>
              <w:autoSpaceDE w:val="0"/>
              <w:autoSpaceDN w:val="0"/>
              <w:adjustRightInd w:val="0"/>
              <w:jc w:val="left"/>
              <w:rPr>
                <w:rFonts w:ascii="Times New Roman" w:hAnsi="Times New Roman" w:cs="Times New Roman"/>
                <w:i/>
                <w:iCs/>
                <w:color w:val="000000" w:themeColor="text1"/>
                <w:kern w:val="0"/>
                <w:sz w:val="24"/>
                <w:szCs w:val="24"/>
                <w:vertAlign w:val="subscript"/>
              </w:rPr>
            </w:pPr>
            <w:r w:rsidRPr="004E7E5A">
              <w:rPr>
                <w:rFonts w:ascii="Times New Roman" w:hAnsi="Times New Roman" w:cs="Times New Roman"/>
                <w:i/>
                <w:iCs/>
                <w:color w:val="000000" w:themeColor="text1"/>
                <w:kern w:val="0"/>
                <w:sz w:val="24"/>
                <w:szCs w:val="24"/>
              </w:rPr>
              <w:t>Csr</w:t>
            </w:r>
            <w:r w:rsidRPr="004E7E5A">
              <w:rPr>
                <w:rFonts w:ascii="Times New Roman" w:hAnsi="Times New Roman" w:cs="Times New Roman"/>
                <w:i/>
                <w:iCs/>
                <w:color w:val="000000" w:themeColor="text1"/>
                <w:kern w:val="0"/>
                <w:sz w:val="24"/>
                <w:szCs w:val="24"/>
                <w:vertAlign w:val="subscript"/>
              </w:rPr>
              <w:t>t-1</w:t>
            </w:r>
          </w:p>
        </w:tc>
        <w:tc>
          <w:tcPr>
            <w:tcW w:w="232" w:type="dxa"/>
            <w:tcBorders>
              <w:left w:val="nil"/>
              <w:right w:val="nil"/>
            </w:tcBorders>
          </w:tcPr>
          <w:p w14:paraId="17D4E48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single" w:sz="4" w:space="0" w:color="auto"/>
              <w:left w:val="nil"/>
              <w:right w:val="nil"/>
            </w:tcBorders>
          </w:tcPr>
          <w:p w14:paraId="5D50AEE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0.476</w:t>
            </w:r>
            <w:r w:rsidRPr="004E7E5A">
              <w:rPr>
                <w:rFonts w:ascii="Times New Roman" w:hAnsi="Times New Roman" w:cs="Times New Roman"/>
                <w:color w:val="000000" w:themeColor="text1"/>
                <w:kern w:val="0"/>
                <w:sz w:val="24"/>
                <w:vertAlign w:val="superscript"/>
              </w:rPr>
              <w:t>***</w:t>
            </w:r>
          </w:p>
        </w:tc>
        <w:tc>
          <w:tcPr>
            <w:tcW w:w="232" w:type="dxa"/>
            <w:tcBorders>
              <w:left w:val="nil"/>
              <w:right w:val="nil"/>
            </w:tcBorders>
          </w:tcPr>
          <w:p w14:paraId="7B5341F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single" w:sz="4" w:space="0" w:color="auto"/>
              <w:left w:val="nil"/>
              <w:right w:val="nil"/>
            </w:tcBorders>
          </w:tcPr>
          <w:p w14:paraId="44167D5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0.476</w:t>
            </w:r>
            <w:r w:rsidRPr="004E7E5A">
              <w:rPr>
                <w:rFonts w:ascii="Times New Roman" w:hAnsi="Times New Roman" w:cs="Times New Roman"/>
                <w:color w:val="000000" w:themeColor="text1"/>
                <w:kern w:val="0"/>
                <w:sz w:val="24"/>
                <w:vertAlign w:val="superscript"/>
              </w:rPr>
              <w:t>***</w:t>
            </w:r>
          </w:p>
        </w:tc>
        <w:tc>
          <w:tcPr>
            <w:tcW w:w="229" w:type="dxa"/>
            <w:tcBorders>
              <w:left w:val="nil"/>
              <w:right w:val="nil"/>
            </w:tcBorders>
          </w:tcPr>
          <w:p w14:paraId="2DD35FE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single" w:sz="4" w:space="0" w:color="auto"/>
              <w:left w:val="nil"/>
              <w:right w:val="nil"/>
            </w:tcBorders>
          </w:tcPr>
          <w:p w14:paraId="2113E17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0.480</w:t>
            </w:r>
            <w:r w:rsidRPr="004E7E5A">
              <w:rPr>
                <w:rFonts w:ascii="Times New Roman" w:hAnsi="Times New Roman" w:cs="Times New Roman"/>
                <w:color w:val="000000" w:themeColor="text1"/>
                <w:kern w:val="0"/>
                <w:sz w:val="24"/>
                <w:vertAlign w:val="superscript"/>
              </w:rPr>
              <w:t>***</w:t>
            </w:r>
          </w:p>
        </w:tc>
        <w:tc>
          <w:tcPr>
            <w:tcW w:w="226" w:type="dxa"/>
            <w:tcBorders>
              <w:left w:val="nil"/>
              <w:right w:val="nil"/>
            </w:tcBorders>
          </w:tcPr>
          <w:p w14:paraId="12BD47F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single" w:sz="4" w:space="0" w:color="auto"/>
              <w:left w:val="nil"/>
              <w:right w:val="nil"/>
            </w:tcBorders>
          </w:tcPr>
          <w:p w14:paraId="027E3E8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0.484</w:t>
            </w:r>
            <w:r w:rsidRPr="004E7E5A">
              <w:rPr>
                <w:rFonts w:ascii="Times New Roman" w:hAnsi="Times New Roman" w:cs="Times New Roman"/>
                <w:color w:val="000000" w:themeColor="text1"/>
                <w:kern w:val="0"/>
                <w:sz w:val="24"/>
                <w:vertAlign w:val="superscript"/>
              </w:rPr>
              <w:t>***</w:t>
            </w:r>
          </w:p>
        </w:tc>
      </w:tr>
      <w:tr w:rsidR="001E3466" w:rsidRPr="004E7E5A" w14:paraId="24004274" w14:textId="77777777" w:rsidTr="001F0B43">
        <w:tc>
          <w:tcPr>
            <w:tcW w:w="3007" w:type="dxa"/>
            <w:tcBorders>
              <w:left w:val="nil"/>
              <w:right w:val="nil"/>
            </w:tcBorders>
          </w:tcPr>
          <w:p w14:paraId="65756638"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left w:val="nil"/>
              <w:right w:val="nil"/>
            </w:tcBorders>
          </w:tcPr>
          <w:p w14:paraId="63DF5E8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0B3AB91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(6.68)</w:t>
            </w:r>
          </w:p>
        </w:tc>
        <w:tc>
          <w:tcPr>
            <w:tcW w:w="232" w:type="dxa"/>
            <w:tcBorders>
              <w:left w:val="nil"/>
              <w:right w:val="nil"/>
            </w:tcBorders>
          </w:tcPr>
          <w:p w14:paraId="66DA67F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63D4323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(6.68)</w:t>
            </w:r>
          </w:p>
        </w:tc>
        <w:tc>
          <w:tcPr>
            <w:tcW w:w="229" w:type="dxa"/>
            <w:tcBorders>
              <w:left w:val="nil"/>
              <w:right w:val="nil"/>
            </w:tcBorders>
          </w:tcPr>
          <w:p w14:paraId="5E96877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4FD8089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(6.76)</w:t>
            </w:r>
          </w:p>
        </w:tc>
        <w:tc>
          <w:tcPr>
            <w:tcW w:w="226" w:type="dxa"/>
            <w:tcBorders>
              <w:left w:val="nil"/>
              <w:right w:val="nil"/>
            </w:tcBorders>
          </w:tcPr>
          <w:p w14:paraId="2DCE8EA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68446C6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(6.69)</w:t>
            </w:r>
          </w:p>
        </w:tc>
      </w:tr>
      <w:tr w:rsidR="001E3466" w:rsidRPr="004E7E5A" w14:paraId="1E937D6B" w14:textId="77777777" w:rsidTr="001F0B43">
        <w:tc>
          <w:tcPr>
            <w:tcW w:w="3007" w:type="dxa"/>
            <w:tcBorders>
              <w:left w:val="nil"/>
              <w:bottom w:val="nil"/>
              <w:right w:val="nil"/>
            </w:tcBorders>
          </w:tcPr>
          <w:p w14:paraId="3902201A" w14:textId="77777777" w:rsidR="005F4379" w:rsidRPr="004E7E5A" w:rsidRDefault="005F4379" w:rsidP="005F4379">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32" w:type="dxa"/>
            <w:tcBorders>
              <w:left w:val="nil"/>
              <w:bottom w:val="nil"/>
              <w:right w:val="nil"/>
            </w:tcBorders>
          </w:tcPr>
          <w:p w14:paraId="2196559F"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bottom w:val="nil"/>
              <w:right w:val="nil"/>
            </w:tcBorders>
          </w:tcPr>
          <w:p w14:paraId="1F5F75E0" w14:textId="6A8E1284"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0.239</w:t>
            </w:r>
            <w:r w:rsidRPr="004E7E5A">
              <w:rPr>
                <w:rFonts w:ascii="Times New Roman" w:hAnsi="Times New Roman" w:cs="Times New Roman"/>
                <w:color w:val="000000" w:themeColor="text1"/>
                <w:kern w:val="0"/>
                <w:sz w:val="24"/>
                <w:vertAlign w:val="superscript"/>
              </w:rPr>
              <w:t>**</w:t>
            </w:r>
          </w:p>
        </w:tc>
        <w:tc>
          <w:tcPr>
            <w:tcW w:w="232" w:type="dxa"/>
            <w:tcBorders>
              <w:left w:val="nil"/>
              <w:bottom w:val="nil"/>
              <w:right w:val="nil"/>
            </w:tcBorders>
          </w:tcPr>
          <w:p w14:paraId="2C39E64C"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nil"/>
              <w:right w:val="nil"/>
            </w:tcBorders>
          </w:tcPr>
          <w:p w14:paraId="4444B5DE"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29" w:type="dxa"/>
            <w:tcBorders>
              <w:left w:val="nil"/>
              <w:bottom w:val="nil"/>
              <w:right w:val="nil"/>
            </w:tcBorders>
          </w:tcPr>
          <w:p w14:paraId="1B01F1B3"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nil"/>
              <w:right w:val="nil"/>
            </w:tcBorders>
          </w:tcPr>
          <w:p w14:paraId="34A210A8"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26" w:type="dxa"/>
            <w:tcBorders>
              <w:left w:val="nil"/>
              <w:bottom w:val="nil"/>
              <w:right w:val="nil"/>
            </w:tcBorders>
          </w:tcPr>
          <w:p w14:paraId="4865D273"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bottom w:val="nil"/>
              <w:right w:val="nil"/>
            </w:tcBorders>
          </w:tcPr>
          <w:p w14:paraId="05476251"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r>
      <w:tr w:rsidR="001E3466" w:rsidRPr="004E7E5A" w14:paraId="1E8FC5FB" w14:textId="77777777" w:rsidTr="001F0B43">
        <w:tc>
          <w:tcPr>
            <w:tcW w:w="3007" w:type="dxa"/>
            <w:tcBorders>
              <w:top w:val="nil"/>
              <w:left w:val="nil"/>
              <w:bottom w:val="nil"/>
              <w:right w:val="nil"/>
            </w:tcBorders>
          </w:tcPr>
          <w:p w14:paraId="1B3F29FF" w14:textId="77777777" w:rsidR="005F4379" w:rsidRPr="004E7E5A" w:rsidRDefault="005F4379" w:rsidP="005F4379">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613AD0FC"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287039FA" w14:textId="49ECCEF8"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(2.41)</w:t>
            </w:r>
          </w:p>
        </w:tc>
        <w:tc>
          <w:tcPr>
            <w:tcW w:w="232" w:type="dxa"/>
            <w:tcBorders>
              <w:top w:val="nil"/>
              <w:left w:val="nil"/>
              <w:bottom w:val="nil"/>
              <w:right w:val="nil"/>
            </w:tcBorders>
          </w:tcPr>
          <w:p w14:paraId="746CEAE8"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117CC43D"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7A8118AC"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459C6762"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1C36FFD5"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05015112"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r>
      <w:tr w:rsidR="001E3466" w:rsidRPr="004E7E5A" w14:paraId="2AD820D8" w14:textId="77777777" w:rsidTr="001F0B43">
        <w:tc>
          <w:tcPr>
            <w:tcW w:w="3007" w:type="dxa"/>
            <w:tcBorders>
              <w:top w:val="nil"/>
              <w:left w:val="nil"/>
              <w:bottom w:val="nil"/>
              <w:right w:val="nil"/>
            </w:tcBorders>
          </w:tcPr>
          <w:p w14:paraId="0CAAE8A2" w14:textId="77777777" w:rsidR="005F4379" w:rsidRPr="004E7E5A" w:rsidRDefault="005F4379" w:rsidP="005F4379">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32" w:type="dxa"/>
            <w:tcBorders>
              <w:top w:val="nil"/>
              <w:left w:val="nil"/>
              <w:bottom w:val="nil"/>
              <w:right w:val="nil"/>
            </w:tcBorders>
          </w:tcPr>
          <w:p w14:paraId="13AB360B"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2A44F766"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32D3CEC2"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02AFC5FE" w14:textId="1BE9169C"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0.253</w:t>
            </w:r>
            <w:r w:rsidRPr="004E7E5A">
              <w:rPr>
                <w:rFonts w:ascii="Times New Roman" w:hAnsi="Times New Roman" w:cs="Times New Roman"/>
                <w:color w:val="000000" w:themeColor="text1"/>
                <w:kern w:val="0"/>
                <w:sz w:val="24"/>
                <w:vertAlign w:val="superscript"/>
              </w:rPr>
              <w:t>**</w:t>
            </w:r>
          </w:p>
        </w:tc>
        <w:tc>
          <w:tcPr>
            <w:tcW w:w="229" w:type="dxa"/>
            <w:tcBorders>
              <w:top w:val="nil"/>
              <w:left w:val="nil"/>
              <w:bottom w:val="nil"/>
              <w:right w:val="nil"/>
            </w:tcBorders>
          </w:tcPr>
          <w:p w14:paraId="2C4B48C3"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5F33301D"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49C9C01F"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5BDC3B34"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r>
      <w:tr w:rsidR="001E3466" w:rsidRPr="004E7E5A" w14:paraId="40C092FB" w14:textId="77777777" w:rsidTr="001F0B43">
        <w:tc>
          <w:tcPr>
            <w:tcW w:w="3007" w:type="dxa"/>
            <w:tcBorders>
              <w:top w:val="nil"/>
              <w:left w:val="nil"/>
              <w:bottom w:val="nil"/>
              <w:right w:val="nil"/>
            </w:tcBorders>
          </w:tcPr>
          <w:p w14:paraId="4070C7F9" w14:textId="77777777" w:rsidR="005F4379" w:rsidRPr="004E7E5A" w:rsidRDefault="005F4379" w:rsidP="005F4379">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41B47C90"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441B89BD"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6F7FE0F0"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17E549C1" w14:textId="3E9388E1"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(2.41)</w:t>
            </w:r>
          </w:p>
        </w:tc>
        <w:tc>
          <w:tcPr>
            <w:tcW w:w="229" w:type="dxa"/>
            <w:tcBorders>
              <w:top w:val="nil"/>
              <w:left w:val="nil"/>
              <w:bottom w:val="nil"/>
              <w:right w:val="nil"/>
            </w:tcBorders>
          </w:tcPr>
          <w:p w14:paraId="524B409D"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2BFA9629"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475F758A"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342D1663" w14:textId="77777777" w:rsidR="005F4379" w:rsidRPr="004E7E5A" w:rsidRDefault="005F4379" w:rsidP="005F4379">
            <w:pPr>
              <w:autoSpaceDE w:val="0"/>
              <w:autoSpaceDN w:val="0"/>
              <w:adjustRightInd w:val="0"/>
              <w:jc w:val="center"/>
              <w:rPr>
                <w:rFonts w:ascii="Times New Roman" w:hAnsi="Times New Roman"/>
                <w:color w:val="000000" w:themeColor="text1"/>
                <w:kern w:val="0"/>
                <w:sz w:val="24"/>
                <w:szCs w:val="24"/>
              </w:rPr>
            </w:pPr>
          </w:p>
        </w:tc>
      </w:tr>
      <w:tr w:rsidR="001E3466" w:rsidRPr="004E7E5A" w14:paraId="706213C8" w14:textId="77777777" w:rsidTr="001F0B43">
        <w:tc>
          <w:tcPr>
            <w:tcW w:w="3007" w:type="dxa"/>
            <w:tcBorders>
              <w:top w:val="nil"/>
              <w:left w:val="nil"/>
              <w:bottom w:val="nil"/>
              <w:right w:val="nil"/>
            </w:tcBorders>
          </w:tcPr>
          <w:p w14:paraId="36D377CF"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32" w:type="dxa"/>
            <w:tcBorders>
              <w:top w:val="nil"/>
              <w:left w:val="nil"/>
              <w:bottom w:val="nil"/>
              <w:right w:val="nil"/>
            </w:tcBorders>
          </w:tcPr>
          <w:p w14:paraId="69A804C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6DCB680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2F62E7C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0062944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60DF89F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7ABB98B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0.443</w:t>
            </w:r>
            <w:r w:rsidRPr="004E7E5A">
              <w:rPr>
                <w:rFonts w:ascii="Times New Roman" w:hAnsi="Times New Roman" w:cs="Times New Roman"/>
                <w:color w:val="000000" w:themeColor="text1"/>
                <w:kern w:val="0"/>
                <w:sz w:val="24"/>
                <w:vertAlign w:val="superscript"/>
              </w:rPr>
              <w:t>**</w:t>
            </w:r>
          </w:p>
        </w:tc>
        <w:tc>
          <w:tcPr>
            <w:tcW w:w="226" w:type="dxa"/>
            <w:tcBorders>
              <w:top w:val="nil"/>
              <w:left w:val="nil"/>
              <w:bottom w:val="nil"/>
              <w:right w:val="nil"/>
            </w:tcBorders>
          </w:tcPr>
          <w:p w14:paraId="09DEE5F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47284EC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3B1F74DC" w14:textId="77777777" w:rsidTr="001F0B43">
        <w:tc>
          <w:tcPr>
            <w:tcW w:w="3007" w:type="dxa"/>
            <w:tcBorders>
              <w:top w:val="nil"/>
              <w:left w:val="nil"/>
              <w:bottom w:val="nil"/>
              <w:right w:val="nil"/>
            </w:tcBorders>
          </w:tcPr>
          <w:p w14:paraId="7D9DDF68"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2C908D7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408F213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4DF9E37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0697433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73F959C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3FF73E1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(2.25)</w:t>
            </w:r>
          </w:p>
        </w:tc>
        <w:tc>
          <w:tcPr>
            <w:tcW w:w="226" w:type="dxa"/>
            <w:tcBorders>
              <w:top w:val="nil"/>
              <w:left w:val="nil"/>
              <w:bottom w:val="nil"/>
              <w:right w:val="nil"/>
            </w:tcBorders>
          </w:tcPr>
          <w:p w14:paraId="0B15640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4EAC17F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77BB3395" w14:textId="77777777" w:rsidTr="001F0B43">
        <w:tc>
          <w:tcPr>
            <w:tcW w:w="3007" w:type="dxa"/>
            <w:tcBorders>
              <w:top w:val="nil"/>
              <w:left w:val="nil"/>
              <w:bottom w:val="nil"/>
              <w:right w:val="nil"/>
            </w:tcBorders>
          </w:tcPr>
          <w:p w14:paraId="40D2DC83"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32" w:type="dxa"/>
            <w:tcBorders>
              <w:top w:val="nil"/>
              <w:left w:val="nil"/>
              <w:bottom w:val="nil"/>
              <w:right w:val="nil"/>
            </w:tcBorders>
          </w:tcPr>
          <w:p w14:paraId="7462571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7BB414D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468FCC1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1594E4A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0C137AF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625FEE2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153F308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3435319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0.547</w:t>
            </w:r>
            <w:r w:rsidRPr="004E7E5A">
              <w:rPr>
                <w:rFonts w:ascii="Times New Roman" w:hAnsi="Times New Roman" w:cs="Times New Roman"/>
                <w:color w:val="000000" w:themeColor="text1"/>
                <w:kern w:val="0"/>
                <w:sz w:val="24"/>
                <w:vertAlign w:val="superscript"/>
              </w:rPr>
              <w:t>**</w:t>
            </w:r>
          </w:p>
        </w:tc>
      </w:tr>
      <w:tr w:rsidR="001E3466" w:rsidRPr="004E7E5A" w14:paraId="52DA3AE1" w14:textId="77777777" w:rsidTr="001F0B43">
        <w:tc>
          <w:tcPr>
            <w:tcW w:w="3007" w:type="dxa"/>
            <w:tcBorders>
              <w:top w:val="nil"/>
              <w:left w:val="nil"/>
              <w:bottom w:val="nil"/>
              <w:right w:val="nil"/>
            </w:tcBorders>
          </w:tcPr>
          <w:p w14:paraId="63B6C5E6"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75D3029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3B1816C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262DBC2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439846C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43DF86D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71441A4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5CB0F68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0BEE5FB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s="Times New Roman"/>
                <w:color w:val="000000" w:themeColor="text1"/>
                <w:kern w:val="0"/>
                <w:sz w:val="24"/>
              </w:rPr>
              <w:t>(2.54)</w:t>
            </w:r>
          </w:p>
        </w:tc>
      </w:tr>
      <w:tr w:rsidR="001E3466" w:rsidRPr="004E7E5A" w14:paraId="02232CB0" w14:textId="77777777" w:rsidTr="001F0B43">
        <w:tc>
          <w:tcPr>
            <w:tcW w:w="3007" w:type="dxa"/>
            <w:tcBorders>
              <w:top w:val="nil"/>
              <w:left w:val="nil"/>
              <w:right w:val="nil"/>
            </w:tcBorders>
          </w:tcPr>
          <w:p w14:paraId="1911B650"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32" w:type="dxa"/>
            <w:tcBorders>
              <w:top w:val="nil"/>
              <w:left w:val="nil"/>
              <w:right w:val="nil"/>
            </w:tcBorders>
          </w:tcPr>
          <w:p w14:paraId="578BD61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right w:val="nil"/>
            </w:tcBorders>
          </w:tcPr>
          <w:p w14:paraId="2AA1A8B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2" w:type="dxa"/>
            <w:tcBorders>
              <w:top w:val="nil"/>
              <w:left w:val="nil"/>
              <w:right w:val="nil"/>
            </w:tcBorders>
          </w:tcPr>
          <w:p w14:paraId="16D3602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461DB8C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9" w:type="dxa"/>
            <w:tcBorders>
              <w:top w:val="nil"/>
              <w:left w:val="nil"/>
              <w:right w:val="nil"/>
            </w:tcBorders>
          </w:tcPr>
          <w:p w14:paraId="7D466BA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119BE85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6" w:type="dxa"/>
            <w:tcBorders>
              <w:top w:val="nil"/>
              <w:left w:val="nil"/>
              <w:right w:val="nil"/>
            </w:tcBorders>
          </w:tcPr>
          <w:p w14:paraId="252C236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right w:val="nil"/>
            </w:tcBorders>
          </w:tcPr>
          <w:p w14:paraId="2956CDD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5943FBD6" w14:textId="77777777" w:rsidTr="001F0B43">
        <w:tc>
          <w:tcPr>
            <w:tcW w:w="3007" w:type="dxa"/>
            <w:tcBorders>
              <w:top w:val="nil"/>
              <w:left w:val="nil"/>
              <w:right w:val="nil"/>
            </w:tcBorders>
          </w:tcPr>
          <w:p w14:paraId="1A761A48"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32" w:type="dxa"/>
            <w:tcBorders>
              <w:top w:val="nil"/>
              <w:left w:val="nil"/>
              <w:right w:val="nil"/>
            </w:tcBorders>
          </w:tcPr>
          <w:p w14:paraId="3FDAF46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right w:val="nil"/>
            </w:tcBorders>
          </w:tcPr>
          <w:p w14:paraId="4DDFFA4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2" w:type="dxa"/>
            <w:tcBorders>
              <w:top w:val="nil"/>
              <w:left w:val="nil"/>
              <w:right w:val="nil"/>
            </w:tcBorders>
          </w:tcPr>
          <w:p w14:paraId="24903E5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4CB5832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9" w:type="dxa"/>
            <w:tcBorders>
              <w:top w:val="nil"/>
              <w:left w:val="nil"/>
              <w:right w:val="nil"/>
            </w:tcBorders>
          </w:tcPr>
          <w:p w14:paraId="6A7625D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5195C64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6" w:type="dxa"/>
            <w:tcBorders>
              <w:top w:val="nil"/>
              <w:left w:val="nil"/>
              <w:right w:val="nil"/>
            </w:tcBorders>
          </w:tcPr>
          <w:p w14:paraId="79E4553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right w:val="nil"/>
            </w:tcBorders>
          </w:tcPr>
          <w:p w14:paraId="47A67E3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6371B02F" w14:textId="77777777" w:rsidTr="001F0B43">
        <w:tc>
          <w:tcPr>
            <w:tcW w:w="3007" w:type="dxa"/>
            <w:tcBorders>
              <w:left w:val="nil"/>
              <w:right w:val="nil"/>
            </w:tcBorders>
          </w:tcPr>
          <w:p w14:paraId="20211903"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32" w:type="dxa"/>
            <w:tcBorders>
              <w:left w:val="nil"/>
              <w:right w:val="nil"/>
            </w:tcBorders>
          </w:tcPr>
          <w:p w14:paraId="30C93A8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32D6BD2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2222</w:t>
            </w:r>
          </w:p>
        </w:tc>
        <w:tc>
          <w:tcPr>
            <w:tcW w:w="232" w:type="dxa"/>
            <w:tcBorders>
              <w:left w:val="nil"/>
              <w:right w:val="nil"/>
            </w:tcBorders>
          </w:tcPr>
          <w:p w14:paraId="7323944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36FB4A9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2222</w:t>
            </w:r>
          </w:p>
        </w:tc>
        <w:tc>
          <w:tcPr>
            <w:tcW w:w="229" w:type="dxa"/>
            <w:tcBorders>
              <w:left w:val="nil"/>
              <w:right w:val="nil"/>
            </w:tcBorders>
          </w:tcPr>
          <w:p w14:paraId="6169800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2762AD4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2222</w:t>
            </w:r>
          </w:p>
        </w:tc>
        <w:tc>
          <w:tcPr>
            <w:tcW w:w="226" w:type="dxa"/>
            <w:tcBorders>
              <w:left w:val="nil"/>
              <w:right w:val="nil"/>
            </w:tcBorders>
          </w:tcPr>
          <w:p w14:paraId="0F9EFB0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6110FAC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2222</w:t>
            </w:r>
          </w:p>
        </w:tc>
      </w:tr>
      <w:tr w:rsidR="001E3466" w:rsidRPr="004E7E5A" w14:paraId="50B3FC84" w14:textId="77777777" w:rsidTr="001F0B43">
        <w:tc>
          <w:tcPr>
            <w:tcW w:w="3007" w:type="dxa"/>
            <w:tcBorders>
              <w:left w:val="nil"/>
              <w:right w:val="nil"/>
            </w:tcBorders>
          </w:tcPr>
          <w:p w14:paraId="4527A433"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gramStart"/>
            <w:r w:rsidRPr="004E7E5A">
              <w:rPr>
                <w:rFonts w:ascii="Times New Roman" w:hAnsi="Times New Roman"/>
                <w:i/>
                <w:iCs/>
                <w:color w:val="000000" w:themeColor="text1"/>
                <w:kern w:val="0"/>
                <w:sz w:val="24"/>
                <w:szCs w:val="24"/>
              </w:rPr>
              <w:t>AR(</w:t>
            </w:r>
            <w:proofErr w:type="gramEnd"/>
            <w:r w:rsidRPr="004E7E5A">
              <w:rPr>
                <w:rFonts w:ascii="Times New Roman" w:hAnsi="Times New Roman"/>
                <w:i/>
                <w:iCs/>
                <w:color w:val="000000" w:themeColor="text1"/>
                <w:kern w:val="0"/>
                <w:sz w:val="24"/>
                <w:szCs w:val="24"/>
              </w:rPr>
              <w:t>1) test (p value)</w:t>
            </w:r>
          </w:p>
        </w:tc>
        <w:tc>
          <w:tcPr>
            <w:tcW w:w="232" w:type="dxa"/>
            <w:tcBorders>
              <w:left w:val="nil"/>
              <w:right w:val="nil"/>
            </w:tcBorders>
          </w:tcPr>
          <w:p w14:paraId="1CD31A2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699F645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c>
          <w:tcPr>
            <w:tcW w:w="232" w:type="dxa"/>
            <w:tcBorders>
              <w:left w:val="nil"/>
              <w:right w:val="nil"/>
            </w:tcBorders>
          </w:tcPr>
          <w:p w14:paraId="22DA634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2F209C8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c>
          <w:tcPr>
            <w:tcW w:w="229" w:type="dxa"/>
            <w:tcBorders>
              <w:left w:val="nil"/>
              <w:right w:val="nil"/>
            </w:tcBorders>
          </w:tcPr>
          <w:p w14:paraId="11219DD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51B02C4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c>
          <w:tcPr>
            <w:tcW w:w="226" w:type="dxa"/>
            <w:tcBorders>
              <w:left w:val="nil"/>
              <w:right w:val="nil"/>
            </w:tcBorders>
          </w:tcPr>
          <w:p w14:paraId="6EA0437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1549F11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r>
      <w:tr w:rsidR="001E3466" w:rsidRPr="004E7E5A" w14:paraId="49B09E39" w14:textId="77777777" w:rsidTr="001F0B43">
        <w:tc>
          <w:tcPr>
            <w:tcW w:w="3007" w:type="dxa"/>
            <w:tcBorders>
              <w:left w:val="nil"/>
              <w:right w:val="nil"/>
            </w:tcBorders>
          </w:tcPr>
          <w:p w14:paraId="23EB2E05"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gramStart"/>
            <w:r w:rsidRPr="004E7E5A">
              <w:rPr>
                <w:rFonts w:ascii="Times New Roman" w:hAnsi="Times New Roman"/>
                <w:i/>
                <w:iCs/>
                <w:color w:val="000000" w:themeColor="text1"/>
                <w:kern w:val="0"/>
                <w:sz w:val="24"/>
                <w:szCs w:val="24"/>
              </w:rPr>
              <w:t>AR(</w:t>
            </w:r>
            <w:proofErr w:type="gramEnd"/>
            <w:r w:rsidRPr="004E7E5A">
              <w:rPr>
                <w:rFonts w:ascii="Times New Roman" w:hAnsi="Times New Roman"/>
                <w:i/>
                <w:iCs/>
                <w:color w:val="000000" w:themeColor="text1"/>
                <w:kern w:val="0"/>
                <w:sz w:val="24"/>
                <w:szCs w:val="24"/>
              </w:rPr>
              <w:t>2) test (p value)</w:t>
            </w:r>
          </w:p>
        </w:tc>
        <w:tc>
          <w:tcPr>
            <w:tcW w:w="232" w:type="dxa"/>
            <w:tcBorders>
              <w:left w:val="nil"/>
              <w:right w:val="nil"/>
            </w:tcBorders>
          </w:tcPr>
          <w:p w14:paraId="1051360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16929DE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0.689</w:t>
            </w:r>
          </w:p>
        </w:tc>
        <w:tc>
          <w:tcPr>
            <w:tcW w:w="232" w:type="dxa"/>
            <w:tcBorders>
              <w:left w:val="nil"/>
              <w:right w:val="nil"/>
            </w:tcBorders>
          </w:tcPr>
          <w:p w14:paraId="11C1A92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4D83E48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0.689</w:t>
            </w:r>
          </w:p>
        </w:tc>
        <w:tc>
          <w:tcPr>
            <w:tcW w:w="229" w:type="dxa"/>
            <w:tcBorders>
              <w:left w:val="nil"/>
              <w:right w:val="nil"/>
            </w:tcBorders>
          </w:tcPr>
          <w:p w14:paraId="57E336A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42B4B18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0.698</w:t>
            </w:r>
          </w:p>
        </w:tc>
        <w:tc>
          <w:tcPr>
            <w:tcW w:w="226" w:type="dxa"/>
            <w:tcBorders>
              <w:left w:val="nil"/>
              <w:right w:val="nil"/>
            </w:tcBorders>
          </w:tcPr>
          <w:p w14:paraId="290B9AD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3D3F8A7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0.688</w:t>
            </w:r>
          </w:p>
        </w:tc>
      </w:tr>
      <w:tr w:rsidR="001E3466" w:rsidRPr="004E7E5A" w14:paraId="3D121409" w14:textId="77777777" w:rsidTr="00086D9D">
        <w:tc>
          <w:tcPr>
            <w:tcW w:w="3007" w:type="dxa"/>
            <w:tcBorders>
              <w:left w:val="nil"/>
              <w:right w:val="nil"/>
            </w:tcBorders>
          </w:tcPr>
          <w:p w14:paraId="17B2CF1F" w14:textId="77BB4EE4"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Sargan</w:t>
            </w:r>
            <w:proofErr w:type="spellEnd"/>
            <w:r w:rsidRPr="004E7E5A">
              <w:rPr>
                <w:rFonts w:ascii="Times New Roman" w:hAnsi="Times New Roman"/>
                <w:i/>
                <w:iCs/>
                <w:color w:val="000000" w:themeColor="text1"/>
                <w:kern w:val="0"/>
                <w:sz w:val="24"/>
                <w:szCs w:val="24"/>
              </w:rPr>
              <w:t xml:space="preserve"> test of over identification (p value)</w:t>
            </w:r>
          </w:p>
        </w:tc>
        <w:tc>
          <w:tcPr>
            <w:tcW w:w="232" w:type="dxa"/>
            <w:tcBorders>
              <w:left w:val="nil"/>
              <w:right w:val="nil"/>
            </w:tcBorders>
          </w:tcPr>
          <w:p w14:paraId="41C086A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11FA2C2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0.292</w:t>
            </w:r>
          </w:p>
        </w:tc>
        <w:tc>
          <w:tcPr>
            <w:tcW w:w="232" w:type="dxa"/>
            <w:tcBorders>
              <w:left w:val="nil"/>
              <w:right w:val="nil"/>
            </w:tcBorders>
          </w:tcPr>
          <w:p w14:paraId="457BACB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349D508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0.292</w:t>
            </w:r>
          </w:p>
        </w:tc>
        <w:tc>
          <w:tcPr>
            <w:tcW w:w="229" w:type="dxa"/>
            <w:tcBorders>
              <w:left w:val="nil"/>
              <w:right w:val="nil"/>
            </w:tcBorders>
          </w:tcPr>
          <w:p w14:paraId="122639E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5F88595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0.207</w:t>
            </w:r>
          </w:p>
        </w:tc>
        <w:tc>
          <w:tcPr>
            <w:tcW w:w="226" w:type="dxa"/>
            <w:tcBorders>
              <w:left w:val="nil"/>
              <w:right w:val="nil"/>
            </w:tcBorders>
          </w:tcPr>
          <w:p w14:paraId="0CD8333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5D31082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0.391</w:t>
            </w:r>
          </w:p>
        </w:tc>
      </w:tr>
      <w:tr w:rsidR="001E3466" w:rsidRPr="004E7E5A" w14:paraId="711261AC" w14:textId="77777777" w:rsidTr="00086D9D">
        <w:tc>
          <w:tcPr>
            <w:tcW w:w="3007" w:type="dxa"/>
            <w:tcBorders>
              <w:left w:val="nil"/>
              <w:bottom w:val="single" w:sz="4" w:space="0" w:color="auto"/>
              <w:right w:val="nil"/>
            </w:tcBorders>
          </w:tcPr>
          <w:p w14:paraId="799777A1" w14:textId="039EA20C"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Hansen test of over identification (p value)</w:t>
            </w:r>
          </w:p>
        </w:tc>
        <w:tc>
          <w:tcPr>
            <w:tcW w:w="232" w:type="dxa"/>
            <w:tcBorders>
              <w:left w:val="nil"/>
              <w:bottom w:val="single" w:sz="4" w:space="0" w:color="auto"/>
              <w:right w:val="nil"/>
            </w:tcBorders>
          </w:tcPr>
          <w:p w14:paraId="42D55DF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bottom w:val="single" w:sz="4" w:space="0" w:color="auto"/>
              <w:right w:val="nil"/>
            </w:tcBorders>
          </w:tcPr>
          <w:p w14:paraId="0E81A32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0.629</w:t>
            </w:r>
          </w:p>
        </w:tc>
        <w:tc>
          <w:tcPr>
            <w:tcW w:w="232" w:type="dxa"/>
            <w:tcBorders>
              <w:left w:val="nil"/>
              <w:bottom w:val="single" w:sz="4" w:space="0" w:color="auto"/>
              <w:right w:val="nil"/>
            </w:tcBorders>
          </w:tcPr>
          <w:p w14:paraId="1E5D807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single" w:sz="4" w:space="0" w:color="auto"/>
              <w:right w:val="nil"/>
            </w:tcBorders>
          </w:tcPr>
          <w:p w14:paraId="04151E0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0.629</w:t>
            </w:r>
          </w:p>
        </w:tc>
        <w:tc>
          <w:tcPr>
            <w:tcW w:w="229" w:type="dxa"/>
            <w:tcBorders>
              <w:left w:val="nil"/>
              <w:bottom w:val="single" w:sz="4" w:space="0" w:color="auto"/>
              <w:right w:val="nil"/>
            </w:tcBorders>
          </w:tcPr>
          <w:p w14:paraId="392DEE7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single" w:sz="4" w:space="0" w:color="auto"/>
              <w:right w:val="nil"/>
            </w:tcBorders>
          </w:tcPr>
          <w:p w14:paraId="3222826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0.714</w:t>
            </w:r>
          </w:p>
        </w:tc>
        <w:tc>
          <w:tcPr>
            <w:tcW w:w="226" w:type="dxa"/>
            <w:tcBorders>
              <w:left w:val="nil"/>
              <w:bottom w:val="single" w:sz="4" w:space="0" w:color="auto"/>
              <w:right w:val="nil"/>
            </w:tcBorders>
          </w:tcPr>
          <w:p w14:paraId="70F2941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bottom w:val="single" w:sz="4" w:space="0" w:color="auto"/>
              <w:right w:val="nil"/>
            </w:tcBorders>
          </w:tcPr>
          <w:p w14:paraId="252755C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0.600</w:t>
            </w:r>
          </w:p>
        </w:tc>
      </w:tr>
    </w:tbl>
    <w:p w14:paraId="2F631634" w14:textId="23A02F2D" w:rsidR="00EC2AF7" w:rsidRPr="004E7E5A" w:rsidRDefault="00EC2AF7" w:rsidP="00EC2AF7">
      <w:pPr>
        <w:pStyle w:val="a7"/>
        <w:spacing w:line="240" w:lineRule="auto"/>
        <w:ind w:leftChars="50" w:left="105" w:rightChars="50" w:right="105" w:firstLineChars="0" w:firstLine="0"/>
        <w:rPr>
          <w:rStyle w:val="fontstyle01"/>
          <w:rFonts w:ascii="Times New Roman" w:hAnsi="Times New Roman" w:cs="Times New Roman" w:hint="default"/>
          <w:color w:val="000000" w:themeColor="text1"/>
          <w:sz w:val="24"/>
          <w:szCs w:val="24"/>
        </w:rPr>
      </w:pPr>
      <w:r w:rsidRPr="004E7E5A">
        <w:rPr>
          <w:rStyle w:val="fontstyle01"/>
          <w:rFonts w:ascii="Times New Roman" w:hAnsi="Times New Roman" w:cs="Times New Roman" w:hint="default"/>
          <w:color w:val="000000" w:themeColor="text1"/>
          <w:sz w:val="24"/>
          <w:szCs w:val="24"/>
        </w:rPr>
        <w:t xml:space="preserve">This table presents the results of two-step </w:t>
      </w:r>
      <w:r w:rsidRPr="004E7E5A">
        <w:t>Difference GMM</w:t>
      </w:r>
      <w:r w:rsidRPr="004E7E5A">
        <w:rPr>
          <w:rStyle w:val="fontstyle01"/>
          <w:rFonts w:ascii="Times New Roman" w:hAnsi="Times New Roman" w:cs="Times New Roman" w:hint="default"/>
          <w:color w:val="000000" w:themeColor="text1"/>
          <w:sz w:val="24"/>
          <w:szCs w:val="24"/>
        </w:rPr>
        <w:t xml:space="preserve"> estimation</w:t>
      </w:r>
      <w:r w:rsidR="0003282A"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Times New Roman" w:hAnsi="Times New Roman" w:cs="Times New Roman" w:hint="default"/>
          <w:color w:val="000000" w:themeColor="text1"/>
          <w:sz w:val="24"/>
          <w:szCs w:val="24"/>
        </w:rPr>
        <w:t xml:space="preserve">to test the robustness of the results of testing hypothesis 1. We used </w:t>
      </w:r>
      <w:r w:rsidR="00296BBF" w:rsidRPr="004E7E5A">
        <w:t>Difference</w:t>
      </w:r>
      <w:r w:rsidRPr="004E7E5A">
        <w:t xml:space="preserve"> GMM</w:t>
      </w:r>
      <w:r w:rsidRPr="004E7E5A">
        <w:rPr>
          <w:rStyle w:val="fontstyle01"/>
          <w:rFonts w:ascii="Times New Roman" w:hAnsi="Times New Roman" w:cs="Times New Roman" w:hint="default"/>
          <w:color w:val="000000" w:themeColor="text1"/>
          <w:sz w:val="24"/>
          <w:szCs w:val="24"/>
        </w:rPr>
        <w:t xml:space="preserve"> approach to eliminate endogeneity problems of unobserved heterogeneity</w:t>
      </w:r>
      <w:r w:rsidR="00296BBF" w:rsidRPr="004E7E5A">
        <w:rPr>
          <w:rStyle w:val="fontstyle01"/>
          <w:rFonts w:ascii="Times New Roman" w:hAnsi="Times New Roman" w:cs="Times New Roman" w:hint="default"/>
          <w:color w:val="000000" w:themeColor="text1"/>
          <w:sz w:val="24"/>
          <w:szCs w:val="24"/>
        </w:rPr>
        <w:t xml:space="preserve"> </w:t>
      </w:r>
      <w:r w:rsidR="009865A1" w:rsidRPr="004E7E5A">
        <w:rPr>
          <w:rStyle w:val="fontstyle01"/>
          <w:rFonts w:ascii="Times New Roman" w:hAnsi="Times New Roman" w:cs="Times New Roman" w:hint="default"/>
          <w:color w:val="000000" w:themeColor="text1"/>
          <w:sz w:val="24"/>
          <w:szCs w:val="24"/>
        </w:rPr>
        <w:fldChar w:fldCharType="begin"/>
      </w:r>
      <w:r w:rsidR="006F6C86" w:rsidRPr="004E7E5A">
        <w:rPr>
          <w:rStyle w:val="fontstyle01"/>
          <w:rFonts w:ascii="Times New Roman" w:hAnsi="Times New Roman" w:cs="Times New Roman" w:hint="default"/>
          <w:color w:val="000000" w:themeColor="text1"/>
          <w:sz w:val="24"/>
          <w:szCs w:val="24"/>
        </w:rPr>
        <w:instrText xml:space="preserve"> ADDIN EN.CITE &lt;EndNote&gt;&lt;Cite&gt;&lt;Author&gt;Windmeijer&lt;/Author&gt;&lt;Year&gt;2005&lt;/Year&gt;&lt;RecNum&gt;2112&lt;/RecNum&gt;&lt;DisplayText&gt;(Windmeijer 2005)&lt;/DisplayText&gt;&lt;record&gt;&lt;rec-number&gt;2112&lt;/rec-number&gt;&lt;foreign-keys&gt;&lt;key app="EN" db-id="trr00pfsbzzex0ezwf6v5swd9fpfpwfa90xp" timestamp="1630975784" guid="d78903af-ed73-4a6b-9f30-ef1a70143cc5"&gt;2112&lt;/key&gt;&lt;/foreign-keys&gt;&lt;ref-type name="Journal Article"&gt;17&lt;/ref-type&gt;&lt;contributors&gt;&lt;authors&gt;&lt;author&gt;Windmeijer, F.&lt;/author&gt;&lt;/authors&gt;&lt;/contributors&gt;&lt;titles&gt;&lt;title&gt;A finite sample correction for the variance of linear efficient two-step GMM estimators&lt;/title&gt;&lt;secondary-title&gt;Journal of Econometrics&lt;/secondary-title&gt;&lt;/titles&gt;&lt;periodical&gt;&lt;full-title&gt;Journal of Econometrics&lt;/full-title&gt;&lt;/periodical&gt;&lt;pages&gt;25-51&lt;/pages&gt;&lt;volume&gt;126&lt;/volume&gt;&lt;number&gt;1&lt;/number&gt;&lt;dates&gt;&lt;year&gt;2005&lt;/year&gt;&lt;/dates&gt;&lt;urls&gt;&lt;/urls&gt;&lt;/record&gt;&lt;/Cite&gt;&lt;/EndNote&gt;</w:instrText>
      </w:r>
      <w:r w:rsidR="009865A1" w:rsidRPr="004E7E5A">
        <w:rPr>
          <w:rStyle w:val="fontstyle01"/>
          <w:rFonts w:ascii="Times New Roman" w:hAnsi="Times New Roman" w:cs="Times New Roman" w:hint="default"/>
          <w:color w:val="000000" w:themeColor="text1"/>
          <w:sz w:val="24"/>
          <w:szCs w:val="24"/>
        </w:rPr>
        <w:fldChar w:fldCharType="separate"/>
      </w:r>
      <w:r w:rsidR="00806B5E" w:rsidRPr="004E7E5A">
        <w:rPr>
          <w:rStyle w:val="fontstyle01"/>
          <w:rFonts w:ascii="Times New Roman" w:hAnsi="Times New Roman" w:cs="Times New Roman" w:hint="default"/>
          <w:noProof/>
          <w:color w:val="000000" w:themeColor="text1"/>
          <w:sz w:val="24"/>
          <w:szCs w:val="24"/>
        </w:rPr>
        <w:t>(Windmeijer 2005)</w:t>
      </w:r>
      <w:r w:rsidR="009865A1" w:rsidRPr="004E7E5A">
        <w:rPr>
          <w:rStyle w:val="fontstyle01"/>
          <w:rFonts w:ascii="Times New Roman" w:hAnsi="Times New Roman" w:cs="Times New Roman" w:hint="default"/>
          <w:color w:val="000000" w:themeColor="text1"/>
          <w:sz w:val="24"/>
          <w:szCs w:val="24"/>
        </w:rPr>
        <w:fldChar w:fldCharType="end"/>
      </w:r>
      <w:r w:rsidR="00296BBF" w:rsidRPr="004E7E5A">
        <w:rPr>
          <w:rStyle w:val="fontstyle01"/>
          <w:rFonts w:ascii="Times New Roman" w:hAnsi="Times New Roman" w:cs="Times New Roman"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00681E52" w:rsidRPr="004E7E5A">
        <w:rPr>
          <w:rStyle w:val="fontstyle01"/>
          <w:rFonts w:ascii="Times New Roman" w:hAnsi="Times New Roman" w:cs="Times New Roman" w:hint="default"/>
          <w:color w:val="000000" w:themeColor="text1"/>
          <w:sz w:val="24"/>
          <w:szCs w:val="24"/>
        </w:rPr>
        <w:t>W</w:t>
      </w:r>
      <w:r w:rsidR="00681E52" w:rsidRPr="004E7E5A">
        <w:t xml:space="preserve">e estimate (7) via Difference GMM using lagged values of the </w:t>
      </w:r>
      <w:r w:rsidR="00681E52" w:rsidRPr="004E7E5A">
        <w:rPr>
          <w:rFonts w:eastAsia="Times New Roman" w:cs="Times New Roman"/>
          <w:szCs w:val="24"/>
        </w:rPr>
        <w:t>endogenous</w:t>
      </w:r>
      <w:r w:rsidR="00681E52" w:rsidRPr="004E7E5A">
        <w:t xml:space="preserve"> dependent or explanatory variables as instruments for the current dependent or explanatory variables. That is, we use historical values of CSR disclosure quality (</w:t>
      </w:r>
      <w:proofErr w:type="spellStart"/>
      <w:r w:rsidR="00681E52" w:rsidRPr="004E7E5A">
        <w:rPr>
          <w:i/>
          <w:iCs/>
        </w:rPr>
        <w:t>Csr</w:t>
      </w:r>
      <w:proofErr w:type="spellEnd"/>
      <w:r w:rsidR="00681E52" w:rsidRPr="004E7E5A">
        <w:t>) and director’s centrality indicator (</w:t>
      </w:r>
      <w:r w:rsidR="00681E52" w:rsidRPr="004E7E5A">
        <w:rPr>
          <w:i/>
          <w:iCs/>
        </w:rPr>
        <w:t>Score</w:t>
      </w:r>
      <w:r w:rsidR="00681E52" w:rsidRPr="004E7E5A">
        <w:t xml:space="preserve">) as instruments for current changes in these variables. </w:t>
      </w:r>
      <w:r w:rsidRPr="004E7E5A">
        <w:rPr>
          <w:rStyle w:val="fontstyle01"/>
          <w:rFonts w:ascii="Times New Roman" w:hAnsi="Times New Roman" w:cs="Times New Roman" w:hint="default"/>
          <w:color w:val="000000" w:themeColor="text1"/>
          <w:sz w:val="24"/>
          <w:szCs w:val="24"/>
        </w:rPr>
        <w:t xml:space="preserve">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w:t>
      </w:r>
      <w:proofErr w:type="gramStart"/>
      <w:r w:rsidRPr="004E7E5A">
        <w:rPr>
          <w:rStyle w:val="fontstyle01"/>
          <w:rFonts w:ascii="Times New Roman" w:hAnsi="Times New Roman" w:cs="Times New Roman" w:hint="default"/>
          <w:color w:val="000000" w:themeColor="text1"/>
          <w:sz w:val="24"/>
          <w:szCs w:val="24"/>
        </w:rPr>
        <w:t>AR(</w:t>
      </w:r>
      <w:proofErr w:type="gramEnd"/>
      <w:r w:rsidRPr="004E7E5A">
        <w:rPr>
          <w:rStyle w:val="fontstyle01"/>
          <w:rFonts w:ascii="Times New Roman" w:hAnsi="Times New Roman" w:cs="Times New Roman" w:hint="default"/>
          <w:color w:val="000000" w:themeColor="text1"/>
          <w:sz w:val="24"/>
          <w:szCs w:val="24"/>
        </w:rPr>
        <w:t xml:space="preserve">1) and AR(2) are tests for first-order and second-order serial correlation in the first-differenced residuals under the null of no-serial correlation. The Hansen test of overidentification is under the null that all instruments are valid.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the variables are provided in Appendix A.</w:t>
      </w:r>
    </w:p>
    <w:p w14:paraId="57992AFF" w14:textId="30881CDB"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70C7D1A0" w14:textId="4EE16DC1" w:rsidR="00986F42" w:rsidRPr="004E7E5A" w:rsidRDefault="00986F42" w:rsidP="00A53CFE">
      <w:pPr>
        <w:autoSpaceDE w:val="0"/>
        <w:autoSpaceDN w:val="0"/>
        <w:adjustRightInd w:val="0"/>
        <w:jc w:val="center"/>
        <w:rPr>
          <w:rFonts w:ascii="Times New Roman" w:eastAsia="宋体" w:hAnsi="Times New Roman"/>
          <w:b/>
          <w:bCs/>
          <w:color w:val="000000" w:themeColor="text1"/>
          <w:sz w:val="24"/>
          <w:szCs w:val="24"/>
        </w:rPr>
      </w:pPr>
    </w:p>
    <w:p w14:paraId="393C554A" w14:textId="5AA0B8FF" w:rsidR="005B3D85" w:rsidRPr="004E7E5A" w:rsidRDefault="005B3D85" w:rsidP="00A53CFE">
      <w:pPr>
        <w:autoSpaceDE w:val="0"/>
        <w:autoSpaceDN w:val="0"/>
        <w:adjustRightInd w:val="0"/>
        <w:jc w:val="center"/>
        <w:rPr>
          <w:rFonts w:ascii="Times New Roman" w:eastAsia="宋体" w:hAnsi="Times New Roman"/>
          <w:b/>
          <w:bCs/>
          <w:color w:val="000000" w:themeColor="text1"/>
          <w:sz w:val="24"/>
          <w:szCs w:val="24"/>
        </w:rPr>
      </w:pPr>
    </w:p>
    <w:p w14:paraId="62E5E28E" w14:textId="77777777" w:rsidR="005B3D85" w:rsidRPr="004E7E5A" w:rsidRDefault="005B3D85" w:rsidP="00A53CFE">
      <w:pPr>
        <w:autoSpaceDE w:val="0"/>
        <w:autoSpaceDN w:val="0"/>
        <w:adjustRightInd w:val="0"/>
        <w:jc w:val="center"/>
        <w:rPr>
          <w:rFonts w:ascii="Times New Roman" w:eastAsia="宋体" w:hAnsi="Times New Roman"/>
          <w:b/>
          <w:bCs/>
          <w:color w:val="000000" w:themeColor="text1"/>
          <w:sz w:val="24"/>
          <w:szCs w:val="24"/>
        </w:rPr>
      </w:pPr>
    </w:p>
    <w:p w14:paraId="74AF2073" w14:textId="7D7CE0D9" w:rsidR="00986F42" w:rsidRPr="004E7E5A" w:rsidRDefault="00986F42" w:rsidP="00A53CFE">
      <w:pPr>
        <w:autoSpaceDE w:val="0"/>
        <w:autoSpaceDN w:val="0"/>
        <w:adjustRightInd w:val="0"/>
        <w:jc w:val="center"/>
        <w:rPr>
          <w:rFonts w:ascii="Times New Roman" w:eastAsia="宋体" w:hAnsi="Times New Roman"/>
          <w:b/>
          <w:bCs/>
          <w:color w:val="000000" w:themeColor="text1"/>
          <w:sz w:val="24"/>
          <w:szCs w:val="24"/>
        </w:rPr>
      </w:pPr>
    </w:p>
    <w:p w14:paraId="3ACAD573" w14:textId="77777777" w:rsidR="00986F42" w:rsidRPr="004E7E5A" w:rsidRDefault="00986F42" w:rsidP="00A53CFE">
      <w:pPr>
        <w:autoSpaceDE w:val="0"/>
        <w:autoSpaceDN w:val="0"/>
        <w:adjustRightInd w:val="0"/>
        <w:jc w:val="center"/>
        <w:rPr>
          <w:rFonts w:ascii="Times New Roman" w:eastAsia="宋体" w:hAnsi="Times New Roman"/>
          <w:b/>
          <w:bCs/>
          <w:color w:val="000000" w:themeColor="text1"/>
          <w:sz w:val="24"/>
          <w:szCs w:val="24"/>
        </w:rPr>
      </w:pPr>
    </w:p>
    <w:p w14:paraId="5C6C495B" w14:textId="77777777" w:rsidR="00A53CFE" w:rsidRPr="004E7E5A" w:rsidRDefault="00A53CFE" w:rsidP="00A53CFE">
      <w:pPr>
        <w:autoSpaceDE w:val="0"/>
        <w:autoSpaceDN w:val="0"/>
        <w:adjustRightInd w:val="0"/>
        <w:jc w:val="center"/>
        <w:rPr>
          <w:rFonts w:ascii="Times New Roman" w:eastAsia="宋体" w:hAnsi="Times New Roman"/>
          <w:b/>
          <w:bCs/>
          <w:color w:val="000000" w:themeColor="text1"/>
          <w:sz w:val="24"/>
          <w:szCs w:val="24"/>
        </w:rPr>
      </w:pPr>
    </w:p>
    <w:p w14:paraId="15575D76" w14:textId="30F76810" w:rsidR="00863E88" w:rsidRPr="004E7E5A" w:rsidRDefault="00863E88" w:rsidP="00863E88">
      <w:pPr>
        <w:pStyle w:val="4"/>
        <w:spacing w:before="0" w:after="0" w:line="240" w:lineRule="auto"/>
        <w:jc w:val="center"/>
        <w:rPr>
          <w:color w:val="000000" w:themeColor="text1"/>
        </w:rPr>
      </w:pPr>
      <w:r w:rsidRPr="004E7E5A">
        <w:rPr>
          <w:color w:val="000000" w:themeColor="text1"/>
        </w:rPr>
        <w:lastRenderedPageBreak/>
        <w:t>Table 1</w:t>
      </w:r>
      <w:r w:rsidR="0071114F" w:rsidRPr="004E7E5A">
        <w:rPr>
          <w:color w:val="000000" w:themeColor="text1"/>
        </w:rPr>
        <w:t>5</w:t>
      </w:r>
    </w:p>
    <w:p w14:paraId="6E58A1DC" w14:textId="4C1E68E6" w:rsidR="00EC2AF7" w:rsidRPr="004E7E5A" w:rsidRDefault="00EC2AF7" w:rsidP="00EC2AF7">
      <w:pPr>
        <w:autoSpaceDE w:val="0"/>
        <w:autoSpaceDN w:val="0"/>
        <w:adjustRightInd w:val="0"/>
        <w:spacing w:afterLines="50" w:after="156"/>
        <w:jc w:val="center"/>
        <w:rPr>
          <w:rFonts w:ascii="Times New Roman" w:eastAsia="宋体" w:hAnsi="Times New Roman"/>
          <w:b/>
          <w:bCs/>
          <w:color w:val="000000" w:themeColor="text1"/>
          <w:sz w:val="24"/>
          <w:szCs w:val="24"/>
        </w:rPr>
      </w:pPr>
      <w:r w:rsidRPr="004E7E5A">
        <w:rPr>
          <w:rFonts w:ascii="Times New Roman" w:eastAsia="宋体" w:hAnsi="Times New Roman"/>
          <w:b/>
          <w:bCs/>
          <w:color w:val="000000" w:themeColor="text1"/>
          <w:sz w:val="24"/>
          <w:szCs w:val="24"/>
        </w:rPr>
        <w:t xml:space="preserve">Regression of Directors’ Network on CSR Disclosure Quality: System GMM </w:t>
      </w:r>
    </w:p>
    <w:tbl>
      <w:tblPr>
        <w:tblW w:w="5000" w:type="pct"/>
        <w:tblLook w:val="0000" w:firstRow="0" w:lastRow="0" w:firstColumn="0" w:lastColumn="0" w:noHBand="0" w:noVBand="0"/>
      </w:tblPr>
      <w:tblGrid>
        <w:gridCol w:w="3007"/>
        <w:gridCol w:w="232"/>
        <w:gridCol w:w="1265"/>
        <w:gridCol w:w="232"/>
        <w:gridCol w:w="1289"/>
        <w:gridCol w:w="229"/>
        <w:gridCol w:w="1289"/>
        <w:gridCol w:w="226"/>
        <w:gridCol w:w="1301"/>
      </w:tblGrid>
      <w:tr w:rsidR="001E3466" w:rsidRPr="004E7E5A" w14:paraId="0DDD3BAA" w14:textId="77777777" w:rsidTr="001F0B43">
        <w:tc>
          <w:tcPr>
            <w:tcW w:w="3007" w:type="dxa"/>
            <w:tcBorders>
              <w:top w:val="single" w:sz="4" w:space="0" w:color="auto"/>
              <w:left w:val="nil"/>
              <w:bottom w:val="single" w:sz="4" w:space="0" w:color="auto"/>
              <w:right w:val="nil"/>
            </w:tcBorders>
          </w:tcPr>
          <w:p w14:paraId="594674C0" w14:textId="77777777" w:rsidR="00EC2AF7" w:rsidRPr="004E7E5A" w:rsidRDefault="00EC2AF7" w:rsidP="001F0B43">
            <w:pPr>
              <w:autoSpaceDE w:val="0"/>
              <w:autoSpaceDN w:val="0"/>
              <w:adjustRightInd w:val="0"/>
              <w:jc w:val="left"/>
              <w:rPr>
                <w:rFonts w:ascii="Times New Roman" w:hAnsi="Times New Roman"/>
                <w:b/>
                <w:bCs/>
                <w:color w:val="000000" w:themeColor="text1"/>
                <w:kern w:val="0"/>
                <w:sz w:val="24"/>
                <w:szCs w:val="24"/>
              </w:rPr>
            </w:pPr>
            <w:r w:rsidRPr="004E7E5A">
              <w:rPr>
                <w:rFonts w:ascii="Times New Roman" w:eastAsia="Times New Roman" w:hAnsi="Times New Roman"/>
                <w:b/>
                <w:bCs/>
                <w:color w:val="000000" w:themeColor="text1"/>
                <w:sz w:val="24"/>
                <w:szCs w:val="24"/>
                <w:lang w:eastAsia="en-GB"/>
              </w:rPr>
              <w:t>Dep. Var.=</w:t>
            </w:r>
            <w:proofErr w:type="spellStart"/>
            <w:r w:rsidRPr="004E7E5A">
              <w:rPr>
                <w:rFonts w:ascii="Times New Roman" w:eastAsia="Times New Roman" w:hAnsi="Times New Roman"/>
                <w:b/>
                <w:bCs/>
                <w:color w:val="000000" w:themeColor="text1"/>
                <w:sz w:val="24"/>
                <w:szCs w:val="24"/>
                <w:lang w:eastAsia="en-GB"/>
              </w:rPr>
              <w:t>Csr</w:t>
            </w:r>
            <w:proofErr w:type="spellEnd"/>
          </w:p>
        </w:tc>
        <w:tc>
          <w:tcPr>
            <w:tcW w:w="232" w:type="dxa"/>
            <w:tcBorders>
              <w:top w:val="single" w:sz="4" w:space="0" w:color="auto"/>
              <w:left w:val="nil"/>
              <w:right w:val="nil"/>
            </w:tcBorders>
          </w:tcPr>
          <w:p w14:paraId="7EF9BF17"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265" w:type="dxa"/>
            <w:tcBorders>
              <w:top w:val="single" w:sz="4" w:space="0" w:color="auto"/>
              <w:left w:val="nil"/>
              <w:bottom w:val="single" w:sz="4" w:space="0" w:color="auto"/>
              <w:right w:val="nil"/>
            </w:tcBorders>
          </w:tcPr>
          <w:p w14:paraId="4E24D149"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(1)</w:t>
            </w:r>
          </w:p>
        </w:tc>
        <w:tc>
          <w:tcPr>
            <w:tcW w:w="232" w:type="dxa"/>
            <w:tcBorders>
              <w:top w:val="single" w:sz="4" w:space="0" w:color="auto"/>
              <w:left w:val="nil"/>
              <w:right w:val="nil"/>
            </w:tcBorders>
          </w:tcPr>
          <w:p w14:paraId="757DC824"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289" w:type="dxa"/>
            <w:tcBorders>
              <w:top w:val="single" w:sz="4" w:space="0" w:color="auto"/>
              <w:left w:val="nil"/>
              <w:bottom w:val="single" w:sz="4" w:space="0" w:color="auto"/>
              <w:right w:val="nil"/>
            </w:tcBorders>
          </w:tcPr>
          <w:p w14:paraId="7573F91F"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(2)</w:t>
            </w:r>
          </w:p>
        </w:tc>
        <w:tc>
          <w:tcPr>
            <w:tcW w:w="229" w:type="dxa"/>
            <w:tcBorders>
              <w:top w:val="single" w:sz="4" w:space="0" w:color="auto"/>
              <w:left w:val="nil"/>
              <w:right w:val="nil"/>
            </w:tcBorders>
          </w:tcPr>
          <w:p w14:paraId="7D2917C3"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289" w:type="dxa"/>
            <w:tcBorders>
              <w:top w:val="single" w:sz="4" w:space="0" w:color="auto"/>
              <w:left w:val="nil"/>
              <w:bottom w:val="single" w:sz="4" w:space="0" w:color="auto"/>
              <w:right w:val="nil"/>
            </w:tcBorders>
          </w:tcPr>
          <w:p w14:paraId="2C819DA2"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(3)</w:t>
            </w:r>
          </w:p>
        </w:tc>
        <w:tc>
          <w:tcPr>
            <w:tcW w:w="226" w:type="dxa"/>
            <w:tcBorders>
              <w:top w:val="single" w:sz="4" w:space="0" w:color="auto"/>
              <w:left w:val="nil"/>
              <w:right w:val="nil"/>
            </w:tcBorders>
          </w:tcPr>
          <w:p w14:paraId="03892B31"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p>
        </w:tc>
        <w:tc>
          <w:tcPr>
            <w:tcW w:w="1301" w:type="dxa"/>
            <w:tcBorders>
              <w:top w:val="single" w:sz="4" w:space="0" w:color="auto"/>
              <w:left w:val="nil"/>
              <w:bottom w:val="single" w:sz="4" w:space="0" w:color="auto"/>
              <w:right w:val="nil"/>
            </w:tcBorders>
          </w:tcPr>
          <w:p w14:paraId="404ABA63" w14:textId="77777777" w:rsidR="00EC2AF7" w:rsidRPr="004E7E5A" w:rsidRDefault="00EC2AF7" w:rsidP="001F0B43">
            <w:pPr>
              <w:autoSpaceDE w:val="0"/>
              <w:autoSpaceDN w:val="0"/>
              <w:adjustRightInd w:val="0"/>
              <w:jc w:val="center"/>
              <w:rPr>
                <w:rFonts w:ascii="Times New Roman" w:hAnsi="Times New Roman"/>
                <w:b/>
                <w:bCs/>
                <w:color w:val="000000" w:themeColor="text1"/>
                <w:kern w:val="0"/>
                <w:sz w:val="24"/>
                <w:szCs w:val="24"/>
              </w:rPr>
            </w:pPr>
            <w:r w:rsidRPr="004E7E5A">
              <w:rPr>
                <w:rFonts w:ascii="Times New Roman" w:hAnsi="Times New Roman"/>
                <w:b/>
                <w:bCs/>
                <w:color w:val="000000" w:themeColor="text1"/>
                <w:kern w:val="0"/>
                <w:sz w:val="24"/>
                <w:szCs w:val="24"/>
              </w:rPr>
              <w:t>(4)</w:t>
            </w:r>
          </w:p>
        </w:tc>
      </w:tr>
      <w:tr w:rsidR="001E3466" w:rsidRPr="004E7E5A" w14:paraId="22C6FCC0" w14:textId="77777777" w:rsidTr="001F0B43">
        <w:tc>
          <w:tcPr>
            <w:tcW w:w="3007" w:type="dxa"/>
            <w:tcBorders>
              <w:top w:val="single" w:sz="4" w:space="0" w:color="auto"/>
              <w:left w:val="nil"/>
              <w:right w:val="nil"/>
            </w:tcBorders>
          </w:tcPr>
          <w:p w14:paraId="7B46981C" w14:textId="77777777" w:rsidR="00EC2AF7" w:rsidRPr="004E7E5A" w:rsidRDefault="00EC2AF7" w:rsidP="001F0B43">
            <w:pPr>
              <w:autoSpaceDE w:val="0"/>
              <w:autoSpaceDN w:val="0"/>
              <w:adjustRightInd w:val="0"/>
              <w:jc w:val="left"/>
              <w:rPr>
                <w:rFonts w:ascii="Times New Roman" w:hAnsi="Times New Roman" w:cs="Times New Roman"/>
                <w:i/>
                <w:iCs/>
                <w:color w:val="000000" w:themeColor="text1"/>
                <w:kern w:val="0"/>
                <w:sz w:val="24"/>
                <w:szCs w:val="24"/>
                <w:vertAlign w:val="subscript"/>
              </w:rPr>
            </w:pPr>
            <w:r w:rsidRPr="004E7E5A">
              <w:rPr>
                <w:rFonts w:ascii="Times New Roman" w:hAnsi="Times New Roman" w:cs="Times New Roman"/>
                <w:i/>
                <w:iCs/>
                <w:color w:val="000000" w:themeColor="text1"/>
                <w:kern w:val="0"/>
                <w:sz w:val="24"/>
                <w:szCs w:val="24"/>
              </w:rPr>
              <w:t>Csr</w:t>
            </w:r>
            <w:r w:rsidRPr="004E7E5A">
              <w:rPr>
                <w:rFonts w:ascii="Times New Roman" w:hAnsi="Times New Roman" w:cs="Times New Roman"/>
                <w:i/>
                <w:iCs/>
                <w:color w:val="000000" w:themeColor="text1"/>
                <w:kern w:val="0"/>
                <w:sz w:val="24"/>
                <w:szCs w:val="24"/>
                <w:vertAlign w:val="subscript"/>
              </w:rPr>
              <w:t>t-1</w:t>
            </w:r>
          </w:p>
        </w:tc>
        <w:tc>
          <w:tcPr>
            <w:tcW w:w="232" w:type="dxa"/>
            <w:tcBorders>
              <w:left w:val="nil"/>
              <w:right w:val="nil"/>
            </w:tcBorders>
          </w:tcPr>
          <w:p w14:paraId="5E46629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single" w:sz="4" w:space="0" w:color="auto"/>
              <w:left w:val="nil"/>
              <w:right w:val="nil"/>
            </w:tcBorders>
          </w:tcPr>
          <w:p w14:paraId="4D40C41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0.825***</w:t>
            </w:r>
          </w:p>
        </w:tc>
        <w:tc>
          <w:tcPr>
            <w:tcW w:w="232" w:type="dxa"/>
            <w:tcBorders>
              <w:left w:val="nil"/>
              <w:right w:val="nil"/>
            </w:tcBorders>
          </w:tcPr>
          <w:p w14:paraId="48AECD7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single" w:sz="4" w:space="0" w:color="auto"/>
              <w:left w:val="nil"/>
              <w:right w:val="nil"/>
            </w:tcBorders>
          </w:tcPr>
          <w:p w14:paraId="750E244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0.827***</w:t>
            </w:r>
          </w:p>
        </w:tc>
        <w:tc>
          <w:tcPr>
            <w:tcW w:w="229" w:type="dxa"/>
            <w:tcBorders>
              <w:left w:val="nil"/>
              <w:right w:val="nil"/>
            </w:tcBorders>
          </w:tcPr>
          <w:p w14:paraId="3A9298E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single" w:sz="4" w:space="0" w:color="auto"/>
              <w:left w:val="nil"/>
              <w:right w:val="nil"/>
            </w:tcBorders>
          </w:tcPr>
          <w:p w14:paraId="250098F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0.820***</w:t>
            </w:r>
          </w:p>
        </w:tc>
        <w:tc>
          <w:tcPr>
            <w:tcW w:w="226" w:type="dxa"/>
            <w:tcBorders>
              <w:left w:val="nil"/>
              <w:right w:val="nil"/>
            </w:tcBorders>
          </w:tcPr>
          <w:p w14:paraId="22F99E7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single" w:sz="4" w:space="0" w:color="auto"/>
              <w:left w:val="nil"/>
              <w:right w:val="nil"/>
            </w:tcBorders>
          </w:tcPr>
          <w:p w14:paraId="5D41076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0.825***</w:t>
            </w:r>
          </w:p>
        </w:tc>
      </w:tr>
      <w:tr w:rsidR="001E3466" w:rsidRPr="004E7E5A" w14:paraId="10B9659E" w14:textId="77777777" w:rsidTr="001F0B43">
        <w:tc>
          <w:tcPr>
            <w:tcW w:w="3007" w:type="dxa"/>
            <w:tcBorders>
              <w:left w:val="nil"/>
              <w:right w:val="nil"/>
            </w:tcBorders>
          </w:tcPr>
          <w:p w14:paraId="46DB19E8"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left w:val="nil"/>
              <w:right w:val="nil"/>
            </w:tcBorders>
          </w:tcPr>
          <w:p w14:paraId="5E7DB00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16D7A33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(20.38)</w:t>
            </w:r>
          </w:p>
        </w:tc>
        <w:tc>
          <w:tcPr>
            <w:tcW w:w="232" w:type="dxa"/>
            <w:tcBorders>
              <w:left w:val="nil"/>
              <w:right w:val="nil"/>
            </w:tcBorders>
          </w:tcPr>
          <w:p w14:paraId="699E1DB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71E61AE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(20.41)</w:t>
            </w:r>
          </w:p>
        </w:tc>
        <w:tc>
          <w:tcPr>
            <w:tcW w:w="229" w:type="dxa"/>
            <w:tcBorders>
              <w:left w:val="nil"/>
              <w:right w:val="nil"/>
            </w:tcBorders>
          </w:tcPr>
          <w:p w14:paraId="23A285E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2CF6D5B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(20.43)</w:t>
            </w:r>
          </w:p>
        </w:tc>
        <w:tc>
          <w:tcPr>
            <w:tcW w:w="226" w:type="dxa"/>
            <w:tcBorders>
              <w:left w:val="nil"/>
              <w:right w:val="nil"/>
            </w:tcBorders>
          </w:tcPr>
          <w:p w14:paraId="1470AFA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421091E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(20.45)</w:t>
            </w:r>
          </w:p>
        </w:tc>
      </w:tr>
      <w:tr w:rsidR="001E3466" w:rsidRPr="004E7E5A" w14:paraId="4A6495BE" w14:textId="77777777" w:rsidTr="001F0B43">
        <w:tc>
          <w:tcPr>
            <w:tcW w:w="3007" w:type="dxa"/>
            <w:tcBorders>
              <w:left w:val="nil"/>
              <w:bottom w:val="nil"/>
              <w:right w:val="nil"/>
            </w:tcBorders>
          </w:tcPr>
          <w:p w14:paraId="337C220F"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Score_max</w:t>
            </w:r>
            <w:proofErr w:type="spellEnd"/>
          </w:p>
        </w:tc>
        <w:tc>
          <w:tcPr>
            <w:tcW w:w="232" w:type="dxa"/>
            <w:tcBorders>
              <w:left w:val="nil"/>
              <w:bottom w:val="nil"/>
              <w:right w:val="nil"/>
            </w:tcBorders>
          </w:tcPr>
          <w:p w14:paraId="3C33741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bottom w:val="nil"/>
              <w:right w:val="nil"/>
            </w:tcBorders>
          </w:tcPr>
          <w:p w14:paraId="1CFA4E2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0.205**</w:t>
            </w:r>
          </w:p>
        </w:tc>
        <w:tc>
          <w:tcPr>
            <w:tcW w:w="232" w:type="dxa"/>
            <w:tcBorders>
              <w:left w:val="nil"/>
              <w:bottom w:val="nil"/>
              <w:right w:val="nil"/>
            </w:tcBorders>
          </w:tcPr>
          <w:p w14:paraId="499440C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nil"/>
              <w:right w:val="nil"/>
            </w:tcBorders>
          </w:tcPr>
          <w:p w14:paraId="5785BE4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left w:val="nil"/>
              <w:bottom w:val="nil"/>
              <w:right w:val="nil"/>
            </w:tcBorders>
          </w:tcPr>
          <w:p w14:paraId="40E1752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nil"/>
              <w:right w:val="nil"/>
            </w:tcBorders>
          </w:tcPr>
          <w:p w14:paraId="2458E87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left w:val="nil"/>
              <w:bottom w:val="nil"/>
              <w:right w:val="nil"/>
            </w:tcBorders>
          </w:tcPr>
          <w:p w14:paraId="01DBAC2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bottom w:val="nil"/>
              <w:right w:val="nil"/>
            </w:tcBorders>
          </w:tcPr>
          <w:p w14:paraId="6368E6A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380F9263" w14:textId="77777777" w:rsidTr="001F0B43">
        <w:tc>
          <w:tcPr>
            <w:tcW w:w="3007" w:type="dxa"/>
            <w:tcBorders>
              <w:top w:val="nil"/>
              <w:left w:val="nil"/>
              <w:bottom w:val="nil"/>
              <w:right w:val="nil"/>
            </w:tcBorders>
          </w:tcPr>
          <w:p w14:paraId="0FD1700B"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70C41D8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2EAE95F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(1.96)</w:t>
            </w:r>
          </w:p>
        </w:tc>
        <w:tc>
          <w:tcPr>
            <w:tcW w:w="232" w:type="dxa"/>
            <w:tcBorders>
              <w:top w:val="nil"/>
              <w:left w:val="nil"/>
              <w:bottom w:val="nil"/>
              <w:right w:val="nil"/>
            </w:tcBorders>
          </w:tcPr>
          <w:p w14:paraId="7ABC2CB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200CA90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20BE044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34B8011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120EF0F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623F78F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35773157" w14:textId="77777777" w:rsidTr="001F0B43">
        <w:tc>
          <w:tcPr>
            <w:tcW w:w="3007" w:type="dxa"/>
            <w:tcBorders>
              <w:top w:val="nil"/>
              <w:left w:val="nil"/>
              <w:bottom w:val="nil"/>
              <w:right w:val="nil"/>
            </w:tcBorders>
          </w:tcPr>
          <w:p w14:paraId="486FBBD4"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Score_mean</w:t>
            </w:r>
            <w:proofErr w:type="spellEnd"/>
          </w:p>
        </w:tc>
        <w:tc>
          <w:tcPr>
            <w:tcW w:w="232" w:type="dxa"/>
            <w:tcBorders>
              <w:top w:val="nil"/>
              <w:left w:val="nil"/>
              <w:bottom w:val="nil"/>
              <w:right w:val="nil"/>
            </w:tcBorders>
          </w:tcPr>
          <w:p w14:paraId="0185820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79D9B0A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2F5B421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5B03A47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0.272**</w:t>
            </w:r>
          </w:p>
        </w:tc>
        <w:tc>
          <w:tcPr>
            <w:tcW w:w="229" w:type="dxa"/>
            <w:tcBorders>
              <w:top w:val="nil"/>
              <w:left w:val="nil"/>
              <w:bottom w:val="nil"/>
              <w:right w:val="nil"/>
            </w:tcBorders>
          </w:tcPr>
          <w:p w14:paraId="35C8DB2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758BEE9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144CC9A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60E111D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437650B4" w14:textId="77777777" w:rsidTr="001F0B43">
        <w:tc>
          <w:tcPr>
            <w:tcW w:w="3007" w:type="dxa"/>
            <w:tcBorders>
              <w:top w:val="nil"/>
              <w:left w:val="nil"/>
              <w:bottom w:val="nil"/>
              <w:right w:val="nil"/>
            </w:tcBorders>
          </w:tcPr>
          <w:p w14:paraId="38AC9938"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507EBF2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2979064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22F29EF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50C96D6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(2.25)</w:t>
            </w:r>
          </w:p>
        </w:tc>
        <w:tc>
          <w:tcPr>
            <w:tcW w:w="229" w:type="dxa"/>
            <w:tcBorders>
              <w:top w:val="nil"/>
              <w:left w:val="nil"/>
              <w:bottom w:val="nil"/>
              <w:right w:val="nil"/>
            </w:tcBorders>
          </w:tcPr>
          <w:p w14:paraId="5A76018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7C26337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60926E9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6CA9A6F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6C51ED4D" w14:textId="77777777" w:rsidTr="001F0B43">
        <w:tc>
          <w:tcPr>
            <w:tcW w:w="3007" w:type="dxa"/>
            <w:tcBorders>
              <w:top w:val="nil"/>
              <w:left w:val="nil"/>
              <w:bottom w:val="nil"/>
              <w:right w:val="nil"/>
            </w:tcBorders>
          </w:tcPr>
          <w:p w14:paraId="2D02EBA0"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Score_med</w:t>
            </w:r>
            <w:proofErr w:type="spellEnd"/>
          </w:p>
        </w:tc>
        <w:tc>
          <w:tcPr>
            <w:tcW w:w="232" w:type="dxa"/>
            <w:tcBorders>
              <w:top w:val="nil"/>
              <w:left w:val="nil"/>
              <w:bottom w:val="nil"/>
              <w:right w:val="nil"/>
            </w:tcBorders>
          </w:tcPr>
          <w:p w14:paraId="6416119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3DAED8F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77C5DA7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7C5AC83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41BEEC3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54791A4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0.650**</w:t>
            </w:r>
          </w:p>
        </w:tc>
        <w:tc>
          <w:tcPr>
            <w:tcW w:w="226" w:type="dxa"/>
            <w:tcBorders>
              <w:top w:val="nil"/>
              <w:left w:val="nil"/>
              <w:bottom w:val="nil"/>
              <w:right w:val="nil"/>
            </w:tcBorders>
          </w:tcPr>
          <w:p w14:paraId="44F0F76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6B4FB7F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301B6CD1" w14:textId="77777777" w:rsidTr="001F0B43">
        <w:tc>
          <w:tcPr>
            <w:tcW w:w="3007" w:type="dxa"/>
            <w:tcBorders>
              <w:top w:val="nil"/>
              <w:left w:val="nil"/>
              <w:bottom w:val="nil"/>
              <w:right w:val="nil"/>
            </w:tcBorders>
          </w:tcPr>
          <w:p w14:paraId="1E098A00"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6EFFF28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6C08C8D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280CB96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0B31057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72ABCC1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43C2A0F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(2.38)</w:t>
            </w:r>
          </w:p>
        </w:tc>
        <w:tc>
          <w:tcPr>
            <w:tcW w:w="226" w:type="dxa"/>
            <w:tcBorders>
              <w:top w:val="nil"/>
              <w:left w:val="nil"/>
              <w:bottom w:val="nil"/>
              <w:right w:val="nil"/>
            </w:tcBorders>
          </w:tcPr>
          <w:p w14:paraId="1CA53C1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09FFA9A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r>
      <w:tr w:rsidR="001E3466" w:rsidRPr="004E7E5A" w14:paraId="11BAF84E" w14:textId="77777777" w:rsidTr="001F0B43">
        <w:tc>
          <w:tcPr>
            <w:tcW w:w="3007" w:type="dxa"/>
            <w:tcBorders>
              <w:top w:val="nil"/>
              <w:left w:val="nil"/>
              <w:bottom w:val="nil"/>
              <w:right w:val="nil"/>
            </w:tcBorders>
          </w:tcPr>
          <w:p w14:paraId="272A53E9"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Score_min</w:t>
            </w:r>
            <w:proofErr w:type="spellEnd"/>
          </w:p>
        </w:tc>
        <w:tc>
          <w:tcPr>
            <w:tcW w:w="232" w:type="dxa"/>
            <w:tcBorders>
              <w:top w:val="nil"/>
              <w:left w:val="nil"/>
              <w:bottom w:val="nil"/>
              <w:right w:val="nil"/>
            </w:tcBorders>
          </w:tcPr>
          <w:p w14:paraId="1DE1DE2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7D141CB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079F5CB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07B3F10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1D31932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11E5EB5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3C827C1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74DE5DA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0.521**</w:t>
            </w:r>
          </w:p>
        </w:tc>
      </w:tr>
      <w:tr w:rsidR="001E3466" w:rsidRPr="004E7E5A" w14:paraId="7A0C8C94" w14:textId="77777777" w:rsidTr="001F0B43">
        <w:tc>
          <w:tcPr>
            <w:tcW w:w="3007" w:type="dxa"/>
            <w:tcBorders>
              <w:top w:val="nil"/>
              <w:left w:val="nil"/>
              <w:bottom w:val="nil"/>
              <w:right w:val="nil"/>
            </w:tcBorders>
          </w:tcPr>
          <w:p w14:paraId="4CD483E7"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
        </w:tc>
        <w:tc>
          <w:tcPr>
            <w:tcW w:w="232" w:type="dxa"/>
            <w:tcBorders>
              <w:top w:val="nil"/>
              <w:left w:val="nil"/>
              <w:bottom w:val="nil"/>
              <w:right w:val="nil"/>
            </w:tcBorders>
          </w:tcPr>
          <w:p w14:paraId="0FD51E4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bottom w:val="nil"/>
              <w:right w:val="nil"/>
            </w:tcBorders>
          </w:tcPr>
          <w:p w14:paraId="7DF6FF60"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32" w:type="dxa"/>
            <w:tcBorders>
              <w:top w:val="nil"/>
              <w:left w:val="nil"/>
              <w:bottom w:val="nil"/>
              <w:right w:val="nil"/>
            </w:tcBorders>
          </w:tcPr>
          <w:p w14:paraId="07AFFC9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0578EF5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9" w:type="dxa"/>
            <w:tcBorders>
              <w:top w:val="nil"/>
              <w:left w:val="nil"/>
              <w:bottom w:val="nil"/>
              <w:right w:val="nil"/>
            </w:tcBorders>
          </w:tcPr>
          <w:p w14:paraId="0B838E7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bottom w:val="nil"/>
              <w:right w:val="nil"/>
            </w:tcBorders>
          </w:tcPr>
          <w:p w14:paraId="50FD303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226" w:type="dxa"/>
            <w:tcBorders>
              <w:top w:val="nil"/>
              <w:left w:val="nil"/>
              <w:bottom w:val="nil"/>
              <w:right w:val="nil"/>
            </w:tcBorders>
          </w:tcPr>
          <w:p w14:paraId="1C30792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bottom w:val="nil"/>
              <w:right w:val="nil"/>
            </w:tcBorders>
          </w:tcPr>
          <w:p w14:paraId="0AA5146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(2.36)</w:t>
            </w:r>
          </w:p>
        </w:tc>
      </w:tr>
      <w:tr w:rsidR="001E3466" w:rsidRPr="004E7E5A" w14:paraId="4631AAC9" w14:textId="77777777" w:rsidTr="001F0B43">
        <w:tc>
          <w:tcPr>
            <w:tcW w:w="3007" w:type="dxa"/>
            <w:tcBorders>
              <w:top w:val="nil"/>
              <w:left w:val="nil"/>
              <w:right w:val="nil"/>
            </w:tcBorders>
          </w:tcPr>
          <w:p w14:paraId="4E7A0FD0"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eastAsia="宋体" w:hAnsi="Times New Roman"/>
                <w:i/>
                <w:iCs/>
                <w:color w:val="000000" w:themeColor="text1"/>
                <w:kern w:val="0"/>
                <w:sz w:val="24"/>
                <w:szCs w:val="24"/>
              </w:rPr>
              <w:t>Controls</w:t>
            </w:r>
          </w:p>
        </w:tc>
        <w:tc>
          <w:tcPr>
            <w:tcW w:w="232" w:type="dxa"/>
            <w:tcBorders>
              <w:top w:val="nil"/>
              <w:left w:val="nil"/>
              <w:right w:val="nil"/>
            </w:tcBorders>
          </w:tcPr>
          <w:p w14:paraId="3BBD76C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right w:val="nil"/>
            </w:tcBorders>
          </w:tcPr>
          <w:p w14:paraId="6E819BE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2" w:type="dxa"/>
            <w:tcBorders>
              <w:top w:val="nil"/>
              <w:left w:val="nil"/>
              <w:right w:val="nil"/>
            </w:tcBorders>
          </w:tcPr>
          <w:p w14:paraId="7D48072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4F47293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9" w:type="dxa"/>
            <w:tcBorders>
              <w:top w:val="nil"/>
              <w:left w:val="nil"/>
              <w:right w:val="nil"/>
            </w:tcBorders>
          </w:tcPr>
          <w:p w14:paraId="7805699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02B19A2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6" w:type="dxa"/>
            <w:tcBorders>
              <w:top w:val="nil"/>
              <w:left w:val="nil"/>
              <w:right w:val="nil"/>
            </w:tcBorders>
          </w:tcPr>
          <w:p w14:paraId="7274B12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right w:val="nil"/>
            </w:tcBorders>
          </w:tcPr>
          <w:p w14:paraId="01BCE1D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67E1A832" w14:textId="77777777" w:rsidTr="001F0B43">
        <w:tc>
          <w:tcPr>
            <w:tcW w:w="3007" w:type="dxa"/>
            <w:tcBorders>
              <w:top w:val="nil"/>
              <w:left w:val="nil"/>
              <w:right w:val="nil"/>
            </w:tcBorders>
          </w:tcPr>
          <w:p w14:paraId="7A71B025"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Year</w:t>
            </w:r>
          </w:p>
        </w:tc>
        <w:tc>
          <w:tcPr>
            <w:tcW w:w="232" w:type="dxa"/>
            <w:tcBorders>
              <w:top w:val="nil"/>
              <w:left w:val="nil"/>
              <w:right w:val="nil"/>
            </w:tcBorders>
          </w:tcPr>
          <w:p w14:paraId="767F651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top w:val="nil"/>
              <w:left w:val="nil"/>
              <w:right w:val="nil"/>
            </w:tcBorders>
          </w:tcPr>
          <w:p w14:paraId="105601B2"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32" w:type="dxa"/>
            <w:tcBorders>
              <w:top w:val="nil"/>
              <w:left w:val="nil"/>
              <w:right w:val="nil"/>
            </w:tcBorders>
          </w:tcPr>
          <w:p w14:paraId="4E8BB12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6017F47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9" w:type="dxa"/>
            <w:tcBorders>
              <w:top w:val="nil"/>
              <w:left w:val="nil"/>
              <w:right w:val="nil"/>
            </w:tcBorders>
          </w:tcPr>
          <w:p w14:paraId="120973A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top w:val="nil"/>
              <w:left w:val="nil"/>
              <w:right w:val="nil"/>
            </w:tcBorders>
          </w:tcPr>
          <w:p w14:paraId="0FA5ECD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c>
          <w:tcPr>
            <w:tcW w:w="226" w:type="dxa"/>
            <w:tcBorders>
              <w:top w:val="nil"/>
              <w:left w:val="nil"/>
              <w:right w:val="nil"/>
            </w:tcBorders>
          </w:tcPr>
          <w:p w14:paraId="6B7C9A0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top w:val="nil"/>
              <w:left w:val="nil"/>
              <w:right w:val="nil"/>
            </w:tcBorders>
          </w:tcPr>
          <w:p w14:paraId="262EAE4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Yes</w:t>
            </w:r>
          </w:p>
        </w:tc>
      </w:tr>
      <w:tr w:rsidR="001E3466" w:rsidRPr="004E7E5A" w14:paraId="072EA953" w14:textId="77777777" w:rsidTr="001F0B43">
        <w:tc>
          <w:tcPr>
            <w:tcW w:w="3007" w:type="dxa"/>
            <w:tcBorders>
              <w:left w:val="nil"/>
              <w:right w:val="nil"/>
            </w:tcBorders>
          </w:tcPr>
          <w:p w14:paraId="56FE7967"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N</w:t>
            </w:r>
          </w:p>
        </w:tc>
        <w:tc>
          <w:tcPr>
            <w:tcW w:w="232" w:type="dxa"/>
            <w:tcBorders>
              <w:left w:val="nil"/>
              <w:right w:val="nil"/>
            </w:tcBorders>
          </w:tcPr>
          <w:p w14:paraId="7B844C3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1D6BE39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2996</w:t>
            </w:r>
          </w:p>
        </w:tc>
        <w:tc>
          <w:tcPr>
            <w:tcW w:w="232" w:type="dxa"/>
            <w:tcBorders>
              <w:left w:val="nil"/>
              <w:right w:val="nil"/>
            </w:tcBorders>
          </w:tcPr>
          <w:p w14:paraId="4F07185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5E3E489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2996</w:t>
            </w:r>
          </w:p>
        </w:tc>
        <w:tc>
          <w:tcPr>
            <w:tcW w:w="229" w:type="dxa"/>
            <w:tcBorders>
              <w:left w:val="nil"/>
              <w:right w:val="nil"/>
            </w:tcBorders>
          </w:tcPr>
          <w:p w14:paraId="16742B37"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01AAACB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2996</w:t>
            </w:r>
          </w:p>
        </w:tc>
        <w:tc>
          <w:tcPr>
            <w:tcW w:w="226" w:type="dxa"/>
            <w:tcBorders>
              <w:left w:val="nil"/>
              <w:right w:val="nil"/>
            </w:tcBorders>
          </w:tcPr>
          <w:p w14:paraId="0BB0596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07634A8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2996</w:t>
            </w:r>
          </w:p>
        </w:tc>
      </w:tr>
      <w:tr w:rsidR="001E3466" w:rsidRPr="004E7E5A" w14:paraId="3BEE1AC7" w14:textId="77777777" w:rsidTr="001F0B43">
        <w:tc>
          <w:tcPr>
            <w:tcW w:w="3007" w:type="dxa"/>
            <w:tcBorders>
              <w:left w:val="nil"/>
              <w:right w:val="nil"/>
            </w:tcBorders>
          </w:tcPr>
          <w:p w14:paraId="47C6B5DE"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gramStart"/>
            <w:r w:rsidRPr="004E7E5A">
              <w:rPr>
                <w:rFonts w:ascii="Times New Roman" w:hAnsi="Times New Roman"/>
                <w:i/>
                <w:iCs/>
                <w:color w:val="000000" w:themeColor="text1"/>
                <w:kern w:val="0"/>
                <w:sz w:val="24"/>
                <w:szCs w:val="24"/>
              </w:rPr>
              <w:t>AR(</w:t>
            </w:r>
            <w:proofErr w:type="gramEnd"/>
            <w:r w:rsidRPr="004E7E5A">
              <w:rPr>
                <w:rFonts w:ascii="Times New Roman" w:hAnsi="Times New Roman"/>
                <w:i/>
                <w:iCs/>
                <w:color w:val="000000" w:themeColor="text1"/>
                <w:kern w:val="0"/>
                <w:sz w:val="24"/>
                <w:szCs w:val="24"/>
              </w:rPr>
              <w:t>1) test (p value)</w:t>
            </w:r>
          </w:p>
        </w:tc>
        <w:tc>
          <w:tcPr>
            <w:tcW w:w="232" w:type="dxa"/>
            <w:tcBorders>
              <w:left w:val="nil"/>
              <w:right w:val="nil"/>
            </w:tcBorders>
          </w:tcPr>
          <w:p w14:paraId="2D3BD76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6BC31E0C"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c>
          <w:tcPr>
            <w:tcW w:w="232" w:type="dxa"/>
            <w:tcBorders>
              <w:left w:val="nil"/>
              <w:right w:val="nil"/>
            </w:tcBorders>
          </w:tcPr>
          <w:p w14:paraId="3764A2D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2AC76B38"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c>
          <w:tcPr>
            <w:tcW w:w="229" w:type="dxa"/>
            <w:tcBorders>
              <w:left w:val="nil"/>
              <w:right w:val="nil"/>
            </w:tcBorders>
          </w:tcPr>
          <w:p w14:paraId="3F6912C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3D01D7B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c>
          <w:tcPr>
            <w:tcW w:w="226" w:type="dxa"/>
            <w:tcBorders>
              <w:left w:val="nil"/>
              <w:right w:val="nil"/>
            </w:tcBorders>
          </w:tcPr>
          <w:p w14:paraId="0ABDAAF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2954F95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0.000</w:t>
            </w:r>
          </w:p>
        </w:tc>
      </w:tr>
      <w:tr w:rsidR="001E3466" w:rsidRPr="004E7E5A" w14:paraId="2AF6A39E" w14:textId="77777777" w:rsidTr="001F0B43">
        <w:tc>
          <w:tcPr>
            <w:tcW w:w="3007" w:type="dxa"/>
            <w:tcBorders>
              <w:left w:val="nil"/>
              <w:right w:val="nil"/>
            </w:tcBorders>
          </w:tcPr>
          <w:p w14:paraId="38862986"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gramStart"/>
            <w:r w:rsidRPr="004E7E5A">
              <w:rPr>
                <w:rFonts w:ascii="Times New Roman" w:hAnsi="Times New Roman"/>
                <w:i/>
                <w:iCs/>
                <w:color w:val="000000" w:themeColor="text1"/>
                <w:kern w:val="0"/>
                <w:sz w:val="24"/>
                <w:szCs w:val="24"/>
              </w:rPr>
              <w:t>AR(</w:t>
            </w:r>
            <w:proofErr w:type="gramEnd"/>
            <w:r w:rsidRPr="004E7E5A">
              <w:rPr>
                <w:rFonts w:ascii="Times New Roman" w:hAnsi="Times New Roman"/>
                <w:i/>
                <w:iCs/>
                <w:color w:val="000000" w:themeColor="text1"/>
                <w:kern w:val="0"/>
                <w:sz w:val="24"/>
                <w:szCs w:val="24"/>
              </w:rPr>
              <w:t>2) test (p value)</w:t>
            </w:r>
          </w:p>
        </w:tc>
        <w:tc>
          <w:tcPr>
            <w:tcW w:w="232" w:type="dxa"/>
            <w:tcBorders>
              <w:left w:val="nil"/>
              <w:right w:val="nil"/>
            </w:tcBorders>
          </w:tcPr>
          <w:p w14:paraId="0DF3BC5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5A8E2EF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0.868</w:t>
            </w:r>
          </w:p>
        </w:tc>
        <w:tc>
          <w:tcPr>
            <w:tcW w:w="232" w:type="dxa"/>
            <w:tcBorders>
              <w:left w:val="nil"/>
              <w:right w:val="nil"/>
            </w:tcBorders>
          </w:tcPr>
          <w:p w14:paraId="1BAC011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30B2768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hint="eastAsia"/>
                <w:color w:val="000000" w:themeColor="text1"/>
                <w:kern w:val="0"/>
                <w:sz w:val="24"/>
                <w:szCs w:val="24"/>
              </w:rPr>
              <w:t>0</w:t>
            </w:r>
            <w:r w:rsidRPr="004E7E5A">
              <w:rPr>
                <w:rFonts w:ascii="Times New Roman" w:hAnsi="Times New Roman"/>
                <w:color w:val="000000" w:themeColor="text1"/>
                <w:kern w:val="0"/>
                <w:sz w:val="24"/>
                <w:szCs w:val="24"/>
              </w:rPr>
              <w:t>.840</w:t>
            </w:r>
          </w:p>
        </w:tc>
        <w:tc>
          <w:tcPr>
            <w:tcW w:w="229" w:type="dxa"/>
            <w:tcBorders>
              <w:left w:val="nil"/>
              <w:right w:val="nil"/>
            </w:tcBorders>
          </w:tcPr>
          <w:p w14:paraId="497A8C4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7D63B10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0.855</w:t>
            </w:r>
          </w:p>
        </w:tc>
        <w:tc>
          <w:tcPr>
            <w:tcW w:w="226" w:type="dxa"/>
            <w:tcBorders>
              <w:left w:val="nil"/>
              <w:right w:val="nil"/>
            </w:tcBorders>
          </w:tcPr>
          <w:p w14:paraId="748BD08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32CAD91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hint="eastAsia"/>
                <w:color w:val="000000" w:themeColor="text1"/>
                <w:kern w:val="0"/>
                <w:sz w:val="24"/>
                <w:szCs w:val="24"/>
              </w:rPr>
              <w:t>0</w:t>
            </w:r>
            <w:r w:rsidRPr="004E7E5A">
              <w:rPr>
                <w:rFonts w:ascii="Times New Roman" w:hAnsi="Times New Roman"/>
                <w:color w:val="000000" w:themeColor="text1"/>
                <w:kern w:val="0"/>
                <w:sz w:val="24"/>
                <w:szCs w:val="24"/>
              </w:rPr>
              <w:t>.845</w:t>
            </w:r>
          </w:p>
        </w:tc>
      </w:tr>
      <w:tr w:rsidR="001E3466" w:rsidRPr="004E7E5A" w14:paraId="6007A80D" w14:textId="77777777" w:rsidTr="001F0B43">
        <w:tc>
          <w:tcPr>
            <w:tcW w:w="3007" w:type="dxa"/>
            <w:tcBorders>
              <w:left w:val="nil"/>
              <w:right w:val="nil"/>
            </w:tcBorders>
          </w:tcPr>
          <w:p w14:paraId="52EFA596" w14:textId="29FDAB3A"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proofErr w:type="spellStart"/>
            <w:r w:rsidRPr="004E7E5A">
              <w:rPr>
                <w:rFonts w:ascii="Times New Roman" w:hAnsi="Times New Roman"/>
                <w:i/>
                <w:iCs/>
                <w:color w:val="000000" w:themeColor="text1"/>
                <w:kern w:val="0"/>
                <w:sz w:val="24"/>
                <w:szCs w:val="24"/>
              </w:rPr>
              <w:t>Sargan</w:t>
            </w:r>
            <w:proofErr w:type="spellEnd"/>
            <w:r w:rsidRPr="004E7E5A">
              <w:rPr>
                <w:rFonts w:ascii="Times New Roman" w:hAnsi="Times New Roman"/>
                <w:i/>
                <w:iCs/>
                <w:color w:val="000000" w:themeColor="text1"/>
                <w:kern w:val="0"/>
                <w:sz w:val="24"/>
                <w:szCs w:val="24"/>
              </w:rPr>
              <w:t xml:space="preserve"> test of over identification (p value)</w:t>
            </w:r>
          </w:p>
        </w:tc>
        <w:tc>
          <w:tcPr>
            <w:tcW w:w="232" w:type="dxa"/>
            <w:tcBorders>
              <w:left w:val="nil"/>
              <w:right w:val="nil"/>
            </w:tcBorders>
          </w:tcPr>
          <w:p w14:paraId="4EB0466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5B88DDB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0.116</w:t>
            </w:r>
          </w:p>
        </w:tc>
        <w:tc>
          <w:tcPr>
            <w:tcW w:w="232" w:type="dxa"/>
            <w:tcBorders>
              <w:left w:val="nil"/>
              <w:right w:val="nil"/>
            </w:tcBorders>
          </w:tcPr>
          <w:p w14:paraId="2CAF881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6504611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0.123</w:t>
            </w:r>
          </w:p>
        </w:tc>
        <w:tc>
          <w:tcPr>
            <w:tcW w:w="229" w:type="dxa"/>
            <w:tcBorders>
              <w:left w:val="nil"/>
              <w:right w:val="nil"/>
            </w:tcBorders>
          </w:tcPr>
          <w:p w14:paraId="740DE341"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53D4396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0.093</w:t>
            </w:r>
          </w:p>
        </w:tc>
        <w:tc>
          <w:tcPr>
            <w:tcW w:w="226" w:type="dxa"/>
            <w:tcBorders>
              <w:left w:val="nil"/>
              <w:right w:val="nil"/>
            </w:tcBorders>
          </w:tcPr>
          <w:p w14:paraId="0FAA5FB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16268D4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0.113</w:t>
            </w:r>
          </w:p>
        </w:tc>
      </w:tr>
      <w:tr w:rsidR="001E3466" w:rsidRPr="004E7E5A" w14:paraId="3D323312" w14:textId="77777777" w:rsidTr="001F0B43">
        <w:tc>
          <w:tcPr>
            <w:tcW w:w="3007" w:type="dxa"/>
            <w:tcBorders>
              <w:left w:val="nil"/>
              <w:right w:val="nil"/>
            </w:tcBorders>
          </w:tcPr>
          <w:p w14:paraId="20C6D5D6" w14:textId="4D50A603"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Hansen test of over identification (p value)</w:t>
            </w:r>
          </w:p>
        </w:tc>
        <w:tc>
          <w:tcPr>
            <w:tcW w:w="232" w:type="dxa"/>
            <w:tcBorders>
              <w:left w:val="nil"/>
              <w:right w:val="nil"/>
            </w:tcBorders>
          </w:tcPr>
          <w:p w14:paraId="070647CA"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right w:val="nil"/>
            </w:tcBorders>
          </w:tcPr>
          <w:p w14:paraId="16FCCA1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0.239</w:t>
            </w:r>
          </w:p>
        </w:tc>
        <w:tc>
          <w:tcPr>
            <w:tcW w:w="232" w:type="dxa"/>
            <w:tcBorders>
              <w:left w:val="nil"/>
              <w:right w:val="nil"/>
            </w:tcBorders>
          </w:tcPr>
          <w:p w14:paraId="7AE135D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2CDC158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0.274</w:t>
            </w:r>
          </w:p>
        </w:tc>
        <w:tc>
          <w:tcPr>
            <w:tcW w:w="229" w:type="dxa"/>
            <w:tcBorders>
              <w:left w:val="nil"/>
              <w:right w:val="nil"/>
            </w:tcBorders>
          </w:tcPr>
          <w:p w14:paraId="1232EFB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right w:val="nil"/>
            </w:tcBorders>
          </w:tcPr>
          <w:p w14:paraId="47238CE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0.286</w:t>
            </w:r>
          </w:p>
        </w:tc>
        <w:tc>
          <w:tcPr>
            <w:tcW w:w="226" w:type="dxa"/>
            <w:tcBorders>
              <w:left w:val="nil"/>
              <w:right w:val="nil"/>
            </w:tcBorders>
          </w:tcPr>
          <w:p w14:paraId="39E288E9"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right w:val="nil"/>
            </w:tcBorders>
          </w:tcPr>
          <w:p w14:paraId="42AB358D"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0.288</w:t>
            </w:r>
          </w:p>
        </w:tc>
      </w:tr>
      <w:tr w:rsidR="001E3466" w:rsidRPr="004E7E5A" w14:paraId="2715A792" w14:textId="77777777" w:rsidTr="001F0B43">
        <w:tc>
          <w:tcPr>
            <w:tcW w:w="3007" w:type="dxa"/>
            <w:tcBorders>
              <w:left w:val="nil"/>
              <w:bottom w:val="single" w:sz="4" w:space="0" w:color="auto"/>
              <w:right w:val="nil"/>
            </w:tcBorders>
          </w:tcPr>
          <w:p w14:paraId="49DE1301" w14:textId="77777777" w:rsidR="00EC2AF7" w:rsidRPr="004E7E5A" w:rsidRDefault="00EC2AF7" w:rsidP="001F0B43">
            <w:pPr>
              <w:autoSpaceDE w:val="0"/>
              <w:autoSpaceDN w:val="0"/>
              <w:adjustRightInd w:val="0"/>
              <w:jc w:val="left"/>
              <w:rPr>
                <w:rFonts w:ascii="Times New Roman" w:hAnsi="Times New Roman"/>
                <w:i/>
                <w:iCs/>
                <w:color w:val="000000" w:themeColor="text1"/>
                <w:kern w:val="0"/>
                <w:sz w:val="24"/>
                <w:szCs w:val="24"/>
              </w:rPr>
            </w:pPr>
            <w:r w:rsidRPr="004E7E5A">
              <w:rPr>
                <w:rFonts w:ascii="Times New Roman" w:hAnsi="Times New Roman"/>
                <w:i/>
                <w:iCs/>
                <w:color w:val="000000" w:themeColor="text1"/>
                <w:kern w:val="0"/>
                <w:sz w:val="24"/>
                <w:szCs w:val="24"/>
              </w:rPr>
              <w:t>Diff-in-Hansen tests of exogeneity (p value)</w:t>
            </w:r>
          </w:p>
        </w:tc>
        <w:tc>
          <w:tcPr>
            <w:tcW w:w="232" w:type="dxa"/>
            <w:tcBorders>
              <w:left w:val="nil"/>
              <w:bottom w:val="single" w:sz="4" w:space="0" w:color="auto"/>
              <w:right w:val="nil"/>
            </w:tcBorders>
          </w:tcPr>
          <w:p w14:paraId="678BE28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65" w:type="dxa"/>
            <w:tcBorders>
              <w:left w:val="nil"/>
              <w:bottom w:val="single" w:sz="4" w:space="0" w:color="auto"/>
              <w:right w:val="nil"/>
            </w:tcBorders>
          </w:tcPr>
          <w:p w14:paraId="7C7F4F94"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0.689</w:t>
            </w:r>
          </w:p>
        </w:tc>
        <w:tc>
          <w:tcPr>
            <w:tcW w:w="232" w:type="dxa"/>
            <w:tcBorders>
              <w:left w:val="nil"/>
              <w:bottom w:val="single" w:sz="4" w:space="0" w:color="auto"/>
              <w:right w:val="nil"/>
            </w:tcBorders>
          </w:tcPr>
          <w:p w14:paraId="3B1CD37B"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single" w:sz="4" w:space="0" w:color="auto"/>
              <w:right w:val="nil"/>
            </w:tcBorders>
          </w:tcPr>
          <w:p w14:paraId="5BE9F31E"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0.698</w:t>
            </w:r>
          </w:p>
        </w:tc>
        <w:tc>
          <w:tcPr>
            <w:tcW w:w="229" w:type="dxa"/>
            <w:tcBorders>
              <w:left w:val="nil"/>
              <w:bottom w:val="single" w:sz="4" w:space="0" w:color="auto"/>
              <w:right w:val="nil"/>
            </w:tcBorders>
          </w:tcPr>
          <w:p w14:paraId="3920B325"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289" w:type="dxa"/>
            <w:tcBorders>
              <w:left w:val="nil"/>
              <w:bottom w:val="single" w:sz="4" w:space="0" w:color="auto"/>
              <w:right w:val="nil"/>
            </w:tcBorders>
          </w:tcPr>
          <w:p w14:paraId="368565D6"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0.699</w:t>
            </w:r>
          </w:p>
        </w:tc>
        <w:tc>
          <w:tcPr>
            <w:tcW w:w="226" w:type="dxa"/>
            <w:tcBorders>
              <w:left w:val="nil"/>
              <w:bottom w:val="single" w:sz="4" w:space="0" w:color="auto"/>
              <w:right w:val="nil"/>
            </w:tcBorders>
          </w:tcPr>
          <w:p w14:paraId="36A0A2F3"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p>
        </w:tc>
        <w:tc>
          <w:tcPr>
            <w:tcW w:w="1301" w:type="dxa"/>
            <w:tcBorders>
              <w:left w:val="nil"/>
              <w:bottom w:val="single" w:sz="4" w:space="0" w:color="auto"/>
              <w:right w:val="nil"/>
            </w:tcBorders>
          </w:tcPr>
          <w:p w14:paraId="4B9826CF" w14:textId="77777777" w:rsidR="00EC2AF7" w:rsidRPr="004E7E5A" w:rsidRDefault="00EC2AF7" w:rsidP="001F0B43">
            <w:pPr>
              <w:autoSpaceDE w:val="0"/>
              <w:autoSpaceDN w:val="0"/>
              <w:adjustRightInd w:val="0"/>
              <w:jc w:val="center"/>
              <w:rPr>
                <w:rFonts w:ascii="Times New Roman" w:hAnsi="Times New Roman"/>
                <w:color w:val="000000" w:themeColor="text1"/>
                <w:kern w:val="0"/>
                <w:sz w:val="24"/>
                <w:szCs w:val="24"/>
              </w:rPr>
            </w:pPr>
            <w:r w:rsidRPr="004E7E5A">
              <w:rPr>
                <w:rFonts w:ascii="Times New Roman" w:hAnsi="Times New Roman"/>
                <w:color w:val="000000" w:themeColor="text1"/>
                <w:kern w:val="0"/>
                <w:sz w:val="24"/>
                <w:szCs w:val="24"/>
              </w:rPr>
              <w:t>0.703</w:t>
            </w:r>
          </w:p>
        </w:tc>
      </w:tr>
    </w:tbl>
    <w:p w14:paraId="04CA53C0" w14:textId="376ADC1E" w:rsidR="00EC2AF7" w:rsidRPr="001E3466" w:rsidRDefault="00EC2AF7" w:rsidP="00EC2AF7">
      <w:pPr>
        <w:pStyle w:val="a7"/>
        <w:spacing w:line="240" w:lineRule="auto"/>
        <w:ind w:leftChars="50" w:left="105" w:rightChars="50" w:right="105" w:firstLineChars="0" w:firstLine="0"/>
        <w:rPr>
          <w:rFonts w:cs="Times New Roman"/>
          <w:szCs w:val="24"/>
        </w:rPr>
      </w:pPr>
      <w:r w:rsidRPr="004E7E5A">
        <w:rPr>
          <w:rStyle w:val="fontstyle01"/>
          <w:rFonts w:ascii="Times New Roman" w:hAnsi="Times New Roman" w:cs="Times New Roman" w:hint="default"/>
          <w:color w:val="000000" w:themeColor="text1"/>
          <w:sz w:val="24"/>
          <w:szCs w:val="24"/>
        </w:rPr>
        <w:t xml:space="preserve">This table presents the results of two-step </w:t>
      </w:r>
      <w:r w:rsidRPr="004E7E5A">
        <w:t>System GMM</w:t>
      </w:r>
      <w:r w:rsidRPr="004E7E5A">
        <w:rPr>
          <w:rStyle w:val="fontstyle01"/>
          <w:rFonts w:ascii="Times New Roman" w:hAnsi="Times New Roman" w:cs="Times New Roman" w:hint="default"/>
          <w:color w:val="000000" w:themeColor="text1"/>
          <w:sz w:val="24"/>
          <w:szCs w:val="24"/>
        </w:rPr>
        <w:t xml:space="preserve"> estimation to test the robustness of the results of testing hypothesis 1. We used </w:t>
      </w:r>
      <w:r w:rsidRPr="004E7E5A">
        <w:t>System GMM</w:t>
      </w:r>
      <w:r w:rsidRPr="004E7E5A">
        <w:rPr>
          <w:rStyle w:val="fontstyle01"/>
          <w:rFonts w:ascii="Times New Roman" w:hAnsi="Times New Roman" w:cs="Times New Roman" w:hint="default"/>
          <w:color w:val="000000" w:themeColor="text1"/>
          <w:sz w:val="24"/>
          <w:szCs w:val="24"/>
        </w:rPr>
        <w:t xml:space="preserve"> approach to eliminate endogeneity problems of unobserved heterogeneity, simultaneity, and causality </w:t>
      </w:r>
      <w:r w:rsidRPr="004E7E5A">
        <w:rPr>
          <w:rStyle w:val="fontstyle01"/>
          <w:rFonts w:ascii="Times New Roman" w:hAnsi="Times New Roman" w:cs="Times New Roman" w:hint="default"/>
          <w:color w:val="000000" w:themeColor="text1"/>
          <w:sz w:val="24"/>
          <w:szCs w:val="24"/>
        </w:rPr>
        <w:fldChar w:fldCharType="begin"/>
      </w:r>
      <w:r w:rsidR="001A1175" w:rsidRPr="004E7E5A">
        <w:rPr>
          <w:rStyle w:val="fontstyle01"/>
          <w:rFonts w:ascii="Times New Roman" w:hAnsi="Times New Roman" w:cs="Times New Roman" w:hint="default"/>
          <w:color w:val="000000" w:themeColor="text1"/>
          <w:sz w:val="24"/>
          <w:szCs w:val="24"/>
        </w:rPr>
        <w:instrText xml:space="preserve"> ADDIN EN.CITE &lt;EndNote&gt;&lt;Cite&gt;&lt;Author&gt;Beji&lt;/Author&gt;&lt;Year&gt;2020&lt;/Year&gt;&lt;RecNum&gt;1933&lt;/RecNum&gt;&lt;DisplayText&gt;(Beji et al. 2020; Eugster 2020)&lt;/DisplayText&gt;&lt;record&gt;&lt;rec-number&gt;1933&lt;/rec-number&gt;&lt;foreign-keys&gt;&lt;key app="EN" db-id="trr00pfsbzzex0ezwf6v5swd9fpfpwfa90xp" timestamp="1606123630" guid="2da51519-5f59-4ce3-b6d2-b262c9908354"&gt;1933&lt;/key&gt;&lt;/foreign-keys&gt;&lt;ref-type name="Journal Article"&gt;17&lt;/ref-type&gt;&lt;contributors&gt;&lt;authors&gt;&lt;author&gt;Beji, Rania&lt;/author&gt;&lt;author&gt;Yousfi, Ouidad&lt;/author&gt;&lt;author&gt;Loukil, Nadia&lt;/author&gt;&lt;author&gt;Omri, Abdelwahed&lt;/author&gt;&lt;/authors&gt;&lt;/contributors&gt;&lt;titles&gt;&lt;title&gt;Board diversity and corporate social responsibility: Empirical evidence from France&lt;/title&gt;&lt;secondary-title&gt;Journal of Business Ethics&lt;/secondary-title&gt;&lt;/titles&gt;&lt;periodical&gt;&lt;full-title&gt;Journal of Business Ethics&lt;/full-title&gt;&lt;/periodical&gt;&lt;pages&gt;1-23&lt;/pages&gt;&lt;number&gt;6&lt;/number&gt;&lt;dates&gt;&lt;year&gt;2020&lt;/year&gt;&lt;/dates&gt;&lt;urls&gt;&lt;/urls&gt;&lt;/record&gt;&lt;/Cite&gt;&lt;Cite&gt;&lt;Author&gt;Eugster&lt;/Author&gt;&lt;Year&gt;2020&lt;/Year&gt;&lt;RecNum&gt;2239&lt;/RecNum&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4E7E5A">
        <w:rPr>
          <w:rStyle w:val="fontstyle01"/>
          <w:rFonts w:ascii="Times New Roman" w:hAnsi="Times New Roman" w:cs="Times New Roman" w:hint="default"/>
          <w:color w:val="000000" w:themeColor="text1"/>
          <w:sz w:val="24"/>
          <w:szCs w:val="24"/>
        </w:rPr>
        <w:fldChar w:fldCharType="separate"/>
      </w:r>
      <w:r w:rsidRPr="004E7E5A">
        <w:rPr>
          <w:rStyle w:val="fontstyle01"/>
          <w:rFonts w:ascii="Times New Roman" w:hAnsi="Times New Roman" w:cs="Times New Roman" w:hint="default"/>
          <w:noProof/>
          <w:color w:val="000000" w:themeColor="text1"/>
          <w:sz w:val="24"/>
          <w:szCs w:val="24"/>
        </w:rPr>
        <w:t>(Beji et al. 2020; Eugster 2020)</w:t>
      </w:r>
      <w:r w:rsidRPr="004E7E5A">
        <w:rPr>
          <w:rStyle w:val="fontstyle01"/>
          <w:rFonts w:ascii="Times New Roman" w:hAnsi="Times New Roman" w:cs="Times New Roman" w:hint="default"/>
          <w:color w:val="000000" w:themeColor="text1"/>
          <w:sz w:val="24"/>
          <w:szCs w:val="24"/>
        </w:rPr>
        <w:fldChar w:fldCharType="end"/>
      </w:r>
      <w:r w:rsidRPr="004E7E5A">
        <w:rPr>
          <w:rStyle w:val="fontstyle01"/>
          <w:rFonts w:ascii="Times New Roman" w:hAnsi="Times New Roman" w:cs="Times New Roman" w:hint="default"/>
          <w:color w:val="000000" w:themeColor="text1"/>
          <w:sz w:val="24"/>
          <w:szCs w:val="24"/>
        </w:rPr>
        <w:t xml:space="preserve">. </w:t>
      </w:r>
      <w:r w:rsidR="00B95E45" w:rsidRPr="004E7E5A">
        <w:rPr>
          <w:rStyle w:val="fontstyle01"/>
          <w:rFonts w:ascii="Times New Roman" w:hAnsi="Times New Roman" w:cs="Times New Roman" w:hint="default"/>
          <w:color w:val="000000" w:themeColor="text1"/>
          <w:sz w:val="24"/>
          <w:szCs w:val="24"/>
        </w:rPr>
        <w:t>We use the lagged value of the dependent variable (</w:t>
      </w:r>
      <w:proofErr w:type="spellStart"/>
      <w:r w:rsidR="00B95E45" w:rsidRPr="004E7E5A">
        <w:rPr>
          <w:rStyle w:val="fontstyle01"/>
          <w:rFonts w:ascii="Times New Roman" w:hAnsi="Times New Roman" w:cs="Times New Roman" w:hint="default"/>
          <w:i/>
          <w:iCs/>
          <w:color w:val="000000" w:themeColor="text1"/>
          <w:sz w:val="24"/>
          <w:szCs w:val="24"/>
        </w:rPr>
        <w:t>Csr</w:t>
      </w:r>
      <w:proofErr w:type="spellEnd"/>
      <w:r w:rsidR="00B95E45" w:rsidRPr="004E7E5A">
        <w:rPr>
          <w:rStyle w:val="fontstyle01"/>
          <w:rFonts w:ascii="Times New Roman" w:hAnsi="Times New Roman" w:cs="Times New Roman" w:hint="default"/>
          <w:color w:val="000000" w:themeColor="text1"/>
          <w:sz w:val="24"/>
          <w:szCs w:val="24"/>
        </w:rPr>
        <w:t>) and lagged value of the endogenous independent variable (</w:t>
      </w:r>
      <w:r w:rsidR="00B95E45" w:rsidRPr="004E7E5A">
        <w:rPr>
          <w:rStyle w:val="fontstyle01"/>
          <w:rFonts w:ascii="Times New Roman" w:hAnsi="Times New Roman" w:cs="Times New Roman" w:hint="default"/>
          <w:i/>
          <w:iCs/>
          <w:color w:val="000000" w:themeColor="text1"/>
          <w:sz w:val="24"/>
          <w:szCs w:val="24"/>
        </w:rPr>
        <w:t>Score</w:t>
      </w:r>
      <w:r w:rsidR="00B95E45" w:rsidRPr="004E7E5A">
        <w:rPr>
          <w:rStyle w:val="fontstyle01"/>
          <w:rFonts w:ascii="Times New Roman" w:hAnsi="Times New Roman" w:cs="Times New Roman" w:hint="default"/>
          <w:color w:val="000000" w:themeColor="text1"/>
          <w:sz w:val="24"/>
          <w:szCs w:val="24"/>
        </w:rPr>
        <w:t xml:space="preserve">) as instrument variables in the process of System GMM. </w:t>
      </w:r>
      <w:r w:rsidR="00626262" w:rsidRPr="004E7E5A">
        <w:rPr>
          <w:rFonts w:cs="Times New Roman"/>
        </w:rPr>
        <w:t>System GMM estimator</w:t>
      </w:r>
      <w:r w:rsidR="00626262" w:rsidRPr="004E7E5A">
        <w:rPr>
          <w:rFonts w:cs="Times New Roman" w:hint="eastAsia"/>
        </w:rPr>
        <w:t>s</w:t>
      </w:r>
      <w:r w:rsidR="00626262" w:rsidRPr="004E7E5A">
        <w:rPr>
          <w:rFonts w:cs="Times New Roman"/>
        </w:rPr>
        <w:t xml:space="preserve"> utilize the lagged first differences as instruments in a non-transformed (levels) equation in addition to the first-differencing used by Arellano and Bond. </w:t>
      </w:r>
      <w:r w:rsidRPr="004E7E5A">
        <w:rPr>
          <w:rStyle w:val="fontstyle01"/>
          <w:rFonts w:ascii="Times New Roman" w:hAnsi="Times New Roman" w:cs="Times New Roman" w:hint="default"/>
          <w:color w:val="000000" w:themeColor="text1"/>
          <w:sz w:val="24"/>
          <w:szCs w:val="24"/>
        </w:rPr>
        <w:t xml:space="preserve">Columns (1) to (4) use </w:t>
      </w:r>
      <w:proofErr w:type="spellStart"/>
      <w:r w:rsidRPr="004E7E5A">
        <w:rPr>
          <w:rStyle w:val="fontstyle01"/>
          <w:rFonts w:ascii="Times New Roman" w:hAnsi="Times New Roman" w:cs="Times New Roman" w:hint="default"/>
          <w:i/>
          <w:iCs/>
          <w:color w:val="000000" w:themeColor="text1"/>
          <w:sz w:val="24"/>
          <w:szCs w:val="24"/>
        </w:rPr>
        <w:t>Score_max</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Score_med</w:t>
      </w:r>
      <w:proofErr w:type="spellEnd"/>
      <w:r w:rsidRPr="004E7E5A">
        <w:rPr>
          <w:rStyle w:val="fontstyle01"/>
          <w:rFonts w:ascii="Times New Roman" w:hAnsi="Times New Roman" w:cs="Times New Roman" w:hint="default"/>
          <w:color w:val="000000" w:themeColor="text1"/>
          <w:sz w:val="24"/>
          <w:szCs w:val="24"/>
        </w:rPr>
        <w:t xml:space="preserve">, </w:t>
      </w:r>
      <w:proofErr w:type="spellStart"/>
      <w:r w:rsidRPr="004E7E5A">
        <w:rPr>
          <w:rStyle w:val="fontstyle01"/>
          <w:rFonts w:ascii="Times New Roman" w:hAnsi="Times New Roman" w:cs="Times New Roman" w:hint="default"/>
          <w:i/>
          <w:iCs/>
          <w:color w:val="000000" w:themeColor="text1"/>
          <w:sz w:val="24"/>
          <w:szCs w:val="24"/>
        </w:rPr>
        <w:t>Score_mean</w:t>
      </w:r>
      <w:proofErr w:type="spellEnd"/>
      <w:r w:rsidRPr="004E7E5A">
        <w:rPr>
          <w:rStyle w:val="fontstyle01"/>
          <w:rFonts w:ascii="Times New Roman" w:hAnsi="Times New Roman" w:cs="Times New Roman" w:hint="default"/>
          <w:color w:val="000000" w:themeColor="text1"/>
          <w:sz w:val="24"/>
          <w:szCs w:val="24"/>
        </w:rPr>
        <w:t xml:space="preserve"> and </w:t>
      </w:r>
      <w:proofErr w:type="spellStart"/>
      <w:r w:rsidRPr="004E7E5A">
        <w:rPr>
          <w:rStyle w:val="fontstyle01"/>
          <w:rFonts w:ascii="Times New Roman" w:hAnsi="Times New Roman" w:cs="Times New Roman" w:hint="default"/>
          <w:i/>
          <w:iCs/>
          <w:color w:val="000000" w:themeColor="text1"/>
          <w:sz w:val="24"/>
          <w:szCs w:val="24"/>
        </w:rPr>
        <w:t>Score_min</w:t>
      </w:r>
      <w:proofErr w:type="spellEnd"/>
      <w:r w:rsidRPr="004E7E5A">
        <w:rPr>
          <w:rStyle w:val="fontstyle01"/>
          <w:rFonts w:ascii="Times New Roman" w:hAnsi="Times New Roman" w:cs="Times New Roman" w:hint="default"/>
          <w:color w:val="000000" w:themeColor="text1"/>
          <w:sz w:val="24"/>
          <w:szCs w:val="24"/>
        </w:rPr>
        <w:t xml:space="preserve"> as the key independent variable, respectively. </w:t>
      </w:r>
      <w:proofErr w:type="gramStart"/>
      <w:r w:rsidRPr="004E7E5A">
        <w:rPr>
          <w:rStyle w:val="fontstyle01"/>
          <w:rFonts w:ascii="Times New Roman" w:hAnsi="Times New Roman" w:cs="Times New Roman" w:hint="default"/>
          <w:color w:val="000000" w:themeColor="text1"/>
          <w:sz w:val="24"/>
          <w:szCs w:val="24"/>
        </w:rPr>
        <w:t>AR(</w:t>
      </w:r>
      <w:proofErr w:type="gramEnd"/>
      <w:r w:rsidRPr="004E7E5A">
        <w:rPr>
          <w:rStyle w:val="fontstyle01"/>
          <w:rFonts w:ascii="Times New Roman" w:hAnsi="Times New Roman" w:cs="Times New Roman" w:hint="default"/>
          <w:color w:val="000000" w:themeColor="text1"/>
          <w:sz w:val="24"/>
          <w:szCs w:val="24"/>
        </w:rPr>
        <w:t xml:space="preserve">1) and AR(2) are tests for first-order and second-order serial correlation in the first-differenced residuals under the null of no-serial correlation. The Hansen test of overidentification is under the null that all instruments are valid. </w:t>
      </w:r>
      <w:r w:rsidR="00DA3BE5" w:rsidRPr="004E7E5A">
        <w:rPr>
          <w:rStyle w:val="fontstyle01"/>
          <w:rFonts w:ascii="Times New Roman" w:hAnsi="Times New Roman" w:cs="Times New Roman" w:hint="default"/>
          <w:color w:val="000000" w:themeColor="text1"/>
          <w:sz w:val="24"/>
          <w:szCs w:val="24"/>
        </w:rPr>
        <w:t>Diff-in-Hansen tests of exogeneity</w:t>
      </w:r>
      <w:r w:rsidRPr="004E7E5A">
        <w:rPr>
          <w:rStyle w:val="fontstyle01"/>
          <w:rFonts w:ascii="Times New Roman" w:hAnsi="Times New Roman" w:cs="Times New Roman" w:hint="default"/>
          <w:color w:val="000000" w:themeColor="text1"/>
          <w:sz w:val="24"/>
          <w:szCs w:val="24"/>
        </w:rPr>
        <w:t xml:space="preserve"> is under the null that instruments used for the equations in levels are exogenous. </w:t>
      </w:r>
      <w:r w:rsidRPr="004E7E5A">
        <w:rPr>
          <w:rFonts w:cs="Times New Roman"/>
          <w:szCs w:val="24"/>
        </w:rPr>
        <w:t xml:space="preserve">The z-statistics </w:t>
      </w:r>
      <w:r w:rsidRPr="004E7E5A">
        <w:rPr>
          <w:rStyle w:val="fontstyle01"/>
          <w:rFonts w:ascii="Times New Roman" w:hAnsi="Times New Roman" w:cs="Times New Roman" w:hint="default"/>
          <w:color w:val="000000" w:themeColor="text1"/>
          <w:sz w:val="24"/>
          <w:szCs w:val="24"/>
        </w:rPr>
        <w:t>are presented in the parentheses below the values of the coefficient estimates.</w:t>
      </w:r>
      <w:r w:rsidRPr="004E7E5A">
        <w:rPr>
          <w:rFonts w:cs="Times New Roman"/>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and </w:t>
      </w:r>
      <w:r w:rsidRPr="004E7E5A">
        <w:rPr>
          <w:rStyle w:val="fontstyle01"/>
          <w:rFonts w:ascii="Cambria Math" w:hAnsi="Cambria Math" w:cs="Cambria Math" w:hint="default"/>
          <w:color w:val="000000" w:themeColor="text1"/>
          <w:sz w:val="24"/>
          <w:szCs w:val="24"/>
        </w:rPr>
        <w:t>∗∗∗</w:t>
      </w:r>
      <w:r w:rsidRPr="004E7E5A">
        <w:rPr>
          <w:rStyle w:val="fontstyle01"/>
          <w:rFonts w:ascii="Times New Roman" w:hAnsi="Times New Roman" w:cs="Times New Roman" w:hint="default"/>
          <w:color w:val="000000" w:themeColor="text1"/>
          <w:sz w:val="24"/>
          <w:szCs w:val="24"/>
        </w:rPr>
        <w:t xml:space="preserve"> indicate two-tailed statistical significance at 10%, 5%, and 1%, respectively. Definitions of the variables are provided in Appendix A.</w:t>
      </w:r>
    </w:p>
    <w:p w14:paraId="33669F83" w14:textId="77777777" w:rsidR="00863E88" w:rsidRPr="001E3466" w:rsidRDefault="00863E88" w:rsidP="00863E88">
      <w:pPr>
        <w:autoSpaceDE w:val="0"/>
        <w:autoSpaceDN w:val="0"/>
        <w:adjustRightInd w:val="0"/>
        <w:jc w:val="center"/>
        <w:rPr>
          <w:rFonts w:ascii="Times New Roman" w:eastAsia="宋体" w:hAnsi="Times New Roman"/>
          <w:b/>
          <w:bCs/>
          <w:color w:val="000000" w:themeColor="text1"/>
          <w:sz w:val="24"/>
          <w:szCs w:val="24"/>
        </w:rPr>
      </w:pPr>
    </w:p>
    <w:p w14:paraId="03023CDC" w14:textId="77777777" w:rsidR="00863E88" w:rsidRPr="001E3466" w:rsidRDefault="00863E88" w:rsidP="00863E88">
      <w:pPr>
        <w:autoSpaceDE w:val="0"/>
        <w:autoSpaceDN w:val="0"/>
        <w:adjustRightInd w:val="0"/>
        <w:jc w:val="center"/>
        <w:rPr>
          <w:rFonts w:ascii="Times New Roman" w:eastAsia="宋体" w:hAnsi="Times New Roman"/>
          <w:b/>
          <w:bCs/>
          <w:color w:val="000000" w:themeColor="text1"/>
          <w:sz w:val="24"/>
          <w:szCs w:val="24"/>
        </w:rPr>
      </w:pPr>
    </w:p>
    <w:p w14:paraId="5C7F81F5" w14:textId="2F94D149" w:rsidR="00A53CFE" w:rsidRPr="001E3466" w:rsidRDefault="00A53CFE" w:rsidP="00A53CFE">
      <w:pPr>
        <w:autoSpaceDE w:val="0"/>
        <w:autoSpaceDN w:val="0"/>
        <w:adjustRightInd w:val="0"/>
        <w:jc w:val="center"/>
        <w:rPr>
          <w:rFonts w:ascii="Times New Roman" w:eastAsia="宋体" w:hAnsi="Times New Roman"/>
          <w:b/>
          <w:bCs/>
          <w:color w:val="000000" w:themeColor="text1"/>
          <w:sz w:val="24"/>
          <w:szCs w:val="24"/>
        </w:rPr>
      </w:pPr>
    </w:p>
    <w:sectPr w:rsidR="00A53CFE" w:rsidRPr="001E3466" w:rsidSect="008F110D">
      <w:pgSz w:w="11906" w:h="16838"/>
      <w:pgMar w:top="1701" w:right="1418" w:bottom="1361" w:left="1418" w:header="1134" w:footer="113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23AD2" w14:textId="77777777" w:rsidR="00D1663B" w:rsidRDefault="00D1663B" w:rsidP="00C232CD">
      <w:r>
        <w:separator/>
      </w:r>
    </w:p>
  </w:endnote>
  <w:endnote w:type="continuationSeparator" w:id="0">
    <w:p w14:paraId="3A9C127D" w14:textId="77777777" w:rsidR="00D1663B" w:rsidRDefault="00D1663B" w:rsidP="00C23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6418B7A-E76F-804E-97B2-3A0D65A4ED62}"/>
    <w:embedBold r:id="rId2" w:fontKey="{4DA244C0-8648-3F4D-A187-ECF8E3B48A37}"/>
    <w:embedItalic r:id="rId3" w:fontKey="{2F7BD48F-15DF-7A4B-9171-9C1BF5047AB5}"/>
    <w:embedBoldItalic r:id="rId4" w:fontKey="{700EF632-A9EE-F044-9C22-D17F799F171B}"/>
  </w:font>
  <w:font w:name="DengXian">
    <w:altName w:val="等线"/>
    <w:panose1 w:val="02010600030101010101"/>
    <w:charset w:val="86"/>
    <w:family w:val="auto"/>
    <w:pitch w:val="variable"/>
    <w:sig w:usb0="A00002BF" w:usb1="38CF7CFA" w:usb2="00000016" w:usb3="00000000" w:csb0="0004000F" w:csb1="00000000"/>
    <w:embedRegular r:id="rId5" w:subsetted="1" w:fontKey="{5B598C63-C217-EA49-B13C-7B257E3222C9}"/>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embedRegular r:id="rId6" w:subsetted="1" w:fontKey="{1F09C877-6A59-5340-86D3-9155BF1AAA3E}"/>
  </w:font>
  <w:font w:name="Times New Roman (标题 CS)">
    <w:altName w:val="宋体"/>
    <w:panose1 w:val="020B0604020202020204"/>
    <w:charset w:val="86"/>
    <w:family w:val="roman"/>
    <w:pitch w:val="default"/>
  </w:font>
  <w:font w:name="E-BZ+ZJWG2u-1">
    <w:altName w:val="Times New Roman"/>
    <w:panose1 w:val="020B0604020202020204"/>
    <w:charset w:val="00"/>
    <w:family w:val="roman"/>
    <w:pitch w:val="default"/>
  </w:font>
  <w:font w:name="FzBookMaker17DlFont170536874516">
    <w:altName w:val="Cambria"/>
    <w:panose1 w:val="020B0604020202020204"/>
    <w:charset w:val="00"/>
    <w:family w:val="roman"/>
    <w:pitch w:val="default"/>
  </w:font>
  <w:font w:name="FzBookMaker22DlFont220536874515">
    <w:altName w:val="Times New Roman"/>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Songti SC">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正文 CS 字体)">
    <w:altName w:val="宋体"/>
    <w:panose1 w:val="020B0604020202020204"/>
    <w:charset w:val="86"/>
    <w:family w:val="roman"/>
    <w:pitch w:val="default"/>
  </w:font>
  <w:font w:name="Cambria Math">
    <w:panose1 w:val="02040503050406030204"/>
    <w:charset w:val="00"/>
    <w:family w:val="roman"/>
    <w:pitch w:val="variable"/>
    <w:sig w:usb0="E00002FF" w:usb1="420024FF" w:usb2="00000000" w:usb3="00000000" w:csb0="0000019F" w:csb1="00000000"/>
    <w:embedRegular r:id="rId8" w:fontKey="{281B5F75-1992-3441-B44A-01906728538E}"/>
    <w:embedItalic r:id="rId9" w:fontKey="{99FD3F61-A3CB-D344-98C6-EE035A412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49E9" w14:textId="77777777" w:rsidR="00746786" w:rsidRPr="00C54716" w:rsidRDefault="00746786" w:rsidP="00957C0B">
    <w:pPr>
      <w:pStyle w:val="ad"/>
      <w:framePr w:wrap="none" w:vAnchor="text" w:hAnchor="margin" w:xAlign="center" w:y="1"/>
      <w:rPr>
        <w:rStyle w:val="afa"/>
        <w:rFonts w:ascii="Times New Roman" w:hAnsi="Times New Roman"/>
      </w:rPr>
    </w:pPr>
    <w:r w:rsidRPr="00C54716">
      <w:rPr>
        <w:rStyle w:val="afa"/>
        <w:rFonts w:ascii="Times New Roman" w:hAnsi="Times New Roman"/>
      </w:rPr>
      <w:fldChar w:fldCharType="begin"/>
    </w:r>
    <w:r w:rsidRPr="00C54716">
      <w:rPr>
        <w:rStyle w:val="afa"/>
        <w:rFonts w:ascii="Times New Roman" w:hAnsi="Times New Roman"/>
      </w:rPr>
      <w:instrText xml:space="preserve"> PAGE </w:instrText>
    </w:r>
    <w:r w:rsidRPr="00C54716">
      <w:rPr>
        <w:rStyle w:val="afa"/>
        <w:rFonts w:ascii="Times New Roman" w:hAnsi="Times New Roman"/>
      </w:rPr>
      <w:fldChar w:fldCharType="separate"/>
    </w:r>
    <w:r w:rsidRPr="00C54716">
      <w:rPr>
        <w:rStyle w:val="afa"/>
        <w:rFonts w:ascii="Times New Roman" w:hAnsi="Times New Roman"/>
        <w:noProof/>
      </w:rPr>
      <w:t>2</w:t>
    </w:r>
    <w:r w:rsidRPr="00C54716">
      <w:rPr>
        <w:rStyle w:val="afa"/>
        <w:rFonts w:ascii="Times New Roman" w:hAnsi="Times New Roman"/>
      </w:rPr>
      <w:fldChar w:fldCharType="end"/>
    </w:r>
  </w:p>
  <w:p w14:paraId="1FFE4B6F" w14:textId="77777777" w:rsidR="00746786" w:rsidRDefault="00746786">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8C64" w14:textId="77777777" w:rsidR="00746786" w:rsidRDefault="00746786" w:rsidP="00957C0B">
    <w:pPr>
      <w:pStyle w:val="ad"/>
      <w:framePr w:wrap="none" w:vAnchor="text" w:hAnchor="margin" w:xAlign="center" w:y="1"/>
      <w:rPr>
        <w:rStyle w:val="afa"/>
      </w:rPr>
    </w:pPr>
    <w:r w:rsidRPr="00C54716">
      <w:rPr>
        <w:rStyle w:val="afa"/>
        <w:rFonts w:ascii="Times New Roman" w:eastAsia="宋体" w:hAnsi="Times New Roman" w:cs="Times New Roman (正文 CS 字体)"/>
      </w:rPr>
      <w:fldChar w:fldCharType="begin"/>
    </w:r>
    <w:r w:rsidRPr="00C54716">
      <w:rPr>
        <w:rStyle w:val="afa"/>
        <w:rFonts w:ascii="Times New Roman" w:eastAsia="宋体" w:hAnsi="Times New Roman" w:cs="Times New Roman (正文 CS 字体)"/>
      </w:rPr>
      <w:instrText xml:space="preserve"> PAGE </w:instrText>
    </w:r>
    <w:r w:rsidRPr="00C54716">
      <w:rPr>
        <w:rStyle w:val="afa"/>
        <w:rFonts w:ascii="Times New Roman" w:eastAsia="宋体" w:hAnsi="Times New Roman" w:cs="Times New Roman (正文 CS 字体)"/>
      </w:rPr>
      <w:fldChar w:fldCharType="separate"/>
    </w:r>
    <w:r w:rsidRPr="00C54716">
      <w:rPr>
        <w:rStyle w:val="afa"/>
        <w:rFonts w:ascii="Times New Roman" w:eastAsia="宋体" w:hAnsi="Times New Roman" w:cs="Times New Roman (正文 CS 字体)"/>
        <w:noProof/>
      </w:rPr>
      <w:t>I</w:t>
    </w:r>
    <w:r w:rsidRPr="00C54716">
      <w:rPr>
        <w:rStyle w:val="afa"/>
        <w:rFonts w:ascii="Times New Roman" w:eastAsia="宋体" w:hAnsi="Times New Roman" w:cs="Times New Roman (正文 CS 字体)"/>
      </w:rPr>
      <w:fldChar w:fldCharType="end"/>
    </w:r>
  </w:p>
  <w:p w14:paraId="5681B05E" w14:textId="77777777" w:rsidR="00746786" w:rsidRDefault="00746786">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Fonts w:ascii="Times New Roman" w:hAnsi="Times New Roman" w:cs="Times New Roman"/>
      </w:rPr>
      <w:id w:val="1449121243"/>
      <w:docPartObj>
        <w:docPartGallery w:val="Page Numbers (Bottom of Page)"/>
        <w:docPartUnique/>
      </w:docPartObj>
    </w:sdtPr>
    <w:sdtEndPr>
      <w:rPr>
        <w:rStyle w:val="afa"/>
      </w:rPr>
    </w:sdtEndPr>
    <w:sdtContent>
      <w:p w14:paraId="0D90164B" w14:textId="258EA8D1" w:rsidR="00957C0B" w:rsidRPr="00C54716" w:rsidRDefault="00957C0B" w:rsidP="00957C0B">
        <w:pPr>
          <w:pStyle w:val="ad"/>
          <w:framePr w:wrap="none" w:vAnchor="text" w:hAnchor="margin" w:xAlign="center" w:y="1"/>
          <w:rPr>
            <w:rStyle w:val="afa"/>
            <w:rFonts w:ascii="Times New Roman" w:hAnsi="Times New Roman" w:cs="Times New Roman"/>
          </w:rPr>
        </w:pPr>
        <w:r w:rsidRPr="00C54716">
          <w:rPr>
            <w:rStyle w:val="afa"/>
            <w:rFonts w:ascii="Times New Roman" w:hAnsi="Times New Roman" w:cs="Times New Roman"/>
          </w:rPr>
          <w:fldChar w:fldCharType="begin"/>
        </w:r>
        <w:r w:rsidRPr="00C54716">
          <w:rPr>
            <w:rStyle w:val="afa"/>
            <w:rFonts w:ascii="Times New Roman" w:hAnsi="Times New Roman" w:cs="Times New Roman"/>
          </w:rPr>
          <w:instrText xml:space="preserve"> PAGE </w:instrText>
        </w:r>
        <w:r w:rsidRPr="00C54716">
          <w:rPr>
            <w:rStyle w:val="afa"/>
            <w:rFonts w:ascii="Times New Roman" w:hAnsi="Times New Roman" w:cs="Times New Roman"/>
          </w:rPr>
          <w:fldChar w:fldCharType="separate"/>
        </w:r>
        <w:r w:rsidRPr="00C54716">
          <w:rPr>
            <w:rStyle w:val="afa"/>
            <w:rFonts w:ascii="Times New Roman" w:hAnsi="Times New Roman" w:cs="Times New Roman"/>
            <w:noProof/>
          </w:rPr>
          <w:t>2</w:t>
        </w:r>
        <w:r w:rsidRPr="00C54716">
          <w:rPr>
            <w:rStyle w:val="afa"/>
            <w:rFonts w:ascii="Times New Roman" w:hAnsi="Times New Roman" w:cs="Times New Roman"/>
          </w:rPr>
          <w:fldChar w:fldCharType="end"/>
        </w:r>
      </w:p>
    </w:sdtContent>
  </w:sdt>
  <w:p w14:paraId="252B6A0C" w14:textId="77777777" w:rsidR="00957C0B" w:rsidRDefault="00957C0B">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a"/>
      </w:rPr>
      <w:id w:val="930318836"/>
      <w:docPartObj>
        <w:docPartGallery w:val="Page Numbers (Bottom of Page)"/>
        <w:docPartUnique/>
      </w:docPartObj>
    </w:sdtPr>
    <w:sdtEndPr>
      <w:rPr>
        <w:rStyle w:val="afa"/>
      </w:rPr>
    </w:sdtEndPr>
    <w:sdtContent>
      <w:p w14:paraId="349C84A7" w14:textId="67A5541F" w:rsidR="00957C0B" w:rsidRDefault="00957C0B" w:rsidP="00957C0B">
        <w:pPr>
          <w:pStyle w:val="ad"/>
          <w:framePr w:wrap="none" w:vAnchor="text" w:hAnchor="margin" w:xAlign="center" w:y="1"/>
          <w:rPr>
            <w:rStyle w:val="afa"/>
          </w:rPr>
        </w:pPr>
        <w:r w:rsidRPr="00C54716">
          <w:rPr>
            <w:rStyle w:val="afa"/>
            <w:rFonts w:ascii="Times New Roman" w:eastAsia="宋体" w:hAnsi="Times New Roman" w:cs="Times New Roman (正文 CS 字体)"/>
          </w:rPr>
          <w:fldChar w:fldCharType="begin"/>
        </w:r>
        <w:r w:rsidRPr="00C54716">
          <w:rPr>
            <w:rStyle w:val="afa"/>
            <w:rFonts w:ascii="Times New Roman" w:eastAsia="宋体" w:hAnsi="Times New Roman" w:cs="Times New Roman (正文 CS 字体)"/>
          </w:rPr>
          <w:instrText xml:space="preserve"> PAGE </w:instrText>
        </w:r>
        <w:r w:rsidRPr="00C54716">
          <w:rPr>
            <w:rStyle w:val="afa"/>
            <w:rFonts w:ascii="Times New Roman" w:eastAsia="宋体" w:hAnsi="Times New Roman" w:cs="Times New Roman (正文 CS 字体)"/>
          </w:rPr>
          <w:fldChar w:fldCharType="separate"/>
        </w:r>
        <w:r w:rsidRPr="00C54716">
          <w:rPr>
            <w:rStyle w:val="afa"/>
            <w:rFonts w:ascii="Times New Roman" w:eastAsia="宋体" w:hAnsi="Times New Roman" w:cs="Times New Roman (正文 CS 字体)"/>
            <w:noProof/>
          </w:rPr>
          <w:t>I</w:t>
        </w:r>
        <w:r w:rsidRPr="00C54716">
          <w:rPr>
            <w:rStyle w:val="afa"/>
            <w:rFonts w:ascii="Times New Roman" w:eastAsia="宋体" w:hAnsi="Times New Roman" w:cs="Times New Roman (正文 CS 字体)"/>
          </w:rPr>
          <w:fldChar w:fldCharType="end"/>
        </w:r>
      </w:p>
    </w:sdtContent>
  </w:sdt>
  <w:p w14:paraId="328F0AC2" w14:textId="77777777" w:rsidR="00957C0B" w:rsidRDefault="00957C0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F61D" w14:textId="77777777" w:rsidR="00D1663B" w:rsidRDefault="00D1663B" w:rsidP="00C232CD">
      <w:r>
        <w:separator/>
      </w:r>
    </w:p>
  </w:footnote>
  <w:footnote w:type="continuationSeparator" w:id="0">
    <w:p w14:paraId="439B1072" w14:textId="77777777" w:rsidR="00D1663B" w:rsidRDefault="00D1663B" w:rsidP="00C232CD">
      <w:r>
        <w:continuationSeparator/>
      </w:r>
    </w:p>
  </w:footnote>
  <w:footnote w:id="1">
    <w:p w14:paraId="6DA48D47" w14:textId="77777777" w:rsidR="00746786" w:rsidRPr="00C743DA" w:rsidRDefault="00746786" w:rsidP="00746786">
      <w:pPr>
        <w:autoSpaceDE w:val="0"/>
        <w:autoSpaceDN w:val="0"/>
        <w:snapToGrid w:val="0"/>
        <w:rPr>
          <w:rFonts w:ascii="Times New Roman" w:hAnsi="Times New Roman"/>
          <w:szCs w:val="21"/>
        </w:rPr>
      </w:pPr>
      <w:r w:rsidRPr="00547D2E">
        <w:rPr>
          <w:rStyle w:val="af4"/>
          <w:rFonts w:ascii="Times New Roman" w:hAnsi="Times New Roman"/>
          <w:szCs w:val="21"/>
        </w:rPr>
        <w:footnoteRef/>
      </w:r>
      <w:r w:rsidRPr="00547D2E">
        <w:rPr>
          <w:rFonts w:ascii="Times New Roman" w:hAnsi="Times New Roman"/>
          <w:szCs w:val="21"/>
        </w:rPr>
        <w:t xml:space="preserve"> The concept that a director possesses relatively many channels of communication or resource exchange is measured by degree centrality; The concept that a director lies on relatively more paths between pairs of other directors is measured by betweenness centrality; The concept that a director possesses relatively closer ties to other directors is measured by closeness centrality. The computation of degree, betweenness and closeness centrality is explained in “</w:t>
      </w:r>
      <w:r>
        <w:rPr>
          <w:rFonts w:ascii="Times New Roman" w:hAnsi="Times New Roman"/>
          <w:szCs w:val="21"/>
        </w:rPr>
        <w:t>Sample</w:t>
      </w:r>
      <w:r w:rsidRPr="00F143AD">
        <w:rPr>
          <w:rFonts w:ascii="Times New Roman" w:hAnsi="Times New Roman"/>
          <w:szCs w:val="21"/>
        </w:rPr>
        <w:t xml:space="preserve"> </w:t>
      </w:r>
      <w:r>
        <w:rPr>
          <w:rFonts w:ascii="Times New Roman" w:hAnsi="Times New Roman"/>
          <w:szCs w:val="21"/>
        </w:rPr>
        <w:t>and Research Design</w:t>
      </w:r>
      <w:r w:rsidRPr="00547D2E">
        <w:rPr>
          <w:rFonts w:ascii="Times New Roman" w:hAnsi="Times New Roman"/>
          <w:szCs w:val="21"/>
        </w:rPr>
        <w:t>”</w:t>
      </w:r>
      <w:r>
        <w:rPr>
          <w:rFonts w:ascii="Times New Roman" w:hAnsi="Times New Roman"/>
          <w:szCs w:val="21"/>
        </w:rPr>
        <w:t xml:space="preserve"> </w:t>
      </w:r>
      <w:r w:rsidRPr="00547D2E">
        <w:rPr>
          <w:rFonts w:ascii="Times New Roman" w:hAnsi="Times New Roman"/>
          <w:szCs w:val="21"/>
        </w:rPr>
        <w:t>section.</w:t>
      </w:r>
    </w:p>
  </w:footnote>
  <w:footnote w:id="2">
    <w:p w14:paraId="0E5C3B74" w14:textId="5C007CFA" w:rsidR="00746786" w:rsidRPr="00B16C7D" w:rsidRDefault="00746786" w:rsidP="00746786">
      <w:pPr>
        <w:pStyle w:val="af"/>
        <w:jc w:val="both"/>
        <w:rPr>
          <w:rFonts w:ascii="Times New Roman" w:hAnsi="Times New Roman"/>
          <w:sz w:val="21"/>
          <w:szCs w:val="21"/>
        </w:rPr>
      </w:pPr>
      <w:r w:rsidRPr="00B16C7D">
        <w:rPr>
          <w:rStyle w:val="af4"/>
          <w:rFonts w:ascii="Times New Roman" w:hAnsi="Times New Roman"/>
          <w:sz w:val="21"/>
          <w:szCs w:val="21"/>
        </w:rPr>
        <w:footnoteRef/>
      </w:r>
      <w:r w:rsidRPr="00B16C7D">
        <w:rPr>
          <w:rFonts w:ascii="Times New Roman" w:hAnsi="Times New Roman"/>
          <w:sz w:val="21"/>
          <w:szCs w:val="21"/>
        </w:rPr>
        <w:t xml:space="preserve"> </w:t>
      </w:r>
      <w:r>
        <w:rPr>
          <w:rFonts w:ascii="Times New Roman" w:hAnsi="Times New Roman"/>
          <w:sz w:val="21"/>
          <w:szCs w:val="21"/>
        </w:rPr>
        <w:t>I</w:t>
      </w:r>
      <w:r w:rsidRPr="00B16C7D">
        <w:rPr>
          <w:rFonts w:ascii="Times New Roman" w:hAnsi="Times New Roman"/>
          <w:sz w:val="21"/>
          <w:szCs w:val="21"/>
        </w:rPr>
        <w:t xml:space="preserve">n </w:t>
      </w:r>
      <w:r>
        <w:rPr>
          <w:rFonts w:ascii="Times New Roman" w:hAnsi="Times New Roman"/>
          <w:sz w:val="21"/>
          <w:szCs w:val="21"/>
        </w:rPr>
        <w:t>November</w:t>
      </w:r>
      <w:r w:rsidRPr="00B16C7D">
        <w:rPr>
          <w:rFonts w:ascii="Times New Roman" w:hAnsi="Times New Roman"/>
          <w:sz w:val="21"/>
          <w:szCs w:val="21"/>
        </w:rPr>
        <w:t xml:space="preserve"> </w:t>
      </w:r>
      <w:r w:rsidRPr="00EB03B2">
        <w:rPr>
          <w:rFonts w:ascii="Times New Roman" w:hAnsi="Times New Roman"/>
          <w:color w:val="000000" w:themeColor="text1"/>
          <w:sz w:val="21"/>
          <w:szCs w:val="21"/>
        </w:rPr>
        <w:t xml:space="preserve">2021, China </w:t>
      </w:r>
      <w:r w:rsidR="000F7176" w:rsidRPr="00EB03B2">
        <w:rPr>
          <w:rFonts w:ascii="Times New Roman" w:hAnsi="Times New Roman" w:hint="eastAsia"/>
          <w:color w:val="000000" w:themeColor="text1"/>
          <w:sz w:val="21"/>
          <w:szCs w:val="21"/>
        </w:rPr>
        <w:t>Mainland</w:t>
      </w:r>
      <w:r w:rsidR="000F7176" w:rsidRPr="00EB03B2">
        <w:rPr>
          <w:rFonts w:ascii="Times New Roman" w:hAnsi="Times New Roman"/>
          <w:color w:val="000000" w:themeColor="text1"/>
          <w:sz w:val="21"/>
          <w:szCs w:val="21"/>
        </w:rPr>
        <w:t xml:space="preserve"> </w:t>
      </w:r>
      <w:r w:rsidRPr="00EB03B2">
        <w:rPr>
          <w:rFonts w:ascii="Times New Roman" w:hAnsi="Times New Roman"/>
          <w:color w:val="000000" w:themeColor="text1"/>
          <w:sz w:val="21"/>
          <w:szCs w:val="21"/>
        </w:rPr>
        <w:t>launc</w:t>
      </w:r>
      <w:r>
        <w:rPr>
          <w:rFonts w:ascii="Times New Roman" w:hAnsi="Times New Roman"/>
          <w:sz w:val="21"/>
          <w:szCs w:val="21"/>
        </w:rPr>
        <w:t>hed its</w:t>
      </w:r>
      <w:r w:rsidRPr="00B16C7D">
        <w:rPr>
          <w:rFonts w:ascii="Times New Roman" w:hAnsi="Times New Roman"/>
          <w:sz w:val="21"/>
          <w:szCs w:val="21"/>
        </w:rPr>
        <w:t xml:space="preserve"> third stock exchange in Beijing.</w:t>
      </w:r>
    </w:p>
  </w:footnote>
  <w:footnote w:id="3">
    <w:p w14:paraId="543BCBC8" w14:textId="77777777" w:rsidR="00D83C35" w:rsidRPr="002B25CA" w:rsidRDefault="00D83C35" w:rsidP="00D83C35">
      <w:pPr>
        <w:pStyle w:val="af"/>
        <w:jc w:val="both"/>
        <w:rPr>
          <w:rFonts w:ascii="Times New Roman" w:hAnsi="Times New Roman"/>
          <w:color w:val="0432FF"/>
          <w:sz w:val="21"/>
          <w:szCs w:val="21"/>
        </w:rPr>
      </w:pPr>
      <w:r w:rsidRPr="00227A52">
        <w:rPr>
          <w:rStyle w:val="af4"/>
          <w:rFonts w:ascii="Times New Roman" w:hAnsi="Times New Roman" w:cs="Times New Roman"/>
          <w:color w:val="000000" w:themeColor="text1"/>
          <w:sz w:val="21"/>
          <w:szCs w:val="21"/>
        </w:rPr>
        <w:footnoteRef/>
      </w:r>
      <w:r w:rsidRPr="00227A52">
        <w:rPr>
          <w:rFonts w:ascii="Times New Roman" w:hAnsi="Times New Roman" w:cs="Times New Roman"/>
          <w:color w:val="000000" w:themeColor="text1"/>
          <w:sz w:val="21"/>
          <w:szCs w:val="21"/>
        </w:rPr>
        <w:t xml:space="preserve"> P</w:t>
      </w:r>
      <w:r w:rsidRPr="00227A52">
        <w:rPr>
          <w:rFonts w:ascii="Times New Roman" w:hAnsi="Times New Roman"/>
          <w:color w:val="000000" w:themeColor="text1"/>
          <w:sz w:val="21"/>
          <w:szCs w:val="21"/>
        </w:rPr>
        <w:t>leas</w:t>
      </w:r>
      <w:r w:rsidRPr="00227A52">
        <w:rPr>
          <w:rFonts w:ascii="Times New Roman" w:hAnsi="Times New Roman"/>
          <w:color w:val="000000"/>
          <w:sz w:val="21"/>
          <w:szCs w:val="21"/>
        </w:rPr>
        <w:t>e refe</w:t>
      </w:r>
      <w:r w:rsidRPr="00723A09">
        <w:rPr>
          <w:rFonts w:ascii="Times New Roman" w:hAnsi="Times New Roman"/>
          <w:color w:val="000000"/>
          <w:sz w:val="21"/>
          <w:szCs w:val="21"/>
        </w:rPr>
        <w:t>r to http://www. csrc.gov.cn for detailed information on the Code of Corporate Governance for Listed Companies and the Standards for the Content and Form of Information Disclosure by Companies Publicly Offering Securities No. 2- Content and Form of Annual Reports (in Chinese).</w:t>
      </w:r>
    </w:p>
    <w:p w14:paraId="1505AC19" w14:textId="77777777" w:rsidR="00D83C35" w:rsidRDefault="00D83C35" w:rsidP="00D83C35">
      <w:pPr>
        <w:pStyle w:val="af"/>
      </w:pPr>
    </w:p>
  </w:footnote>
  <w:footnote w:id="4">
    <w:p w14:paraId="15A7F8E7" w14:textId="77777777" w:rsidR="00D83C35" w:rsidRDefault="00D83C35" w:rsidP="00D83C35">
      <w:pPr>
        <w:pStyle w:val="af"/>
        <w:jc w:val="both"/>
      </w:pPr>
      <w:r>
        <w:rPr>
          <w:rStyle w:val="af4"/>
        </w:rPr>
        <w:footnoteRef/>
      </w:r>
      <w:r>
        <w:t xml:space="preserve"> </w:t>
      </w:r>
      <w:r w:rsidRPr="00E21233">
        <w:rPr>
          <w:rFonts w:ascii="Times New Roman" w:hAnsi="Times New Roman"/>
          <w:color w:val="000000"/>
          <w:sz w:val="20"/>
          <w:szCs w:val="20"/>
        </w:rPr>
        <w:t>Companies that are key pollutant discharge units announced by the environmental protection department shall disclose environmental information such as the discharge of major pollutants and the construction and operation of pollution prevention facilities. Voluntarily disclosure information on protecting the ecology, and preventing pollution is encouraged.</w:t>
      </w:r>
    </w:p>
  </w:footnote>
  <w:footnote w:id="5">
    <w:p w14:paraId="67910619" w14:textId="77777777" w:rsidR="009B1827" w:rsidRPr="00547D2E" w:rsidRDefault="009B1827" w:rsidP="009B1827">
      <w:pPr>
        <w:pStyle w:val="af"/>
        <w:jc w:val="both"/>
        <w:rPr>
          <w:rFonts w:ascii="Times New Roman" w:hAnsi="Times New Roman"/>
          <w:sz w:val="21"/>
          <w:szCs w:val="21"/>
        </w:rPr>
      </w:pPr>
      <w:r w:rsidRPr="000C0EB7">
        <w:rPr>
          <w:rStyle w:val="af4"/>
          <w:rFonts w:ascii="Times New Roman" w:hAnsi="Times New Roman"/>
          <w:color w:val="000000"/>
          <w:sz w:val="21"/>
          <w:szCs w:val="21"/>
        </w:rPr>
        <w:footnoteRef/>
      </w:r>
      <w:r w:rsidRPr="000C0EB7">
        <w:rPr>
          <w:rFonts w:ascii="Times New Roman" w:hAnsi="Times New Roman"/>
          <w:color w:val="000000"/>
          <w:sz w:val="21"/>
          <w:szCs w:val="21"/>
        </w:rPr>
        <w:t xml:space="preserve"> The need for social </w:t>
      </w:r>
      <w:r w:rsidRPr="009D0BB8">
        <w:rPr>
          <w:rFonts w:ascii="Times New Roman" w:hAnsi="Times New Roman"/>
          <w:color w:val="000000"/>
          <w:sz w:val="21"/>
          <w:szCs w:val="21"/>
        </w:rPr>
        <w:t xml:space="preserve">recognition </w:t>
      </w:r>
      <w:r w:rsidRPr="000C0EB7">
        <w:rPr>
          <w:rFonts w:ascii="Times New Roman" w:hAnsi="Times New Roman"/>
          <w:color w:val="000000"/>
          <w:sz w:val="21"/>
          <w:szCs w:val="21"/>
        </w:rPr>
        <w:t>is defined as an individual’s desire to be recognized in a social group or organization by his or her engagement in social activities (Lin et al., 2008).</w:t>
      </w:r>
    </w:p>
  </w:footnote>
  <w:footnote w:id="6">
    <w:p w14:paraId="4DD36276" w14:textId="77777777" w:rsidR="00746786" w:rsidRPr="00BF7F54" w:rsidRDefault="00746786" w:rsidP="00746786">
      <w:pPr>
        <w:pStyle w:val="af"/>
        <w:jc w:val="both"/>
        <w:rPr>
          <w:rFonts w:ascii="Times New Roman" w:hAnsi="Times New Roman"/>
          <w:sz w:val="21"/>
          <w:szCs w:val="21"/>
        </w:rPr>
      </w:pPr>
      <w:r w:rsidRPr="00BF7F54">
        <w:rPr>
          <w:rStyle w:val="af4"/>
          <w:rFonts w:ascii="Times New Roman" w:hAnsi="Times New Roman"/>
          <w:sz w:val="21"/>
          <w:szCs w:val="21"/>
        </w:rPr>
        <w:footnoteRef/>
      </w:r>
      <w:r w:rsidRPr="00BF7F54">
        <w:rPr>
          <w:rFonts w:ascii="Times New Roman" w:hAnsi="Times New Roman"/>
          <w:sz w:val="21"/>
          <w:szCs w:val="21"/>
        </w:rPr>
        <w:t xml:space="preserve"> Due to the lag of one year in the release of corporate social responsibility report, we made an adjustment of CSR data. The year in this paper means the year CSR report belongs to, rather than the year CSR report is published. For example, the CSR report in 2010 was published in 2011.</w:t>
      </w:r>
    </w:p>
  </w:footnote>
  <w:footnote w:id="7">
    <w:p w14:paraId="417519F1" w14:textId="77777777" w:rsidR="00746786" w:rsidRPr="00BF7F54" w:rsidRDefault="00746786" w:rsidP="00746786">
      <w:pPr>
        <w:pStyle w:val="af"/>
        <w:jc w:val="both"/>
        <w:rPr>
          <w:rFonts w:ascii="Times New Roman" w:eastAsia="宋体" w:hAnsi="Times New Roman"/>
          <w:sz w:val="21"/>
          <w:szCs w:val="21"/>
        </w:rPr>
      </w:pPr>
      <w:r w:rsidRPr="00BF7F54">
        <w:rPr>
          <w:rStyle w:val="af4"/>
          <w:rFonts w:ascii="Times New Roman" w:eastAsia="宋体" w:hAnsi="Times New Roman"/>
          <w:sz w:val="21"/>
          <w:szCs w:val="21"/>
        </w:rPr>
        <w:footnoteRef/>
      </w:r>
      <w:r w:rsidRPr="00BF7F54">
        <w:rPr>
          <w:rFonts w:ascii="Times New Roman" w:eastAsia="宋体" w:hAnsi="Times New Roman"/>
          <w:sz w:val="21"/>
          <w:szCs w:val="21"/>
        </w:rPr>
        <w:t xml:space="preserve"> That means for a given quantile limit (such as 1%), the part that exceeds the upper and lower bounds is replaced by a quantile.</w:t>
      </w:r>
    </w:p>
  </w:footnote>
  <w:footnote w:id="8">
    <w:p w14:paraId="4470FA8F" w14:textId="3A9B39C7" w:rsidR="00746786" w:rsidRPr="00547D2E" w:rsidRDefault="00746786" w:rsidP="00746786">
      <w:pPr>
        <w:pStyle w:val="af"/>
        <w:jc w:val="both"/>
        <w:rPr>
          <w:rFonts w:ascii="Times New Roman" w:hAnsi="Times New Roman"/>
          <w:sz w:val="21"/>
          <w:szCs w:val="21"/>
        </w:rPr>
      </w:pPr>
      <w:r w:rsidRPr="00547D2E">
        <w:rPr>
          <w:rStyle w:val="af4"/>
          <w:rFonts w:ascii="Times New Roman" w:hAnsi="Times New Roman"/>
          <w:sz w:val="21"/>
          <w:szCs w:val="21"/>
        </w:rPr>
        <w:footnoteRef/>
      </w:r>
      <w:r w:rsidRPr="00547D2E">
        <w:rPr>
          <w:rFonts w:ascii="Times New Roman" w:hAnsi="Times New Roman"/>
          <w:sz w:val="21"/>
          <w:szCs w:val="21"/>
        </w:rPr>
        <w:t xml:space="preserve"> The 14 level-2 indicators of RKS’ CSR reports ranking system are grouped as follows: Macrocosm includes strategy and governance. Content includes </w:t>
      </w:r>
      <w:r>
        <w:rPr>
          <w:rFonts w:ascii="Times New Roman" w:hAnsi="Times New Roman"/>
          <w:sz w:val="21"/>
          <w:szCs w:val="21"/>
        </w:rPr>
        <w:t>e</w:t>
      </w:r>
      <w:r w:rsidRPr="00547D2E">
        <w:rPr>
          <w:rFonts w:ascii="Times New Roman" w:hAnsi="Times New Roman"/>
          <w:sz w:val="21"/>
          <w:szCs w:val="21"/>
        </w:rPr>
        <w:t xml:space="preserve">conomic performance, </w:t>
      </w:r>
      <w:proofErr w:type="spellStart"/>
      <w:r>
        <w:rPr>
          <w:rFonts w:ascii="Times New Roman" w:hAnsi="Times New Roman"/>
          <w:sz w:val="21"/>
          <w:szCs w:val="21"/>
        </w:rPr>
        <w:t>l</w:t>
      </w:r>
      <w:r w:rsidRPr="00547D2E">
        <w:rPr>
          <w:rFonts w:ascii="Times New Roman" w:hAnsi="Times New Roman"/>
          <w:sz w:val="21"/>
          <w:szCs w:val="21"/>
        </w:rPr>
        <w:t>abour</w:t>
      </w:r>
      <w:proofErr w:type="spellEnd"/>
      <w:r w:rsidRPr="00547D2E">
        <w:rPr>
          <w:rFonts w:ascii="Times New Roman" w:hAnsi="Times New Roman"/>
          <w:sz w:val="21"/>
          <w:szCs w:val="21"/>
        </w:rPr>
        <w:t xml:space="preserve"> and human rights, </w:t>
      </w:r>
      <w:r>
        <w:rPr>
          <w:rFonts w:ascii="Times New Roman" w:hAnsi="Times New Roman"/>
          <w:sz w:val="21"/>
          <w:szCs w:val="21"/>
        </w:rPr>
        <w:t>e</w:t>
      </w:r>
      <w:r w:rsidRPr="00547D2E">
        <w:rPr>
          <w:rFonts w:ascii="Times New Roman" w:hAnsi="Times New Roman"/>
          <w:sz w:val="21"/>
          <w:szCs w:val="21"/>
        </w:rPr>
        <w:t xml:space="preserve">nvironment, </w:t>
      </w:r>
      <w:r>
        <w:rPr>
          <w:rFonts w:ascii="Times New Roman" w:hAnsi="Times New Roman"/>
          <w:sz w:val="21"/>
          <w:szCs w:val="21"/>
        </w:rPr>
        <w:t>f</w:t>
      </w:r>
      <w:r w:rsidRPr="00547D2E">
        <w:rPr>
          <w:rFonts w:ascii="Times New Roman" w:hAnsi="Times New Roman"/>
          <w:sz w:val="21"/>
          <w:szCs w:val="21"/>
        </w:rPr>
        <w:t xml:space="preserve">air operation, </w:t>
      </w:r>
      <w:r>
        <w:rPr>
          <w:rFonts w:ascii="Times New Roman" w:hAnsi="Times New Roman"/>
          <w:sz w:val="21"/>
          <w:szCs w:val="21"/>
        </w:rPr>
        <w:t>c</w:t>
      </w:r>
      <w:r w:rsidRPr="00547D2E">
        <w:rPr>
          <w:rFonts w:ascii="Times New Roman" w:hAnsi="Times New Roman"/>
          <w:sz w:val="21"/>
          <w:szCs w:val="21"/>
        </w:rPr>
        <w:t xml:space="preserve">onsumers and </w:t>
      </w:r>
      <w:r>
        <w:rPr>
          <w:rFonts w:ascii="Times New Roman" w:hAnsi="Times New Roman"/>
          <w:sz w:val="21"/>
          <w:szCs w:val="21"/>
        </w:rPr>
        <w:t>c</w:t>
      </w:r>
      <w:r w:rsidRPr="00547D2E">
        <w:rPr>
          <w:rFonts w:ascii="Times New Roman" w:hAnsi="Times New Roman"/>
          <w:sz w:val="21"/>
          <w:szCs w:val="21"/>
        </w:rPr>
        <w:t xml:space="preserve">ommunity engagement and development. Technical includes </w:t>
      </w:r>
      <w:r>
        <w:rPr>
          <w:rFonts w:ascii="Times New Roman" w:hAnsi="Times New Roman"/>
          <w:sz w:val="21"/>
          <w:szCs w:val="21"/>
        </w:rPr>
        <w:t>c</w:t>
      </w:r>
      <w:r w:rsidRPr="00547D2E">
        <w:rPr>
          <w:rFonts w:ascii="Times New Roman" w:hAnsi="Times New Roman"/>
          <w:sz w:val="21"/>
          <w:szCs w:val="21"/>
        </w:rPr>
        <w:t xml:space="preserve">ontent of the balance, </w:t>
      </w:r>
      <w:r>
        <w:rPr>
          <w:rFonts w:ascii="Times New Roman" w:hAnsi="Times New Roman"/>
          <w:sz w:val="21"/>
          <w:szCs w:val="21"/>
        </w:rPr>
        <w:t>i</w:t>
      </w:r>
      <w:r w:rsidRPr="00547D2E">
        <w:rPr>
          <w:rFonts w:ascii="Times New Roman" w:hAnsi="Times New Roman"/>
          <w:sz w:val="21"/>
          <w:szCs w:val="21"/>
        </w:rPr>
        <w:t xml:space="preserve">nformation comparability, </w:t>
      </w:r>
      <w:r>
        <w:rPr>
          <w:rFonts w:ascii="Times New Roman" w:hAnsi="Times New Roman"/>
          <w:sz w:val="21"/>
          <w:szCs w:val="21"/>
        </w:rPr>
        <w:t>r</w:t>
      </w:r>
      <w:r w:rsidRPr="00547D2E">
        <w:rPr>
          <w:rFonts w:ascii="Times New Roman" w:hAnsi="Times New Roman"/>
          <w:sz w:val="21"/>
          <w:szCs w:val="21"/>
        </w:rPr>
        <w:t xml:space="preserve">eport on innovation, </w:t>
      </w:r>
      <w:r>
        <w:rPr>
          <w:rFonts w:ascii="Times New Roman" w:hAnsi="Times New Roman"/>
          <w:sz w:val="21"/>
          <w:szCs w:val="21"/>
        </w:rPr>
        <w:t>c</w:t>
      </w:r>
      <w:r w:rsidRPr="00547D2E">
        <w:rPr>
          <w:rFonts w:ascii="Times New Roman" w:hAnsi="Times New Roman"/>
          <w:sz w:val="21"/>
          <w:szCs w:val="21"/>
        </w:rPr>
        <w:t xml:space="preserve">redibility and transparency, </w:t>
      </w:r>
      <w:r>
        <w:rPr>
          <w:rFonts w:ascii="Times New Roman" w:hAnsi="Times New Roman"/>
          <w:sz w:val="21"/>
          <w:szCs w:val="21"/>
        </w:rPr>
        <w:t>n</w:t>
      </w:r>
      <w:r w:rsidRPr="00547D2E">
        <w:rPr>
          <w:rFonts w:ascii="Times New Roman" w:hAnsi="Times New Roman"/>
          <w:sz w:val="21"/>
          <w:szCs w:val="21"/>
        </w:rPr>
        <w:t xml:space="preserve">ormative and </w:t>
      </w:r>
      <w:r>
        <w:rPr>
          <w:rFonts w:ascii="Times New Roman" w:hAnsi="Times New Roman"/>
          <w:sz w:val="21"/>
          <w:szCs w:val="21"/>
        </w:rPr>
        <w:t>a</w:t>
      </w:r>
      <w:r w:rsidRPr="00547D2E">
        <w:rPr>
          <w:rFonts w:ascii="Times New Roman" w:hAnsi="Times New Roman"/>
          <w:sz w:val="21"/>
          <w:szCs w:val="21"/>
        </w:rPr>
        <w:t>vailability and effectiveness of information delivery. Please refer to http://www.rksratings.cn/list-704-1.html for detailed information (</w:t>
      </w:r>
      <w:r w:rsidR="004333C1">
        <w:rPr>
          <w:rFonts w:ascii="Times New Roman" w:hAnsi="Times New Roman"/>
          <w:sz w:val="21"/>
          <w:szCs w:val="21"/>
        </w:rPr>
        <w:t>i</w:t>
      </w:r>
      <w:r w:rsidRPr="00547D2E">
        <w:rPr>
          <w:rFonts w:ascii="Times New Roman" w:hAnsi="Times New Roman"/>
          <w:sz w:val="21"/>
          <w:szCs w:val="21"/>
        </w:rPr>
        <w:t>n Chinese).</w:t>
      </w:r>
    </w:p>
    <w:p w14:paraId="3D4908C8" w14:textId="77777777" w:rsidR="00746786" w:rsidRPr="0081500D" w:rsidRDefault="00746786" w:rsidP="00746786">
      <w:pPr>
        <w:pStyle w:val="af"/>
        <w:rPr>
          <w:rFonts w:ascii="Times New Roman" w:hAnsi="Times New Roman"/>
        </w:rPr>
      </w:pPr>
    </w:p>
  </w:footnote>
  <w:footnote w:id="9">
    <w:p w14:paraId="35E2A96A" w14:textId="77777777" w:rsidR="00746786" w:rsidRPr="004F6FCA" w:rsidRDefault="00746786" w:rsidP="00746786">
      <w:pPr>
        <w:pStyle w:val="af"/>
        <w:jc w:val="both"/>
        <w:rPr>
          <w:rFonts w:ascii="Times New Roman" w:hAnsi="Times New Roman"/>
          <w:sz w:val="21"/>
          <w:szCs w:val="21"/>
        </w:rPr>
      </w:pPr>
      <w:r w:rsidRPr="004F6FCA">
        <w:rPr>
          <w:rStyle w:val="af4"/>
          <w:rFonts w:ascii="Times New Roman" w:hAnsi="Times New Roman"/>
          <w:sz w:val="21"/>
          <w:szCs w:val="21"/>
        </w:rPr>
        <w:footnoteRef/>
      </w:r>
      <w:r w:rsidRPr="004F6FCA">
        <w:rPr>
          <w:rFonts w:ascii="Times New Roman" w:hAnsi="Times New Roman"/>
          <w:sz w:val="21"/>
          <w:szCs w:val="21"/>
        </w:rPr>
        <w:t xml:space="preserve"> To address the endogeneity issue, </w:t>
      </w:r>
      <w:r>
        <w:rPr>
          <w:rFonts w:ascii="Times New Roman" w:hAnsi="Times New Roman"/>
          <w:sz w:val="21"/>
          <w:szCs w:val="21"/>
        </w:rPr>
        <w:t>this baseline model</w:t>
      </w:r>
      <w:r w:rsidRPr="004F6FCA">
        <w:rPr>
          <w:rFonts w:ascii="Times New Roman" w:hAnsi="Times New Roman"/>
          <w:sz w:val="21"/>
          <w:szCs w:val="21"/>
        </w:rPr>
        <w:t xml:space="preserve"> </w:t>
      </w:r>
      <w:r>
        <w:rPr>
          <w:rFonts w:ascii="Times New Roman" w:hAnsi="Times New Roman"/>
          <w:sz w:val="21"/>
          <w:szCs w:val="21"/>
        </w:rPr>
        <w:t>is</w:t>
      </w:r>
      <w:r w:rsidRPr="004F6FCA">
        <w:rPr>
          <w:rFonts w:ascii="Times New Roman" w:hAnsi="Times New Roman"/>
          <w:sz w:val="21"/>
          <w:szCs w:val="21"/>
        </w:rPr>
        <w:t xml:space="preserve"> </w:t>
      </w:r>
      <w:proofErr w:type="spellStart"/>
      <w:r w:rsidRPr="004F6FCA">
        <w:rPr>
          <w:rFonts w:ascii="Times New Roman" w:hAnsi="Times New Roman"/>
          <w:sz w:val="21"/>
          <w:szCs w:val="21"/>
        </w:rPr>
        <w:t>estamted</w:t>
      </w:r>
      <w:proofErr w:type="spellEnd"/>
      <w:r w:rsidRPr="004F6FCA">
        <w:rPr>
          <w:rFonts w:ascii="Times New Roman" w:hAnsi="Times New Roman"/>
          <w:sz w:val="21"/>
          <w:szCs w:val="21"/>
        </w:rPr>
        <w:t xml:space="preserve"> using two-stage least squares. Details of two-stage least squares are presented in the section of “Endogeneity of Directors’ Network and CSR Disclosure Quality”</w:t>
      </w:r>
      <w:r>
        <w:rPr>
          <w:rFonts w:ascii="Times New Roman" w:hAnsi="Times New Roman"/>
          <w:sz w:val="21"/>
          <w:szCs w:val="21"/>
        </w:rPr>
        <w:t xml:space="preserve"> combined with other regression models</w:t>
      </w:r>
      <w:r w:rsidRPr="004F6FCA">
        <w:rPr>
          <w:rFonts w:ascii="Times New Roman" w:hAnsi="Times New Roman"/>
          <w:sz w:val="21"/>
          <w:szCs w:val="21"/>
        </w:rPr>
        <w:t>.</w:t>
      </w:r>
    </w:p>
  </w:footnote>
  <w:footnote w:id="10">
    <w:p w14:paraId="6FDCE831" w14:textId="77777777" w:rsidR="00555FD9" w:rsidRPr="00934126" w:rsidRDefault="00555FD9" w:rsidP="00555FD9">
      <w:pPr>
        <w:pStyle w:val="af"/>
        <w:jc w:val="both"/>
        <w:rPr>
          <w:rFonts w:ascii="Times New Roman" w:hAnsi="Times New Roman"/>
          <w:sz w:val="21"/>
          <w:szCs w:val="21"/>
        </w:rPr>
      </w:pPr>
      <w:r w:rsidRPr="00934126">
        <w:rPr>
          <w:rStyle w:val="af4"/>
          <w:rFonts w:ascii="Times New Roman" w:hAnsi="Times New Roman"/>
          <w:sz w:val="21"/>
          <w:szCs w:val="21"/>
        </w:rPr>
        <w:footnoteRef/>
      </w:r>
      <w:r w:rsidRPr="00934126">
        <w:rPr>
          <w:rFonts w:ascii="Times New Roman" w:hAnsi="Times New Roman"/>
          <w:sz w:val="21"/>
          <w:szCs w:val="21"/>
        </w:rPr>
        <w:t xml:space="preserve"> Kaplan and Zingales’s (1997) index measured at the end of fiscal year t, calculated as minus 1.002 × cash flow plus 0.283 × Tobin’s Q plus 3.139 × leverage minus 39.36 × dividends minus 1.315 × cash holdings.</w:t>
      </w:r>
    </w:p>
  </w:footnote>
  <w:footnote w:id="11">
    <w:p w14:paraId="55F07DF4" w14:textId="77777777" w:rsidR="00E72A9B" w:rsidRPr="009A6DB9" w:rsidRDefault="00E72A9B" w:rsidP="00E72A9B">
      <w:pPr>
        <w:pStyle w:val="af"/>
        <w:jc w:val="both"/>
        <w:rPr>
          <w:rFonts w:ascii="Times New Roman" w:hAnsi="Times New Roman"/>
          <w:sz w:val="21"/>
          <w:szCs w:val="21"/>
        </w:rPr>
      </w:pPr>
      <w:r w:rsidRPr="009A6DB9">
        <w:rPr>
          <w:rStyle w:val="af4"/>
          <w:rFonts w:ascii="Times New Roman" w:hAnsi="Times New Roman"/>
          <w:sz w:val="21"/>
          <w:szCs w:val="21"/>
        </w:rPr>
        <w:footnoteRef/>
      </w:r>
      <w:r w:rsidRPr="009A6DB9">
        <w:rPr>
          <w:rFonts w:ascii="Times New Roman" w:hAnsi="Times New Roman"/>
          <w:sz w:val="21"/>
          <w:szCs w:val="21"/>
        </w:rPr>
        <w:t xml:space="preserve"> In Norway and Spain, 40% of gender quota was allocated for female. In France, there was a rule that the proportion of female directors should not be lower than 40% by the year 2017 (</w:t>
      </w:r>
      <w:proofErr w:type="spellStart"/>
      <w:r w:rsidRPr="009A6DB9">
        <w:rPr>
          <w:rFonts w:ascii="Times New Roman" w:hAnsi="Times New Roman"/>
          <w:sz w:val="21"/>
          <w:szCs w:val="21"/>
        </w:rPr>
        <w:t>Katmon</w:t>
      </w:r>
      <w:proofErr w:type="spellEnd"/>
      <w:r w:rsidRPr="009A6DB9">
        <w:rPr>
          <w:rFonts w:ascii="Times New Roman" w:hAnsi="Times New Roman"/>
          <w:sz w:val="21"/>
          <w:szCs w:val="21"/>
        </w:rPr>
        <w:t xml:space="preserve"> et al., 2017). The Australian Institute of Company Directors once targeted 30% female board representations by the end of 2018, and the Japan Prime Minister once set a goal of increasing the percentage of female in executive positions in the country’s companies to more than 30% by year 2020 (</w:t>
      </w:r>
      <w:proofErr w:type="spellStart"/>
      <w:r w:rsidRPr="009A6DB9">
        <w:rPr>
          <w:rFonts w:ascii="Times New Roman" w:hAnsi="Times New Roman"/>
          <w:sz w:val="21"/>
          <w:szCs w:val="21"/>
        </w:rPr>
        <w:t>Katmon</w:t>
      </w:r>
      <w:proofErr w:type="spellEnd"/>
      <w:r w:rsidRPr="009A6DB9">
        <w:rPr>
          <w:rFonts w:ascii="Times New Roman" w:hAnsi="Times New Roman"/>
          <w:sz w:val="21"/>
          <w:szCs w:val="21"/>
        </w:rPr>
        <w:t xml:space="preserve"> et al., 2017).</w:t>
      </w:r>
    </w:p>
  </w:footnote>
  <w:footnote w:id="12">
    <w:p w14:paraId="061CEC5C" w14:textId="16A74B20" w:rsidR="00E72A9B" w:rsidRPr="00040F02" w:rsidRDefault="00E72A9B" w:rsidP="00E72A9B">
      <w:pPr>
        <w:pStyle w:val="af"/>
        <w:jc w:val="both"/>
        <w:rPr>
          <w:rFonts w:ascii="Times New Roman" w:hAnsi="Times New Roman"/>
          <w:sz w:val="21"/>
          <w:szCs w:val="21"/>
        </w:rPr>
      </w:pPr>
      <w:r w:rsidRPr="001F7B2C">
        <w:rPr>
          <w:rStyle w:val="af4"/>
          <w:rFonts w:ascii="Times New Roman" w:hAnsi="Times New Roman"/>
          <w:color w:val="000000" w:themeColor="text1"/>
          <w:sz w:val="21"/>
          <w:szCs w:val="21"/>
        </w:rPr>
        <w:footnoteRef/>
      </w:r>
      <w:r w:rsidRPr="001F7B2C">
        <w:rPr>
          <w:rFonts w:ascii="Times New Roman" w:hAnsi="Times New Roman"/>
          <w:color w:val="000000" w:themeColor="text1"/>
          <w:sz w:val="21"/>
          <w:szCs w:val="21"/>
        </w:rPr>
        <w:t xml:space="preserve"> Please refer to http://www.csrc.gov.cn.html for detailed information (</w:t>
      </w:r>
      <w:r w:rsidR="004333C1">
        <w:rPr>
          <w:rFonts w:ascii="Times New Roman" w:hAnsi="Times New Roman"/>
          <w:color w:val="000000" w:themeColor="text1"/>
          <w:sz w:val="21"/>
          <w:szCs w:val="21"/>
        </w:rPr>
        <w:t>i</w:t>
      </w:r>
      <w:r w:rsidRPr="001F7B2C">
        <w:rPr>
          <w:rFonts w:ascii="Times New Roman" w:hAnsi="Times New Roman"/>
          <w:color w:val="000000" w:themeColor="text1"/>
          <w:sz w:val="21"/>
          <w:szCs w:val="21"/>
        </w:rPr>
        <w:t>n Chinese).</w:t>
      </w:r>
    </w:p>
  </w:footnote>
  <w:footnote w:id="13">
    <w:p w14:paraId="1EA43C6C" w14:textId="2D59B0BB" w:rsidR="00E72A9B" w:rsidRPr="002E7F6A" w:rsidRDefault="00E72A9B" w:rsidP="00E72A9B">
      <w:pPr>
        <w:pStyle w:val="af"/>
        <w:jc w:val="both"/>
        <w:rPr>
          <w:rFonts w:ascii="Times New Roman" w:eastAsia="宋体" w:hAnsi="Times New Roman"/>
          <w:sz w:val="21"/>
          <w:szCs w:val="21"/>
        </w:rPr>
      </w:pPr>
      <w:r w:rsidRPr="00865F1E">
        <w:rPr>
          <w:rStyle w:val="af4"/>
          <w:rFonts w:ascii="Times New Roman" w:hAnsi="Times New Roman"/>
          <w:sz w:val="21"/>
          <w:szCs w:val="21"/>
        </w:rPr>
        <w:footnoteRef/>
      </w:r>
      <w:r w:rsidRPr="00865F1E">
        <w:rPr>
          <w:rFonts w:ascii="Times New Roman" w:eastAsia="宋体" w:hAnsi="Times New Roman"/>
          <w:sz w:val="21"/>
          <w:szCs w:val="21"/>
        </w:rPr>
        <w:t xml:space="preserve"> </w:t>
      </w:r>
      <w:r>
        <w:rPr>
          <w:rFonts w:ascii="Times New Roman" w:eastAsia="宋体" w:hAnsi="Times New Roman"/>
          <w:sz w:val="21"/>
          <w:szCs w:val="21"/>
        </w:rPr>
        <w:t>I</w:t>
      </w:r>
      <w:r w:rsidRPr="00865F1E">
        <w:rPr>
          <w:rFonts w:ascii="Times New Roman" w:eastAsia="宋体" w:hAnsi="Times New Roman"/>
          <w:sz w:val="21"/>
          <w:szCs w:val="21"/>
        </w:rPr>
        <w:t>n the following</w:t>
      </w:r>
      <w:r>
        <w:rPr>
          <w:rFonts w:ascii="Times New Roman" w:eastAsia="宋体" w:hAnsi="Times New Roman"/>
          <w:sz w:val="21"/>
          <w:szCs w:val="21"/>
        </w:rPr>
        <w:t xml:space="preserve"> 2SLS</w:t>
      </w:r>
      <w:r w:rsidRPr="00865F1E">
        <w:rPr>
          <w:rFonts w:ascii="Times New Roman" w:eastAsia="宋体" w:hAnsi="Times New Roman"/>
          <w:sz w:val="21"/>
          <w:szCs w:val="21"/>
        </w:rPr>
        <w:t xml:space="preserve"> </w:t>
      </w:r>
      <w:r>
        <w:rPr>
          <w:rFonts w:ascii="Times New Roman" w:eastAsia="宋体" w:hAnsi="Times New Roman"/>
          <w:sz w:val="21"/>
          <w:szCs w:val="21"/>
        </w:rPr>
        <w:t>test</w:t>
      </w:r>
      <w:r w:rsidRPr="00865F1E">
        <w:rPr>
          <w:rFonts w:ascii="Times New Roman" w:eastAsia="宋体" w:hAnsi="Times New Roman"/>
          <w:sz w:val="21"/>
          <w:szCs w:val="21"/>
        </w:rPr>
        <w:t>s</w:t>
      </w:r>
      <w:r>
        <w:rPr>
          <w:rFonts w:ascii="Times New Roman" w:eastAsia="宋体" w:hAnsi="Times New Roman"/>
          <w:sz w:val="21"/>
          <w:szCs w:val="21"/>
        </w:rPr>
        <w:t xml:space="preserve"> in our research</w:t>
      </w:r>
      <w:r w:rsidRPr="00865F1E">
        <w:rPr>
          <w:rFonts w:ascii="Times New Roman" w:eastAsia="宋体" w:hAnsi="Times New Roman"/>
          <w:sz w:val="21"/>
          <w:szCs w:val="21"/>
        </w:rPr>
        <w:t xml:space="preserve">, </w:t>
      </w:r>
      <w:r>
        <w:rPr>
          <w:rFonts w:ascii="Times New Roman" w:eastAsia="宋体" w:hAnsi="Times New Roman" w:hint="eastAsia"/>
          <w:sz w:val="21"/>
          <w:szCs w:val="21"/>
        </w:rPr>
        <w:t>t</w:t>
      </w:r>
      <w:r w:rsidRPr="002E7F6A">
        <w:rPr>
          <w:rFonts w:ascii="Times New Roman" w:eastAsia="宋体" w:hAnsi="Times New Roman"/>
          <w:sz w:val="21"/>
          <w:szCs w:val="21"/>
        </w:rPr>
        <w:t xml:space="preserve">he F-statistics of the first-stage regressions are </w:t>
      </w:r>
      <w:r>
        <w:rPr>
          <w:rFonts w:ascii="Times New Roman" w:eastAsia="宋体" w:hAnsi="Times New Roman"/>
          <w:sz w:val="21"/>
          <w:szCs w:val="21"/>
        </w:rPr>
        <w:t xml:space="preserve">all </w:t>
      </w:r>
      <w:r w:rsidRPr="002E7F6A">
        <w:rPr>
          <w:rFonts w:ascii="Times New Roman" w:eastAsia="宋体" w:hAnsi="Times New Roman"/>
          <w:sz w:val="21"/>
          <w:szCs w:val="21"/>
        </w:rPr>
        <w:t xml:space="preserve">higher than the cutoff point of 10 suggested </w:t>
      </w:r>
      <w:r w:rsidRPr="00D56942">
        <w:rPr>
          <w:rFonts w:ascii="Times New Roman" w:eastAsia="宋体" w:hAnsi="Times New Roman"/>
          <w:sz w:val="21"/>
          <w:szCs w:val="21"/>
        </w:rPr>
        <w:t xml:space="preserve">by prior research </w:t>
      </w:r>
      <w:r>
        <w:rPr>
          <w:rFonts w:ascii="Times New Roman" w:eastAsia="宋体" w:hAnsi="Times New Roman"/>
          <w:sz w:val="21"/>
          <w:szCs w:val="21"/>
        </w:rPr>
        <w:fldChar w:fldCharType="begin"/>
      </w:r>
      <w:r w:rsidR="00317C6A">
        <w:rPr>
          <w:rFonts w:ascii="Times New Roman" w:eastAsia="宋体" w:hAnsi="Times New Roman"/>
          <w:sz w:val="21"/>
          <w:szCs w:val="21"/>
        </w:rPr>
        <w:instrText xml:space="preserve"> ADDIN EN.CITE &lt;EndNote&gt;&lt;Cite&gt;&lt;Author&gt;Staiger&lt;/Author&gt;&lt;Year&gt;1997&lt;/Year&gt;&lt;RecNum&gt;2128&lt;/RecNum&gt;&lt;DisplayText&gt;(Staiger and Stock 1997)&lt;/DisplayText&gt;&lt;record&gt;&lt;rec-number&gt;2128&lt;/rec-number&gt;&lt;foreign-keys&gt;&lt;key app="EN" db-id="trr00pfsbzzex0ezwf6v5swd9fpfpwfa90xp" timestamp="1631535826" guid="fc4b9440-494b-4ce8-871f-732c2e56c6ce"&gt;2128&lt;/key&gt;&lt;/foreign-keys&gt;&lt;ref-type name="Journal Article"&gt;17&lt;/ref-type&gt;&lt;contributors&gt;&lt;authors&gt;&lt;author&gt;Staiger, D.&lt;/author&gt;&lt;author&gt;Stock, J. H.&lt;/author&gt;&lt;/authors&gt;&lt;/contributors&gt;&lt;titles&gt;&lt;title&gt;Instrumental variables regression with weak instruments&lt;/title&gt;&lt;secondary-title&gt;Econometrica&lt;/secondary-title&gt;&lt;/titles&gt;&lt;periodical&gt;&lt;full-title&gt;Econometrica&lt;/full-title&gt;&lt;/periodical&gt;&lt;pages&gt;557-586&lt;/pages&gt;&lt;volume&gt;65&lt;/volume&gt;&lt;number&gt;3&lt;/number&gt;&lt;dates&gt;&lt;year&gt;1997&lt;/year&gt;&lt;/dates&gt;&lt;urls&gt;&lt;/urls&gt;&lt;/record&gt;&lt;/Cite&gt;&lt;/EndNote&gt;</w:instrText>
      </w:r>
      <w:r>
        <w:rPr>
          <w:rFonts w:ascii="Times New Roman" w:eastAsia="宋体" w:hAnsi="Times New Roman"/>
          <w:sz w:val="21"/>
          <w:szCs w:val="21"/>
        </w:rPr>
        <w:fldChar w:fldCharType="separate"/>
      </w:r>
      <w:r>
        <w:rPr>
          <w:rFonts w:ascii="Times New Roman" w:eastAsia="宋体" w:hAnsi="Times New Roman"/>
          <w:noProof/>
          <w:sz w:val="21"/>
          <w:szCs w:val="21"/>
        </w:rPr>
        <w:t>(Staiger and Stock 1997)</w:t>
      </w:r>
      <w:r>
        <w:rPr>
          <w:rFonts w:ascii="Times New Roman" w:eastAsia="宋体" w:hAnsi="Times New Roman"/>
          <w:sz w:val="21"/>
          <w:szCs w:val="21"/>
        </w:rPr>
        <w:fldChar w:fldCharType="end"/>
      </w:r>
      <w:r w:rsidRPr="00D56942">
        <w:rPr>
          <w:rFonts w:ascii="Times New Roman" w:eastAsia="宋体" w:hAnsi="Times New Roman"/>
          <w:sz w:val="21"/>
          <w:szCs w:val="21"/>
        </w:rPr>
        <w:t xml:space="preserve">. The t-statistics for the instrumental variables in the first-stage regressions are all higher than the cutoff point of 3 suggested by prior research </w:t>
      </w:r>
      <w:r>
        <w:rPr>
          <w:rFonts w:ascii="Times New Roman" w:eastAsia="宋体" w:hAnsi="Times New Roman"/>
          <w:sz w:val="21"/>
          <w:szCs w:val="21"/>
        </w:rPr>
        <w:fldChar w:fldCharType="begin"/>
      </w:r>
      <w:r w:rsidR="001A1175">
        <w:rPr>
          <w:rFonts w:ascii="Times New Roman" w:eastAsia="宋体" w:hAnsi="Times New Roman"/>
          <w:sz w:val="21"/>
          <w:szCs w:val="21"/>
        </w:rPr>
        <w:instrText xml:space="preserve"> ADDIN EN.CITE &lt;EndNote&gt;&lt;Cite&gt;&lt;Author&gt;Adkins&lt;/Author&gt;&lt;Year&gt;2008&lt;/Year&gt;&lt;RecNum&gt;2129&lt;/RecNum&gt;&lt;DisplayText&gt;(Adkins and Hill 2008)&lt;/DisplayText&gt;&lt;record&gt;&lt;rec-number&gt;2129&lt;/rec-number&gt;&lt;foreign-keys&gt;&lt;key app="EN" db-id="trr00pfsbzzex0ezwf6v5swd9fpfpwfa90xp" timestamp="1631536474" guid="56749385-0dbf-4d07-8607-0323b21ed569"&gt;2129&lt;/key&gt;&lt;/foreign-keys&gt;&lt;ref-type name="Book"&gt;6&lt;/ref-type&gt;&lt;contributors&gt;&lt;authors&gt;&lt;author&gt;Adkins, L. C.&lt;/author&gt;&lt;author&gt;Hill, R. C.&lt;/author&gt;&lt;/authors&gt;&lt;/contributors&gt;&lt;titles&gt;&lt;title&gt;Using stata for principles of econometrics (3rd edition)&lt;/title&gt;&lt;/titles&gt;&lt;dates&gt;&lt;year&gt;2008&lt;/year&gt;&lt;/dates&gt;&lt;pub-location&gt;New York&lt;/pub-location&gt;&lt;publisher&gt;Wiley&lt;/publisher&gt;&lt;urls&gt;&lt;/urls&gt;&lt;/record&gt;&lt;/Cite&gt;&lt;/EndNote&gt;</w:instrText>
      </w:r>
      <w:r>
        <w:rPr>
          <w:rFonts w:ascii="Times New Roman" w:eastAsia="宋体" w:hAnsi="Times New Roman"/>
          <w:sz w:val="21"/>
          <w:szCs w:val="21"/>
        </w:rPr>
        <w:fldChar w:fldCharType="separate"/>
      </w:r>
      <w:r>
        <w:rPr>
          <w:rFonts w:ascii="Times New Roman" w:eastAsia="宋体" w:hAnsi="Times New Roman"/>
          <w:noProof/>
          <w:sz w:val="21"/>
          <w:szCs w:val="21"/>
        </w:rPr>
        <w:t>(Adkins and Hill 2008)</w:t>
      </w:r>
      <w:r>
        <w:rPr>
          <w:rFonts w:ascii="Times New Roman" w:eastAsia="宋体" w:hAnsi="Times New Roman"/>
          <w:sz w:val="21"/>
          <w:szCs w:val="21"/>
        </w:rPr>
        <w:fldChar w:fldCharType="end"/>
      </w:r>
      <w:r w:rsidRPr="00D56942">
        <w:rPr>
          <w:rFonts w:ascii="Times New Roman" w:eastAsia="宋体" w:hAnsi="Times New Roman"/>
          <w:sz w:val="21"/>
          <w:szCs w:val="21"/>
        </w:rPr>
        <w:t>. Thus, w</w:t>
      </w:r>
      <w:r w:rsidRPr="00511D3A">
        <w:rPr>
          <w:rFonts w:ascii="Times New Roman" w:eastAsia="宋体" w:hAnsi="Times New Roman"/>
          <w:sz w:val="21"/>
          <w:szCs w:val="21"/>
        </w:rPr>
        <w:t>e conclude that instrumental variables are</w:t>
      </w:r>
      <w:r w:rsidRPr="002E7F6A">
        <w:rPr>
          <w:rFonts w:ascii="Times New Roman" w:eastAsia="宋体" w:hAnsi="Times New Roman"/>
          <w:sz w:val="21"/>
          <w:szCs w:val="21"/>
        </w:rPr>
        <w:t xml:space="preserve"> valid</w:t>
      </w:r>
      <w:r>
        <w:rPr>
          <w:rFonts w:ascii="Times New Roman" w:eastAsia="宋体" w:hAnsi="Times New Roman"/>
          <w:sz w:val="21"/>
          <w:szCs w:val="21"/>
        </w:rPr>
        <w:t>.</w:t>
      </w:r>
      <w:r w:rsidRPr="002E7F6A">
        <w:rPr>
          <w:rFonts w:ascii="Times New Roman" w:eastAsia="宋体" w:hAnsi="Times New Roman"/>
          <w:sz w:val="21"/>
          <w:szCs w:val="21"/>
        </w:rPr>
        <w:t xml:space="preserve"> </w:t>
      </w:r>
      <w:r>
        <w:rPr>
          <w:rFonts w:ascii="Times New Roman" w:eastAsia="宋体" w:hAnsi="Times New Roman"/>
          <w:sz w:val="21"/>
          <w:szCs w:val="21"/>
        </w:rPr>
        <w:t>W</w:t>
      </w:r>
      <w:r w:rsidRPr="00865F1E">
        <w:rPr>
          <w:rFonts w:ascii="Times New Roman" w:eastAsia="宋体" w:hAnsi="Times New Roman"/>
          <w:sz w:val="21"/>
          <w:szCs w:val="21"/>
        </w:rPr>
        <w:t xml:space="preserve">e only present the results of the </w:t>
      </w:r>
      <w:r w:rsidRPr="00216EAF">
        <w:rPr>
          <w:rFonts w:ascii="Times New Roman" w:eastAsia="宋体" w:hAnsi="Times New Roman"/>
          <w:sz w:val="21"/>
          <w:szCs w:val="21"/>
        </w:rPr>
        <w:t>second-stage regression</w:t>
      </w:r>
      <w:r>
        <w:rPr>
          <w:rFonts w:ascii="Times New Roman" w:eastAsia="宋体" w:hAnsi="Times New Roman"/>
          <w:sz w:val="21"/>
          <w:szCs w:val="21"/>
        </w:rPr>
        <w:t>s</w:t>
      </w:r>
      <w:r w:rsidRPr="00865F1E">
        <w:rPr>
          <w:rFonts w:ascii="Times New Roman" w:eastAsia="宋体" w:hAnsi="Times New Roman"/>
          <w:sz w:val="21"/>
          <w:szCs w:val="21"/>
        </w:rPr>
        <w:t>.</w:t>
      </w:r>
      <w:r w:rsidRPr="00216EAF">
        <w:t xml:space="preserve"> </w:t>
      </w:r>
      <w:r w:rsidRPr="00216EAF">
        <w:rPr>
          <w:rFonts w:ascii="Times New Roman" w:eastAsia="宋体" w:hAnsi="Times New Roman"/>
          <w:sz w:val="21"/>
          <w:szCs w:val="21"/>
        </w:rPr>
        <w:t>The results of the first-stage regression</w:t>
      </w:r>
      <w:r>
        <w:rPr>
          <w:rFonts w:ascii="Times New Roman" w:eastAsia="宋体" w:hAnsi="Times New Roman"/>
          <w:sz w:val="21"/>
          <w:szCs w:val="21"/>
        </w:rPr>
        <w:t>s</w:t>
      </w:r>
      <w:r w:rsidRPr="00216EAF">
        <w:rPr>
          <w:rFonts w:ascii="Times New Roman" w:eastAsia="宋体" w:hAnsi="Times New Roman"/>
          <w:sz w:val="21"/>
          <w:szCs w:val="21"/>
        </w:rPr>
        <w:t xml:space="preserve"> are</w:t>
      </w:r>
      <w:r w:rsidRPr="00D0436E">
        <w:t xml:space="preserve"> </w:t>
      </w:r>
      <w:r w:rsidRPr="00D0436E">
        <w:rPr>
          <w:rFonts w:ascii="Times New Roman" w:eastAsia="宋体" w:hAnsi="Times New Roman"/>
          <w:sz w:val="21"/>
          <w:szCs w:val="21"/>
        </w:rPr>
        <w:t>not presented for brevity, but are available upon request</w:t>
      </w:r>
      <w:r w:rsidRPr="00216EAF">
        <w:rPr>
          <w:rFonts w:ascii="Times New Roman" w:eastAsia="宋体" w:hAnsi="Times New Roman"/>
          <w:sz w:val="21"/>
          <w:szCs w:val="21"/>
        </w:rPr>
        <w:t>.</w:t>
      </w:r>
      <w:r>
        <w:rPr>
          <w:rFonts w:ascii="Times New Roman" w:eastAsia="宋体" w:hAnsi="Times New Roman"/>
          <w:sz w:val="21"/>
          <w:szCs w:val="21"/>
        </w:rPr>
        <w:t xml:space="preserve"> </w:t>
      </w:r>
    </w:p>
  </w:footnote>
  <w:footnote w:id="14">
    <w:p w14:paraId="0C77A830" w14:textId="43622F15" w:rsidR="006B774E" w:rsidRPr="007813AC" w:rsidRDefault="006B774E" w:rsidP="006B774E">
      <w:pPr>
        <w:pStyle w:val="af"/>
        <w:jc w:val="both"/>
        <w:rPr>
          <w:rFonts w:ascii="Times New Roman" w:hAnsi="Times New Roman" w:cs="Times New Roman"/>
          <w:sz w:val="21"/>
          <w:szCs w:val="21"/>
        </w:rPr>
      </w:pPr>
      <w:r w:rsidRPr="009D4FFC">
        <w:rPr>
          <w:rStyle w:val="af4"/>
          <w:rFonts w:ascii="Times New Roman" w:hAnsi="Times New Roman" w:cs="Times New Roman"/>
          <w:color w:val="000000" w:themeColor="text1"/>
          <w:sz w:val="21"/>
          <w:szCs w:val="21"/>
        </w:rPr>
        <w:footnoteRef/>
      </w:r>
      <w:r w:rsidRPr="009D4FFC">
        <w:rPr>
          <w:rFonts w:ascii="Times New Roman" w:hAnsi="Times New Roman" w:cs="Times New Roman"/>
          <w:color w:val="000000" w:themeColor="text1"/>
          <w:sz w:val="21"/>
          <w:szCs w:val="21"/>
        </w:rPr>
        <w:t xml:space="preserve"> T</w:t>
      </w:r>
      <w:r w:rsidRPr="009D4FFC">
        <w:rPr>
          <w:rFonts w:ascii="Times New Roman" w:eastAsia="Times New Roman" w:hAnsi="Times New Roman" w:cs="Times New Roman"/>
          <w:color w:val="000000" w:themeColor="text1"/>
          <w:sz w:val="21"/>
          <w:szCs w:val="21"/>
        </w:rPr>
        <w:t xml:space="preserve">wo-step GMM has been found to be more efficient than one-step GMM estimators </w:t>
      </w:r>
      <w:r w:rsidRPr="009D4FFC">
        <w:rPr>
          <w:rFonts w:ascii="Times New Roman" w:hAnsi="Times New Roman" w:cs="Times New Roman"/>
          <w:color w:val="000000" w:themeColor="text1"/>
          <w:sz w:val="21"/>
          <w:szCs w:val="21"/>
        </w:rPr>
        <w:fldChar w:fldCharType="begin"/>
      </w:r>
      <w:r w:rsidR="006F6C86">
        <w:rPr>
          <w:rFonts w:ascii="Times New Roman" w:hAnsi="Times New Roman" w:cs="Times New Roman"/>
          <w:color w:val="000000" w:themeColor="text1"/>
          <w:sz w:val="21"/>
          <w:szCs w:val="21"/>
        </w:rPr>
        <w:instrText xml:space="preserve"> ADDIN EN.CITE &lt;EndNote&gt;&lt;Cite&gt;&lt;Author&gt;Windmeijer&lt;/Author&gt;&lt;Year&gt;2005&lt;/Year&gt;&lt;RecNum&gt;2112&lt;/RecNum&gt;&lt;DisplayText&gt;(Windmeijer 2005)&lt;/DisplayText&gt;&lt;record&gt;&lt;rec-number&gt;2112&lt;/rec-number&gt;&lt;foreign-keys&gt;&lt;key app="EN" db-id="trr00pfsbzzex0ezwf6v5swd9fpfpwfa90xp" timestamp="1630975784" guid="d78903af-ed73-4a6b-9f30-ef1a70143cc5"&gt;2112&lt;/key&gt;&lt;/foreign-keys&gt;&lt;ref-type name="Journal Article"&gt;17&lt;/ref-type&gt;&lt;contributors&gt;&lt;authors&gt;&lt;author&gt;Windmeijer, F.&lt;/author&gt;&lt;/authors&gt;&lt;/contributors&gt;&lt;titles&gt;&lt;title&gt;A finite sample correction for the variance of linear efficient two-step GMM estimators&lt;/title&gt;&lt;secondary-title&gt;Journal of Econometrics&lt;/secondary-title&gt;&lt;/titles&gt;&lt;periodical&gt;&lt;full-title&gt;Journal of Econometrics&lt;/full-title&gt;&lt;/periodical&gt;&lt;pages&gt;25-51&lt;/pages&gt;&lt;volume&gt;126&lt;/volume&gt;&lt;number&gt;1&lt;/number&gt;&lt;dates&gt;&lt;year&gt;2005&lt;/year&gt;&lt;/dates&gt;&lt;urls&gt;&lt;/urls&gt;&lt;/record&gt;&lt;/Cite&gt;&lt;/EndNote&gt;</w:instrText>
      </w:r>
      <w:r w:rsidRPr="009D4FFC">
        <w:rPr>
          <w:rFonts w:ascii="Times New Roman" w:hAnsi="Times New Roman" w:cs="Times New Roman"/>
          <w:color w:val="000000" w:themeColor="text1"/>
          <w:sz w:val="21"/>
          <w:szCs w:val="21"/>
        </w:rPr>
        <w:fldChar w:fldCharType="separate"/>
      </w:r>
      <w:r w:rsidRPr="009D4FFC">
        <w:rPr>
          <w:rFonts w:ascii="Times New Roman" w:hAnsi="Times New Roman" w:cs="Times New Roman"/>
          <w:noProof/>
          <w:color w:val="000000" w:themeColor="text1"/>
          <w:sz w:val="21"/>
          <w:szCs w:val="21"/>
        </w:rPr>
        <w:t>(Windmeijer 2005)</w:t>
      </w:r>
      <w:r w:rsidRPr="009D4FFC">
        <w:rPr>
          <w:rFonts w:ascii="Times New Roman" w:hAnsi="Times New Roman" w:cs="Times New Roman"/>
          <w:color w:val="000000" w:themeColor="text1"/>
          <w:sz w:val="21"/>
          <w:szCs w:val="21"/>
        </w:rPr>
        <w:fldChar w:fldCharType="end"/>
      </w:r>
      <w:r w:rsidRPr="009D4FFC">
        <w:rPr>
          <w:rFonts w:ascii="Times New Roman" w:eastAsia="Times New Roman" w:hAnsi="Times New Roman" w:cs="Times New Roman"/>
          <w:color w:val="000000" w:themeColor="text1"/>
          <w:sz w:val="21"/>
          <w:szCs w:val="21"/>
        </w:rPr>
        <w:t>. O</w:t>
      </w:r>
      <w:r w:rsidRPr="007813AC">
        <w:rPr>
          <w:rFonts w:ascii="Times New Roman" w:hAnsi="Times New Roman" w:cs="Times New Roman"/>
          <w:sz w:val="21"/>
          <w:szCs w:val="21"/>
        </w:rPr>
        <w:t xml:space="preserve">ne-step GMM estimators use weight matrices that are independent of estimated parameters, whereas the efficient two-step GMM estimator weighs the moment conditions by a consistent estimate of their covariance matrix </w:t>
      </w:r>
      <w:r w:rsidRPr="007813AC">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&lt;EndNote&gt;&lt;Cite&gt;&lt;Author&gt;Windmeijer&lt;/Author&gt;&lt;Year&gt;2005&lt;/Year&gt;&lt;RecNum&gt;2112&lt;/RecNum&gt;&lt;DisplayText&gt;(Windmeijer 2005)&lt;/DisplayText&gt;&lt;record&gt;&lt;rec-number&gt;2112&lt;/rec-number&gt;&lt;foreign-keys&gt;&lt;key app="EN" db-id="trr00pfsbzzex0ezwf6v5swd9fpfpwfa90xp" timestamp="1630975784" guid="d78903af-ed73-4a6b-9f30-ef1a70143cc5"&gt;2112&lt;/key&gt;&lt;/foreign-keys&gt;&lt;ref-type name="Journal Article"&gt;17&lt;/ref-type&gt;&lt;contributors&gt;&lt;authors&gt;&lt;author&gt;Windmeijer, F.&lt;/author&gt;&lt;/authors&gt;&lt;/contributors&gt;&lt;titles&gt;&lt;title&gt;A finite sample correction for the variance of linear efficient two-step GMM estimators&lt;/title&gt;&lt;secondary-title&gt;Journal of Econometrics&lt;/secondary-title&gt;&lt;/titles&gt;&lt;periodical&gt;&lt;full-title&gt;Journal of Econometrics&lt;/full-title&gt;&lt;/periodical&gt;&lt;pages&gt;25-51&lt;/pages&gt;&lt;volume&gt;126&lt;/volume&gt;&lt;number&gt;1&lt;/number&gt;&lt;dates&gt;&lt;year&gt;2005&lt;/year&gt;&lt;/dates&gt;&lt;urls&gt;&lt;/urls&gt;&lt;/record&gt;&lt;/Cite&gt;&lt;/EndNote&gt;</w:instrText>
      </w:r>
      <w:r w:rsidRPr="007813AC">
        <w:rPr>
          <w:rFonts w:ascii="Times New Roman" w:hAnsi="Times New Roman" w:cs="Times New Roman"/>
          <w:sz w:val="21"/>
          <w:szCs w:val="21"/>
        </w:rPr>
        <w:fldChar w:fldCharType="separate"/>
      </w:r>
      <w:r w:rsidRPr="007813AC">
        <w:rPr>
          <w:rFonts w:ascii="Times New Roman" w:hAnsi="Times New Roman" w:cs="Times New Roman"/>
          <w:noProof/>
          <w:sz w:val="21"/>
          <w:szCs w:val="21"/>
        </w:rPr>
        <w:t>(Windmeijer 2005)</w:t>
      </w:r>
      <w:r w:rsidRPr="007813AC">
        <w:rPr>
          <w:rFonts w:ascii="Times New Roman" w:hAnsi="Times New Roman" w:cs="Times New Roman"/>
          <w:sz w:val="21"/>
          <w:szCs w:val="21"/>
        </w:rPr>
        <w:fldChar w:fldCharType="end"/>
      </w:r>
      <w:r w:rsidRPr="007813AC">
        <w:rPr>
          <w:rFonts w:ascii="Times New Roman" w:hAnsi="Times New Roman" w:cs="Times New Roman"/>
          <w:sz w:val="21"/>
          <w:szCs w:val="21"/>
        </w:rPr>
        <w:t>.</w:t>
      </w:r>
      <w:r w:rsidRPr="007813AC">
        <w:rPr>
          <w:rFonts w:ascii="Times New Roman" w:eastAsia="Times New Roman" w:hAnsi="Times New Roman" w:cs="Times New Roman"/>
          <w:sz w:val="21"/>
          <w:szCs w:val="21"/>
        </w:rPr>
        <w:t xml:space="preserve"> This weight matrix is constructed using an initial consistent estimate of the parameters in the model</w:t>
      </w:r>
      <w:r w:rsidRPr="007813AC">
        <w:rPr>
          <w:rFonts w:ascii="Times New Roman" w:hAnsi="Times New Roman" w:cs="Times New Roman"/>
          <w:sz w:val="21"/>
          <w:szCs w:val="21"/>
        </w:rPr>
        <w:t xml:space="preserve"> </w:t>
      </w:r>
      <w:r w:rsidRPr="007813AC">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&lt;EndNote&gt;&lt;Cite&gt;&lt;Author&gt;Windmeijer&lt;/Author&gt;&lt;Year&gt;2005&lt;/Year&gt;&lt;RecNum&gt;2112&lt;/RecNum&gt;&lt;DisplayText&gt;(Windmeijer 2005)&lt;/DisplayText&gt;&lt;record&gt;&lt;rec-number&gt;2112&lt;/rec-number&gt;&lt;foreign-keys&gt;&lt;key app="EN" db-id="trr00pfsbzzex0ezwf6v5swd9fpfpwfa90xp" timestamp="1630975784" guid="d78903af-ed73-4a6b-9f30-ef1a70143cc5"&gt;2112&lt;/key&gt;&lt;/foreign-keys&gt;&lt;ref-type name="Journal Article"&gt;17&lt;/ref-type&gt;&lt;contributors&gt;&lt;authors&gt;&lt;author&gt;Windmeijer, F.&lt;/author&gt;&lt;/authors&gt;&lt;/contributors&gt;&lt;titles&gt;&lt;title&gt;A finite sample correction for the variance of linear efficient two-step GMM estimators&lt;/title&gt;&lt;secondary-title&gt;Journal of Econometrics&lt;/secondary-title&gt;&lt;/titles&gt;&lt;periodical&gt;&lt;full-title&gt;Journal of Econometrics&lt;/full-title&gt;&lt;/periodical&gt;&lt;pages&gt;25-51&lt;/pages&gt;&lt;volume&gt;126&lt;/volume&gt;&lt;number&gt;1&lt;/number&gt;&lt;dates&gt;&lt;year&gt;2005&lt;/year&gt;&lt;/dates&gt;&lt;urls&gt;&lt;/urls&gt;&lt;/record&gt;&lt;/Cite&gt;&lt;/EndNote&gt;</w:instrText>
      </w:r>
      <w:r w:rsidRPr="007813AC">
        <w:rPr>
          <w:rFonts w:ascii="Times New Roman" w:hAnsi="Times New Roman" w:cs="Times New Roman"/>
          <w:sz w:val="21"/>
          <w:szCs w:val="21"/>
        </w:rPr>
        <w:fldChar w:fldCharType="separate"/>
      </w:r>
      <w:r w:rsidRPr="007813AC">
        <w:rPr>
          <w:rFonts w:ascii="Times New Roman" w:hAnsi="Times New Roman" w:cs="Times New Roman"/>
          <w:noProof/>
          <w:sz w:val="21"/>
          <w:szCs w:val="21"/>
        </w:rPr>
        <w:t>(Windmeijer 2005)</w:t>
      </w:r>
      <w:r w:rsidRPr="007813AC">
        <w:rPr>
          <w:rFonts w:ascii="Times New Roman" w:hAnsi="Times New Roman" w:cs="Times New Roman"/>
          <w:sz w:val="21"/>
          <w:szCs w:val="21"/>
        </w:rPr>
        <w:fldChar w:fldCharType="end"/>
      </w:r>
      <w:r w:rsidRPr="007813AC">
        <w:rPr>
          <w:rFonts w:ascii="Times New Roman" w:hAnsi="Times New Roman" w:cs="Times New Roman"/>
          <w:sz w:val="21"/>
          <w:szCs w:val="21"/>
        </w:rPr>
        <w:t>.</w:t>
      </w:r>
      <w:r w:rsidRPr="007813AC">
        <w:rPr>
          <w:rFonts w:ascii="Times New Roman" w:eastAsia="Times New Roman" w:hAnsi="Times New Roman" w:cs="Times New Roman"/>
          <w:sz w:val="21"/>
          <w:szCs w:val="21"/>
        </w:rPr>
        <w:t xml:space="preserve"> The extra variation due to the presence of these estimated parameters, in the efficient weight matrix, accounts for much of the </w:t>
      </w:r>
      <w:proofErr w:type="spellStart"/>
      <w:r w:rsidRPr="007813AC">
        <w:rPr>
          <w:rFonts w:ascii="Times New Roman" w:eastAsia="Times New Roman" w:hAnsi="Times New Roman" w:cs="Times New Roman"/>
          <w:sz w:val="21"/>
          <w:szCs w:val="21"/>
        </w:rPr>
        <w:t>diffierence</w:t>
      </w:r>
      <w:proofErr w:type="spellEnd"/>
      <w:r w:rsidRPr="007813AC">
        <w:rPr>
          <w:rFonts w:ascii="Times New Roman" w:eastAsia="Times New Roman" w:hAnsi="Times New Roman" w:cs="Times New Roman"/>
          <w:sz w:val="21"/>
          <w:szCs w:val="21"/>
        </w:rPr>
        <w:t xml:space="preserve"> between the finite sample and the estimated asymptotic variance for two-step GMM estimators based on moment conditions that are linear in the parameters</w:t>
      </w:r>
      <w:r w:rsidRPr="007813AC">
        <w:rPr>
          <w:rFonts w:ascii="Times New Roman" w:hAnsi="Times New Roman" w:cs="Times New Roman"/>
          <w:sz w:val="21"/>
          <w:szCs w:val="21"/>
        </w:rPr>
        <w:t xml:space="preserve"> </w:t>
      </w:r>
      <w:r w:rsidRPr="007813AC">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&lt;EndNote&gt;&lt;Cite&gt;&lt;Author&gt;Windmeijer&lt;/Author&gt;&lt;Year&gt;2005&lt;/Year&gt;&lt;RecNum&gt;2112&lt;/RecNum&gt;&lt;DisplayText&gt;(Windmeijer 2005)&lt;/DisplayText&gt;&lt;record&gt;&lt;rec-number&gt;2112&lt;/rec-number&gt;&lt;foreign-keys&gt;&lt;key app="EN" db-id="trr00pfsbzzex0ezwf6v5swd9fpfpwfa90xp" timestamp="1630975784" guid="d78903af-ed73-4a6b-9f30-ef1a70143cc5"&gt;2112&lt;/key&gt;&lt;/foreign-keys&gt;&lt;ref-type name="Journal Article"&gt;17&lt;/ref-type&gt;&lt;contributors&gt;&lt;authors&gt;&lt;author&gt;Windmeijer, F.&lt;/author&gt;&lt;/authors&gt;&lt;/contributors&gt;&lt;titles&gt;&lt;title&gt;A finite sample correction for the variance of linear efficient two-step GMM estimators&lt;/title&gt;&lt;secondary-title&gt;Journal of Econometrics&lt;/secondary-title&gt;&lt;/titles&gt;&lt;periodical&gt;&lt;full-title&gt;Journal of Econometrics&lt;/full-title&gt;&lt;/periodical&gt;&lt;pages&gt;25-51&lt;/pages&gt;&lt;volume&gt;126&lt;/volume&gt;&lt;number&gt;1&lt;/number&gt;&lt;dates&gt;&lt;year&gt;2005&lt;/year&gt;&lt;/dates&gt;&lt;urls&gt;&lt;/urls&gt;&lt;/record&gt;&lt;/Cite&gt;&lt;/EndNote&gt;</w:instrText>
      </w:r>
      <w:r w:rsidRPr="007813AC">
        <w:rPr>
          <w:rFonts w:ascii="Times New Roman" w:hAnsi="Times New Roman" w:cs="Times New Roman"/>
          <w:sz w:val="21"/>
          <w:szCs w:val="21"/>
        </w:rPr>
        <w:fldChar w:fldCharType="separate"/>
      </w:r>
      <w:r w:rsidRPr="007813AC">
        <w:rPr>
          <w:rFonts w:ascii="Times New Roman" w:hAnsi="Times New Roman" w:cs="Times New Roman"/>
          <w:noProof/>
          <w:sz w:val="21"/>
          <w:szCs w:val="21"/>
        </w:rPr>
        <w:t>(Windmeijer 2005)</w:t>
      </w:r>
      <w:r w:rsidRPr="007813AC">
        <w:rPr>
          <w:rFonts w:ascii="Times New Roman" w:hAnsi="Times New Roman" w:cs="Times New Roman"/>
          <w:sz w:val="21"/>
          <w:szCs w:val="21"/>
        </w:rPr>
        <w:fldChar w:fldCharType="end"/>
      </w:r>
      <w:r w:rsidRPr="007813AC">
        <w:rPr>
          <w:rFonts w:ascii="Times New Roman" w:hAnsi="Times New Roman" w:cs="Times New Roman"/>
          <w:sz w:val="21"/>
          <w:szCs w:val="21"/>
        </w:rPr>
        <w:t>.</w:t>
      </w:r>
      <w:r w:rsidRPr="007813AC">
        <w:rPr>
          <w:rFonts w:ascii="Times New Roman" w:eastAsia="Times New Roman" w:hAnsi="Times New Roman" w:cs="Times New Roman"/>
          <w:sz w:val="21"/>
          <w:szCs w:val="21"/>
        </w:rPr>
        <w:t xml:space="preserve"> This </w:t>
      </w:r>
      <w:proofErr w:type="spellStart"/>
      <w:r w:rsidRPr="007813AC">
        <w:rPr>
          <w:rFonts w:ascii="Times New Roman" w:eastAsia="Times New Roman" w:hAnsi="Times New Roman" w:cs="Times New Roman"/>
          <w:sz w:val="21"/>
          <w:szCs w:val="21"/>
        </w:rPr>
        <w:t>diffierence</w:t>
      </w:r>
      <w:proofErr w:type="spellEnd"/>
      <w:r w:rsidRPr="007813AC">
        <w:rPr>
          <w:rFonts w:ascii="Times New Roman" w:eastAsia="Times New Roman" w:hAnsi="Times New Roman" w:cs="Times New Roman"/>
          <w:sz w:val="21"/>
          <w:szCs w:val="21"/>
        </w:rPr>
        <w:t xml:space="preserve"> can be estimated, resulting in finite sample corrected estimates of the variance. The proposed feasible correction to the estimate of the asymptotic variance is very simple to implement and is shown to approximate the finite sample variance of the two-step GMM estimator well in a Monte Carlo study of a panel data model, leading to more accurate inference</w:t>
      </w:r>
      <w:r w:rsidRPr="007813AC">
        <w:rPr>
          <w:rFonts w:ascii="Times New Roman" w:hAnsi="Times New Roman" w:cs="Times New Roman"/>
          <w:sz w:val="21"/>
          <w:szCs w:val="21"/>
        </w:rPr>
        <w:t xml:space="preserve"> </w:t>
      </w:r>
      <w:r w:rsidRPr="007813AC">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&lt;EndNote&gt;&lt;Cite&gt;&lt;Author&gt;Windmeijer&lt;/Author&gt;&lt;Year&gt;2005&lt;/Year&gt;&lt;RecNum&gt;2112&lt;/RecNum&gt;&lt;DisplayText&gt;(Windmeijer 2005)&lt;/DisplayText&gt;&lt;record&gt;&lt;rec-number&gt;2112&lt;/rec-number&gt;&lt;foreign-keys&gt;&lt;key app="EN" db-id="trr00pfsbzzex0ezwf6v5swd9fpfpwfa90xp" timestamp="1630975784" guid="d78903af-ed73-4a6b-9f30-ef1a70143cc5"&gt;2112&lt;/key&gt;&lt;/foreign-keys&gt;&lt;ref-type name="Journal Article"&gt;17&lt;/ref-type&gt;&lt;contributors&gt;&lt;authors&gt;&lt;author&gt;Windmeijer, F.&lt;/author&gt;&lt;/authors&gt;&lt;/contributors&gt;&lt;titles&gt;&lt;title&gt;A finite sample correction for the variance of linear efficient two-step GMM estimators&lt;/title&gt;&lt;secondary-title&gt;Journal of Econometrics&lt;/secondary-title&gt;&lt;/titles&gt;&lt;periodical&gt;&lt;full-title&gt;Journal of Econometrics&lt;/full-title&gt;&lt;/periodical&gt;&lt;pages&gt;25-51&lt;/pages&gt;&lt;volume&gt;126&lt;/volume&gt;&lt;number&gt;1&lt;/number&gt;&lt;dates&gt;&lt;year&gt;2005&lt;/year&gt;&lt;/dates&gt;&lt;urls&gt;&lt;/urls&gt;&lt;/record&gt;&lt;/Cite&gt;&lt;/EndNote&gt;</w:instrText>
      </w:r>
      <w:r w:rsidRPr="007813AC">
        <w:rPr>
          <w:rFonts w:ascii="Times New Roman" w:hAnsi="Times New Roman" w:cs="Times New Roman"/>
          <w:sz w:val="21"/>
          <w:szCs w:val="21"/>
        </w:rPr>
        <w:fldChar w:fldCharType="separate"/>
      </w:r>
      <w:r w:rsidRPr="007813AC">
        <w:rPr>
          <w:rFonts w:ascii="Times New Roman" w:hAnsi="Times New Roman" w:cs="Times New Roman"/>
          <w:noProof/>
          <w:sz w:val="21"/>
          <w:szCs w:val="21"/>
        </w:rPr>
        <w:t>(Windmeijer 2005)</w:t>
      </w:r>
      <w:r w:rsidRPr="007813AC">
        <w:rPr>
          <w:rFonts w:ascii="Times New Roman" w:hAnsi="Times New Roman" w:cs="Times New Roman"/>
          <w:sz w:val="21"/>
          <w:szCs w:val="21"/>
        </w:rPr>
        <w:fldChar w:fldCharType="end"/>
      </w:r>
      <w:r w:rsidRPr="007813AC">
        <w:rPr>
          <w:rFonts w:ascii="Times New Roman" w:eastAsia="Times New Roman" w:hAnsi="Times New Roman" w:cs="Times New Roman"/>
          <w:sz w:val="21"/>
          <w:szCs w:val="21"/>
        </w:rPr>
        <w:t>.</w:t>
      </w:r>
    </w:p>
  </w:footnote>
  <w:footnote w:id="15">
    <w:p w14:paraId="1C78DB3B" w14:textId="040C3FA6" w:rsidR="00C64EF1" w:rsidRPr="00C64EF1" w:rsidRDefault="00C64EF1" w:rsidP="005049B3">
      <w:pPr>
        <w:pStyle w:val="af"/>
        <w:jc w:val="both"/>
        <w:rPr>
          <w:rFonts w:ascii="Times New Roman" w:hAnsi="Times New Roman" w:cs="Times New Roman"/>
          <w:sz w:val="21"/>
          <w:szCs w:val="21"/>
        </w:rPr>
      </w:pPr>
      <w:r w:rsidRPr="00C64EF1">
        <w:rPr>
          <w:rStyle w:val="af4"/>
          <w:rFonts w:ascii="Times New Roman" w:hAnsi="Times New Roman" w:cs="Times New Roman"/>
          <w:sz w:val="21"/>
          <w:szCs w:val="21"/>
        </w:rPr>
        <w:footnoteRef/>
      </w:r>
      <w:r w:rsidRPr="00C64EF1">
        <w:rPr>
          <w:rFonts w:ascii="Times New Roman" w:hAnsi="Times New Roman" w:cs="Times New Roman"/>
          <w:sz w:val="21"/>
          <w:szCs w:val="21"/>
        </w:rPr>
        <w:t xml:space="preserve"> We use the xt</w:t>
      </w:r>
      <w:r w:rsidRPr="005049B3">
        <w:rPr>
          <w:rFonts w:ascii="Times New Roman" w:hAnsi="Times New Roman" w:cs="Times New Roman"/>
          <w:sz w:val="21"/>
          <w:szCs w:val="21"/>
        </w:rPr>
        <w:t xml:space="preserve">abond2 command </w:t>
      </w:r>
      <w:r w:rsidR="006B32AC" w:rsidRPr="005049B3">
        <w:rPr>
          <w:rFonts w:ascii="Times New Roman" w:hAnsi="Times New Roman" w:cs="Times New Roman"/>
          <w:sz w:val="21"/>
          <w:szCs w:val="21"/>
        </w:rPr>
        <w:t xml:space="preserve">with the </w:t>
      </w:r>
      <w:r w:rsidR="005049B3" w:rsidRPr="005049B3">
        <w:rPr>
          <w:rFonts w:ascii="Times New Roman" w:hAnsi="Times New Roman" w:cs="Times New Roman"/>
          <w:sz w:val="21"/>
          <w:szCs w:val="21"/>
        </w:rPr>
        <w:t xml:space="preserve">option of </w:t>
      </w:r>
      <w:proofErr w:type="spellStart"/>
      <w:r w:rsidR="005049B3" w:rsidRPr="005049B3">
        <w:rPr>
          <w:rFonts w:ascii="Times New Roman" w:hAnsi="Times New Roman" w:cs="Times New Roman"/>
          <w:sz w:val="21"/>
          <w:szCs w:val="21"/>
        </w:rPr>
        <w:t>nolevel</w:t>
      </w:r>
      <w:r w:rsidR="00C626DB">
        <w:rPr>
          <w:rFonts w:ascii="Times New Roman" w:hAnsi="Times New Roman" w:cs="Times New Roman"/>
          <w:sz w:val="21"/>
          <w:szCs w:val="21"/>
        </w:rPr>
        <w:t>eq</w:t>
      </w:r>
      <w:proofErr w:type="spellEnd"/>
      <w:r w:rsidR="005049B3" w:rsidRPr="005049B3">
        <w:rPr>
          <w:rFonts w:ascii="Times New Roman" w:hAnsi="Times New Roman" w:cs="Times New Roman"/>
          <w:sz w:val="21"/>
          <w:szCs w:val="21"/>
        </w:rPr>
        <w:t xml:space="preserve"> </w:t>
      </w:r>
      <w:r w:rsidRPr="005049B3">
        <w:rPr>
          <w:rFonts w:ascii="Times New Roman" w:hAnsi="Times New Roman" w:cs="Times New Roman"/>
          <w:sz w:val="21"/>
          <w:szCs w:val="21"/>
        </w:rPr>
        <w:t>in Stata</w:t>
      </w:r>
      <w:r w:rsidRPr="00C64EF1">
        <w:rPr>
          <w:rFonts w:ascii="Times New Roman" w:hAnsi="Times New Roman" w:cs="Times New Roman"/>
          <w:sz w:val="21"/>
          <w:szCs w:val="21"/>
        </w:rPr>
        <w:t xml:space="preserve"> </w:t>
      </w:r>
      <w:r w:rsidR="002E6006">
        <w:rPr>
          <w:rFonts w:ascii="Times New Roman" w:hAnsi="Times New Roman" w:cs="Times New Roman"/>
          <w:color w:val="000000" w:themeColor="text1"/>
          <w:sz w:val="21"/>
          <w:szCs w:val="21"/>
        </w:rPr>
        <w:t xml:space="preserve">software </w:t>
      </w:r>
      <w:r w:rsidR="006B32AC">
        <w:rPr>
          <w:rFonts w:ascii="Times New Roman" w:hAnsi="Times New Roman" w:cs="Times New Roman"/>
          <w:sz w:val="21"/>
          <w:szCs w:val="21"/>
        </w:rPr>
        <w:t>to</w:t>
      </w:r>
      <w:r w:rsidRPr="00C64EF1">
        <w:rPr>
          <w:rFonts w:ascii="Times New Roman" w:hAnsi="Times New Roman" w:cs="Times New Roman"/>
          <w:sz w:val="21"/>
          <w:szCs w:val="21"/>
        </w:rPr>
        <w:t xml:space="preserve"> perform </w:t>
      </w:r>
      <w:r w:rsidR="002E6006">
        <w:rPr>
          <w:rFonts w:ascii="Times New Roman" w:hAnsi="Times New Roman" w:cs="Times New Roman"/>
          <w:sz w:val="21"/>
          <w:szCs w:val="21"/>
        </w:rPr>
        <w:t xml:space="preserve">Difference </w:t>
      </w:r>
      <w:r w:rsidRPr="00C64EF1">
        <w:rPr>
          <w:rFonts w:ascii="Times New Roman" w:hAnsi="Times New Roman" w:cs="Times New Roman"/>
          <w:sz w:val="21"/>
          <w:szCs w:val="21"/>
        </w:rPr>
        <w:t>GMM regressions</w:t>
      </w:r>
      <w:r w:rsidR="003D2877">
        <w:rPr>
          <w:rFonts w:ascii="Times New Roman" w:hAnsi="Times New Roman" w:cs="Times New Roman"/>
          <w:sz w:val="21"/>
          <w:szCs w:val="21"/>
        </w:rPr>
        <w:t xml:space="preserve">. </w:t>
      </w:r>
      <w:r w:rsidRPr="00C64EF1">
        <w:rPr>
          <w:rFonts w:ascii="Times New Roman" w:hAnsi="Times New Roman" w:cs="Times New Roman"/>
          <w:sz w:val="21"/>
          <w:szCs w:val="21"/>
        </w:rPr>
        <w:t xml:space="preserve">We use </w:t>
      </w:r>
      <w:r w:rsidRPr="00C64EF1">
        <w:rPr>
          <w:rFonts w:ascii="Times New Roman" w:eastAsia="Times New Roman" w:hAnsi="Times New Roman" w:cs="Times New Roman"/>
          <w:sz w:val="21"/>
          <w:szCs w:val="21"/>
        </w:rPr>
        <w:t xml:space="preserve">the </w:t>
      </w:r>
      <w:proofErr w:type="spellStart"/>
      <w:r w:rsidRPr="00C64EF1">
        <w:rPr>
          <w:rFonts w:ascii="Times New Roman" w:eastAsia="Times New Roman" w:hAnsi="Times New Roman" w:cs="Times New Roman"/>
          <w:sz w:val="21"/>
          <w:szCs w:val="21"/>
        </w:rPr>
        <w:t>laglimits</w:t>
      </w:r>
      <w:proofErr w:type="spellEnd"/>
      <w:r w:rsidRPr="00C64EF1">
        <w:rPr>
          <w:rFonts w:ascii="Times New Roman" w:eastAsia="Times New Roman" w:hAnsi="Times New Roman" w:cs="Times New Roman"/>
          <w:sz w:val="21"/>
          <w:szCs w:val="21"/>
        </w:rPr>
        <w:t xml:space="preserve"> option </w:t>
      </w:r>
      <w:r w:rsidRPr="00C64EF1">
        <w:rPr>
          <w:rFonts w:ascii="Times New Roman" w:hAnsi="Times New Roman" w:cs="Times New Roman"/>
          <w:sz w:val="21"/>
          <w:szCs w:val="21"/>
        </w:rPr>
        <w:t xml:space="preserve">in Stata to restrict the lag ranges used in generating the instrument sets </w:t>
      </w:r>
      <w:r w:rsidRPr="00C64EF1">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&lt;EndNote&gt;&lt;Cite&gt;&lt;Author&gt;Roodman&lt;/Author&gt;&lt;Year&gt;2009&lt;/Year&gt;&lt;RecNum&gt;2265&lt;/RecNum&gt;&lt;DisplayText&gt;(Roodman 2009)&lt;/DisplayText&gt;&lt;record&gt;&lt;rec-number&gt;2265&lt;/rec-number&gt;&lt;foreign-keys&gt;&lt;key app="EN" db-id="trr00pfsbzzex0ezwf6v5swd9fpfpwfa90xp" timestamp="1638533944" guid="ca23d0b7-e4d3-427d-bea4-828ec53071dd"&gt;2265&lt;/key&gt;&lt;/foreign-keys&gt;&lt;ref-type name="Journal Article"&gt;17&lt;/ref-type&gt;&lt;contributors&gt;&lt;authors&gt;&lt;author&gt;Roodman, David&lt;/author&gt;&lt;/authors&gt;&lt;/contributors&gt;&lt;titles&gt;&lt;title&gt;How to do xtabond2: An introduction to difference and system GMM in Stata&lt;/title&gt;&lt;secondary-title&gt;The stata journal&lt;/secondary-title&gt;&lt;/titles&gt;&lt;periodical&gt;&lt;full-title&gt;The stata journal&lt;/full-title&gt;&lt;/periodical&gt;&lt;pages&gt;86-136&lt;/pages&gt;&lt;volume&gt;9&lt;/volume&gt;&lt;number&gt;1&lt;/number&gt;&lt;dates&gt;&lt;year&gt;2009&lt;/year&gt;&lt;/dates&gt;&lt;isbn&gt;1536-867X&lt;/isbn&gt;&lt;urls&gt;&lt;/urls&gt;&lt;/record&gt;&lt;/Cite&gt;&lt;/EndNote&gt;</w:instrText>
      </w:r>
      <w:r w:rsidRPr="00C64EF1">
        <w:rPr>
          <w:rFonts w:ascii="Times New Roman" w:hAnsi="Times New Roman" w:cs="Times New Roman"/>
          <w:sz w:val="21"/>
          <w:szCs w:val="21"/>
        </w:rPr>
        <w:fldChar w:fldCharType="separate"/>
      </w:r>
      <w:r w:rsidRPr="00C64EF1">
        <w:rPr>
          <w:rFonts w:ascii="Times New Roman" w:hAnsi="Times New Roman" w:cs="Times New Roman"/>
          <w:noProof/>
          <w:sz w:val="21"/>
          <w:szCs w:val="21"/>
        </w:rPr>
        <w:t>(Roodman 2009)</w:t>
      </w:r>
      <w:r w:rsidRPr="00C64EF1">
        <w:rPr>
          <w:rFonts w:ascii="Times New Roman" w:hAnsi="Times New Roman" w:cs="Times New Roman"/>
          <w:sz w:val="21"/>
          <w:szCs w:val="21"/>
        </w:rPr>
        <w:fldChar w:fldCharType="end"/>
      </w:r>
      <w:r w:rsidRPr="00C64EF1">
        <w:rPr>
          <w:rFonts w:ascii="Times New Roman" w:hAnsi="Times New Roman" w:cs="Times New Roman"/>
          <w:sz w:val="21"/>
          <w:szCs w:val="21"/>
        </w:rPr>
        <w:t>.</w:t>
      </w:r>
    </w:p>
  </w:footnote>
  <w:footnote w:id="16">
    <w:p w14:paraId="74ACF688" w14:textId="1799E55F" w:rsidR="008165F6" w:rsidRPr="008165F6" w:rsidRDefault="008165F6" w:rsidP="007468EB">
      <w:pPr>
        <w:pStyle w:val="af"/>
        <w:jc w:val="both"/>
        <w:rPr>
          <w:rFonts w:ascii="Times New Roman" w:hAnsi="Times New Roman" w:cs="Times New Roman"/>
          <w:sz w:val="21"/>
          <w:szCs w:val="21"/>
        </w:rPr>
      </w:pPr>
      <w:r w:rsidRPr="008165F6">
        <w:rPr>
          <w:rStyle w:val="af4"/>
          <w:rFonts w:ascii="Times New Roman" w:hAnsi="Times New Roman" w:cs="Times New Roman"/>
          <w:sz w:val="21"/>
          <w:szCs w:val="21"/>
        </w:rPr>
        <w:footnoteRef/>
      </w:r>
      <w:r w:rsidRPr="008165F6">
        <w:rPr>
          <w:rFonts w:ascii="Times New Roman" w:hAnsi="Times New Roman" w:cs="Times New Roman"/>
          <w:sz w:val="21"/>
          <w:szCs w:val="21"/>
        </w:rPr>
        <w:t xml:space="preserve"> We check the reliability of the GMM estimates with the Hansen test of overidentification and Arellano and Bond (1991) test for serially uncorrelated error terms </w:t>
      </w:r>
      <w:r w:rsidRPr="008165F6">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&lt;EndNote&gt;&lt;Cite&gt;&lt;Author&gt;Eugster&lt;/Author&gt;&lt;Year&gt;2020&lt;/Year&gt;&lt;RecNum&gt;2239&lt;/RecNum&gt;&lt;DisplayText&gt;(Eugster 2020; Wintoki et al. 2012)&lt;/DisplayText&gt;&lt;record&gt;&lt;rec-number&gt;2239&lt;/rec-number&gt;&lt;foreign-keys&gt;&lt;key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Cite&gt;&lt;Author&gt;Wintoki&lt;/Author&gt;&lt;Year&gt;2012&lt;/Year&gt;&lt;RecNum&gt;2236&lt;/RecNum&gt;&lt;record&gt;&lt;rec-number&gt;2236&lt;/rec-number&gt;&lt;foreign-keys&gt;&lt;key app="EN" db-id="trr00pfsbzzex0ezwf6v5swd9fpfpwfa90xp" timestamp="1637830923" guid="2254b475-c13a-44ab-a1f8-13d5e0f476a6"&gt;2236&lt;/key&gt;&lt;/foreign-keys&gt;&lt;ref-type name="Journal Article"&gt;17&lt;/ref-type&gt;&lt;contributors&gt;&lt;authors&gt;&lt;author&gt;Wintoki, M Babajide&lt;/author&gt;&lt;author&gt;Linck, James S&lt;/author&gt;&lt;author&gt;Netter, Jeffry M&lt;/author&gt;&lt;/authors&gt;&lt;/contributors&gt;&lt;titles&gt;&lt;title&gt;Endogeneity and the dynamics of internal corporate governance&lt;/title&gt;&lt;secondary-title&gt;Journal of financial economics&lt;/secondary-title&gt;&lt;/titles&gt;&lt;periodical&gt;&lt;full-title&gt;Journal of Financial Economics&lt;/full-title&gt;&lt;/periodical&gt;&lt;pages&gt;581-606&lt;/pages&gt;&lt;volume&gt;105&lt;/volume&gt;&lt;number&gt;3&lt;/number&gt;&lt;dates&gt;&lt;year&gt;2012&lt;/year&gt;&lt;/dates&gt;&lt;isbn&gt;0304-405X&lt;/isbn&gt;&lt;urls&gt;&lt;/urls&gt;&lt;/record&gt;&lt;/Cite&gt;&lt;/EndNote&gt;</w:instrText>
      </w:r>
      <w:r w:rsidRPr="008165F6">
        <w:rPr>
          <w:rFonts w:ascii="Times New Roman" w:hAnsi="Times New Roman" w:cs="Times New Roman"/>
          <w:sz w:val="21"/>
          <w:szCs w:val="21"/>
        </w:rPr>
        <w:fldChar w:fldCharType="separate"/>
      </w:r>
      <w:r w:rsidRPr="008165F6">
        <w:rPr>
          <w:rFonts w:ascii="Times New Roman" w:hAnsi="Times New Roman" w:cs="Times New Roman"/>
          <w:noProof/>
          <w:sz w:val="21"/>
          <w:szCs w:val="21"/>
        </w:rPr>
        <w:t>(Eugster 2020; Wintoki et al. 2012)</w:t>
      </w:r>
      <w:r w:rsidRPr="008165F6">
        <w:rPr>
          <w:rFonts w:ascii="Times New Roman" w:hAnsi="Times New Roman" w:cs="Times New Roman"/>
          <w:sz w:val="21"/>
          <w:szCs w:val="21"/>
        </w:rPr>
        <w:fldChar w:fldCharType="end"/>
      </w:r>
      <w:r w:rsidRPr="008165F6">
        <w:rPr>
          <w:rFonts w:ascii="Times New Roman" w:hAnsi="Times New Roman" w:cs="Times New Roman"/>
          <w:sz w:val="21"/>
          <w:szCs w:val="21"/>
        </w:rPr>
        <w:t>. The Hansen statistic of overidentification tests the null hypothesis of a correct model specification and valid overidentifying restrictions. A p-value of 10 percent or higher indicates that the lagged firm values are exogenous to the current values</w:t>
      </w:r>
      <w:r w:rsidR="00414FBD">
        <w:rPr>
          <w:rFonts w:ascii="Times New Roman" w:hAnsi="Times New Roman" w:cs="Times New Roman"/>
          <w:sz w:val="21"/>
          <w:szCs w:val="21"/>
        </w:rPr>
        <w:t>.</w:t>
      </w:r>
      <w:r w:rsidRPr="008165F6">
        <w:rPr>
          <w:rFonts w:ascii="Times New Roman" w:hAnsi="Times New Roman" w:cs="Times New Roman"/>
          <w:sz w:val="21"/>
          <w:szCs w:val="21"/>
        </w:rPr>
        <w:t xml:space="preserve"> The Arellano and Bond (1991) test for autocorrelation has the null hypothesis of no autocorrelation and is applied to the differenced residuals </w:t>
      </w:r>
      <w:r w:rsidRPr="008165F6">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&lt;EndNote&gt;&lt;Cite&gt;&lt;Author&gt;Eugster&lt;/Author&gt;&lt;Year&gt;2020&lt;/Year&gt;&lt;RecNum&gt;2239&lt;/RecNum&gt;&lt;DisplayText&gt;(Eugster 2020)&lt;/DisplayText&gt;&lt;record&gt;&lt;rec-number&gt;2239&lt;/rec-number&gt;&lt;foreign-keys&gt;&lt;key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8165F6">
        <w:rPr>
          <w:rFonts w:ascii="Times New Roman" w:hAnsi="Times New Roman" w:cs="Times New Roman"/>
          <w:sz w:val="21"/>
          <w:szCs w:val="21"/>
        </w:rPr>
        <w:fldChar w:fldCharType="separate"/>
      </w:r>
      <w:r w:rsidRPr="008165F6">
        <w:rPr>
          <w:rFonts w:ascii="Times New Roman" w:hAnsi="Times New Roman" w:cs="Times New Roman"/>
          <w:noProof/>
          <w:sz w:val="21"/>
          <w:szCs w:val="21"/>
        </w:rPr>
        <w:t>(Eugster 2020)</w:t>
      </w:r>
      <w:r w:rsidRPr="008165F6">
        <w:rPr>
          <w:rFonts w:ascii="Times New Roman" w:hAnsi="Times New Roman" w:cs="Times New Roman"/>
          <w:sz w:val="21"/>
          <w:szCs w:val="21"/>
        </w:rPr>
        <w:fldChar w:fldCharType="end"/>
      </w:r>
      <w:r w:rsidRPr="008165F6">
        <w:rPr>
          <w:rFonts w:ascii="Times New Roman" w:hAnsi="Times New Roman" w:cs="Times New Roman"/>
          <w:sz w:val="21"/>
          <w:szCs w:val="21"/>
        </w:rPr>
        <w:t xml:space="preserve">. Due to the construction of the dynamic GMM panel, the </w:t>
      </w:r>
      <w:proofErr w:type="gramStart"/>
      <w:r w:rsidRPr="008165F6">
        <w:rPr>
          <w:rFonts w:ascii="Times New Roman" w:hAnsi="Times New Roman" w:cs="Times New Roman"/>
          <w:sz w:val="21"/>
          <w:szCs w:val="21"/>
        </w:rPr>
        <w:t>AR(</w:t>
      </w:r>
      <w:proofErr w:type="gramEnd"/>
      <w:r w:rsidRPr="008165F6">
        <w:rPr>
          <w:rFonts w:ascii="Times New Roman" w:hAnsi="Times New Roman" w:cs="Times New Roman"/>
          <w:sz w:val="21"/>
          <w:szCs w:val="21"/>
        </w:rPr>
        <w:t xml:space="preserve">1) test will be usually rejected. Nevertheless, the AR(2) test remains important to detect a serial correlation </w:t>
      </w:r>
      <w:r w:rsidRPr="008165F6">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&lt;EndNote&gt;&lt;Cite&gt;&lt;Author&gt;Eugster&lt;/Author&gt;&lt;Year&gt;2020&lt;/Year&gt;&lt;RecNum&gt;2239&lt;/RecNum&gt;&lt;DisplayText&gt;(Eugster 2020)&lt;/DisplayText&gt;&lt;record&gt;&lt;rec-number&gt;2239&lt;/rec-number&gt;&lt;foreign-keys&gt;&lt;key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8165F6">
        <w:rPr>
          <w:rFonts w:ascii="Times New Roman" w:hAnsi="Times New Roman" w:cs="Times New Roman"/>
          <w:sz w:val="21"/>
          <w:szCs w:val="21"/>
        </w:rPr>
        <w:fldChar w:fldCharType="separate"/>
      </w:r>
      <w:r w:rsidRPr="008165F6">
        <w:rPr>
          <w:rFonts w:ascii="Times New Roman" w:hAnsi="Times New Roman" w:cs="Times New Roman"/>
          <w:noProof/>
          <w:sz w:val="21"/>
          <w:szCs w:val="21"/>
        </w:rPr>
        <w:t>(Eugster 2020)</w:t>
      </w:r>
      <w:r w:rsidRPr="008165F6">
        <w:rPr>
          <w:rFonts w:ascii="Times New Roman" w:hAnsi="Times New Roman" w:cs="Times New Roman"/>
          <w:sz w:val="21"/>
          <w:szCs w:val="21"/>
        </w:rPr>
        <w:fldChar w:fldCharType="end"/>
      </w:r>
      <w:r w:rsidRPr="008165F6">
        <w:rPr>
          <w:rFonts w:ascii="Times New Roman" w:hAnsi="Times New Roman" w:cs="Times New Roman"/>
          <w:sz w:val="21"/>
          <w:szCs w:val="21"/>
        </w:rPr>
        <w:t xml:space="preserve">. A second-order serial correlation in the dynamic panel GMM indicates a specification error and a potential omitted variable bias </w:t>
      </w:r>
      <w:r w:rsidRPr="008165F6">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&lt;EndNote&gt;&lt;Cite&gt;&lt;Author&gt;Arellano&lt;/Author&gt;&lt;Year&gt;1991&lt;/Year&gt;&lt;RecNum&gt;2226&lt;/RecNum&gt;&lt;DisplayText&gt;(Arellano and Bond 1991; Eugster 2020)&lt;/DisplayText&gt;&lt;record&gt;&lt;rec-number&gt;2226&lt;/rec-number&gt;&lt;foreign-keys&gt;&lt;key app="EN" db-id="trr00pfsbzzex0ezwf6v5swd9fpfpwfa90xp" timestamp="1637660068" guid="a66d7eab-a179-4229-a61d-998fea2610db"&gt;2226&lt;/key&gt;&lt;/foreign-keys&gt;&lt;ref-type name="Journal Article"&gt;17&lt;/ref-type&gt;&lt;contributors&gt;&lt;authors&gt;&lt;author&gt;Arellano, Manuel&lt;/author&gt;&lt;author&gt;Bond, Stephen&lt;/author&gt;&lt;/authors&gt;&lt;/contributors&gt;&lt;titles&gt;&lt;title&gt;Some tests of specification for panel data: Monte Carlo evidence and an application to employment equations&lt;/title&gt;&lt;secondary-title&gt;The review of economic studies&lt;/secondary-title&gt;&lt;/titles&gt;&lt;periodical&gt;&lt;full-title&gt;The Review of Economic Studies&lt;/full-title&gt;&lt;/periodical&gt;&lt;pages&gt;277-297&lt;/pages&gt;&lt;volume&gt;58&lt;/volume&gt;&lt;number&gt;2&lt;/number&gt;&lt;dates&gt;&lt;year&gt;1991&lt;/year&gt;&lt;/dates&gt;&lt;isbn&gt;1467-937X&lt;/isbn&gt;&lt;urls&gt;&lt;/urls&gt;&lt;/record&gt;&lt;/Cite&gt;&lt;Cite&gt;&lt;Author&gt;Eugster&lt;/Author&gt;&lt;Year&gt;2020&lt;/Year&gt;&lt;RecNum&gt;2239&lt;/RecNum&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8165F6">
        <w:rPr>
          <w:rFonts w:ascii="Times New Roman" w:hAnsi="Times New Roman" w:cs="Times New Roman"/>
          <w:sz w:val="21"/>
          <w:szCs w:val="21"/>
        </w:rPr>
        <w:fldChar w:fldCharType="separate"/>
      </w:r>
      <w:r w:rsidRPr="008165F6">
        <w:rPr>
          <w:rFonts w:ascii="Times New Roman" w:hAnsi="Times New Roman" w:cs="Times New Roman"/>
          <w:noProof/>
          <w:sz w:val="21"/>
          <w:szCs w:val="21"/>
        </w:rPr>
        <w:t>(Arellano and Bond 1991; Eugster 2020)</w:t>
      </w:r>
      <w:r w:rsidRPr="008165F6">
        <w:rPr>
          <w:rFonts w:ascii="Times New Roman" w:hAnsi="Times New Roman" w:cs="Times New Roman"/>
          <w:sz w:val="21"/>
          <w:szCs w:val="21"/>
        </w:rPr>
        <w:fldChar w:fldCharType="end"/>
      </w:r>
      <w:r w:rsidRPr="008165F6">
        <w:rPr>
          <w:rFonts w:ascii="Times New Roman" w:hAnsi="Times New Roman" w:cs="Times New Roman"/>
          <w:sz w:val="21"/>
          <w:szCs w:val="21"/>
        </w:rPr>
        <w:t>.</w:t>
      </w:r>
    </w:p>
  </w:footnote>
  <w:footnote w:id="17">
    <w:p w14:paraId="279C0568" w14:textId="475021E9" w:rsidR="0014221B" w:rsidRPr="0014221B" w:rsidRDefault="0014221B" w:rsidP="0014221B">
      <w:pPr>
        <w:pStyle w:val="af"/>
        <w:jc w:val="both"/>
        <w:rPr>
          <w:rFonts w:ascii="Times New Roman" w:hAnsi="Times New Roman" w:cs="Times New Roman"/>
          <w:sz w:val="21"/>
          <w:szCs w:val="21"/>
        </w:rPr>
      </w:pPr>
      <w:r w:rsidRPr="0014221B">
        <w:rPr>
          <w:rStyle w:val="af4"/>
          <w:rFonts w:ascii="Times New Roman" w:hAnsi="Times New Roman" w:cs="Times New Roman"/>
          <w:color w:val="000000" w:themeColor="text1"/>
          <w:sz w:val="21"/>
          <w:szCs w:val="21"/>
        </w:rPr>
        <w:footnoteRef/>
      </w:r>
      <w:r w:rsidRPr="0014221B">
        <w:rPr>
          <w:rFonts w:ascii="Times New Roman" w:hAnsi="Times New Roman" w:cs="Times New Roman"/>
          <w:color w:val="000000" w:themeColor="text1"/>
          <w:sz w:val="21"/>
          <w:szCs w:val="21"/>
        </w:rPr>
        <w:t xml:space="preserve"> We use the xtabond2 command in Stata </w:t>
      </w:r>
      <w:r>
        <w:rPr>
          <w:rFonts w:ascii="Times New Roman" w:hAnsi="Times New Roman" w:cs="Times New Roman"/>
          <w:color w:val="000000" w:themeColor="text1"/>
          <w:sz w:val="21"/>
          <w:szCs w:val="21"/>
        </w:rPr>
        <w:t xml:space="preserve">software </w:t>
      </w:r>
      <w:r w:rsidRPr="0014221B">
        <w:rPr>
          <w:rFonts w:ascii="Times New Roman" w:hAnsi="Times New Roman" w:cs="Times New Roman"/>
          <w:color w:val="000000" w:themeColor="text1"/>
          <w:sz w:val="21"/>
          <w:szCs w:val="21"/>
        </w:rPr>
        <w:t xml:space="preserve">and perform two-step </w:t>
      </w:r>
      <w:r w:rsidR="002E6006">
        <w:rPr>
          <w:rFonts w:ascii="Times New Roman" w:hAnsi="Times New Roman" w:cs="Times New Roman"/>
          <w:color w:val="000000" w:themeColor="text1"/>
          <w:sz w:val="21"/>
          <w:szCs w:val="21"/>
        </w:rPr>
        <w:t xml:space="preserve">System </w:t>
      </w:r>
      <w:r w:rsidRPr="0014221B">
        <w:rPr>
          <w:rFonts w:ascii="Times New Roman" w:hAnsi="Times New Roman" w:cs="Times New Roman"/>
          <w:color w:val="000000" w:themeColor="text1"/>
          <w:sz w:val="21"/>
          <w:szCs w:val="21"/>
        </w:rPr>
        <w:t>GMM regressions</w:t>
      </w:r>
      <w:r w:rsidR="004117E7">
        <w:rPr>
          <w:rFonts w:ascii="Times New Roman" w:hAnsi="Times New Roman" w:cs="Times New Roman"/>
          <w:color w:val="000000" w:themeColor="text1"/>
          <w:sz w:val="21"/>
          <w:szCs w:val="21"/>
        </w:rPr>
        <w:t>.</w:t>
      </w:r>
      <w:r w:rsidRPr="0014221B">
        <w:rPr>
          <w:rFonts w:ascii="Times New Roman" w:hAnsi="Times New Roman" w:cs="Times New Roman"/>
          <w:color w:val="000000" w:themeColor="text1"/>
          <w:sz w:val="21"/>
          <w:szCs w:val="21"/>
        </w:rPr>
        <w:t xml:space="preserve"> We use </w:t>
      </w:r>
      <w:r w:rsidRPr="0014221B">
        <w:rPr>
          <w:rFonts w:ascii="Times New Roman" w:eastAsia="Times New Roman" w:hAnsi="Times New Roman" w:cs="Times New Roman"/>
          <w:color w:val="000000" w:themeColor="text1"/>
          <w:sz w:val="21"/>
          <w:szCs w:val="21"/>
        </w:rPr>
        <w:t xml:space="preserve">the </w:t>
      </w:r>
      <w:proofErr w:type="spellStart"/>
      <w:r w:rsidRPr="0014221B">
        <w:rPr>
          <w:rFonts w:ascii="Times New Roman" w:eastAsia="Times New Roman" w:hAnsi="Times New Roman" w:cs="Times New Roman"/>
          <w:color w:val="000000" w:themeColor="text1"/>
          <w:sz w:val="21"/>
          <w:szCs w:val="21"/>
        </w:rPr>
        <w:t>laglimits</w:t>
      </w:r>
      <w:proofErr w:type="spellEnd"/>
      <w:r w:rsidRPr="0014221B">
        <w:rPr>
          <w:rFonts w:ascii="Times New Roman" w:eastAsia="Times New Roman" w:hAnsi="Times New Roman" w:cs="Times New Roman"/>
          <w:color w:val="000000" w:themeColor="text1"/>
          <w:sz w:val="21"/>
          <w:szCs w:val="21"/>
        </w:rPr>
        <w:t xml:space="preserve"> option </w:t>
      </w:r>
      <w:r w:rsidRPr="0014221B">
        <w:rPr>
          <w:rFonts w:ascii="Times New Roman" w:hAnsi="Times New Roman" w:cs="Times New Roman"/>
          <w:color w:val="000000" w:themeColor="text1"/>
          <w:sz w:val="21"/>
          <w:szCs w:val="21"/>
        </w:rPr>
        <w:t xml:space="preserve">in Stata to restrict the lag ranges used in generating the instrument sets </w:t>
      </w:r>
      <w:r w:rsidRPr="0014221B">
        <w:rPr>
          <w:rFonts w:ascii="Times New Roman" w:hAnsi="Times New Roman" w:cs="Times New Roman"/>
          <w:color w:val="000000" w:themeColor="text1"/>
          <w:sz w:val="21"/>
          <w:szCs w:val="21"/>
        </w:rPr>
        <w:fldChar w:fldCharType="begin"/>
      </w:r>
      <w:r w:rsidR="006F6C86">
        <w:rPr>
          <w:rFonts w:ascii="Times New Roman" w:hAnsi="Times New Roman" w:cs="Times New Roman"/>
          <w:color w:val="000000" w:themeColor="text1"/>
          <w:sz w:val="21"/>
          <w:szCs w:val="21"/>
        </w:rPr>
        <w:instrText xml:space="preserve"> ADDIN EN.CITE &lt;EndNote&gt;&lt;Cite&gt;&lt;Author&gt;Roodman&lt;/Author&gt;&lt;Year&gt;2009&lt;/Year&gt;&lt;RecNum&gt;2265&lt;/RecNum&gt;&lt;DisplayText&gt;(Roodman 2009)&lt;/DisplayText&gt;&lt;record&gt;&lt;rec-number&gt;2265&lt;/rec-number&gt;&lt;foreign-keys&gt;&lt;key app="EN" db-id="trr00pfsbzzex0ezwf6v5swd9fpfpwfa90xp" timestamp="1638533944" guid="ca23d0b7-e4d3-427d-bea4-828ec53071dd"&gt;2265&lt;/key&gt;&lt;/foreign-keys&gt;&lt;ref-type name="Journal Article"&gt;17&lt;/ref-type&gt;&lt;contributors&gt;&lt;authors&gt;&lt;author&gt;Roodman, David&lt;/author&gt;&lt;/authors&gt;&lt;/contributors&gt;&lt;titles&gt;&lt;title&gt;How to do xtabond2: An introduction to difference and system GMM in Stata&lt;/title&gt;&lt;secondary-title&gt;The stata journal&lt;/secondary-title&gt;&lt;/titles&gt;&lt;periodical&gt;&lt;full-title&gt;The stata journal&lt;/full-title&gt;&lt;/periodical&gt;&lt;pages&gt;86-136&lt;/pages&gt;&lt;volume&gt;9&lt;/volume&gt;&lt;number&gt;1&lt;/number&gt;&lt;dates&gt;&lt;year&gt;2009&lt;/year&gt;&lt;/dates&gt;&lt;isbn&gt;1536-867X&lt;/isbn&gt;&lt;urls&gt;&lt;/urls&gt;&lt;/record&gt;&lt;/Cite&gt;&lt;/EndNote&gt;</w:instrText>
      </w:r>
      <w:r w:rsidRPr="0014221B">
        <w:rPr>
          <w:rFonts w:ascii="Times New Roman" w:hAnsi="Times New Roman" w:cs="Times New Roman"/>
          <w:color w:val="000000" w:themeColor="text1"/>
          <w:sz w:val="21"/>
          <w:szCs w:val="21"/>
        </w:rPr>
        <w:fldChar w:fldCharType="separate"/>
      </w:r>
      <w:r w:rsidRPr="0014221B">
        <w:rPr>
          <w:rFonts w:ascii="Times New Roman" w:hAnsi="Times New Roman" w:cs="Times New Roman"/>
          <w:noProof/>
          <w:color w:val="000000" w:themeColor="text1"/>
          <w:sz w:val="21"/>
          <w:szCs w:val="21"/>
        </w:rPr>
        <w:t>(Roodman 2009)</w:t>
      </w:r>
      <w:r w:rsidRPr="0014221B">
        <w:rPr>
          <w:rFonts w:ascii="Times New Roman" w:hAnsi="Times New Roman" w:cs="Times New Roman"/>
          <w:color w:val="000000" w:themeColor="text1"/>
          <w:sz w:val="21"/>
          <w:szCs w:val="21"/>
        </w:rPr>
        <w:fldChar w:fldCharType="end"/>
      </w:r>
      <w:r w:rsidRPr="0014221B">
        <w:rPr>
          <w:rFonts w:ascii="Times New Roman" w:hAnsi="Times New Roman" w:cs="Times New Roman"/>
          <w:color w:val="000000" w:themeColor="text1"/>
          <w:sz w:val="21"/>
          <w:szCs w:val="21"/>
        </w:rPr>
        <w:t>.</w:t>
      </w:r>
    </w:p>
  </w:footnote>
  <w:footnote w:id="18">
    <w:p w14:paraId="7153DA50" w14:textId="60C385B3" w:rsidR="0039185C" w:rsidRPr="0039185C" w:rsidRDefault="0039185C" w:rsidP="0039185C">
      <w:pPr>
        <w:pStyle w:val="af"/>
        <w:jc w:val="both"/>
        <w:rPr>
          <w:rFonts w:ascii="Times New Roman" w:hAnsi="Times New Roman" w:cs="Times New Roman"/>
          <w:sz w:val="21"/>
          <w:szCs w:val="21"/>
        </w:rPr>
      </w:pPr>
      <w:r w:rsidRPr="0039185C">
        <w:rPr>
          <w:rStyle w:val="af4"/>
          <w:rFonts w:ascii="Times New Roman" w:hAnsi="Times New Roman" w:cs="Times New Roman"/>
          <w:color w:val="000000" w:themeColor="text1"/>
          <w:sz w:val="21"/>
          <w:szCs w:val="21"/>
        </w:rPr>
        <w:footnoteRef/>
      </w:r>
      <w:r w:rsidRPr="0039185C">
        <w:rPr>
          <w:rFonts w:ascii="Times New Roman" w:hAnsi="Times New Roman" w:cs="Times New Roman"/>
          <w:color w:val="000000" w:themeColor="text1"/>
          <w:sz w:val="21"/>
          <w:szCs w:val="21"/>
        </w:rPr>
        <w:t xml:space="preserve"> </w:t>
      </w:r>
      <w:r>
        <w:rPr>
          <w:rFonts w:ascii="Times New Roman" w:hAnsi="Times New Roman" w:cs="Times New Roman"/>
          <w:color w:val="000000" w:themeColor="text1"/>
          <w:sz w:val="21"/>
          <w:szCs w:val="21"/>
        </w:rPr>
        <w:t>W</w:t>
      </w:r>
      <w:r w:rsidRPr="0039185C">
        <w:rPr>
          <w:rFonts w:ascii="Times New Roman" w:hAnsi="Times New Roman" w:cs="Times New Roman"/>
          <w:color w:val="000000" w:themeColor="text1"/>
          <w:sz w:val="21"/>
          <w:szCs w:val="21"/>
        </w:rPr>
        <w:t xml:space="preserve">e use the lag option in the xtabond2 Stata command, which only uses instruments with the exact specified lag as instrumental variables. Omitting this option would lead to using the firm’s entire history as an instrumental variable for the current values </w:t>
      </w:r>
      <w:r w:rsidRPr="0039185C">
        <w:rPr>
          <w:rFonts w:ascii="Times New Roman" w:hAnsi="Times New Roman" w:cs="Times New Roman"/>
          <w:sz w:val="21"/>
          <w:szCs w:val="21"/>
        </w:rPr>
        <w:fldChar w:fldCharType="begin"/>
      </w:r>
      <w:r w:rsidR="006F6C86">
        <w:rPr>
          <w:rFonts w:ascii="Times New Roman" w:hAnsi="Times New Roman" w:cs="Times New Roman"/>
          <w:sz w:val="21"/>
          <w:szCs w:val="21"/>
        </w:rPr>
        <w:instrText xml:space="preserve"> ADDIN EN.CITE &lt;EndNote&gt;&lt;Cite&gt;&lt;Author&gt;Eugster&lt;/Author&gt;&lt;Year&gt;2020&lt;/Year&gt;&lt;RecNum&gt;2239&lt;/RecNum&gt;&lt;DisplayText&gt;(Eugster 2020)&lt;/DisplayText&gt;&lt;record&gt;&lt;rec-number&gt;2239&lt;/rec-number&gt;&lt;foreign-keys&gt;&lt;key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39185C">
        <w:rPr>
          <w:rFonts w:ascii="Times New Roman" w:hAnsi="Times New Roman" w:cs="Times New Roman"/>
          <w:sz w:val="21"/>
          <w:szCs w:val="21"/>
        </w:rPr>
        <w:fldChar w:fldCharType="separate"/>
      </w:r>
      <w:r w:rsidRPr="0039185C">
        <w:rPr>
          <w:rFonts w:ascii="Times New Roman" w:hAnsi="Times New Roman" w:cs="Times New Roman"/>
          <w:noProof/>
          <w:sz w:val="21"/>
          <w:szCs w:val="21"/>
        </w:rPr>
        <w:t>(Eugster 2020)</w:t>
      </w:r>
      <w:r w:rsidRPr="0039185C">
        <w:rPr>
          <w:rFonts w:ascii="Times New Roman" w:hAnsi="Times New Roman" w:cs="Times New Roman"/>
          <w:sz w:val="21"/>
          <w:szCs w:val="21"/>
        </w:rPr>
        <w:fldChar w:fldCharType="end"/>
      </w:r>
      <w:r w:rsidRPr="0039185C">
        <w:rPr>
          <w:rFonts w:ascii="Times New Roman" w:hAnsi="Times New Roman" w:cs="Times New Roman"/>
          <w:color w:val="000000" w:themeColor="text1"/>
          <w:sz w:val="21"/>
          <w:szCs w:val="21"/>
        </w:rPr>
        <w:t>.</w:t>
      </w:r>
    </w:p>
  </w:footnote>
  <w:footnote w:id="19">
    <w:p w14:paraId="6DAA1F86" w14:textId="6E183106" w:rsidR="0039185C" w:rsidRPr="00AA6E83" w:rsidRDefault="0039185C" w:rsidP="00AA6E83">
      <w:pPr>
        <w:pStyle w:val="a7"/>
        <w:spacing w:line="240" w:lineRule="auto"/>
        <w:ind w:firstLineChars="0" w:firstLine="0"/>
        <w:rPr>
          <w:rFonts w:cs="Times New Roman"/>
          <w:sz w:val="21"/>
        </w:rPr>
      </w:pPr>
      <w:r w:rsidRPr="007468EB">
        <w:rPr>
          <w:rStyle w:val="af4"/>
          <w:rFonts w:cs="Times New Roman"/>
          <w:sz w:val="21"/>
        </w:rPr>
        <w:footnoteRef/>
      </w:r>
      <w:r w:rsidRPr="007468EB">
        <w:rPr>
          <w:rFonts w:cs="Times New Roman"/>
          <w:sz w:val="21"/>
        </w:rPr>
        <w:t xml:space="preserve"> When multiple lags are used as instruments, the Diff-in-Hansen tests of exogeneity verifies the assumption that any correlation between the endogenous variables and the unobserved effect is constant over time. Therefore, these tests verify whether the lagged differences are exogenous for the level equation </w:t>
      </w:r>
      <w:r w:rsidRPr="007468EB">
        <w:rPr>
          <w:rFonts w:cs="Times New Roman"/>
          <w:sz w:val="21"/>
        </w:rPr>
        <w:fldChar w:fldCharType="begin"/>
      </w:r>
      <w:r w:rsidR="006F6C86">
        <w:rPr>
          <w:rFonts w:cs="Times New Roman"/>
          <w:sz w:val="21"/>
        </w:rPr>
        <w:instrText xml:space="preserve"> ADDIN EN.CITE &lt;EndNote&gt;&lt;Cite&gt;&lt;Author&gt;Eugster&lt;/Author&gt;&lt;Year&gt;2020&lt;/Year&gt;&lt;RecNum&gt;2239&lt;/RecNum&gt;&lt;DisplayText&gt;(Eugster 2020)&lt;/DisplayText&gt;&lt;record&gt;&lt;rec-number&gt;2239&lt;/rec-number&gt;&lt;foreign-keys&gt;&lt;key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7468EB">
        <w:rPr>
          <w:rFonts w:cs="Times New Roman"/>
          <w:sz w:val="21"/>
        </w:rPr>
        <w:fldChar w:fldCharType="separate"/>
      </w:r>
      <w:r w:rsidRPr="007468EB">
        <w:rPr>
          <w:rFonts w:cs="Times New Roman"/>
          <w:noProof/>
          <w:sz w:val="21"/>
        </w:rPr>
        <w:t>(Eugster 2020)</w:t>
      </w:r>
      <w:r w:rsidRPr="007468EB">
        <w:rPr>
          <w:rFonts w:cs="Times New Roman"/>
          <w:sz w:val="21"/>
        </w:rPr>
        <w:fldChar w:fldCharType="end"/>
      </w:r>
      <w:r w:rsidRPr="007468EB">
        <w:rPr>
          <w:rFonts w:cs="Times New Roman"/>
          <w:sz w:val="21"/>
        </w:rPr>
        <w:t xml:space="preserve">. Furthermore, the additional lag specification test should help us in understanding the underlying model and should be more robust in terms of the exogeneity concerns of the instruments </w:t>
      </w:r>
      <w:r w:rsidRPr="007468EB">
        <w:rPr>
          <w:rFonts w:cs="Times New Roman"/>
          <w:sz w:val="21"/>
        </w:rPr>
        <w:fldChar w:fldCharType="begin"/>
      </w:r>
      <w:r w:rsidR="006F6C86">
        <w:rPr>
          <w:rFonts w:cs="Times New Roman"/>
          <w:sz w:val="21"/>
        </w:rPr>
        <w:instrText xml:space="preserve"> ADDIN EN.CITE &lt;EndNote&gt;&lt;Cite&gt;&lt;Author&gt;Eugster&lt;/Author&gt;&lt;Year&gt;2020&lt;/Year&gt;&lt;RecNum&gt;2239&lt;/RecNum&gt;&lt;DisplayText&gt;(Eugster 2020)&lt;/DisplayText&gt;&lt;record&gt;&lt;rec-number&gt;2239&lt;/rec-number&gt;&lt;foreign-keys&gt;&lt;key app="EN" db-id="trr00pfsbzzex0ezwf6v5swd9fpfpwfa90xp" timestamp="1637839708" guid="dbeeeb8b-4d34-4b84-ae2d-ca0d2bcd3805"&gt;2239&lt;/key&gt;&lt;/foreign-keys&gt;&lt;ref-type name="Journal Article"&gt;17&lt;/ref-type&gt;&lt;contributors&gt;&lt;authors&gt;&lt;author&gt;Eugster, Florian&lt;/author&gt;&lt;/authors&gt;&lt;/contributors&gt;&lt;titles&gt;&lt;title&gt;Endogeneity and the dynamics of voluntary disclosure quality: is there really an effect on the cost of equity capital?&lt;/title&gt;&lt;secondary-title&gt;Contemporary Accounting Research&lt;/secondary-title&gt;&lt;/titles&gt;&lt;periodical&gt;&lt;full-title&gt;Contemporary Accounting Research&lt;/full-title&gt;&lt;/periodical&gt;&lt;pages&gt;2590-2614&lt;/pages&gt;&lt;volume&gt;37&lt;/volume&gt;&lt;number&gt;4&lt;/number&gt;&lt;dates&gt;&lt;year&gt;2020&lt;/year&gt;&lt;/dates&gt;&lt;isbn&gt;0823-9150&lt;/isbn&gt;&lt;urls&gt;&lt;/urls&gt;&lt;/record&gt;&lt;/Cite&gt;&lt;/EndNote&gt;</w:instrText>
      </w:r>
      <w:r w:rsidRPr="007468EB">
        <w:rPr>
          <w:rFonts w:cs="Times New Roman"/>
          <w:sz w:val="21"/>
        </w:rPr>
        <w:fldChar w:fldCharType="separate"/>
      </w:r>
      <w:r w:rsidRPr="007468EB">
        <w:rPr>
          <w:rFonts w:cs="Times New Roman"/>
          <w:noProof/>
          <w:sz w:val="21"/>
        </w:rPr>
        <w:t>(Eugster 2020)</w:t>
      </w:r>
      <w:r w:rsidRPr="007468EB">
        <w:rPr>
          <w:rFonts w:cs="Times New Roman"/>
          <w:sz w:val="21"/>
        </w:rPr>
        <w:fldChar w:fldCharType="end"/>
      </w:r>
      <w:r w:rsidRPr="007468EB">
        <w:rPr>
          <w:rFonts w:cs="Times New Roman"/>
          <w:sz w:val="21"/>
        </w:rPr>
        <w:t>.</w:t>
      </w:r>
    </w:p>
  </w:footnote>
  <w:footnote w:id="20">
    <w:p w14:paraId="3C8CF4F6" w14:textId="5A9405CC" w:rsidR="00360734" w:rsidRDefault="00360734" w:rsidP="00360734">
      <w:pPr>
        <w:pStyle w:val="af"/>
      </w:pPr>
      <w:r w:rsidRPr="00931083">
        <w:rPr>
          <w:rStyle w:val="af4"/>
          <w:rFonts w:ascii="Times New Roman" w:eastAsia="宋体" w:hAnsi="Times New Roman"/>
          <w:sz w:val="21"/>
          <w:szCs w:val="21"/>
        </w:rPr>
        <w:footnoteRef/>
      </w:r>
      <w:r w:rsidR="00464C8F">
        <w:rPr>
          <w:rFonts w:ascii="Times New Roman" w:eastAsia="宋体" w:hAnsi="Times New Roman"/>
          <w:sz w:val="21"/>
          <w:szCs w:val="21"/>
        </w:rPr>
        <w:t xml:space="preserve"> </w:t>
      </w:r>
      <w:r w:rsidRPr="00931083">
        <w:rPr>
          <w:rFonts w:ascii="Times New Roman" w:eastAsia="宋体" w:hAnsi="Times New Roman"/>
          <w:sz w:val="21"/>
          <w:szCs w:val="21"/>
        </w:rPr>
        <w:t>For simplicity, we did not report the results</w:t>
      </w:r>
      <w:r>
        <w:rPr>
          <w:rFonts w:ascii="Times New Roman" w:eastAsia="宋体" w:hAnsi="Times New Roman"/>
          <w:sz w:val="21"/>
          <w:szCs w:val="21"/>
        </w:rPr>
        <w:t xml:space="preserve"> in the section </w:t>
      </w:r>
      <w:r w:rsidRPr="00113BB8">
        <w:rPr>
          <w:rFonts w:ascii="Times New Roman" w:eastAsia="宋体" w:hAnsi="Times New Roman"/>
          <w:sz w:val="21"/>
          <w:szCs w:val="21"/>
        </w:rPr>
        <w:t>“</w:t>
      </w:r>
      <w:r w:rsidRPr="00FD356C">
        <w:rPr>
          <w:rFonts w:ascii="Times New Roman" w:eastAsia="宋体" w:hAnsi="Times New Roman"/>
          <w:sz w:val="21"/>
          <w:szCs w:val="21"/>
        </w:rPr>
        <w:t>Other Robustness Tests</w:t>
      </w:r>
      <w:r w:rsidRPr="00113BB8">
        <w:rPr>
          <w:rFonts w:ascii="Times New Roman" w:eastAsia="宋体" w:hAnsi="Times New Roman"/>
          <w:sz w:val="21"/>
          <w:szCs w:val="21"/>
        </w:rPr>
        <w:t>”</w:t>
      </w:r>
      <w:r>
        <w:rPr>
          <w:rFonts w:ascii="Times New Roman" w:eastAsia="宋体" w:hAnsi="Times New Roman"/>
          <w:sz w:val="21"/>
          <w:szCs w:val="21"/>
        </w:rPr>
        <w:t>.</w:t>
      </w:r>
    </w:p>
  </w:footnote>
  <w:footnote w:id="21">
    <w:p w14:paraId="069E4B07" w14:textId="19C806FA" w:rsidR="00360734" w:rsidRPr="00BF7F54" w:rsidRDefault="00360734" w:rsidP="00360734">
      <w:pPr>
        <w:pStyle w:val="af"/>
        <w:jc w:val="both"/>
        <w:rPr>
          <w:rFonts w:ascii="Times New Roman" w:eastAsia="宋体" w:hAnsi="Times New Roman"/>
          <w:sz w:val="21"/>
          <w:szCs w:val="21"/>
        </w:rPr>
      </w:pPr>
      <w:r w:rsidRPr="00BF7F54">
        <w:rPr>
          <w:rStyle w:val="af4"/>
          <w:rFonts w:ascii="Times New Roman" w:eastAsia="宋体" w:hAnsi="Times New Roman"/>
          <w:sz w:val="21"/>
          <w:szCs w:val="21"/>
        </w:rPr>
        <w:footnoteRef/>
      </w:r>
      <w:r w:rsidR="00464C8F">
        <w:rPr>
          <w:rFonts w:ascii="Times New Roman" w:eastAsia="宋体" w:hAnsi="Times New Roman"/>
          <w:sz w:val="21"/>
          <w:szCs w:val="21"/>
        </w:rPr>
        <w:t xml:space="preserve"> </w:t>
      </w:r>
      <w:r w:rsidRPr="00BF7F54">
        <w:rPr>
          <w:rFonts w:ascii="Times New Roman" w:eastAsia="宋体" w:hAnsi="Times New Roman"/>
          <w:sz w:val="21"/>
          <w:szCs w:val="21"/>
        </w:rPr>
        <w:t>Please refer to http://tv.cctv.com/2013/10/30/VIDE1383132369055628.shtml. for detailed information on Document No. 18 (</w:t>
      </w:r>
      <w:r w:rsidR="004333C1">
        <w:rPr>
          <w:rFonts w:ascii="Times New Roman" w:eastAsia="宋体" w:hAnsi="Times New Roman"/>
          <w:sz w:val="21"/>
          <w:szCs w:val="21"/>
        </w:rPr>
        <w:t>i</w:t>
      </w:r>
      <w:r w:rsidRPr="00BF7F54">
        <w:rPr>
          <w:rFonts w:ascii="Times New Roman" w:eastAsia="宋体" w:hAnsi="Times New Roman"/>
          <w:sz w:val="21"/>
          <w:szCs w:val="21"/>
        </w:rPr>
        <w:t xml:space="preserve">n Chinese).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094B" w14:textId="77777777" w:rsidR="00746786" w:rsidRPr="00CB65E2" w:rsidRDefault="00746786" w:rsidP="00B6758D">
    <w:pPr>
      <w:pStyle w:val="ab"/>
      <w:pBdr>
        <w:bottom w:val="none" w:sz="0" w:space="0" w:color="auto"/>
      </w:pBdr>
      <w:jc w:val="right"/>
      <w:rPr>
        <w:rFonts w:ascii="Times New Roman" w:eastAsia="宋体" w:hAnsi="Times New Roman" w:cs="Times New Roman (正文 CS 字体)"/>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A9DA" w14:textId="77777777" w:rsidR="00746786" w:rsidRPr="00C571BC" w:rsidRDefault="00746786" w:rsidP="00D23F1D">
    <w:pPr>
      <w:pStyle w:val="ab"/>
      <w:pBdr>
        <w:bottom w:val="none" w:sz="0" w:space="0" w:color="auto"/>
      </w:pBdr>
      <w:jc w:val="both"/>
      <w:rPr>
        <w:rFonts w:ascii="Times New Roman" w:eastAsia="宋体" w:hAnsi="Times New Roman" w:cs="Times New Roman (正文 CS 字体)"/>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461F" w14:textId="4EA1AE6C" w:rsidR="00957C0B" w:rsidRPr="00CB65E2" w:rsidRDefault="00957C0B" w:rsidP="00D23F1D">
    <w:pPr>
      <w:pStyle w:val="ab"/>
      <w:pBdr>
        <w:bottom w:val="none" w:sz="0" w:space="0" w:color="auto"/>
      </w:pBdr>
      <w:rPr>
        <w:rFonts w:ascii="Times New Roman" w:eastAsia="宋体" w:hAnsi="Times New Roman" w:cs="Times New Roman (正文 CS 字体)"/>
      </w:rPr>
    </w:pPr>
    <w:r w:rsidRPr="00CB65E2">
      <w:rPr>
        <w:rFonts w:ascii="Times New Roman" w:eastAsia="宋体" w:hAnsi="Times New Roman" w:cs="Times New Roman (正文 CS 字体)"/>
      </w:rPr>
      <w:ptab w:relativeTo="margin" w:alignment="center" w:leader="none"/>
    </w:r>
    <w:r w:rsidRPr="00CB65E2">
      <w:rPr>
        <w:rFonts w:ascii="Times New Roman" w:eastAsia="宋体" w:hAnsi="Times New Roman" w:cs="Times New Roman (正文 CS 字体)"/>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0193C" w14:textId="5EBE8D3C" w:rsidR="00957C0B" w:rsidRPr="00C571BC" w:rsidRDefault="00957C0B" w:rsidP="00D23F1D">
    <w:pPr>
      <w:pStyle w:val="ab"/>
      <w:pBdr>
        <w:bottom w:val="none" w:sz="0" w:space="0" w:color="auto"/>
      </w:pBdr>
      <w:jc w:val="both"/>
      <w:rPr>
        <w:rFonts w:ascii="Times New Roman" w:eastAsia="宋体" w:hAnsi="Times New Roman" w:cs="Times New Roman (正文 CS 字体)"/>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55D35"/>
    <w:multiLevelType w:val="hybridMultilevel"/>
    <w:tmpl w:val="EE62BA9C"/>
    <w:lvl w:ilvl="0" w:tplc="123E3D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6F7025"/>
    <w:multiLevelType w:val="hybridMultilevel"/>
    <w:tmpl w:val="AB6A9B88"/>
    <w:lvl w:ilvl="0" w:tplc="09A434A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3203B29"/>
    <w:multiLevelType w:val="hybridMultilevel"/>
    <w:tmpl w:val="A426E368"/>
    <w:lvl w:ilvl="0" w:tplc="EC26F5A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B1E6B95"/>
    <w:multiLevelType w:val="hybridMultilevel"/>
    <w:tmpl w:val="280473EE"/>
    <w:lvl w:ilvl="0" w:tplc="123E3D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EA974D5"/>
    <w:multiLevelType w:val="multilevel"/>
    <w:tmpl w:val="C5DE7B4E"/>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15:restartNumberingAfterBreak="0">
    <w:nsid w:val="6C676CA9"/>
    <w:multiLevelType w:val="multilevel"/>
    <w:tmpl w:val="BD72343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5DD76AD"/>
    <w:multiLevelType w:val="multilevel"/>
    <w:tmpl w:val="E298A002"/>
    <w:lvl w:ilvl="0">
      <w:start w:val="1"/>
      <w:numFmt w:val="decimal"/>
      <w:lvlText w:val="%1."/>
      <w:lvlJc w:val="left"/>
      <w:pPr>
        <w:ind w:left="360" w:hanging="360"/>
      </w:pPr>
      <w:rPr>
        <w:rFonts w:hint="default"/>
        <w:sz w:val="32"/>
        <w:szCs w:val="32"/>
      </w:r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4"/>
  </w:num>
  <w:num w:numId="3">
    <w:abstractNumId w:val="0"/>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saveSubsetFonts/>
  <w:bordersDoNotSurroundHeader/>
  <w:bordersDoNotSurroundFooter/>
  <w:hideSpellingErrors/>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pringerSocPsychAuthorDate&lt;/Style&gt;&lt;LeftDelim&gt;{&lt;/LeftDelim&gt;&lt;RightDelim&gt;}&lt;/RightDelim&gt;&lt;FontName&gt;Songti S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r00pfsbzzex0ezwf6v5swd9fpfpwfa90xp&quot;&gt;My EndNote Library&lt;record-ids&gt;&lt;item&gt;114&lt;/item&gt;&lt;item&gt;124&lt;/item&gt;&lt;item&gt;230&lt;/item&gt;&lt;item&gt;317&lt;/item&gt;&lt;item&gt;318&lt;/item&gt;&lt;item&gt;319&lt;/item&gt;&lt;item&gt;320&lt;/item&gt;&lt;item&gt;322&lt;/item&gt;&lt;item&gt;323&lt;/item&gt;&lt;item&gt;572&lt;/item&gt;&lt;item&gt;771&lt;/item&gt;&lt;item&gt;799&lt;/item&gt;&lt;item&gt;801&lt;/item&gt;&lt;item&gt;832&lt;/item&gt;&lt;item&gt;845&lt;/item&gt;&lt;item&gt;856&lt;/item&gt;&lt;item&gt;1615&lt;/item&gt;&lt;item&gt;1620&lt;/item&gt;&lt;item&gt;1663&lt;/item&gt;&lt;item&gt;1664&lt;/item&gt;&lt;item&gt;1670&lt;/item&gt;&lt;item&gt;1674&lt;/item&gt;&lt;item&gt;1693&lt;/item&gt;&lt;item&gt;1694&lt;/item&gt;&lt;item&gt;1695&lt;/item&gt;&lt;item&gt;1701&lt;/item&gt;&lt;item&gt;1713&lt;/item&gt;&lt;item&gt;1738&lt;/item&gt;&lt;item&gt;1739&lt;/item&gt;&lt;item&gt;1757&lt;/item&gt;&lt;item&gt;1759&lt;/item&gt;&lt;item&gt;1761&lt;/item&gt;&lt;item&gt;1762&lt;/item&gt;&lt;item&gt;1765&lt;/item&gt;&lt;item&gt;1779&lt;/item&gt;&lt;item&gt;1789&lt;/item&gt;&lt;item&gt;1793&lt;/item&gt;&lt;item&gt;1806&lt;/item&gt;&lt;item&gt;1816&lt;/item&gt;&lt;item&gt;1852&lt;/item&gt;&lt;item&gt;1853&lt;/item&gt;&lt;item&gt;1858&lt;/item&gt;&lt;item&gt;1863&lt;/item&gt;&lt;item&gt;1865&lt;/item&gt;&lt;item&gt;1869&lt;/item&gt;&lt;item&gt;1896&lt;/item&gt;&lt;item&gt;1933&lt;/item&gt;&lt;item&gt;1939&lt;/item&gt;&lt;item&gt;1979&lt;/item&gt;&lt;item&gt;1980&lt;/item&gt;&lt;item&gt;1981&lt;/item&gt;&lt;item&gt;1982&lt;/item&gt;&lt;item&gt;1987&lt;/item&gt;&lt;item&gt;1997&lt;/item&gt;&lt;item&gt;1998&lt;/item&gt;&lt;item&gt;1999&lt;/item&gt;&lt;item&gt;2004&lt;/item&gt;&lt;item&gt;2007&lt;/item&gt;&lt;item&gt;2008&lt;/item&gt;&lt;item&gt;2009&lt;/item&gt;&lt;item&gt;2010&lt;/item&gt;&lt;item&gt;2011&lt;/item&gt;&lt;item&gt;2016&lt;/item&gt;&lt;item&gt;2017&lt;/item&gt;&lt;item&gt;2020&lt;/item&gt;&lt;item&gt;2021&lt;/item&gt;&lt;item&gt;2023&lt;/item&gt;&lt;item&gt;2038&lt;/item&gt;&lt;item&gt;2042&lt;/item&gt;&lt;item&gt;2053&lt;/item&gt;&lt;item&gt;2058&lt;/item&gt;&lt;item&gt;2062&lt;/item&gt;&lt;item&gt;2066&lt;/item&gt;&lt;item&gt;2072&lt;/item&gt;&lt;item&gt;2073&lt;/item&gt;&lt;item&gt;2074&lt;/item&gt;&lt;item&gt;2075&lt;/item&gt;&lt;item&gt;2076&lt;/item&gt;&lt;item&gt;2082&lt;/item&gt;&lt;item&gt;2084&lt;/item&gt;&lt;item&gt;2085&lt;/item&gt;&lt;item&gt;2086&lt;/item&gt;&lt;item&gt;2087&lt;/item&gt;&lt;item&gt;2089&lt;/item&gt;&lt;item&gt;2092&lt;/item&gt;&lt;item&gt;2097&lt;/item&gt;&lt;item&gt;2107&lt;/item&gt;&lt;item&gt;2108&lt;/item&gt;&lt;item&gt;2111&lt;/item&gt;&lt;item&gt;2112&lt;/item&gt;&lt;item&gt;2117&lt;/item&gt;&lt;item&gt;2120&lt;/item&gt;&lt;item&gt;2121&lt;/item&gt;&lt;item&gt;2122&lt;/item&gt;&lt;item&gt;2123&lt;/item&gt;&lt;item&gt;2124&lt;/item&gt;&lt;item&gt;2125&lt;/item&gt;&lt;item&gt;2126&lt;/item&gt;&lt;item&gt;2127&lt;/item&gt;&lt;item&gt;2128&lt;/item&gt;&lt;item&gt;2129&lt;/item&gt;&lt;item&gt;2130&lt;/item&gt;&lt;item&gt;2141&lt;/item&gt;&lt;item&gt;2174&lt;/item&gt;&lt;item&gt;2192&lt;/item&gt;&lt;item&gt;2224&lt;/item&gt;&lt;item&gt;2225&lt;/item&gt;&lt;item&gt;2226&lt;/item&gt;&lt;item&gt;2228&lt;/item&gt;&lt;item&gt;2236&lt;/item&gt;&lt;item&gt;2239&lt;/item&gt;&lt;item&gt;2242&lt;/item&gt;&lt;item&gt;2248&lt;/item&gt;&lt;item&gt;2249&lt;/item&gt;&lt;item&gt;2250&lt;/item&gt;&lt;item&gt;2257&lt;/item&gt;&lt;item&gt;2260&lt;/item&gt;&lt;item&gt;2265&lt;/item&gt;&lt;item&gt;2268&lt;/item&gt;&lt;item&gt;2269&lt;/item&gt;&lt;item&gt;2272&lt;/item&gt;&lt;item&gt;2275&lt;/item&gt;&lt;item&gt;2277&lt;/item&gt;&lt;item&gt;2279&lt;/item&gt;&lt;item&gt;2281&lt;/item&gt;&lt;item&gt;2282&lt;/item&gt;&lt;item&gt;2283&lt;/item&gt;&lt;item&gt;2321&lt;/item&gt;&lt;item&gt;2322&lt;/item&gt;&lt;item&gt;2330&lt;/item&gt;&lt;item&gt;2390&lt;/item&gt;&lt;item&gt;2416&lt;/item&gt;&lt;item&gt;2417&lt;/item&gt;&lt;item&gt;2418&lt;/item&gt;&lt;item&gt;2419&lt;/item&gt;&lt;item&gt;2420&lt;/item&gt;&lt;/record-ids&gt;&lt;/item&gt;&lt;/Libraries&gt;"/>
    <w:docVar w:name="NE.Ref{00E0884D-F820-4E30-B394-1E3A08C7C4EF}" w:val=" ADDIN NE.Ref.{00E0884D-F820-4E30-B394-1E3A08C7C4EF}&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01791F9A-9B6F-496B-831F-74D1E04603B0}" w:val=" ADDIN NE.Ref.{01791F9A-9B6F-496B-831F-74D1E04603B0}&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01FCCE88-6321-43B3-921E-171B7AE13C43}" w:val=" ADDIN NE.Ref.{01FCCE88-6321-43B3-921E-171B7AE13C43}&lt;Citation SecTmpl=&quot;1&quot;&gt;&lt;Group&gt;&lt;References&gt;&lt;Item&gt;&lt;ID&gt;4&lt;/ID&gt;&lt;UID&gt;{D5EC7BCC-F557-4FE2-BE99-1960FECD9168}&lt;/UID&gt;&lt;Title&gt;Financial Reporting Quality of Chinese Reverse Merger Firms: The Reverse Merger Effect or the Weak Country Effect?&lt;/Title&gt;&lt;Template&gt;Journal Article&lt;/Template&gt;&lt;Star&gt;0&lt;/Star&gt;&lt;Tag&gt;0&lt;/Tag&gt;&lt;Author&gt;Chen, Kun-Chih; Cheng, Qiang; Lin, Ying Chou; Lin, Yu-Chen; Xiao, Xing&lt;/Author&gt;&lt;Year&gt;2016&lt;/Year&gt;&lt;Details&gt;&lt;_accessed&gt;61988604&lt;/_accessed&gt;&lt;_created&gt;61983888&lt;/_created&gt;&lt;_db_provider&gt;EconLit&lt;/_db_provider&gt;&lt;_db_updated&gt;CrossRef&lt;/_db_updated&gt;&lt;_doi&gt;10.2308/accr-51376&lt;/_doi&gt;&lt;_impact_factor&gt;   4.562&lt;/_impact_factor&gt;&lt;_isbn&gt;0001-4826&lt;/_isbn&gt;&lt;_issue&gt;5&lt;/_issue&gt;&lt;_journal&gt;The Accounting Review&lt;/_journal&gt;&lt;_keywords&gt;IPO; Financing Policy, Financial Risk and Risk Management, Capital and Ownership Structure, Value of Firms, Goodwill (G32); U.S; Capital; Economic Development: Financial Markets, Saving and Capital Investment, Corporate Finance and Governance (O16); Merger; Accounting (M41); Northern America; Firm Behavior: Empirical Analysis (D22); Mergers, Acquisitions, Restructuring, Voting, Proxy Contests, Corporate Governance (G34); Corporate Governance; Investment Banking, Venture Capital, Brokerage, Ratings and Ratings Agencies (G24); Socialist Institutions and Their Transitions: Financial Economics (P34); Asia; Governance; China; Firm; Evaluation; Acquisitions and mergers; Influence; Report writing; Demographic aspects; Corporate governance; Studies; Financial reporting; Capital markets; Initial public offerings&lt;/_keywords&gt;&lt;_language&gt;English&lt;/_language&gt;&lt;_modified&gt;62862695&lt;/_modified&gt;&lt;_pages&gt;1363-1390&lt;/_pages&gt;&lt;_place_published&gt;Sarasota&lt;/_place_published&gt;&lt;_tertiary_title&gt;The Accounting Review&lt;/_tertiary_title&gt;&lt;_url&gt;http://aaajournals.org/doi/10.2308/accr-51376_x000d__x000a_http://aaajournals.org/doi/pdf/10.2308/accr-51376&lt;/_url&gt;&lt;_volume&gt;91&lt;/_volume&gt;&lt;/Details&gt;&lt;Extra&gt;&lt;DBUID&gt;{33BA340C-9D61-4380-9AC0-75859ADA3E7E}&lt;/DBUID&gt;&lt;/Extra&gt;&lt;/Item&gt;&lt;/References&gt;&lt;/Group&gt;&lt;/Citation&gt;_x000a_"/>
    <w:docVar w:name="NE.Ref{02280608-D4C3-4D49-B496-72DA9C4CCD50}" w:val=" ADDIN NE.Ref.{02280608-D4C3-4D49-B496-72DA9C4CCD50}&lt;Citation&gt;&lt;Group&gt;&lt;References&gt;&lt;Item&gt;&lt;ID&gt;280&lt;/ID&gt;&lt;UID&gt;{E54CC1B2-5404-4EB0-94D2-267F05818455}&lt;/UID&gt;&lt;Title&gt;Real effects of the audit choice&lt;/Title&gt;&lt;Template&gt;Journal Article&lt;/Template&gt;&lt;Star&gt;0&lt;/Star&gt;&lt;Tag&gt;0&lt;/Tag&gt;&lt;Author&gt;Kausar, Asad; Shroff, Nemit; White, Hal&lt;/Author&gt;&lt;Year&gt;2016&lt;/Year&gt;&lt;Details&gt;&lt;_alternate_title&gt;Journal of Accounting and Economics&lt;/_alternate_title&gt;&lt;_created&gt;63304718&lt;/_created&gt;&lt;_date&gt;2016-01-01&lt;/_date&gt;&lt;_date_display&gt;2016&lt;/_date_display&gt;&lt;_impact_factor&gt;   3.753&lt;/_impact_factor&gt;&lt;_isbn&gt;0165-4101&lt;/_isbn&gt;&lt;_issue&gt;1&lt;/_issue&gt;&lt;_journal&gt;Journal of Accounting and Economics&lt;/_journal&gt;&lt;_modified&gt;63304718&lt;/_modified&gt;&lt;_ori_publication&gt;Elsevier&lt;/_ori_publication&gt;&lt;_pages&gt;157-181&lt;/_pages&gt;&lt;_volume&gt;62&lt;/_volume&gt;&lt;/Details&gt;&lt;Extra&gt;&lt;DBUID&gt;{E9F07991-3B72-4492-A7D8-86E559D9F8FE}&lt;/DBUID&gt;&lt;/Extra&gt;&lt;/Item&gt;&lt;/References&gt;&lt;/Group&gt;&lt;/Citation&gt;_x000a_"/>
    <w:docVar w:name="NE.Ref{027EA213-9E1D-43F5-A5B4-46ACF239B778}" w:val=" ADDIN NE.Ref.{027EA213-9E1D-43F5-A5B4-46ACF239B778}&lt;Citation SecTmpl=&quot;1&quot;&gt;&lt;Group&gt;&lt;References&gt;&lt;Item&gt;&lt;ID&gt;45&lt;/ID&gt;&lt;UID&gt;{87C3AF0A-C0A4-4295-91BB-6A1C690367C4}&lt;/UID&gt;&lt;Title&gt;Does Audit Committee Accounting Expertise Help to Promote Audit Quality? Evidence from Auditor Reporting of Internal Control Weaknesses&lt;/Title&gt;&lt;Template&gt;Journal Article&lt;/Template&gt;&lt;Star&gt;0&lt;/Star&gt;&lt;Tag&gt;0&lt;/Tag&gt;&lt;Author&gt;Lisic, Ling Lei; Myers, Linda A; Seidel, Timothy A; Zhou, Jian&lt;/Author&gt;&lt;Year&gt;2019&lt;/Year&gt;&lt;Details&gt;&lt;_accessed&gt;62813649&lt;/_accessed&gt;&lt;_collection_scope&gt;SSCI&lt;/_collection_scope&gt;&lt;_created&gt;62813649&lt;/_created&gt;&lt;_date&gt;62778240&lt;/_date&gt;&lt;_db_updated&gt;CrossRef&lt;/_db_updated&gt;&lt;_doi&gt;10.1111/1911-3846.12517&lt;/_doi&gt;&lt;_impact_factor&gt;   2.261&lt;/_impact_factor&gt;&lt;_isbn&gt;0823-9150&lt;/_isbn&gt;&lt;_journal&gt;Contemporary Accounting Research&lt;/_journal&gt;&lt;_modified&gt;62853861&lt;/_modified&gt;&lt;_tertiary_title&gt;Contemp Account Res&lt;/_tertiary_title&gt;&lt;_url&gt;https://onlinelibrary.wiley.com/doi/abs/10.1111/1911-3846.12517_x000d__x000a_https://onlinelibrary.wiley.com/doi/pdf/10.1111/1911-3846.12517&lt;/_url&gt;&lt;/Details&gt;&lt;Extra&gt;&lt;DBUID&gt;{D2579611-BF89-4C7B-83D9-BE1288535D97}&lt;/DBUID&gt;&lt;/Extra&gt;&lt;/Item&gt;&lt;/References&gt;&lt;/Group&gt;&lt;/Citation&gt;_x000a_"/>
    <w:docVar w:name="NE.Ref{037185F9-39D1-4686-8A3A-337117D61CDB}" w:val=" ADDIN NE.Ref.{037185F9-39D1-4686-8A3A-337117D61CDB}&lt;Citation SecTmpl=&quot;1&quot;&gt;&lt;Group&gt;&lt;References&gt;&lt;Item&gt;&lt;ID&gt;38&lt;/ID&gt;&lt;UID&gt;{DE5487CB-7043-4510-A48F-5C542661EA12}&lt;/UID&gt;&lt;Title&gt;Does mandatory rotation of audit partners improve audit quality?&lt;/Title&gt;&lt;Template&gt;Journal Article&lt;/Template&gt;&lt;Star&gt;0&lt;/Star&gt;&lt;Tag&gt;0&lt;/Tag&gt;&lt;Author&gt;Lennox, Clive S; Wu, Xi; Zhang, Tianyu&lt;/Author&gt;&lt;Year&gt;2014&lt;/Year&gt;&lt;Details&gt;&lt;_alternate_title&gt;The accounting review&lt;/_alternate_title&gt;&lt;_created&gt;63224357&lt;/_created&gt;&lt;_date&gt;2014-01-01&lt;/_date&gt;&lt;_date_display&gt;2014&lt;/_date_display&gt;&lt;_isbn&gt;1558-7967&lt;/_isbn&gt;&lt;_issue&gt;5&lt;/_issue&gt;&lt;_journal&gt;The accounting review&lt;/_journal&gt;&lt;_modified&gt;63224357&lt;/_modified&gt;&lt;_ori_publication&gt;American Accounting Association&lt;/_ori_publication&gt;&lt;_pages&gt;1775-1803&lt;/_pages&gt;&lt;_volume&gt;89&lt;/_volume&gt;&lt;/Details&gt;&lt;Extra&gt;&lt;DBUID&gt;{E9F07991-3B72-4492-A7D8-86E559D9F8FE}&lt;/DBUID&gt;&lt;/Extra&gt;&lt;/Item&gt;&lt;/References&gt;&lt;/Group&gt;&lt;/Citation&gt;_x000a_"/>
    <w:docVar w:name="NE.Ref{03DC658F-5A2E-4C73-9811-E82A83A8A4CD}" w:val=" ADDIN NE.Ref.{03DC658F-5A2E-4C73-9811-E82A83A8A4CD}&lt;Citation SecTmpl=&quot;1&quot;&gt;&lt;Group&gt;&lt;References&gt;&lt;Item&gt;&lt;ID&gt;81&lt;/ID&gt;&lt;UID&gt;{6D78AC12-FB5E-4317-BAB6-D16592E9D043}&lt;/UID&gt;&lt;Title&gt;税收激进行为的外溢效应——来自共同审计师的证据&lt;/Title&gt;&lt;Template&gt;Journal Article&lt;/Template&gt;&lt;Star&gt;0&lt;/Star&gt;&lt;Tag&gt;0&lt;/Tag&gt;&lt;Author&gt;曾姝; 李青原&lt;/Author&gt;&lt;Year&gt;2016&lt;/Year&gt;&lt;Details&gt;&lt;_accessed&gt;61697771&lt;/_accessed&gt;&lt;_author_adr&gt;武汉大学经济与管理学院 430072&lt;/_author_adr&gt;&lt;_author_aff&gt;武汉大学经济与管理学院 430072&lt;/_author_aff&gt;&lt;_collection_scope&gt;CSSCI;中文核心期刊;&lt;/_collection_scope&gt;&lt;_created&gt;61697771&lt;/_created&gt;&lt;_db_provider&gt;北京万方数据股份有限公司&lt;/_db_provider&gt;&lt;_db_updated&gt;Wanfangdata&lt;/_db_updated&gt;&lt;_doi&gt;10.3969/j.issn.1003-2886.2016.06.010&lt;/_doi&gt;&lt;_isbn&gt;1003-2886&lt;/_isbn&gt;&lt;_issue&gt;6&lt;/_issue&gt;&lt;_journal&gt;会计研究&lt;/_journal&gt;&lt;_keywords&gt;共同审计师; 税收激进; 外溢效应; 代理问题&lt;/_keywords&gt;&lt;_language&gt;chi&lt;/_language&gt;&lt;_modified&gt;63228170&lt;/_modified&gt;&lt;_pages&gt;70-76&lt;/_pages&gt;&lt;_tertiary_title&gt;Accounting Research&lt;/_tertiary_title&gt;&lt;_url&gt;http://d.g.wanfangdata.com.cn/Periodical_kjyj201606010.aspx&lt;/_url&gt;&lt;_translated_author&gt;Ceng, Shu;Li, Qingyuan&lt;/_translated_author&gt;&lt;/Details&gt;&lt;Extra&gt;&lt;DBUID&gt;{E9F07991-3B72-4492-A7D8-86E559D9F8FE}&lt;/DBUID&gt;&lt;/Extra&gt;&lt;/Item&gt;&lt;/References&gt;&lt;/Group&gt;&lt;/Citation&gt;_x000a_"/>
    <w:docVar w:name="NE.Ref{0446D75E-6EAD-4C2B-8495-4D6BB7C901BB}" w:val=" ADDIN NE.Ref.{0446D75E-6EAD-4C2B-8495-4D6BB7C901BB}&lt;Citation SecTmpl=&quot;1&quot;&gt;&lt;Group&gt;&lt;References&gt;&lt;Item&gt;&lt;ID&gt;699&lt;/ID&gt;&lt;UID&gt;{0AF12362-A44D-4D74-8989-BDCF0480B17E}&lt;/UID&gt;&lt;Title&gt;Tax avoidance and the implications of weak internal controls&lt;/Title&gt;&lt;Template&gt;Journal Article&lt;/Template&gt;&lt;Star&gt;0&lt;/Star&gt;&lt;Tag&gt;0&lt;/Tag&gt;&lt;Author&gt;Bauer, Andrew M&lt;/Author&gt;&lt;Year&gt;2016&lt;/Year&gt;&lt;Details&gt;&lt;_alternate_title&gt;Contemporary Accounting Research&lt;/_alternate_title&gt;&lt;_collection_scope&gt;SSCI&lt;/_collection_scope&gt;&lt;_created&gt;63308776&lt;/_created&gt;&lt;_date&gt;2016-01-01&lt;/_date&gt;&lt;_date_display&gt;2016&lt;/_date_display&gt;&lt;_impact_factor&gt;   2.261&lt;/_impact_factor&gt;&lt;_isbn&gt;0823-9150&lt;/_isbn&gt;&lt;_issue&gt;2&lt;/_issue&gt;&lt;_journal&gt;Contemporary Accounting Research&lt;/_journal&gt;&lt;_modified&gt;63308776&lt;/_modified&gt;&lt;_ori_publication&gt;Wiley Online Library&lt;/_ori_publication&gt;&lt;_pages&gt;449-486&lt;/_pages&gt;&lt;_volume&gt;33&lt;/_volume&gt;&lt;/Details&gt;&lt;Extra&gt;&lt;DBUID&gt;{83AC290F-D6FC-4574-9771-6904EE9C30A4}&lt;/DBUID&gt;&lt;/Extra&gt;&lt;/Item&gt;&lt;/References&gt;&lt;/Group&gt;&lt;/Citation&gt;_x000a_"/>
    <w:docVar w:name="NE.Ref{04AF1D67-5AB4-4E2A-8350-F50F134E9518}" w:val=" ADDIN NE.Ref.{04AF1D67-5AB4-4E2A-8350-F50F134E9518}&lt;Citation SecTmpl=&quot;1&quot;&gt;&lt;Group&gt;&lt;References&gt;&lt;Item&gt;&lt;ID&gt;84&lt;/ID&gt;&lt;UID&gt;{D41E5799-874B-4E3F-972B-0B62BF789694}&lt;/UID&gt;&lt;Title&gt;Do practitioner assessments agree with academic proxies for audit quality? Evidence from PCAOB and internal inspections&lt;/Title&gt;&lt;Template&gt;Journal Article&lt;/Template&gt;&lt;Star&gt;0&lt;/Star&gt;&lt;Tag&gt;0&lt;/Tag&gt;&lt;Author&gt;Aobdia, Daniel&lt;/Author&gt;&lt;Year&gt;2019&lt;/Year&gt;&lt;Details&gt;&lt;_accessed&gt;63300802&lt;/_accessed&gt;&lt;_created&gt;63300802&lt;/_created&gt;&lt;_db_updated&gt;CrossRef&lt;/_db_updated&gt;&lt;_doi&gt;10.1016/j.jacceco.2018.09.001&lt;/_doi&gt;&lt;_impact_factor&gt;   3.753&lt;/_impact_factor&gt;&lt;_isbn&gt;01654101&lt;/_isbn&gt;&lt;_issue&gt;1&lt;/_issue&gt;&lt;_journal&gt;Journal of Accounting and Economics&lt;/_journal&gt;&lt;_modified&gt;63300802&lt;/_modified&gt;&lt;_pages&gt;144-174&lt;/_pages&gt;&lt;_tertiary_title&gt;Journal of Accounting and Economics&lt;/_tertiary_title&gt;&lt;_url&gt;https://linkinghub.elsevier.com/retrieve/pii/S016541011830106X_x000d__x000a_https://api.elsevier.com/content/article/PII:S016541011830106X?httpAccept=text/xml&lt;/_url&gt;&lt;_volume&gt;67&lt;/_volume&gt;&lt;/Details&gt;&lt;Extra&gt;&lt;DBUID&gt;{D2579611-BF89-4C7B-83D9-BE1288535D97}&lt;/DBUID&gt;&lt;/Extra&gt;&lt;/Item&gt;&lt;/References&gt;&lt;/Group&gt;&lt;/Citation&gt;_x000a_"/>
    <w:docVar w:name="NE.Ref{04B1D969-6C27-4F2F-AC2B-8491F095DCCF}" w:val=" ADDIN NE.Ref.{04B1D969-6C27-4F2F-AC2B-8491F095DCCF}&lt;Citation SecTmpl=&quot;1&quot;&gt;&lt;Group&gt;&lt;References&gt;&lt;Item&gt;&lt;ID&gt;130&lt;/ID&gt;&lt;UID&gt;{DEF27180-6B07-4860-8053-CCC71B5EC5AA}&lt;/UID&gt;&lt;Title&gt;媒体关注与税收激进——基于公司治理视角的考察&lt;/Title&gt;&lt;Template&gt;Journal Article&lt;/Template&gt;&lt;Star&gt;0&lt;/Star&gt;&lt;Tag&gt;0&lt;/Tag&gt;&lt;Author&gt;田高良; 司毅; 韩洁; 卞一洋&lt;/Author&gt;&lt;Year&gt;2016&lt;/Year&gt;&lt;Details&gt;&lt;_accessed&gt;61836033&lt;/_accessed&gt;&lt;_author_adr&gt;西安交通大学管理学院,西安,710049; 西安交通大学管理学院,西安710049;香港城市大学商学院,香港999077; 西北大学经济管理学院,西安,710127; 中国科学技术大学管理学院,合肥,230026&lt;/_author_adr&gt;&lt;_author_aff&gt;西安交通大学管理学院,西安,710049; 西安交通大学管理学院,西安710049;香港城市大学商学院,香港999077; 西北大学经济管理学院,西安,710127; 中国科学技术大学管理学院,合肥,230026&lt;/_author_aff&gt;&lt;_collection_scope&gt;CSSCI;中国科技核心期刊;中文核心期刊;&lt;/_collection_scope&gt;&lt;_created&gt;61836032&lt;/_created&gt;&lt;_db_provider&gt;北京万方数据股份有限公司&lt;/_db_provider&gt;&lt;_db_updated&gt;Wanfangdata&lt;/_db_updated&gt;&lt;_doi&gt;10.3969/j.issn.1672-0334.2016.02.009&lt;/_doi&gt;&lt;_isbn&gt;1672-0334&lt;/_isbn&gt;&lt;_issue&gt;2&lt;/_issue&gt;&lt;_journal&gt;管理科学&lt;/_journal&gt;&lt;_keywords&gt;媒体关注; 税收激进; 公司治理; 实际控制人性质; 公司价值; 机构投资者持股; media coverage; tax aggressiveness; corporate governance; nature of ultimate ownership; firm value; institutional ownership&lt;/_keywords&gt;&lt;_language&gt;chi&lt;/_language&gt;&lt;_modified&gt;61837535&lt;/_modified&gt;&lt;_pages&gt;104-121&lt;/_pages&gt;&lt;_tertiary_title&gt;Journal of Management Science&lt;/_tertiary_title&gt;&lt;_translated_author&gt;Gaoliang, TIAN; Yi, S I; Jie, HAN; Yiyang, BIAN&lt;/_translated_author&gt;&lt;_translated_title&gt;Media Coverage and Tax Aggressiveness: A Study from the Perspective of Corporate Governance&lt;/_translated_title&gt;&lt;_url&gt;http://d.g.wanfangdata.com.cn/Periodical_jcjj201602009.aspx&lt;/_url&gt;&lt;_volume&gt;29&lt;/_volume&gt;&lt;/Details&gt;&lt;Extra&gt;&lt;DBUID&gt;{83AC290F-D6FC-4574-9771-6904EE9C30A4}&lt;/DBUID&gt;&lt;/Extra&gt;&lt;/Item&gt;&lt;/References&gt;&lt;/Group&gt;&lt;/Citation&gt;_x000a_"/>
    <w:docVar w:name="NE.Ref{05373E6A-5DEF-4F88-A84F-612A21444FC5}" w:val=" ADDIN NE.Ref.{05373E6A-5DEF-4F88-A84F-612A21444FC5}&lt;Citation SecTmpl=&quot;1&quot;&gt;&lt;Group&gt;&lt;References&gt;&lt;Item&gt;&lt;ID&gt;6&lt;/ID&gt;&lt;UID&gt;{16B70844-6890-4B81-A99B-3E39021F2E1E}&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2877375&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9523EC0D-7A86-4E81-88F0-5C54C3F9138E}&lt;/DBUID&gt;&lt;/Extra&gt;&lt;/Item&gt;&lt;/References&gt;&lt;/Group&gt;&lt;/Citation&gt;_x000a_"/>
    <w:docVar w:name="NE.Ref{05393077-9526-433C-9FC1-2F36B8B1A133}" w:val=" ADDIN NE.Ref.{05393077-9526-433C-9FC1-2F36B8B1A133}&lt;Citation SecTmpl=&quot;1&quot;&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Citation&gt;_x000a_"/>
    <w:docVar w:name="NE.Ref{05AE0B17-F24F-4D53-AA51-77EF7A1CC5CE}" w:val=" ADDIN NE.Ref.{05AE0B17-F24F-4D53-AA51-77EF7A1CC5CE}&lt;Citation SecTmpl=&quot;1&quot;&gt;&lt;Group&gt;&lt;References&gt;&lt;Item&gt;&lt;ID&gt;99&lt;/ID&gt;&lt;UID&gt;{C5386685-19BA-462E-9B7B-E7A3097DF891}&lt;/UID&gt;&lt;Title&gt;政治身份的避税效应&lt;/Title&gt;&lt;Template&gt;Journal Article&lt;/Template&gt;&lt;Star&gt;0&lt;/Star&gt;&lt;Tag&gt;0&lt;/Tag&gt;&lt;Author&gt;李维安; 徐业坤&lt;/Author&gt;&lt;Year&gt;2013&lt;/Year&gt;&lt;Details&gt;&lt;_accessed&gt;63308832&lt;/_accessed&gt;&lt;_author_aff&gt;南开大学中国公司治理研究院;东北财经大学工商管理学院;&lt;/_author_aff&gt;&lt;_collection_scope&gt;CSSCI;&lt;/_collection_scope&gt;&lt;_created&gt;61754015&lt;/_created&gt;&lt;_date&gt;59552640&lt;/_date&gt;&lt;_db_provider&gt;CNKI: 期刊&lt;/_db_provider&gt;&lt;_db_updated&gt;CNKI - Reference&lt;/_db_updated&gt;&lt;_issue&gt;03&lt;/_issue&gt;&lt;_journal&gt;金融研究&lt;/_journal&gt;&lt;_keywords&gt;政治身份;税收规避;政府压力;税收征管&lt;/_keywords&gt;&lt;_language&gt;Chinese&lt;/_language&gt;&lt;_modified&gt;61790937&lt;/_modified&gt;&lt;_pages&gt;114-129&lt;/_pages&gt;&lt;_url&gt;http://www.cnki.net/KCMS/detail/detail.aspx?FileName=JRYJ201303011&amp;amp;DbName=CJFQ2013&lt;/_url&gt;&lt;_translated_author&gt;Li, Wei&amp;apos;an;Xu, Yekun&lt;/_translated_author&gt;&lt;/Details&gt;&lt;Extra&gt;&lt;DBUID&gt;{83AC290F-D6FC-4574-9771-6904EE9C30A4}&lt;/DBUID&gt;&lt;/Extra&gt;&lt;/Item&gt;&lt;/References&gt;&lt;/Group&gt;&lt;/Citation&gt;_x000a_"/>
    <w:docVar w:name="NE.Ref{06CB0915-B056-4C83-882A-16AB42B61FBC}" w:val=" ADDIN NE.Ref.{06CB0915-B056-4C83-882A-16AB42B61FBC}&lt;Citation SecTmpl=&quot;1&quot;&gt;&lt;Group&gt;&lt;References&gt;&lt;Item&gt;&lt;ID&gt;118&lt;/ID&gt;&lt;UID&gt;{C386EF69-3D64-49A9-B092-B146D07635F6}&lt;/UID&gt;&lt;Title&gt;关联交易与公司避税——来自中国上市公司的经验数据&lt;/Title&gt;&lt;Template&gt;Journal Article&lt;/Template&gt;&lt;Star&gt;0&lt;/Star&gt;&lt;Tag&gt;0&lt;/Tag&gt;&lt;Author&gt;陈作华&lt;/Author&gt;&lt;Year&gt;2017&lt;/Year&gt;&lt;Details&gt;&lt;_accessed&gt;63240999&lt;/_accessed&gt;&lt;_author_aff&gt;山东财经大学会计学院;&lt;/_author_aff&gt;&lt;_collection_scope&gt;CSSCI-C;PKU&lt;/_collection_scope&gt;&lt;_created&gt;63240989&lt;/_created&gt;&lt;_date&gt;61722720&lt;/_date&gt;&lt;_db_provider&gt;CNKI: 期刊&lt;/_db_provider&gt;&lt;_db_updated&gt;CNKI - Reference&lt;/_db_updated&gt;&lt;_issue&gt;05&lt;/_issue&gt;&lt;_journal&gt;证券市场导报&lt;/_journal&gt;&lt;_keywords&gt;关联交易;异常关联交易;公司避税;掏空&lt;/_keywords&gt;&lt;_language&gt;Chinese&lt;/_language&gt;&lt;_modified&gt;63240999&lt;/_modified&gt;&lt;_pages&gt;21-31&lt;/_pages&gt;&lt;_url&gt;http://kns.cnki.net/KCMS/detail/detail.aspx?FileName=ZQDB201705005&amp;amp;DbName=CJFQ2017&lt;/_url&gt;&lt;_translated_author&gt;Chen, Zuohua&lt;/_translated_author&gt;&lt;/Details&gt;&lt;Extra&gt;&lt;DBUID&gt;{E9F07991-3B72-4492-A7D8-86E559D9F8FE}&lt;/DBUID&gt;&lt;/Extra&gt;&lt;/Item&gt;&lt;/References&gt;&lt;/Group&gt;&lt;/Citation&gt;_x000a_"/>
    <w:docVar w:name="NE.Ref{0741FEF3-EBF8-4C36-980E-FB7DD4F84A8C}" w:val=" ADDIN NE.Ref.{0741FEF3-EBF8-4C36-980E-FB7DD4F84A8C}&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075C97AD-8607-4AC5-8A6D-F799CDF94B51}" w:val=" ADDIN NE.Ref.{075C97AD-8607-4AC5-8A6D-F799CDF94B51}&lt;Citation SecTmpl=&quot;1&quot;&gt;&lt;Group&gt;&lt;References&gt;&lt;Item&gt;&lt;ID&gt;659&lt;/ID&gt;&lt;UID&gt;{FAE5E5A9-C8AF-4C88-8393-72326A0A743D}&lt;/UID&gt;&lt;Title&gt;Long-run corporate tax avoidance&lt;/Title&gt;&lt;Template&gt;Journal Article&lt;/Template&gt;&lt;Star&gt;0&lt;/Star&gt;&lt;Tag&gt;0&lt;/Tag&gt;&lt;Author&gt;Dyreng, Scott D; Hanlon, Michelle; Maydew, Edward L&lt;/Author&gt;&lt;Year&gt;2008&lt;/Year&gt;&lt;Details&gt;&lt;_accessed&gt;63286350&lt;/_accessed&gt;&lt;_alternate_title&gt;the accounting review&lt;/_alternate_title&gt;&lt;_created&gt;63212592&lt;/_created&gt;&lt;_date&gt;2008-01-01&lt;/_date&gt;&lt;_date_display&gt;2008&lt;/_date_display&gt;&lt;_impact_factor&gt;   4.562&lt;/_impact_factor&gt;&lt;_isbn&gt;0001-4826&lt;/_isbn&gt;&lt;_issue&gt;1&lt;/_issue&gt;&lt;_journal&gt;the accounting review&lt;/_journal&gt;&lt;_modified&gt;63286350&lt;/_modified&gt;&lt;_pages&gt;61-82&lt;/_pages&gt;&lt;_volume&gt;83&lt;/_volume&gt;&lt;/Details&gt;&lt;Extra&gt;&lt;DBUID&gt;{83AC290F-D6FC-4574-9771-6904EE9C30A4}&lt;/DBUID&gt;&lt;/Extra&gt;&lt;/Item&gt;&lt;/References&gt;&lt;/Group&gt;&lt;/Citation&gt;_x000a_"/>
    <w:docVar w:name="NE.Ref{07A6C594-5B69-491A-A8FC-14E76F184D8F}" w:val=" ADDIN NE.Ref.{07A6C594-5B69-491A-A8FC-14E76F184D8F}&lt;Citation SecTmpl=&quot;1&quot;&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08DE4527-B113-426E-A0F9-26869C0C1BE1}" w:val=" ADDIN NE.Ref.{08DE4527-B113-426E-A0F9-26869C0C1BE1}&lt;Citation SecTmpl=&quot;1&quot;&gt;&lt;Group&gt;&lt;References&gt;&lt;Item&gt;&lt;ID&gt;182&lt;/ID&gt;&lt;UID&gt;{AE720F2D-C5F6-4D88-B208-D3E27176D00D}&lt;/UID&gt;&lt;Title&gt;Audit quality: Insights from the academic literature&lt;/Title&gt;&lt;Template&gt;Journal Article&lt;/Template&gt;&lt;Star&gt;0&lt;/Star&gt;&lt;Tag&gt;0&lt;/Tag&gt;&lt;Author&gt;Knechel, W Robert; Krishnan, Gopal V; Pevzner, Mikhail; Bhaskar, Lori Shefchik; Velury, Uma&lt;/Author&gt;&lt;Year&gt;2013&lt;/Year&gt;&lt;Details&gt;&lt;_alternate_title&gt;Auditing: A journal of practice &amp;amp; theory&lt;/_alternate_title&gt;&lt;_created&gt;63297266&lt;/_created&gt;&lt;_date&gt;2013-01-01&lt;/_date&gt;&lt;_date_display&gt;2013&lt;/_date_display&gt;&lt;_issue&gt;1&lt;/_issue&gt;&lt;_journal&gt;Auditing: A journal of practice &amp;amp; theory&lt;/_journal&gt;&lt;_modified&gt;63297266&lt;/_modified&gt;&lt;_volume&gt;32&lt;/_volume&gt;&lt;/Details&gt;&lt;Extra&gt;&lt;DBUID&gt;{E9F07991-3B72-4492-A7D8-86E559D9F8FE}&lt;/DBUID&gt;&lt;/Extra&gt;&lt;/Item&gt;&lt;/References&gt;&lt;/Group&gt;&lt;/Citation&gt;_x000a_"/>
    <w:docVar w:name="NE.Ref{091AF2AF-3A30-4D71-BF35-03928D6B6A45}" w:val=" ADDIN NE.Ref.{091AF2AF-3A30-4D71-BF35-03928D6B6A45}&lt;Citation&gt;&lt;Group&gt;&lt;References&gt;&lt;Item&gt;&lt;ID&gt;88&lt;/ID&gt;&lt;UID&gt;{0065B0C3-15DF-4164-A906-B0BC2E7ED000}&lt;/UID&gt;&lt;Title&gt;Do analysts matter for governance? Evidence from natural experiments&lt;/Title&gt;&lt;Template&gt;Journal Article&lt;/Template&gt;&lt;Star&gt;0&lt;/Star&gt;&lt;Tag&gt;0&lt;/Tag&gt;&lt;Author&gt;Chen, Tao; Harford, Jarrad; Lin, Chen&lt;/Author&gt;&lt;Year&gt;2015&lt;/Year&gt;&lt;Details&gt;&lt;_alternate_title&gt;Journal of financial Economics&lt;/_alternate_title&gt;&lt;_collection_scope&gt;SSCI&lt;/_collection_scope&gt;&lt;_created&gt;63228701&lt;/_created&gt;&lt;_date&gt;2015-01-01&lt;/_date&gt;&lt;_date_display&gt;2015&lt;/_date_display&gt;&lt;_impact_factor&gt;   4.693&lt;/_impact_factor&gt;&lt;_isbn&gt;0304-405X&lt;/_isbn&gt;&lt;_issue&gt;2&lt;/_issue&gt;&lt;_journal&gt;Journal of financial Economics&lt;/_journal&gt;&lt;_modified&gt;63228701&lt;/_modified&gt;&lt;_ori_publication&gt;Elsevier&lt;/_ori_publication&gt;&lt;_pages&gt;383-410&lt;/_pages&gt;&lt;_volume&gt;115&lt;/_volume&gt;&lt;/Details&gt;&lt;Extra&gt;&lt;DBUID&gt;{E9F07991-3B72-4492-A7D8-86E559D9F8FE}&lt;/DBUID&gt;&lt;/Extra&gt;&lt;/Item&gt;&lt;/References&gt;&lt;/Group&gt;&lt;/Citation&gt;_x000a_"/>
    <w:docVar w:name="NE.Ref{09508110-23D3-49CE-9A27-BB3B70B6AF2B}" w:val=" ADDIN NE.Ref.{09508110-23D3-49CE-9A27-BB3B70B6AF2B}&lt;Citation SecTmpl=&quot;1&quot;&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date_display&gt;2016&lt;/_date_display&gt;&lt;_date&gt;2016-01-01&lt;/_date&gt;&lt;_isbn&gt;1558-7991&lt;/_isbn&gt;&lt;_issue&gt;4&lt;/_issue&gt;&lt;_journal&gt;Auditing: A Journal of Practice &amp;amp; Theory&lt;/_journal&gt;&lt;_ori_publication&gt;American Accounting Association&lt;/_ori_publication&gt;&lt;_pages&gt;105-135&lt;/_pages&gt;&lt;_volume&gt;35&lt;/_volume&gt;&lt;_created&gt;63228061&lt;/_created&gt;&lt;_modified&gt;63228061&lt;/_modified&gt;&lt;/Details&gt;&lt;Extra&gt;&lt;DBUID&gt;{E9F07991-3B72-4492-A7D8-86E559D9F8FE}&lt;/DBUID&gt;&lt;/Extra&gt;&lt;/Item&gt;&lt;/References&gt;&lt;/Group&gt;&lt;/Citation&gt;_x000a_"/>
    <w:docVar w:name="NE.Ref{0995C8CD-351A-4CE3-9569-37E2A9FFA271}" w:val=" ADDIN NE.Ref.{0995C8CD-351A-4CE3-9569-37E2A9FFA271}&lt;Citation SecTmpl=&quot;1&quot;&gt;&lt;Group&gt;&lt;References&gt;&lt;Item&gt;&lt;ID&gt;146&lt;/ID&gt;&lt;UID&gt;{E9C95A6C-F8BC-4CE6-98BA-E50CD311518E}&lt;/UID&gt;&lt;Title&gt;税收监管、经营性关联交易与公司价值&lt;/Title&gt;&lt;Template&gt;Journal Article&lt;/Template&gt;&lt;Star&gt;0&lt;/Star&gt;&lt;Tag&gt;0&lt;/Tag&gt;&lt;Author&gt;朱凯; 孙红&lt;/Author&gt;&lt;Year&gt;2014&lt;/Year&gt;&lt;Details&gt;&lt;_accessed&gt;63257583&lt;/_accessed&gt;&lt;_author_aff&gt;上海财经大学会计与财务研究院;上海财经大学会计学院;&lt;/_author_aff&gt;&lt;_collection_scope&gt;CSSCI-C;PKU&lt;/_collection_scope&gt;&lt;_created&gt;63257583&lt;/_created&gt;&lt;_date&gt;60222240&lt;/_date&gt;&lt;_db_provider&gt;CNKI: 期刊&lt;/_db_provider&gt;&lt;_db_updated&gt;CNKI - Reference&lt;/_db_updated&gt;&lt;_issue&gt;07&lt;/_issue&gt;&lt;_journal&gt;财经研究&lt;/_journal&gt;&lt;_keywords&gt;税收监管;经营性关联交易;公司价值;特别纳税调整实施办法&lt;/_keywords&gt;&lt;_modified&gt;63257583&lt;/_modified&gt;&lt;_pages&gt;77-85&lt;/_pages&gt;&lt;_url&gt;http://kns.cnki.net/KCMS/detail/detail.aspx?FileName=CJYJ201407007&amp;amp;DbName=CJFQ2014&lt;/_url&gt;&lt;_volume&gt;40&lt;/_volume&gt;&lt;_translated_author&gt;Zhu, Kai;Sun, Hong&lt;/_translated_author&gt;&lt;/Details&gt;&lt;Extra&gt;&lt;DBUID&gt;{E9F07991-3B72-4492-A7D8-86E559D9F8FE}&lt;/DBUID&gt;&lt;/Extra&gt;&lt;/Item&gt;&lt;/References&gt;&lt;/Group&gt;&lt;/Citation&gt;_x000a_"/>
    <w:docVar w:name="NE.Ref{09FA8277-2173-49A1-87DC-246E4E7C854F}" w:val=" ADDIN NE.Ref.{09FA8277-2173-49A1-87DC-246E4E7C854F}&lt;Citation&gt;&lt;Group&gt;&lt;References&gt;&lt;Item&gt;&lt;ID&gt;60&lt;/ID&gt;&lt;UID&gt;{D91CA974-1EAE-41FE-9B8B-3D906E81E729}&lt;/UID&gt;&lt;Title&gt;Engagement planning, bid pricing, and client response in the market for initial attest engagements&lt;/Title&gt;&lt;Template&gt;Journal Article&lt;/Template&gt;&lt;Star&gt;0&lt;/Star&gt;&lt;Tag&gt;0&lt;/Tag&gt;&lt;Author&gt;Johnstone, Karla M; Bedard, Jean C&lt;/Author&gt;&lt;Year&gt;2001&lt;/Year&gt;&lt;Details&gt;&lt;_alternate_title&gt;The Accounting Review&lt;/_alternate_title&gt;&lt;_created&gt;63225824&lt;/_created&gt;&lt;_date&gt;2001-01-01&lt;/_date&gt;&lt;_date_display&gt;2001&lt;/_date_display&gt;&lt;_impact_factor&gt;   4.562&lt;/_impact_factor&gt;&lt;_isbn&gt;0001-4826&lt;/_isbn&gt;&lt;_issue&gt;2&lt;/_issue&gt;&lt;_journal&gt;The Accounting Review&lt;/_journal&gt;&lt;_modified&gt;63225824&lt;/_modified&gt;&lt;_pages&gt;199-220&lt;/_pages&gt;&lt;_volume&gt;76&lt;/_volume&gt;&lt;/Details&gt;&lt;Extra&gt;&lt;DBUID&gt;{E9F07991-3B72-4492-A7D8-86E559D9F8FE}&lt;/DBUID&gt;&lt;/Extra&gt;&lt;/Item&gt;&lt;/References&gt;&lt;/Group&gt;&lt;Group&gt;&lt;References&gt;&lt;Item&gt;&lt;ID&gt;61&lt;/ID&gt;&lt;UID&gt;{418C76FD-E054-46A5-87B3-34BBAD336853}&lt;/UID&gt;&lt;Title&gt;Risk management in client acceptance decisions&lt;/Title&gt;&lt;Template&gt;Journal Article&lt;/Template&gt;&lt;Star&gt;0&lt;/Star&gt;&lt;Tag&gt;0&lt;/Tag&gt;&lt;Author&gt;Johnstone, Karla M; Bedard, Jean C&lt;/Author&gt;&lt;Year&gt;2003&lt;/Year&gt;&lt;Details&gt;&lt;_alternate_title&gt;The Accounting Review&lt;/_alternate_title&gt;&lt;_created&gt;63225825&lt;/_created&gt;&lt;_date&gt;2003-01-01&lt;/_date&gt;&lt;_date_display&gt;2003&lt;/_date_display&gt;&lt;_impact_factor&gt;   4.562&lt;/_impact_factor&gt;&lt;_isbn&gt;0001-4826&lt;/_isbn&gt;&lt;_issue&gt;4&lt;/_issue&gt;&lt;_journal&gt;The Accounting Review&lt;/_journal&gt;&lt;_modified&gt;63225825&lt;/_modified&gt;&lt;_pages&gt;1003-1025&lt;/_pages&gt;&lt;_volume&gt;78&lt;/_volume&gt;&lt;/Details&gt;&lt;Extra&gt;&lt;DBUID&gt;{E9F07991-3B72-4492-A7D8-86E559D9F8FE}&lt;/DBUID&gt;&lt;/Extra&gt;&lt;/Item&gt;&lt;/References&gt;&lt;/Group&gt;&lt;/Citation&gt;_x000a_"/>
    <w:docVar w:name="NE.Ref{0AE5BDC4-4CFF-420E-B6AD-93AFE53A3DF1}" w:val=" ADDIN NE.Ref.{0AE5BDC4-4CFF-420E-B6AD-93AFE53A3DF1}&lt;Citation SecTmpl=&quot;1&quot;&gt;&lt;Group&gt;&lt;References&gt;&lt;Item&gt;&lt;ID&gt;52&lt;/ID&gt;&lt;UID&gt;{11B2A6F5-9FD6-4608-A611-4C932B844C4F}&lt;/UID&gt;&lt;Title&gt;Auditors&amp;apos; Constraining Effect on Tax Noncompliance at Different Book-Tax Conformity Levels in a Transition Economy&lt;/Title&gt;&lt;Template&gt;Journal Article&lt;/Template&gt;&lt;Star&gt;0&lt;/Star&gt;&lt;Tag&gt;0&lt;/Tag&gt;&lt;Author&gt;Chan, K Hung; Luo, Rebecca; Mo, Phyllis Lai Lan&lt;/Author&gt;&lt;Year&gt;2016&lt;/Year&gt;&lt;Details&gt;&lt;_alternate_title&gt;Journal of International Accounting Research&lt;/_alternate_title&gt;&lt;_created&gt;63224465&lt;/_created&gt;&lt;_date&gt;2016-01-01&lt;/_date&gt;&lt;_date_display&gt;2016&lt;/_date_display&gt;&lt;_isbn&gt;1558-8025&lt;/_isbn&gt;&lt;_issue&gt;3&lt;/_issue&gt;&lt;_journal&gt;Journal of International Accounting Research&lt;/_journal&gt;&lt;_modified&gt;63224465&lt;/_modified&gt;&lt;_ori_publication&gt;American Accounting Association&lt;/_ori_publication&gt;&lt;_pages&gt;1-30&lt;/_pages&gt;&lt;_volume&gt;15&lt;/_volume&gt;&lt;/Details&gt;&lt;Extra&gt;&lt;DBUID&gt;{E9F07991-3B72-4492-A7D8-86E559D9F8FE}&lt;/DBUID&gt;&lt;/Extra&gt;&lt;/Item&gt;&lt;/References&gt;&lt;/Group&gt;&lt;/Citation&gt;_x000a_"/>
    <w:docVar w:name="NE.Ref{0BB84868-DC6C-4D67-9414-7B851CA82EC9}" w:val=" ADDIN NE.Ref.{0BB84868-DC6C-4D67-9414-7B851CA82EC9}&lt;Citation SecTmpl=&quot;1&quot;&gt;&lt;Group&gt;&lt;References&gt;&lt;Item&gt;&lt;ID&gt;72&lt;/ID&gt;&lt;UID&gt;{71F1F672-F760-4472-87E9-615E9F0EA224}&lt;/UID&gt;&lt;Title&gt;Auditors&amp;apos; Constraining Effect on Tax Noncompliance at Different Book-Tax Conformity Levels in a Transition Economy&lt;/Title&gt;&lt;Template&gt;Journal Article&lt;/Template&gt;&lt;Star&gt;0&lt;/Star&gt;&lt;Tag&gt;0&lt;/Tag&gt;&lt;Author&gt;Chan, K Hung; Luo, Rebecca; Mo, Phyllis Lai Lan&lt;/Author&gt;&lt;Year&gt;2016&lt;/Year&gt;&lt;Details&gt;&lt;_alternate_title&gt;Journal of International Accounting Research&lt;/_alternate_title&gt;&lt;_created&gt;63228064&lt;/_created&gt;&lt;_date&gt;2016-01-01&lt;/_date&gt;&lt;_date_display&gt;2016&lt;/_date_display&gt;&lt;_isbn&gt;1558-8025&lt;/_isbn&gt;&lt;_issue&gt;3&lt;/_issue&gt;&lt;_journal&gt;Journal of International Accounting Research&lt;/_journal&gt;&lt;_modified&gt;63228064&lt;/_modified&gt;&lt;_ori_publication&gt;American Accounting Association&lt;/_ori_publication&gt;&lt;_pages&gt;1-30&lt;/_pages&gt;&lt;_volume&gt;15&lt;/_volume&gt;&lt;/Details&gt;&lt;Extra&gt;&lt;DBUID&gt;{E9F07991-3B72-4492-A7D8-86E559D9F8FE}&lt;/DBUID&gt;&lt;/Extra&gt;&lt;/Item&gt;&lt;/References&gt;&lt;/Group&gt;&lt;/Citation&gt;_x000a_"/>
    <w:docVar w:name="NE.Ref{0BC70D34-667A-4AE4-9B71-61A016CFBA3A}" w:val=" ADDIN NE.Ref.{0BC70D34-667A-4AE4-9B71-61A016CFBA3A}&lt;Citation SecTmpl=&quot;1&quot;&gt;&lt;Group&gt;&lt;References&gt;&lt;Item&gt;&lt;ID&gt;20&lt;/ID&gt;&lt;UID&gt;{E80E2658-5449-4EB2-9217-5BDDA4AABAE8}&lt;/UID&gt;&lt;Title&gt;Do companies successfully engage in opinion-shopping? Evidence from the UK&lt;/Title&gt;&lt;Template&gt;Journal Article&lt;/Template&gt;&lt;Star&gt;0&lt;/Star&gt;&lt;Tag&gt;0&lt;/Tag&gt;&lt;Author&gt;Lennox, Clive&lt;/Author&gt;&lt;Year&gt;2000&lt;/Year&gt;&lt;Details&gt;&lt;_alternate_title&gt;Journal of accounting and economics&lt;/_alternate_title&gt;&lt;_created&gt;63219515&lt;/_created&gt;&lt;_date&gt;2000-01-01&lt;/_date&gt;&lt;_date_display&gt;2000&lt;/_date_display&gt;&lt;_impact_factor&gt;   3.753&lt;/_impact_factor&gt;&lt;_isbn&gt;0165-4101&lt;/_isbn&gt;&lt;_issue&gt;3&lt;/_issue&gt;&lt;_journal&gt;Journal of accounting and economics&lt;/_journal&gt;&lt;_modified&gt;63219515&lt;/_modified&gt;&lt;_ori_publication&gt;Elsevier&lt;/_ori_publication&gt;&lt;_pages&gt;321-337&lt;/_pages&gt;&lt;_volume&gt;29&lt;/_volume&gt;&lt;/Details&gt;&lt;Extra&gt;&lt;DBUID&gt;{E9F07991-3B72-4492-A7D8-86E559D9F8FE}&lt;/DBUID&gt;&lt;/Extra&gt;&lt;/Item&gt;&lt;/References&gt;&lt;/Group&gt;&lt;/Citation&gt;_x000a_"/>
    <w:docVar w:name="NE.Ref{0BD77753-F2EA-4DDA-850B-A821A2C140B8}" w:val=" ADDIN NE.Ref.{0BD77753-F2EA-4DDA-850B-A821A2C140B8}&lt;Citation&gt;&lt;Group&gt;&lt;References&gt;&lt;Item&gt;&lt;ID&gt;13&lt;/ID&gt;&lt;UID&gt;{A5099B35-BA8E-417D-A149-51111DDB8654}&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2751448&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3218053&lt;/_modified&gt;&lt;_pages&gt;127-158&lt;/_pages&gt;&lt;_volume&gt;85&lt;/_volume&gt;&lt;/Details&gt;&lt;Extra&gt;&lt;DBUID&gt;{E9F07991-3B72-4492-A7D8-86E559D9F8FE}&lt;/DBUID&gt;&lt;/Extra&gt;&lt;/Item&gt;&lt;/References&gt;&lt;/Group&gt;&lt;/Citation&gt;_x000a_"/>
    <w:docVar w:name="NE.Ref{0CA14050-4B0B-46DB-B87D-A466BFB8BD58}" w:val=" ADDIN NE.Ref.{0CA14050-4B0B-46DB-B87D-A466BFB8BD58}&lt;Citation SecTmpl=&quot;1&quot;&gt;&lt;Group&gt;&lt;References&gt;&lt;Item&gt;&lt;ID&gt;155&lt;/ID&gt;&lt;UID&gt;{C2FD933C-97FA-4B5C-9F69-31A7CCBECADF}&lt;/UID&gt;&lt;Title&gt;Crime and punishment: An economic approach&lt;/Title&gt;&lt;Template&gt;Book Section&lt;/Template&gt;&lt;Star&gt;0&lt;/Star&gt;&lt;Tag&gt;0&lt;/Tag&gt;&lt;Author&gt;Becker, Gary S&lt;/Author&gt;&lt;Year&gt;1968&lt;/Year&gt;&lt;Details&gt;&lt;_created&gt;63261290&lt;/_created&gt;&lt;_modified&gt;63261290&lt;/_modified&gt;&lt;_ori_publication&gt;Springer&lt;/_ori_publication&gt;&lt;_pages&gt;13-68&lt;/_pages&gt;&lt;_publisher&gt;Springer&lt;/_publisher&gt;&lt;_short_title&gt;The economic dimensions of crime&lt;/_short_title&gt;&lt;/Details&gt;&lt;Extra&gt;&lt;DBUID&gt;{E9F07991-3B72-4492-A7D8-86E559D9F8FE}&lt;/DBUID&gt;&lt;/Extra&gt;&lt;/Item&gt;&lt;/References&gt;&lt;/Group&gt;&lt;/Citation&gt;_x000a_"/>
    <w:docVar w:name="NE.Ref{0CB23F3F-F5A4-4A5E-8DF4-ADB75D2BA476}" w:val=" ADDIN NE.Ref.{0CB23F3F-F5A4-4A5E-8DF4-ADB75D2BA476}&lt;Citation&gt;&lt;Group&gt;&lt;References&gt;&lt;Item&gt;&lt;ID&gt;94&lt;/ID&gt;&lt;UID&gt;{4AEEDC4F-5EA6-442F-9775-446F08203BAB}&lt;/UID&gt;&lt;Title&gt;独立董事能否抑制大股东的“掏空”?&lt;/Title&gt;&lt;Template&gt;Journal Article&lt;/Template&gt;&lt;Star&gt;0&lt;/Star&gt;&lt;Tag&gt;0&lt;/Tag&gt;&lt;Author&gt;叶康涛; 陆正飞; 张志华&lt;/Author&gt;&lt;Year&gt;2007&lt;/Year&gt;&lt;Details&gt;&lt;_accessed&gt;63240990&lt;/_accessed&gt;&lt;_author_aff&gt;University of North Carolina;北京大学光华管理学院;北京大学光华管理学院 USA;100871&lt;/_author_aff&gt;&lt;_collection_scope&gt;CSSCI-C;PKU&lt;/_collection_scope&gt;&lt;_created&gt;63240989&lt;/_created&gt;&lt;_date&gt;56433600&lt;/_date&gt;&lt;_db_provider&gt;CNKI: 期刊&lt;/_db_provider&gt;&lt;_db_updated&gt;CNKI - Reference&lt;/_db_updated&gt;&lt;_issue&gt;04&lt;/_issue&gt;&lt;_journal&gt;经济研究&lt;/_journal&gt;&lt;_keywords&gt;掏空;独立董事;抑制&lt;/_keywords&gt;&lt;_language&gt;Chinese&lt;/_language&gt;&lt;_modified&gt;63240990&lt;/_modified&gt;&lt;_pages&gt;101-111&lt;/_pages&gt;&lt;_url&gt;http://kns.cnki.net/KCMS/detail/detail.aspx?FileName=JJYJ200704008&amp;amp;DbName=CJFQ2007&lt;/_url&gt;&lt;_translated_author&gt;Ye, Kangtao;Lu, Zhengfei;Zhang, Zhihua&lt;/_translated_author&gt;&lt;/Details&gt;&lt;Extra&gt;&lt;DBUID&gt;{E9F07991-3B72-4492-A7D8-86E559D9F8FE}&lt;/DBUID&gt;&lt;/Extra&gt;&lt;/Item&gt;&lt;/References&gt;&lt;/Group&gt;&lt;/Citation&gt;_x000a_"/>
    <w:docVar w:name="NE.Ref{0D6BA92E-8FD5-4F8D-A807-11E98377AEBB}" w:val=" ADDIN NE.Ref.{0D6BA92E-8FD5-4F8D-A807-11E98377AEBB}&lt;Citation SecTmpl=&quot;1&quot;&gt;&lt;Group&gt;&lt;References&gt;&lt;Item&gt;&lt;ID&gt;94&lt;/ID&gt;&lt;UID&gt;{4AEEDC4F-5EA6-442F-9775-446F08203BAB}&lt;/UID&gt;&lt;Title&gt;独立董事能否抑制大股东的“掏空”?&lt;/Title&gt;&lt;Template&gt;Journal Article&lt;/Template&gt;&lt;Star&gt;0&lt;/Star&gt;&lt;Tag&gt;0&lt;/Tag&gt;&lt;Author&gt;叶康涛; 陆正飞; 张志华&lt;/Author&gt;&lt;Year&gt;2007&lt;/Year&gt;&lt;Details&gt;&lt;_accessed&gt;63240990&lt;/_accessed&gt;&lt;_author_aff&gt;University of North Carolina;北京大学光华管理学院;北京大学光华管理学院 USA;100871&lt;/_author_aff&gt;&lt;_collection_scope&gt;CSSCI-C;PKU&lt;/_collection_scope&gt;&lt;_created&gt;63240989&lt;/_created&gt;&lt;_date&gt;56433600&lt;/_date&gt;&lt;_db_provider&gt;CNKI: 期刊&lt;/_db_provider&gt;&lt;_db_updated&gt;CNKI - Reference&lt;/_db_updated&gt;&lt;_issue&gt;04&lt;/_issue&gt;&lt;_journal&gt;经济研究&lt;/_journal&gt;&lt;_keywords&gt;掏空;独立董事;抑制&lt;/_keywords&gt;&lt;_language&gt;Chinese&lt;/_language&gt;&lt;_modified&gt;63240990&lt;/_modified&gt;&lt;_pages&gt;101-111&lt;/_pages&gt;&lt;_url&gt;http://kns.cnki.net/KCMS/detail/detail.aspx?FileName=JJYJ200704008&amp;amp;DbName=CJFQ2007&lt;/_url&gt;&lt;_translated_author&gt;Ye, Kangtao;Lu, Zhengfei;Zhang, Zhihua&lt;/_translated_author&gt;&lt;/Details&gt;&lt;Extra&gt;&lt;DBUID&gt;{E9F07991-3B72-4492-A7D8-86E559D9F8FE}&lt;/DBUID&gt;&lt;/Extra&gt;&lt;/Item&gt;&lt;/References&gt;&lt;/Group&gt;&lt;/Citation&gt;_x000a_"/>
    <w:docVar w:name="NE.Ref{0E030801-77DE-4FC9-AF0B-B555A343AC4F}" w:val=" ADDIN NE.Ref.{0E030801-77DE-4FC9-AF0B-B555A343AC4F}&lt;Citation SecTmpl=&quot;1&quot;&gt;&lt;Group&gt;&lt;References&gt;&lt;Item&gt;&lt;ID&gt;184&lt;/ID&gt;&lt;UID&gt;{B1140B31-68A8-4DDF-8FF2-BB804F47A5F6}&lt;/UID&gt;&lt;Title&gt;What Do Industry-Specialist Auditors Know?&lt;/Title&gt;&lt;Template&gt;Journal Article&lt;/Template&gt;&lt;Star&gt;0&lt;/Star&gt;&lt;Tag&gt;0&lt;/Tag&gt;&lt;Author&gt;Solomon, Ira; Shields, Michael D; Whittington, O Ray&lt;/Author&gt;&lt;Year&gt;1999&lt;/Year&gt;&lt;Details&gt;&lt;_created&gt;63297729&lt;/_created&gt;&lt;_date&gt;1999-01-01&lt;/_date&gt;&lt;_date_display&gt;1999&lt;/_date_display&gt;&lt;_issue&gt;1&lt;/_issue&gt;&lt;_journal&gt;Social Science Electronic Publishing&lt;/_journal&gt;&lt;_modified&gt;63297729&lt;/_modified&gt;&lt;_pages&gt;191-208&lt;/_pages&gt;&lt;_volume&gt;37&lt;/_volume&gt;&lt;/Details&gt;&lt;Extra&gt;&lt;DBUID&gt;{E9F07991-3B72-4492-A7D8-86E559D9F8FE}&lt;/DBUID&gt;&lt;/Extra&gt;&lt;/Item&gt;&lt;/References&gt;&lt;/Group&gt;&lt;/Citation&gt;_x000a_"/>
    <w:docVar w:name="NE.Ref{0E1F21E5-7EBF-4CC7-9F3F-A3509AEB1C3D}" w:val=" ADDIN NE.Ref.{0E1F21E5-7EBF-4CC7-9F3F-A3509AEB1C3D}&lt;Citation SecTmpl=&quot;1&quot;&gt;&lt;Group&gt;&lt;References&gt;&lt;Item&gt;&lt;ID&gt;25&lt;/ID&gt;&lt;UID&gt;{078D863B-9B94-4ECB-9D90-1428D066E6C6}&lt;/UID&gt;&lt;Title&gt;公司内部人具有交易时机的选择能力吗?——来自中国上市公司内部人卖出股票的证据&lt;/Title&gt;&lt;Template&gt;Journal Article&lt;/Template&gt;&lt;Star&gt;0&lt;/Star&gt;&lt;Tag&gt;0&lt;/Tag&gt;&lt;Author&gt;曾庆生&lt;/Author&gt;&lt;Year&gt;2008&lt;/Year&gt;&lt;Details&gt;&lt;_accessed&gt;63268340&lt;/_accessed&gt;&lt;_author_aff&gt;上海交通大学安泰经济与管理学院;&lt;/_author_aff&gt;&lt;_collection_scope&gt;CSSCI-C&lt;/_collection_scope&gt;&lt;_created&gt;63267311&lt;/_created&gt;&lt;_date&gt;57178080&lt;/_date&gt;&lt;_db_provider&gt;CNKI: 期刊&lt;/_db_provider&gt;&lt;_db_updated&gt;CNKI - Reference&lt;/_db_updated&gt;&lt;_issue&gt;10&lt;/_issue&gt;&lt;_journal&gt;金融研究&lt;/_journal&gt;&lt;_keywords&gt;内部人交易;超常回报;短窗口;信息层级假说&lt;/_keywords&gt;&lt;_language&gt;Chinese&lt;/_language&gt;&lt;_modified&gt;63268340&lt;/_modified&gt;&lt;_pages&gt;117-135&lt;/_pages&gt;&lt;_url&gt;http://kns.cnki.net/KCMS/detail/detail.aspx?FileName=JRYJ200810012&amp;amp;DbName=CJFQ2008&lt;/_url&gt;&lt;_translated_author&gt;Ceng, Qingsheng&lt;/_translated_author&gt;&lt;/Details&gt;&lt;Extra&gt;&lt;DBUID&gt;{439358B4-FA18-4C63-A3A1-0E3BE4066E7A}&lt;/DBUID&gt;&lt;/Extra&gt;&lt;/Item&gt;&lt;/References&gt;&lt;/Group&gt;&lt;/Citation&gt;_x000a_"/>
    <w:docVar w:name="NE.Ref{0F7405BB-8C09-46F7-B784-BAFD00FBD462}" w:val=" ADDIN NE.Ref.{0F7405BB-8C09-46F7-B784-BAFD00FBD462}&lt;Citation SecTmpl=&quot;1&quot;&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107F7389-FEEF-4201-910C-306643429DFF}" w:val=" ADDIN NE.Ref.{107F7389-FEEF-4201-910C-306643429DFF}&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10A6F095-2CFC-4393-B211-C12741DB0218}" w:val=" ADDIN NE.Ref.{10A6F095-2CFC-4393-B211-C12741DB0218}&lt;Citation&gt;&lt;Group&gt;&lt;References&gt;&lt;Item&gt;&lt;ID&gt;12&lt;/ID&gt;&lt;UID&gt;{4D33E358-3201-499A-88D8-201F2ED8F8CB}&lt;/UID&gt;&lt;Title&gt;制度环境、审计声誉机制与收费溢价&lt;/Title&gt;&lt;Template&gt;Journal Article&lt;/Template&gt;&lt;Star&gt;0&lt;/Star&gt;&lt;Tag&gt;0&lt;/Tag&gt;&lt;Author&gt;郑莉莉; 郑建明&lt;/Author&gt;&lt;Year&gt;2017&lt;/Year&gt;&lt;Details&gt;&lt;_language&gt;Chinese&lt;/_language&gt;&lt;_created&gt;63217166&lt;/_created&gt;&lt;_modified&gt;63217166&lt;/_modified&gt;&lt;_url&gt;http://kns.cnki.net/KCMS/detail/detail.aspx?FileName=SJYZ201705013&amp;amp;DbName=CJFQ2017&lt;/_url&gt;&lt;_journal&gt;审计研究&lt;/_journal&gt;&lt;_issue&gt;05&lt;/_issue&gt;&lt;_pages&gt;78-86&lt;/_pages&gt;&lt;_date&gt;61925760&lt;/_date&gt;&lt;_keywords&gt;制度环境;审计声誉机制;收费溢价&lt;/_keywords&gt;&lt;_author_aff&gt;中央财经大学保险学院;对外经济贸易大学国际商学院;&lt;/_author_aff&gt;&lt;_db_provider&gt;CNKI: 期刊&lt;/_db_provider&gt;&lt;_accessed&gt;63217166&lt;/_accessed&gt;&lt;_db_updated&gt;CNKI - Reference&lt;/_db_updated&gt;&lt;_collection_scope&gt;CSSCI-C;PKU&lt;/_collection_scope&gt;&lt;_translated_author&gt;Zheng, Lili;Zheng, Jianming&lt;/_translated_author&gt;&lt;/Details&gt;&lt;Extra&gt;&lt;DBUID&gt;{E9F07991-3B72-4492-A7D8-86E559D9F8FE}&lt;/DBUID&gt;&lt;/Extra&gt;&lt;/Item&gt;&lt;/References&gt;&lt;/Group&gt;&lt;Group&gt;&lt;References&gt;&lt;Item&gt;&lt;ID&gt;9&lt;/ID&gt;&lt;UID&gt;{D74D4C21-385D-4AF9-ACDE-39F03308CB82}&lt;/UID&gt;&lt;Title&gt;Auditors&amp;apos; governance functions and legal environments: An international investigation&lt;/Title&gt;&lt;Template&gt;Journal Article&lt;/Template&gt;&lt;Star&gt;0&lt;/Star&gt;&lt;Tag&gt;0&lt;/Tag&gt;&lt;Author&gt;Choi, Jong Hag; Wong, Tak Jun&lt;/Author&gt;&lt;Year&gt;2007&lt;/Year&gt;&lt;Details&gt;&lt;_alternate_title&gt;Contemporary accounting research&lt;/_alternate_title&gt;&lt;_date_display&gt;2007&lt;/_date_display&gt;&lt;_date&gt;2007-01-01&lt;/_date&gt;&lt;_isbn&gt;0823-9150&lt;/_isbn&gt;&lt;_issue&gt;1&lt;/_issue&gt;&lt;_journal&gt;Contemporary accounting research&lt;/_journal&gt;&lt;_ori_publication&gt;Wiley Online Library&lt;/_ori_publication&gt;&lt;_pages&gt;13-46&lt;/_pages&gt;&lt;_volume&gt;24&lt;/_volume&gt;&lt;_created&gt;63217155&lt;/_created&gt;&lt;_modified&gt;63217155&lt;/_modified&gt;&lt;_impact_factor&gt;   2.261&lt;/_impact_factor&gt;&lt;_collection_scope&gt;SSCI&lt;/_collection_scope&gt;&lt;/Details&gt;&lt;Extra&gt;&lt;DBUID&gt;{E9F07991-3B72-4492-A7D8-86E559D9F8FE}&lt;/DBUID&gt;&lt;/Extra&gt;&lt;/Item&gt;&lt;/References&gt;&lt;/Group&gt;&lt;/Citation&gt;_x000a_"/>
    <w:docVar w:name="NE.Ref{10CDE4C3-EC2D-4D8E-A4DF-D5EA9F8A938A}" w:val=" ADDIN NE.Ref.{10CDE4C3-EC2D-4D8E-A4DF-D5EA9F8A938A}&lt;Citation&gt;&lt;Group&gt;&lt;References&gt;&lt;Item&gt;&lt;ID&gt;135&lt;/ID&gt;&lt;UID&gt;{2AE9B6D9-E182-4ECD-93FF-5C7E64271BA7}&lt;/UID&gt;&lt;Title&gt;Entropy balancing for causal effects: A multivariate reweighting method to produce balanced samples in observational studies&lt;/Title&gt;&lt;Template&gt;Journal Article&lt;/Template&gt;&lt;Star&gt;0&lt;/Star&gt;&lt;Tag&gt;0&lt;/Tag&gt;&lt;Author&gt;Hainmueller, Jens&lt;/Author&gt;&lt;Year&gt;2012&lt;/Year&gt;&lt;Details&gt;&lt;_alternate_title&gt;Political Analysis&lt;/_alternate_title&gt;&lt;_collection_scope&gt;SSCI&lt;/_collection_scope&gt;&lt;_created&gt;63243919&lt;/_created&gt;&lt;_date&gt;2012-01-01&lt;/_date&gt;&lt;_date_display&gt;2012&lt;/_date_display&gt;&lt;_impact_factor&gt;   2.548&lt;/_impact_factor&gt;&lt;_isbn&gt;1047-1987&lt;/_isbn&gt;&lt;_issue&gt;1&lt;/_issue&gt;&lt;_journal&gt;Political Analysis&lt;/_journal&gt;&lt;_modified&gt;63243919&lt;/_modified&gt;&lt;_ori_publication&gt;Cambridge University Press&lt;/_ori_publication&gt;&lt;_pages&gt;25-46&lt;/_pages&gt;&lt;_volume&gt;20&lt;/_volume&gt;&lt;/Details&gt;&lt;Extra&gt;&lt;DBUID&gt;{E9F07991-3B72-4492-A7D8-86E559D9F8FE}&lt;/DBUID&gt;&lt;/Extra&gt;&lt;/Item&gt;&lt;/References&gt;&lt;/Group&gt;&lt;Group&gt;&lt;References&gt;&lt;Item&gt;&lt;ID&gt;136&lt;/ID&gt;&lt;UID&gt;{DA5CEFAD-9329-426A-9629-C7737A0A4EB8}&lt;/UID&gt;&lt;Title&gt;Entropy-balanced accruals&lt;/Title&gt;&lt;Template&gt;Journal Article&lt;/Template&gt;&lt;Star&gt;0&lt;/Star&gt;&lt;Tag&gt;0&lt;/Tag&gt;&lt;Author&gt;McMullin, Jeff L; Schonberger, Bryce&lt;/Author&gt;&lt;Year&gt;2020&lt;/Year&gt;&lt;Details&gt;&lt;_alternate_title&gt;Review of Accounting Studies&lt;/_alternate_title&gt;&lt;_collection_scope&gt;SSCI&lt;/_collection_scope&gt;&lt;_created&gt;63243921&lt;/_created&gt;&lt;_date&gt;2020-01-01&lt;/_date&gt;&lt;_date_display&gt;2020&lt;/_date_display&gt;&lt;_impact_factor&gt;   2.108&lt;/_impact_factor&gt;&lt;_isbn&gt;1573-7136&lt;/_isbn&gt;&lt;_journal&gt;Review of Accounting Studies&lt;/_journal&gt;&lt;_modified&gt;63243921&lt;/_modified&gt;&lt;_ori_publication&gt;Springer&lt;/_ori_publication&gt;&lt;_pages&gt;1-36&lt;/_pages&gt;&lt;/Details&gt;&lt;Extra&gt;&lt;DBUID&gt;{E9F07991-3B72-4492-A7D8-86E559D9F8FE}&lt;/DBUID&gt;&lt;/Extra&gt;&lt;/Item&gt;&lt;/References&gt;&lt;/Group&gt;&lt;Group&gt;&lt;References&gt;&lt;Item&gt;&lt;ID&gt;137&lt;/ID&gt;&lt;UID&gt;{7AC8FA98-264A-4543-A524-AACB76039828}&lt;/UID&gt;&lt;Title&gt;The deterrent effect of employee whistleblowing on firms&amp;apos; financial misreporting and tax aggressiveness&lt;/Title&gt;&lt;Template&gt;Journal Article&lt;/Template&gt;&lt;Star&gt;0&lt;/Star&gt;&lt;Tag&gt;0&lt;/Tag&gt;&lt;Author&gt;Wilde, Jaron H&lt;/Author&gt;&lt;Year&gt;2017&lt;/Year&gt;&lt;Details&gt;&lt;_alternate_title&gt;The Accounting Review&lt;/_alternate_title&gt;&lt;_created&gt;63243921&lt;/_created&gt;&lt;_date&gt;2017-01-01&lt;/_date&gt;&lt;_date_display&gt;2017&lt;/_date_display&gt;&lt;_isbn&gt;1558-7967&lt;/_isbn&gt;&lt;_issue&gt;5&lt;/_issue&gt;&lt;_journal&gt;The Accounting Review&lt;/_journal&gt;&lt;_modified&gt;63243921&lt;/_modified&gt;&lt;_ori_publication&gt;American Accounting Association&lt;/_ori_publication&gt;&lt;_pages&gt;247-280&lt;/_pages&gt;&lt;_volume&gt;92&lt;/_volume&gt;&lt;/Details&gt;&lt;Extra&gt;&lt;DBUID&gt;{E9F07991-3B72-4492-A7D8-86E559D9F8FE}&lt;/DBUID&gt;&lt;/Extra&gt;&lt;/Item&gt;&lt;/References&gt;&lt;/Group&gt;&lt;/Citation&gt;_x000a_"/>
    <w:docVar w:name="NE.Ref{112A1917-07D4-42AC-A1E7-50DD3C8F3C8C}" w:val=" ADDIN NE.Ref.{112A1917-07D4-42AC-A1E7-50DD3C8F3C8C}&lt;Citation SecTmpl=&quot;1&quot;&gt;&lt;Group&gt;&lt;References&gt;&lt;Item&gt;&lt;ID&gt;178&lt;/ID&gt;&lt;UID&gt;{3287FABC-6D30-4BCF-850A-8D2FD95BFE4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lternate_title&gt;Contemporary Accounting Research&lt;/_alternate_title&gt;&lt;_collection_scope&gt;SSCI&lt;/_collection_scope&gt;&lt;_created&gt;63295876&lt;/_created&gt;&lt;_date&gt;2019-01-01&lt;/_date&gt;&lt;_date_display&gt;2019&lt;/_date_display&gt;&lt;_impact_factor&gt;   2.261&lt;/_impact_factor&gt;&lt;_isbn&gt;0823-9150&lt;/_isbn&gt;&lt;_journal&gt;Contemporary Accounting Research&lt;/_journal&gt;&lt;_modified&gt;63295876&lt;/_modified&gt;&lt;_ori_publication&gt;Wiley Online Library&lt;/_ori_publication&gt;&lt;/Details&gt;&lt;Extra&gt;&lt;DBUID&gt;{E9F07991-3B72-4492-A7D8-86E559D9F8FE}&lt;/DBUID&gt;&lt;/Extra&gt;&lt;/Item&gt;&lt;/References&gt;&lt;/Group&gt;&lt;/Citation&gt;_x000a_"/>
    <w:docVar w:name="NE.Ref{112ADC44-362E-46BD-9A56-CF8C48D1F035}" w:val=" ADDIN NE.Ref.{112ADC44-362E-46BD-9A56-CF8C48D1F035}&lt;Citation SecTmpl=&quot;1&quot;&gt;&lt;Group&gt;&lt;References&gt;&lt;Item&gt;&lt;ID&gt;81&lt;/ID&gt;&lt;UID&gt;{F76D9A33-45EA-446D-BEDC-EE0D7ABFAA8B}&lt;/UID&gt;&lt;Title&gt;Auditor Reporting and Regulatory Sanctions in the Broker‐Dealer Industry: From Self‐Regulation to PCAOB Oversight&lt;/Title&gt;&lt;Template&gt;Journal Article&lt;/Template&gt;&lt;Star&gt;0&lt;/Star&gt;&lt;Tag&gt;0&lt;/Tag&gt;&lt;Author&gt;Schnader, Anne Leah; Bedard, Jean C; Cannon, Nathan H&lt;/Author&gt;&lt;Year&gt;2019&lt;/Year&gt;&lt;Details&gt;&lt;_accessed&gt;63121579&lt;/_accessed&gt;&lt;_collection_scope&gt;SSCI&lt;/_collection_scope&gt;&lt;_created&gt;63121579&lt;/_created&gt;&lt;_db_updated&gt;CrossRef&lt;/_db_updated&gt;&lt;_doi&gt;10.1111/1911-3846.12473&lt;/_doi&gt;&lt;_impact_factor&gt;   2.261&lt;/_impact_factor&gt;&lt;_isbn&gt;0823-9150&lt;/_isbn&gt;&lt;_issue&gt;4&lt;/_issue&gt;&lt;_journal&gt;Contemporary Accounting Research&lt;/_journal&gt;&lt;_modified&gt;63121579&lt;/_modified&gt;&lt;_pages&gt;2554-2587&lt;/_pages&gt;&lt;_tertiary_title&gt;Contemp Account Res&lt;/_tertiary_title&gt;&lt;_url&gt;https://onlinelibrary.wiley.com/doi/abs/10.1111/1911-3846.12473_x000d__x000a_https://onlinelibrary.wiley.com/doi/pdf/10.1111/1911-3846.12473&lt;/_url&gt;&lt;_volume&gt;36&lt;/_volume&gt;&lt;/Details&gt;&lt;Extra&gt;&lt;DBUID&gt;{D2579611-BF89-4C7B-83D9-BE1288535D97}&lt;/DBUID&gt;&lt;/Extra&gt;&lt;/Item&gt;&lt;/References&gt;&lt;/Group&gt;&lt;/Citation&gt;_x000a_"/>
    <w:docVar w:name="NE.Ref{121DD209-4B7B-4790-B58C-F2EF8AB9F1DF}" w:val=" ADDIN NE.Ref.{121DD209-4B7B-4790-B58C-F2EF8AB9F1DF}&lt;Citation SecTmpl=&quot;1&quot;&gt;&lt;Group&gt;&lt;References&gt;&lt;Item&gt;&lt;ID&gt;97&lt;/ID&gt;&lt;UID&gt;{DBF5D537-843E-49B0-8031-E41A6BDAA746}&lt;/UID&gt;&lt;Title&gt;控股股东、代理问题与关联交易:对中国上市公司的实证研究&lt;/Title&gt;&lt;Template&gt;Journal Article&lt;/Template&gt;&lt;Star&gt;0&lt;/Star&gt;&lt;Tag&gt;0&lt;/Tag&gt;&lt;Author&gt;余明桂; 夏新平&lt;/Author&gt;&lt;Year&gt;2004&lt;/Year&gt;&lt;Details&gt;&lt;_accessed&gt;63241005&lt;/_accessed&gt;&lt;_author_aff&gt;华中科技大学管理学院_x000d__x000a__x000d__x000a__x000d__x000a__x000d__x000a__x000d__x000a__x000d__x000a__x000d__x000a__x000d__x000a_;华中科技大学管理学院&lt;/_author_aff&gt;&lt;_collection_scope&gt;CSSCI-C;PKU&lt;/_collection_scope&gt;&lt;_created&gt;63240989&lt;/_created&gt;&lt;_date&gt;55190880&lt;/_date&gt;&lt;_db_provider&gt;CNKI: 期刊&lt;/_db_provider&gt;&lt;_db_updated&gt;CNKI - Reference&lt;/_db_updated&gt;&lt;_issue&gt;06&lt;/_issue&gt;&lt;_journal&gt;南开管理评论&lt;/_journal&gt;&lt;_keywords&gt;公司治理;代理问题;关联交易;控股股东&lt;/_keywords&gt;&lt;_language&gt;Chinese&lt;/_language&gt;&lt;_modified&gt;63241005&lt;/_modified&gt;&lt;_pages&gt;33-38+61&lt;/_pages&gt;&lt;_url&gt;http://kns.cnki.net/KCMS/detail/detail.aspx?FileName=LKGP200406008&amp;amp;DbName=CJFQ2004&lt;/_url&gt;&lt;_translated_author&gt;Yu, Minggui;Xia, Xinping&lt;/_translated_author&gt;&lt;/Details&gt;&lt;Extra&gt;&lt;DBUID&gt;{E9F07991-3B72-4492-A7D8-86E559D9F8FE}&lt;/DBUID&gt;&lt;/Extra&gt;&lt;/Item&gt;&lt;/References&gt;&lt;/Group&gt;&lt;/Citation&gt;_x000a_"/>
    <w:docVar w:name="NE.Ref{13006570-B73D-42AE-A986-BDD22FC2CE7E}" w:val=" ADDIN NE.Ref.{13006570-B73D-42AE-A986-BDD22FC2CE7E}&lt;Citation SecTmpl=&quot;1&quot;&gt;&lt;Group&gt;&lt;References&gt;&lt;Item&gt;&lt;ID&gt;252&lt;/ID&gt;&lt;UID&gt;{A1FFE531-2EF8-47D1-B23F-E7F56B6BF635}&lt;/UID&gt;&lt;Title&gt;Crash Risk and the Auditor-Client Relationship&lt;/Title&gt;&lt;Template&gt;Journal Article&lt;/Template&gt;&lt;Star&gt;0&lt;/Star&gt;&lt;Tag&gt;0&lt;/Tag&gt;&lt;Author&gt;Callen, Jeffrey L; Fang, Xiaohua&lt;/Author&gt;&lt;Year&gt;2017&lt;/Year&gt;&lt;Details&gt;&lt;_accessed&gt;62259333&lt;/_accessed&gt;&lt;_collection_scope&gt;SSCI;&lt;/_collection_scope&gt;&lt;_created&gt;62259333&lt;/_created&gt;&lt;_db_updated&gt;CrossRef&lt;/_db_updated&gt;&lt;_doi&gt;10.1111/1911-3846.12311&lt;/_doi&gt;&lt;_impact_factor&gt;   2.261&lt;/_impact_factor&gt;&lt;_issue&gt;3&lt;/_issue&gt;&lt;_journal&gt;Contemporary Accounting Research&lt;/_journal&gt;&lt;_modified&gt;63303362&lt;/_modified&gt;&lt;_pages&gt;1715-1750&lt;/_pages&gt;&lt;_tertiary_title&gt;Contemp Account Res&lt;/_tertiary_title&gt;&lt;_url&gt;http://doi.wiley.com/10.1111/1911-3846.12311_x000d__x000a_http://onlinelibrary.wiley.com/wol1/doi/10.1111/1911-3846.12311/fullpdf&lt;/_url&gt;&lt;_volume&gt;34&lt;/_volume&gt;&lt;/Details&gt;&lt;Extra&gt;&lt;DBUID&gt;{E9F07991-3B72-4492-A7D8-86E559D9F8FE}&lt;/DBUID&gt;&lt;/Extra&gt;&lt;/Item&gt;&lt;/References&gt;&lt;/Group&gt;&lt;/Citation&gt;_x000a_"/>
    <w:docVar w:name="NE.Ref{13B6FE5A-FD27-4D27-B844-EF1FB90D7296}" w:val=" ADDIN NE.Ref.{13B6FE5A-FD27-4D27-B844-EF1FB90D7296}&lt;Citation SecTmpl=&quot;1&quot;&gt;&lt;Group&gt;&lt;References&gt;&lt;Item&gt;&lt;ID&gt;86&lt;/ID&gt;&lt;UID&gt;{3CD6102F-1F48-4D0E-B029-81887B709E47}&lt;/UID&gt;&lt;Title&gt;Corporate tax avoidance and high-powered incentives&lt;/Title&gt;&lt;Template&gt;Journal Article&lt;/Template&gt;&lt;Star&gt;0&lt;/Star&gt;&lt;Tag&gt;0&lt;/Tag&gt;&lt;Author&gt;Desai, Mihir A; Dharmapala, Dhammika&lt;/Author&gt;&lt;Year&gt;2006&lt;/Year&gt;&lt;Details&gt;&lt;_accessed&gt;63309299&lt;/_accessed&gt;&lt;_alternate_title&gt;Journal of Financial Economics&lt;/_alternate_title&gt;&lt;_collection_scope&gt;SSCI&lt;/_collection_scope&gt;&lt;_created&gt;63228696&lt;/_created&gt;&lt;_date&gt;2006-01-01&lt;/_date&gt;&lt;_date_display&gt;2006&lt;/_date_display&gt;&lt;_impact_factor&gt;   4.693&lt;/_impact_factor&gt;&lt;_isbn&gt;0304-405X&lt;/_isbn&gt;&lt;_issue&gt;1&lt;/_issue&gt;&lt;_journal&gt;Journal of Financial Economics&lt;/_journal&gt;&lt;_modified&gt;63309297&lt;/_modified&gt;&lt;_ori_publication&gt;Elsevier&lt;/_ori_publication&gt;&lt;_pages&gt;145-179&lt;/_pages&gt;&lt;_volume&gt;79&lt;/_volume&gt;&lt;/Details&gt;&lt;Extra&gt;&lt;DBUID&gt;{E9F07991-3B72-4492-A7D8-86E559D9F8FE}&lt;/DBUID&gt;&lt;/Extra&gt;&lt;/Item&gt;&lt;/References&gt;&lt;/Group&gt;&lt;/Citation&gt;_x000a_"/>
    <w:docVar w:name="NE.Ref{141538BF-2DC5-4EBB-BAE5-8D09BF483C91}" w:val=" ADDIN NE.Ref.{141538BF-2DC5-4EBB-BAE5-8D09BF483C91}&lt;Citation&gt;&lt;Group&gt;&lt;References&gt;&lt;Item&gt;&lt;ID&gt;26&lt;/ID&gt;&lt;UID&gt;{BF5746CE-36DD-4E09-B2F6-7DE5314FE36C}&lt;/UID&gt;&lt;Title&gt;Auditor independence and fee dependence&lt;/Title&gt;&lt;Template&gt;Journal Article&lt;/Template&gt;&lt;Star&gt;0&lt;/Star&gt;&lt;Tag&gt;0&lt;/Tag&gt;&lt;Author&gt;Craswell, Allen; Stokes, Donald J; Laughton, Janet&lt;/Author&gt;&lt;Year&gt;2002&lt;/Year&gt;&lt;Details&gt;&lt;_alternate_title&gt;Journal of Accounting and Economics&lt;/_alternate_title&gt;&lt;_created&gt;63219549&lt;/_created&gt;&lt;_date&gt;2002-01-01&lt;/_date&gt;&lt;_date_display&gt;2002&lt;/_date_display&gt;&lt;_impact_factor&gt;   3.753&lt;/_impact_factor&gt;&lt;_isbn&gt;0165-4101&lt;/_isbn&gt;&lt;_issue&gt;2&lt;/_issue&gt;&lt;_journal&gt;Journal of Accounting and Economics&lt;/_journal&gt;&lt;_modified&gt;63219549&lt;/_modified&gt;&lt;_ori_publication&gt;Elsevier&lt;/_ori_publication&gt;&lt;_pages&gt;253-275&lt;/_pages&gt;&lt;_volume&gt;33&lt;/_volume&gt;&lt;/Details&gt;&lt;Extra&gt;&lt;DBUID&gt;{E9F07991-3B72-4492-A7D8-86E559D9F8FE}&lt;/DBUID&gt;&lt;/Extra&gt;&lt;/Item&gt;&lt;/References&gt;&lt;/Group&gt;&lt;Group&gt;&lt;References&gt;&lt;Item&gt;&lt;ID&gt;13&lt;/ID&gt;&lt;UID&gt;{A5099B35-BA8E-417D-A149-51111DDB8654}&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2751448&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3218053&lt;/_modified&gt;&lt;_pages&gt;127-158&lt;/_pages&gt;&lt;_volume&gt;85&lt;/_volume&gt;&lt;/Details&gt;&lt;Extra&gt;&lt;DBUID&gt;{E9F07991-3B72-4492-A7D8-86E559D9F8FE}&lt;/DBUID&gt;&lt;/Extra&gt;&lt;/Item&gt;&lt;/References&gt;&lt;/Group&gt;&lt;/Citation&gt;_x000a_"/>
    <w:docVar w:name="NE.Ref{146831E5-22B9-460E-B5F5-1A14735B6792}" w:val=" ADDIN NE.Ref.{146831E5-22B9-460E-B5F5-1A14735B6792}&lt;Citation SecTmpl=&quot;1&quot;&gt;&lt;Group&gt;&lt;References&gt;&lt;Item&gt;&lt;ID&gt;16&lt;/ID&gt;&lt;UID&gt;{B3523654-521D-48AC-98DF-25AE58C2161D}&lt;/UID&gt;&lt;Title&gt;融券制度与内部人寻租——来自准自然实验的经验证据&lt;/Title&gt;&lt;Template&gt;Journal Article&lt;/Template&gt;&lt;Star&gt;0&lt;/Star&gt;&lt;Tag&gt;0&lt;/Tag&gt;&lt;Author&gt;张洪辉; 平帆; 章琳一&lt;/Author&gt;&lt;Year&gt;2020&lt;/Year&gt;&lt;Details&gt;&lt;_accessed&gt;63268338&lt;/_accessed&gt;&lt;_author_aff&gt;江西财经大学会计学院;中国人民大学商学院;&lt;/_author_aff&gt;&lt;_collection_scope&gt;CSSCI-C&lt;/_collection_scope&gt;&lt;_created&gt;63267310&lt;/_created&gt;&lt;_date&gt;63221760&lt;/_date&gt;&lt;_db_provider&gt;CNKI: 期刊&lt;/_db_provider&gt;&lt;_db_updated&gt;CNKI - Reference&lt;/_db_updated&gt;&lt;_issue&gt;03&lt;/_issue&gt;&lt;_journal&gt;经济管理&lt;/_journal&gt;&lt;_keywords&gt;融券制度;内部人寻租;信息效应;竞争效应;产权性质&lt;/_keywords&gt;&lt;_modified&gt;63268338&lt;/_modified&gt;&lt;_pages&gt;166-191&lt;/_pages&gt;&lt;_url&gt;http://kns.cnki.net/KCMS/detail/detail.aspx?FileName=JJGU202003011&amp;amp;DbName=CJFQTEMP&lt;/_url&gt;&lt;_volume&gt;42&lt;/_volume&gt;&lt;_translated_author&gt;Zhang, Honghui;Ping, Fan;Zhang, Linyi&lt;/_translated_author&gt;&lt;/Details&gt;&lt;Extra&gt;&lt;DBUID&gt;{439358B4-FA18-4C63-A3A1-0E3BE4066E7A}&lt;/DBUID&gt;&lt;/Extra&gt;&lt;/Item&gt;&lt;/References&gt;&lt;/Group&gt;&lt;/Citation&gt;_x000a_"/>
    <w:docVar w:name="NE.Ref{1483439D-3308-4D33-93A2-C8BE20BE7E6D}" w:val=" ADDIN NE.Ref.{1483439D-3308-4D33-93A2-C8BE20BE7E6D}&lt;Citation SecTmpl=&quot;1&quot;&gt;&lt;Group&gt;&lt;References&gt;&lt;Item&gt;&lt;ID&gt;38&lt;/ID&gt;&lt;UID&gt;{37AF4881-5A7F-4F44-A262-B232A7DDDF8B}&lt;/UID&gt;&lt;Title&gt;影响公司高管交易行为内部差异的因素：“信息优势”还是“收入补偿动机”&lt;/Title&gt;&lt;Template&gt;Journal Article&lt;/Template&gt;&lt;Star&gt;0&lt;/Star&gt;&lt;Tag&gt;0&lt;/Tag&gt;&lt;Author&gt;曾庆生; 程博&lt;/Author&gt;&lt;Year&gt;2019&lt;/Year&gt;&lt;Details&gt;&lt;_accessed&gt;63268336&lt;/_accessed&gt;&lt;_author_aff&gt;上海财经大学会计与财务研究院;浙江农林大学暨阳学院;&lt;/_author_aff&gt;&lt;_collection_scope&gt;CSSCI-C;PKU&lt;/_collection_scope&gt;&lt;_created&gt;63267311&lt;/_created&gt;&lt;_date&gt;63079200&lt;/_date&gt;&lt;_db_provider&gt;CNKI: 期刊&lt;/_db_provider&gt;&lt;_db_updated&gt;CNKI - Reference&lt;/_db_updated&gt;&lt;_issue&gt;06&lt;/_issue&gt;&lt;_journal&gt;南开管理评论&lt;/_journal&gt;&lt;_keywords&gt;高管交易;薪酬相对水平;信息优势;收入补偿动机&lt;/_keywords&gt;&lt;_language&gt;Chinese&lt;/_language&gt;&lt;_modified&gt;63268336&lt;/_modified&gt;&lt;_pages&gt;127-139&lt;/_pages&gt;&lt;_url&gt;http://kns.cnki.net/KCMS/detail/detail.aspx?FileName=LKGP201906012&amp;amp;DbName=CJFQ2019&lt;/_url&gt;&lt;_volume&gt;22&lt;/_volume&gt;&lt;_translated_author&gt;Ceng, Qingsheng;Cheng, Bo&lt;/_translated_author&gt;&lt;/Details&gt;&lt;Extra&gt;&lt;DBUID&gt;{439358B4-FA18-4C63-A3A1-0E3BE4066E7A}&lt;/DBUID&gt;&lt;/Extra&gt;&lt;/Item&gt;&lt;/References&gt;&lt;/Group&gt;&lt;/Citation&gt;_x000a_"/>
    <w:docVar w:name="NE.Ref{14C50ADF-4DA1-4844-99B7-E12B47C67CB9}" w:val=" ADDIN NE.Ref.{14C50ADF-4DA1-4844-99B7-E12B47C67CB9}&lt;Citation SecTmpl=&quot;1&quot;&gt;&lt;Group&gt;&lt;References&gt;&lt;Item&gt;&lt;ID&gt;255&lt;/ID&gt;&lt;UID&gt;{0E6E9127-136D-4CC3-B1DF-2A50F6FD467F}&lt;/UID&gt;&lt;Title&gt;Audit quality and executive officers’ affiliations with CPA firms&lt;/Title&gt;&lt;Template&gt;Journal Article&lt;/Template&gt;&lt;Star&gt;0&lt;/Star&gt;&lt;Tag&gt;0&lt;/Tag&gt;&lt;Author&gt;Lennox, Clive&lt;/Author&gt;&lt;Year&gt;2005&lt;/Year&gt;&lt;Details&gt;&lt;_alternate_title&gt;Journal of accounting and economics&lt;/_alternate_title&gt;&lt;_created&gt;63303444&lt;/_created&gt;&lt;_date&gt;2005-01-01&lt;/_date&gt;&lt;_date_display&gt;2005&lt;/_date_display&gt;&lt;_impact_factor&gt;   3.753&lt;/_impact_factor&gt;&lt;_isbn&gt;0165-4101&lt;/_isbn&gt;&lt;_issue&gt;2&lt;/_issue&gt;&lt;_journal&gt;Journal of accounting and economics&lt;/_journal&gt;&lt;_modified&gt;63303444&lt;/_modified&gt;&lt;_ori_publication&gt;Elsevier&lt;/_ori_publication&gt;&lt;_pages&gt;201-231&lt;/_pages&gt;&lt;_volume&gt;39&lt;/_volume&gt;&lt;/Details&gt;&lt;Extra&gt;&lt;DBUID&gt;{E9F07991-3B72-4492-A7D8-86E559D9F8FE}&lt;/DBUID&gt;&lt;/Extra&gt;&lt;/Item&gt;&lt;/References&gt;&lt;/Group&gt;&lt;/Citation&gt;_x000a_"/>
    <w:docVar w:name="NE.Ref{14DA2C7A-DD39-4ABA-A1AE-9FB4997AA62D}" w:val=" ADDIN NE.Ref.{14DA2C7A-DD39-4ABA-A1AE-9FB4997AA62D}&lt;Citation SecTmpl=&quot;1&quot;&gt;&lt;Group&gt;&lt;References&gt;&lt;Item&gt;&lt;ID&gt;241&lt;/ID&gt;&lt;UID&gt;{380CF943-2DE7-480A-A6CF-D72CE9AEEB0B}&lt;/UID&gt;&lt;Title&gt;Shredded reputation: The cost of audit failure&lt;/Title&gt;&lt;Template&gt;Journal Article&lt;/Template&gt;&lt;Star&gt;0&lt;/Star&gt;&lt;Tag&gt;0&lt;/Tag&gt;&lt;Author&gt;Chaney, Paul K; Philipich, Kirk L&lt;/Author&gt;&lt;Year&gt;2002&lt;/Year&gt;&lt;Details&gt;&lt;_alternate_title&gt;Journal of accounting research&lt;/_alternate_title&gt;&lt;_collection_scope&gt;SSCI&lt;/_collection_scope&gt;&lt;_created&gt;63097125&lt;/_created&gt;&lt;_date&gt;2002-01-01&lt;/_date&gt;&lt;_date_display&gt;2002&lt;/_date_display&gt;&lt;_impact_factor&gt;   4.891&lt;/_impact_factor&gt;&lt;_isbn&gt;0021-8456&lt;/_isbn&gt;&lt;_issue&gt;4&lt;/_issue&gt;&lt;_journal&gt;Journal of accounting research&lt;/_journal&gt;&lt;_modified&gt;63097125&lt;/_modified&gt;&lt;_ori_publication&gt;Wiley Online Library&lt;/_ori_publication&gt;&lt;_pages&gt;1221-1245&lt;/_pages&gt;&lt;_volume&gt;40&lt;/_volume&gt;&lt;/Details&gt;&lt;Extra&gt;&lt;DBUID&gt;{2097646C-7C2F-4992-8A9B-6FF23AE7F1B7}&lt;/DBUID&gt;&lt;/Extra&gt;&lt;/Item&gt;&lt;/References&gt;&lt;/Group&gt;&lt;/Citation&gt;_x000a_"/>
    <w:docVar w:name="NE.Ref{14EFE64A-53D9-47EE-92A4-7B5C86C606E8}" w:val=" ADDIN NE.Ref.{14EFE64A-53D9-47EE-92A4-7B5C86C606E8}&lt;Citation&gt;&lt;Group&gt;&lt;References&gt;&lt;Item&gt;&lt;ID&gt;45&lt;/ID&gt;&lt;UID&gt;{2E389835-BC6B-43C3-97CE-163AEACD9757}&lt;/UID&gt;&lt;Title&gt;Effective corporate tax rates the effect of size, capital intensity, leverage, and other factors&lt;/Title&gt;&lt;Template&gt;Journal Article&lt;/Template&gt;&lt;Star&gt;0&lt;/Star&gt;&lt;Tag&gt;0&lt;/Tag&gt;&lt;Author&gt;Stickney, Clyde P; McGee, Victor E&lt;/Author&gt;&lt;Year&gt;1982&lt;/Year&gt;&lt;Details&gt;&lt;_alternate_title&gt;Journal of accounting and public policy&lt;/_alternate_title&gt;&lt;_collection_scope&gt;SSCI&lt;/_collection_scope&gt;&lt;_created&gt;63224423&lt;/_created&gt;&lt;_date&gt;1982-01-01&lt;/_date&gt;&lt;_date_display&gt;1982&lt;/_date_display&gt;&lt;_impact_factor&gt;   2.269&lt;/_impact_factor&gt;&lt;_isbn&gt;0278-4254&lt;/_isbn&gt;&lt;_issue&gt;2&lt;/_issue&gt;&lt;_journal&gt;Journal of accounting and public policy&lt;/_journal&gt;&lt;_modified&gt;63224423&lt;/_modified&gt;&lt;_ori_publication&gt;Elsevier&lt;/_ori_publication&gt;&lt;_pages&gt;125-152&lt;/_pages&gt;&lt;_volume&gt;1&lt;/_volume&gt;&lt;/Details&gt;&lt;Extra&gt;&lt;DBUID&gt;{E9F07991-3B72-4492-A7D8-86E559D9F8FE}&lt;/DBUID&gt;&lt;/Extra&gt;&lt;/Item&gt;&lt;/References&gt;&lt;/Group&gt;&lt;/Citation&gt;_x000a_"/>
    <w:docVar w:name="NE.Ref{15056D5C-2D9E-403C-BB22-3B64FCD8BC04}" w:val=" ADDIN NE.Ref.{15056D5C-2D9E-403C-BB22-3B64FCD8BC04}&lt;Citation SecTmpl=&quot;1&quot;&gt;&lt;Group&gt;&lt;References&gt;&lt;Item&gt;&lt;ID&gt;180&lt;/ID&gt;&lt;UID&gt;{190B3A92-7AFA-4568-8105-325F4566D515}&lt;/UID&gt;&lt;Title&gt;A framework for understanding and researching audit quality&lt;/Title&gt;&lt;Template&gt;Journal Article&lt;/Template&gt;&lt;Star&gt;0&lt;/Star&gt;&lt;Tag&gt;0&lt;/Tag&gt;&lt;Author&gt;Francis, Jere R&lt;/Author&gt;&lt;Year&gt;2011&lt;/Year&gt;&lt;Details&gt;&lt;_alternate_title&gt;Auditing: A journal of practice &amp;amp; theory&lt;/_alternate_title&gt;&lt;_created&gt;63296424&lt;/_created&gt;&lt;_date&gt;2011-01-01&lt;/_date&gt;&lt;_date_display&gt;2011&lt;/_date_display&gt;&lt;_impact_factor&gt;   2.642&lt;/_impact_factor&gt;&lt;_isbn&gt;0278-0380&lt;/_isbn&gt;&lt;_issue&gt;2&lt;/_issue&gt;&lt;_journal&gt;Auditing: A journal of practice &amp;amp; theory&lt;/_journal&gt;&lt;_modified&gt;63296424&lt;/_modified&gt;&lt;_ori_publication&gt;American Accounting Association&lt;/_ori_publication&gt;&lt;_pages&gt;125-152&lt;/_pages&gt;&lt;_volume&gt;30&lt;/_volume&gt;&lt;/Details&gt;&lt;Extra&gt;&lt;DBUID&gt;{E9F07991-3B72-4492-A7D8-86E559D9F8FE}&lt;/DBUID&gt;&lt;/Extra&gt;&lt;/Item&gt;&lt;/References&gt;&lt;/Group&gt;&lt;/Citation&gt;_x000a_"/>
    <w:docVar w:name="NE.Ref{155FFC8E-A4BD-439A-8F3D-15FCECFBE0E2}" w:val=" ADDIN NE.Ref.{155FFC8E-A4BD-439A-8F3D-15FCECFBE0E2}&lt;Citation SecTmpl=&quot;1&quot;&gt;&lt;Group&gt;&lt;References&gt;&lt;Item&gt;&lt;ID&gt;19&lt;/ID&gt;&lt;UID&gt;{4610321F-C578-423E-8D44-18E0079B53D6}&lt;/UID&gt;&lt;Title&gt;Do Social Ties between External Auditors and Audit Committee Members Affect Audit Quality?&lt;/Title&gt;&lt;Template&gt;Journal Article&lt;/Template&gt;&lt;Star&gt;0&lt;/Star&gt;&lt;Tag&gt;0&lt;/Tag&gt;&lt;Author&gt;He, Xianjie; Pittman, Jeffrey; Rui, Oliver M; Wu, Donghui&lt;/Author&gt;&lt;Year&gt;2017&lt;/Year&gt;&lt;Details&gt;&lt;_accessed&gt;61958341&lt;/_accessed&gt;&lt;_created&gt;61958340&lt;/_created&gt;&lt;_db_updated&gt;PKU Search&lt;/_db_updated&gt;&lt;_doi&gt;10.2308/accr-51696&lt;/_doi&gt;&lt;_impact_factor&gt;   4.562&lt;/_impact_factor&gt;&lt;_isbn&gt;0001-4826&lt;/_isbn&gt;&lt;_journal&gt;The Accounting Review&lt;/_journal&gt;&lt;_language&gt;English&lt;/_language&gt;&lt;_modified&gt;63219483&lt;/_modified&gt;&lt;_url&gt;http://pku.summon.serialssolutions.com/2.0.0/link/0/eLvHCXMwtV1JT9tAFJ42HFAvCLqoLJUsOCIXezyxxxJQsQShqguHIFAv0WyGsCQI4gP8YH4H73nGdkgRTg-9WMnkG3ui-d543pu3EBLRr4E_sSZIzpg2oA3FhkYMhD1ITBzpVASKZVJg-POfn_zHET3otL_Xlu267b9OPLTB1GMg7T9MfnVTaIDPQAG4AgngOhUN9ofrLgK3Czpx5ZbVccmf13cwKgML7qABvfiCS8R1fzQyIPAGy4Xc4bEPpji2P9usG_cTHoFFcee68sTzI4fDwmp6Cky86FdEOoJnOPOrCyerDn_ywsXg9xX6jNTm2pPc7vgHZ-d5f9xaAW9AdHBOnq3AoLNy6tJfu0W3zf0ktWU5Jpd0UJEwTEEodevjmd4LebMn3meVlyHoN9i7h317ti_mU7_WfTXaejj39361SCtK0BG0s3s8Fk1b1lm0I7VJbfFOG_UoxrYxY_uR7jyZc4qEt2OnfIG8NYP3ZLaMY_jw5nFTegpVo61VdJcV6NBzhZYYmJ7V7f3h5obc9l7FWN4045BYzSjHvGZgSc1mZMndZiSQ2yvQzdCK_c1QJx5TDLSQnyn_UDPMSSACv30k3YNOd-_Qd0VNfJWEka9pSiU1Ogl4BsoND03IhIKdpJA61TrTaQQ6jTSpCLUO4kyFhoPWIE2IiacUiz6RmcFwYD4Tj6eaJUGoFG8LRoVKaSyzQHLFuGjzOFgkayVFezc2dU3vb5FYmgq1TN7V0rxCZka3uflCWjeX-RO5K-ck&lt;/_url&gt;&lt;/Details&gt;&lt;Extra&gt;&lt;DBUID&gt;{E9F07991-3B72-4492-A7D8-86E559D9F8FE}&lt;/DBUID&gt;&lt;/Extra&gt;&lt;/Item&gt;&lt;/References&gt;&lt;/Group&gt;&lt;/Citation&gt;_x000a_"/>
    <w:docVar w:name="NE.Ref{156EE9F4-B2BD-4D54-B0B8-6C24FA0A2111}" w:val=" ADDIN NE.Ref.{156EE9F4-B2BD-4D54-B0B8-6C24FA0A2111}&lt;Citation SecTmpl=&quot;1&quot;&gt;&lt;Group&gt;&lt;References&gt;&lt;Item&gt;&lt;ID&gt;30&lt;/ID&gt;&lt;UID&gt;{36440A64-8035-44FF-9CE7-6CA8655AEBC3}&lt;/UID&gt;&lt;Title&gt;内部控制、内部人交易与信息不对称&lt;/Title&gt;&lt;Template&gt;Journal Article&lt;/Template&gt;&lt;Star&gt;0&lt;/Star&gt;&lt;Tag&gt;0&lt;/Tag&gt;&lt;Author&gt;树成琳&lt;/Author&gt;&lt;Year&gt;2016&lt;/Year&gt;&lt;Details&gt;&lt;_accessed&gt;63267311&lt;/_accessed&gt;&lt;_author_aff&gt;南京大学会计与财务研究院;&lt;/_author_aff&gt;&lt;_collection_scope&gt;CSSCI-C;PKU&lt;/_collection_scope&gt;&lt;_created&gt;63267311&lt;/_created&gt;&lt;_date&gt;61336800&lt;/_date&gt;&lt;_db_provider&gt;CNKI: 期刊&lt;/_db_provider&gt;&lt;_db_updated&gt;CNKI - Reference&lt;/_db_updated&gt;&lt;_issue&gt;08&lt;/_issue&gt;&lt;_journal&gt;当代财经&lt;/_journal&gt;&lt;_keywords&gt;内部控制;内部人交易;信息不对称;市场反应&lt;/_keywords&gt;&lt;_language&gt;Chinese&lt;/_language&gt;&lt;_modified&gt;63267311&lt;/_modified&gt;&lt;_pages&gt;121-129&lt;/_pages&gt;&lt;_url&gt;http://kns.cnki.net/KCMS/detail/detail.aspx?FileName=DDCJ201608013&amp;amp;DbName=CJFQ2016&lt;/_url&gt;&lt;_translated_author&gt;Shu, Chenglin&lt;/_translated_author&gt;&lt;/Details&gt;&lt;Extra&gt;&lt;DBUID&gt;{439358B4-FA18-4C63-A3A1-0E3BE4066E7A}&lt;/DBUID&gt;&lt;/Extra&gt;&lt;/Item&gt;&lt;/References&gt;&lt;/Group&gt;&lt;/Citation&gt;_x000a_"/>
    <w:docVar w:name="NE.Ref{1574B02B-744A-43F1-8685-34C95737A8A3}" w:val=" ADDIN NE.Ref.{1574B02B-744A-43F1-8685-34C95737A8A3}&lt;Citation SecTmpl=&quot;1&quot;&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15A22D55-7EB2-402A-8B7A-22C6301E91B3}" w:val=" ADDIN NE.Ref.{15A22D55-7EB2-402A-8B7A-22C6301E91B3}&lt;Citation&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15E0F04C-40BB-4EDF-AB7B-8DC8E2FEF0D2}" w:val=" ADDIN NE.Ref.{15E0F04C-40BB-4EDF-AB7B-8DC8E2FEF0D2}&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1604CDD8-3661-41E1-B544-E0F94BBFDE99}" w:val=" ADDIN NE.Ref.{1604CDD8-3661-41E1-B544-E0F94BBFDE99}&lt;Citation SecTmpl=&quot;1&quot;&gt;&lt;Group&gt;&lt;References&gt;&lt;Item&gt;&lt;ID&gt;177&lt;/ID&gt;&lt;UID&gt;{A95D2725-FB22-47E9-99BD-E21589D9B29B}&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3295867&lt;/_modified&gt;&lt;_pages&gt;230-258&lt;/_pages&gt;&lt;_tertiary_title&gt;Contemp Account Res&lt;/_tertiary_title&gt;&lt;_url&gt;http://doi.wiley.com/10.1111/1911-3846.12422_x000d__x000a_http://onlinelibrary.wiley.com/wol1/doi/10.1111/1911-3846.12422/fullpdf&lt;/_url&gt;&lt;_volume&gt;36&lt;/_volume&gt;&lt;/Details&gt;&lt;Extra&gt;&lt;DBUID&gt;{E9F07991-3B72-4492-A7D8-86E559D9F8FE}&lt;/DBUID&gt;&lt;/Extra&gt;&lt;/Item&gt;&lt;/References&gt;&lt;/Group&gt;&lt;/Citation&gt;_x000a_"/>
    <w:docVar w:name="NE.Ref{16374AC1-6CF3-436C-9B27-2A8E6D49F6CC}" w:val=" ADDIN NE.Ref.{16374AC1-6CF3-436C-9B27-2A8E6D49F6CC}&lt;Citation SecTmpl=&quot;1&quot;&gt;&lt;Group&gt;&lt;References&gt;&lt;Item&gt;&lt;ID&gt;207&lt;/ID&gt;&lt;UID&gt;{11FDCD74-5EF8-470E-9AB6-35BFA5F03DAA}&lt;/UID&gt;&lt;Title&gt;State ownership, the institutional environment, and auditor choice: Evidence from China&lt;/Title&gt;&lt;Template&gt;Journal Article&lt;/Template&gt;&lt;Star&gt;0&lt;/Star&gt;&lt;Tag&gt;0&lt;/Tag&gt;&lt;Author&gt;Wang, Qian; Wong, Tak-Jun; Xia, Lijun&lt;/Author&gt;&lt;Year&gt;2008&lt;/Year&gt;&lt;Details&gt;&lt;_alternate_title&gt;Journal of accounting and economics&lt;/_alternate_title&gt;&lt;_created&gt;63301700&lt;/_created&gt;&lt;_date&gt;2008-01-01&lt;/_date&gt;&lt;_date_display&gt;2008&lt;/_date_display&gt;&lt;_impact_factor&gt;   3.753&lt;/_impact_factor&gt;&lt;_isbn&gt;0165-4101&lt;/_isbn&gt;&lt;_issue&gt;1&lt;/_issue&gt;&lt;_journal&gt;Journal of accounting and economics&lt;/_journal&gt;&lt;_modified&gt;63301700&lt;/_modified&gt;&lt;_ori_publication&gt;Elsevier&lt;/_ori_publication&gt;&lt;_pages&gt;112-134&lt;/_pages&gt;&lt;_volume&gt;46&lt;/_volume&gt;&lt;/Details&gt;&lt;Extra&gt;&lt;DBUID&gt;{E9F07991-3B72-4492-A7D8-86E559D9F8FE}&lt;/DBUID&gt;&lt;/Extra&gt;&lt;/Item&gt;&lt;/References&gt;&lt;/Group&gt;&lt;/Citation&gt;_x000a_"/>
    <w:docVar w:name="NE.Ref{170255E8-01CF-4510-BBA1-00B6A3CE980A}" w:val=" ADDIN NE.Ref.{170255E8-01CF-4510-BBA1-00B6A3CE980A}&lt;Citation&gt;&lt;Group&gt;&lt;References&gt;&lt;Item&gt;&lt;ID&gt;7&lt;/ID&gt;&lt;UID&gt;{0F7C2C1B-B265-400E-A10A-38B0EC06A68F}&lt;/UID&gt;&lt;Title&gt;Big N auditors and audit quality: New evidence from quasi-experiments&lt;/Title&gt;&lt;Template&gt;Journal Article&lt;/Template&gt;&lt;Star&gt;0&lt;/Star&gt;&lt;Tag&gt;0&lt;/Tag&gt;&lt;Author&gt;Jiang, John X; Wang, Isabel Y; Wang, K Philip&lt;/Author&gt;&lt;Year&gt;2018&lt;/Year&gt;&lt;Details&gt;&lt;_alternate_title&gt;The Accounting Review&lt;/_alternate_title&gt;&lt;_date_display&gt;2018&lt;/_date_display&gt;&lt;_date&gt;2018-01-01&lt;/_date&gt;&lt;_isbn&gt;0001-4826&lt;/_isbn&gt;&lt;_journal&gt;The Accounting Review&lt;/_journal&gt;&lt;_created&gt;63130184&lt;/_created&gt;&lt;_modified&gt;63130184&lt;/_modified&gt;&lt;_impact_factor&gt;   4.562&lt;/_impact_factor&gt;&lt;/Details&gt;&lt;Extra&gt;&lt;DBUID&gt;{E9F07991-3B72-4492-A7D8-86E559D9F8FE}&lt;/DBUID&gt;&lt;/Extra&gt;&lt;/Item&gt;&lt;/References&gt;&lt;/Group&gt;&lt;Group&gt;&lt;References&gt;&lt;Item&gt;&lt;ID&gt;6&lt;/ID&gt;&lt;UID&gt;{49B55705-6D1F-4C71-B775-611ACFAF183E}&lt;/UID&gt;&lt;Title&gt;The effect of the Big Eight accounting firm mergers on the market for audit services&lt;/Title&gt;&lt;Template&gt;Journal Article&lt;/Template&gt;&lt;Star&gt;0&lt;/Star&gt;&lt;Tag&gt;0&lt;/Tag&gt;&lt;Author&gt;Sullivan, Mary W&lt;/Author&gt;&lt;Year&gt;2002&lt;/Year&gt;&lt;Details&gt;&lt;_alternate_title&gt;The Journal of Law and Economics&lt;/_alternate_title&gt;&lt;_date_display&gt;2002&lt;/_date_display&gt;&lt;_date&gt;2002-01-01&lt;/_date&gt;&lt;_isbn&gt;0022-2186&lt;/_isbn&gt;&lt;_issue&gt;2&lt;/_issue&gt;&lt;_journal&gt;The Journal of Law and Economics&lt;/_journal&gt;&lt;_ori_publication&gt;The University of Chicago Press&lt;/_ori_publication&gt;&lt;_pages&gt;375-399&lt;/_pages&gt;&lt;_volume&gt;45&lt;/_volume&gt;&lt;_created&gt;63130183&lt;/_created&gt;&lt;_modified&gt;63130183&lt;/_modified&gt;&lt;_impact_factor&gt;   1.185&lt;/_impact_factor&gt;&lt;/Details&gt;&lt;Extra&gt;&lt;DBUID&gt;{E9F07991-3B72-4492-A7D8-86E559D9F8FE}&lt;/DBUID&gt;&lt;/Extra&gt;&lt;/Item&gt;&lt;/References&gt;&lt;/Group&gt;&lt;/Citation&gt;_x000a_"/>
    <w:docVar w:name="NE.Ref{17B79B31-DBCB-4CE7-9862-523811904737}" w:val=" ADDIN NE.Ref.{17B79B31-DBCB-4CE7-9862-523811904737}&lt;Citation SecTmpl=&quot;1&quot;&gt;&lt;Group&gt;&lt;References&gt;&lt;Item&gt;&lt;ID&gt;142&lt;/ID&gt;&lt;UID&gt;{547AD3CB-D1F3-40FA-81DA-843BBA169E2C}&lt;/UID&gt;&lt;Title&gt;独立董事影响审计师选择吗?——基于董事网络视角的考察&lt;/Title&gt;&lt;Template&gt;Journal Article&lt;/Template&gt;&lt;Star&gt;0&lt;/Star&gt;&lt;Tag&gt;0&lt;/Tag&gt;&lt;Author&gt;邢秋航; 韩晓梅&lt;/Author&gt;&lt;Year&gt;2018&lt;/Year&gt;&lt;Details&gt;&lt;_accessed&gt;63301943&lt;/_accessed&gt;&lt;_author_aff&gt;南京理工大学经济管理学院;&lt;/_author_aff&gt;&lt;_collection_scope&gt;CSSCI-C;PKU&lt;/_collection_scope&gt;&lt;_created&gt;63301943&lt;/_created&gt;&lt;_date&gt;62343360&lt;/_date&gt;&lt;_db_provider&gt;CNKI: 期刊&lt;/_db_provider&gt;&lt;_db_updated&gt;CNKI - Reference&lt;/_db_updated&gt;&lt;_issue&gt;07&lt;/_issue&gt;&lt;_journal&gt;会计研究&lt;/_journal&gt;&lt;_keywords&gt;独立董事;审计师选择;网络中心度&lt;/_keywords&gt;&lt;_language&gt;Chinese&lt;/_language&gt;&lt;_modified&gt;63301943&lt;/_modified&gt;&lt;_pages&gt;79-85&lt;/_pages&gt;&lt;_url&gt;http://kns.cnki.net/KCMS/detail/detail.aspx?FileName=KJYJ201807011&amp;amp;DbName=CJFQ2018&lt;/_url&gt;&lt;_translated_author&gt;Xing, Qiuhang;Han, Xiaomei&lt;/_translated_author&gt;&lt;/Details&gt;&lt;Extra&gt;&lt;DBUID&gt;{7EBDD973-FB19-4DB0-8AC1-C6FC73CA4F6A}&lt;/DBUID&gt;&lt;/Extra&gt;&lt;/Item&gt;&lt;/References&gt;&lt;/Group&gt;&lt;/Citation&gt;_x000a_"/>
    <w:docVar w:name="NE.Ref{17D2CCDF-015F-4049-AE5B-D3D491E3B981}" w:val=" ADDIN NE.Ref.{17D2CCDF-015F-4049-AE5B-D3D491E3B981}&lt;Citation&gt;&lt;Group&gt;&lt;References&gt;&lt;Item&gt;&lt;ID&gt;112&lt;/ID&gt;&lt;UID&gt;{1419DF3A-347E-4132-9CDE-F661C840830F}&lt;/UID&gt;&lt;Title&gt;私募股权投资对控股股东“掏空”的抑制效应&lt;/Title&gt;&lt;Template&gt;Journal Article&lt;/Template&gt;&lt;Star&gt;0&lt;/Star&gt;&lt;Tag&gt;0&lt;/Tag&gt;&lt;Author&gt;冯慧群&lt;/Author&gt;&lt;Year&gt;2016&lt;/Year&gt;&lt;Details&gt;&lt;_accessed&gt;63241051&lt;/_accessed&gt;&lt;_author_aff&gt;北京大学光华管理学院;&lt;/_author_aff&gt;&lt;_collection_scope&gt;CSSCI-C&lt;/_collection_scope&gt;&lt;_created&gt;63240989&lt;/_created&gt;&lt;_date&gt;61248960&lt;/_date&gt;&lt;_db_provider&gt;CNKI: 期刊&lt;/_db_provider&gt;&lt;_db_updated&gt;CNKI - Reference&lt;/_db_updated&gt;&lt;_issue&gt;06&lt;/_issue&gt;&lt;_journal&gt;经济管理&lt;/_journal&gt;&lt;_keywords&gt;私募股权投资(PE);控股股东“掏空”;公司治理&lt;/_keywords&gt;&lt;_language&gt;Chinese&lt;/_language&gt;&lt;_modified&gt;63241051&lt;/_modified&gt;&lt;_pages&gt;41-58&lt;/_pages&gt;&lt;_url&gt;http://kns.cnki.net/KCMS/detail/detail.aspx?FileName=JJGU201606005&amp;amp;DbName=CJFQ2016&lt;/_url&gt;&lt;_volume&gt;38&lt;/_volume&gt;&lt;_translated_author&gt;Feng, Huiqun&lt;/_translated_author&gt;&lt;/Details&gt;&lt;Extra&gt;&lt;DBUID&gt;{E9F07991-3B72-4492-A7D8-86E559D9F8FE}&lt;/DBUID&gt;&lt;/Extra&gt;&lt;/Item&gt;&lt;/References&gt;&lt;/Group&gt;&lt;Group&gt;&lt;References&gt;&lt;Item&gt;&lt;ID&gt;115&lt;/ID&gt;&lt;UID&gt;{925E1CB8-1BB7-442E-B32F-47F7B4076973}&lt;/UID&gt;&lt;Title&gt;机构投资者特征、终极控制人性质与大股东掏空——基于关联交易视角的研究&lt;/Title&gt;&lt;Template&gt;Journal Article&lt;/Template&gt;&lt;Star&gt;0&lt;/Star&gt;&lt;Tag&gt;0&lt;/Tag&gt;&lt;Author&gt;吴先聪; 张健; 胡志颖&lt;/Author&gt;&lt;Year&gt;2016&lt;/Year&gt;&lt;Details&gt;&lt;_accessed&gt;63240998&lt;/_accessed&gt;&lt;_author_aff&gt;西南政法大学管理学院;重庆交通大学管理学院;北京科技大学东凌经济管理学院;&lt;/_author_aff&gt;&lt;_collection_scope&gt;CSSCI-C;PKU&lt;/_collection_scope&gt;&lt;_created&gt;63240989&lt;/_created&gt;&lt;_date&gt;61256160&lt;/_date&gt;&lt;_db_provider&gt;CNKI: 期刊&lt;/_db_provider&gt;&lt;_db_updated&gt;CNKI - Reference&lt;/_db_updated&gt;&lt;_issue&gt;06&lt;/_issue&gt;&lt;_journal&gt;外国经济与管理&lt;/_journal&gt;&lt;_keywords&gt;机构投资者特质;控股大股东掏空;关联交易;家族企业;国有企业&lt;/_keywords&gt;&lt;_language&gt;Chinese&lt;/_language&gt;&lt;_modified&gt;63240998&lt;/_modified&gt;&lt;_pages&gt;3-20&lt;/_pages&gt;&lt;_url&gt;http://kns.cnki.net/KCMS/detail/detail.aspx?FileName=WGJG201606001&amp;amp;DbName=CJFQ2016&lt;/_url&gt;&lt;_volume&gt;38&lt;/_volume&gt;&lt;_translated_author&gt;Wu, Xiancong;Zhang, Jian;Hu, Zhiying&lt;/_translated_author&gt;&lt;/Details&gt;&lt;Extra&gt;&lt;DBUID&gt;{E9F07991-3B72-4492-A7D8-86E559D9F8FE}&lt;/DBUID&gt;&lt;/Extra&gt;&lt;/Item&gt;&lt;/References&gt;&lt;/Group&gt;&lt;/Citation&gt;_x000a_"/>
    <w:docVar w:name="NE.Ref{184B721D-1EF7-4D74-8C0C-DAA1C28ED05D}" w:val=" ADDIN NE.Ref.{184B721D-1EF7-4D74-8C0C-DAA1C28ED05D}&lt;Citation SecTmpl=&quot;1&quot;&gt;&lt;Group&gt;&lt;References&gt;&lt;Item&gt;&lt;ID&gt;8&lt;/ID&gt;&lt;UID&gt;{45282083-4487-473D-AD1F-15AA4D878AEE}&lt;/UID&gt;&lt;Title&gt;Do school ties between auditors and client executives influence audit outcomes?&lt;/Title&gt;&lt;Template&gt;Journal Article&lt;/Template&gt;&lt;Star&gt;0&lt;/Star&gt;&lt;Tag&gt;0&lt;/Tag&gt;&lt;Author&gt;Guan, Yuyan; Su, Lixin Nancy; Wu, Donghui; Yang, Zhifeng&lt;/Author&gt;&lt;Year&gt;2016&lt;/Year&gt;&lt;Details&gt;&lt;_accessed&gt;63322114&lt;/_accessed&gt;&lt;_alternate_title&gt;Journal of accounting and economics&lt;/_alternate_title&gt;&lt;_created&gt;63134875&lt;/_created&gt;&lt;_date&gt;2016-01-01&lt;/_date&gt;&lt;_date_display&gt;2016&lt;/_date_display&gt;&lt;_impact_factor&gt;   3.753&lt;/_impact_factor&gt;&lt;_isbn&gt;0165-4101&lt;/_isbn&gt;&lt;_issue&gt;2-3&lt;/_issue&gt;&lt;_journal&gt;Journal of accounting and economics&lt;/_journal&gt;&lt;_modified&gt;63322114&lt;/_modified&gt;&lt;_ori_publication&gt;Elsevier&lt;/_ori_publication&gt;&lt;_pages&gt;506-525&lt;/_pages&gt;&lt;_volume&gt;61&lt;/_volume&gt;&lt;/Details&gt;&lt;Extra&gt;&lt;DBUID&gt;{E9F07991-3B72-4492-A7D8-86E559D9F8FE}&lt;/DBUID&gt;&lt;/Extra&gt;&lt;/Item&gt;&lt;/References&gt;&lt;/Group&gt;&lt;/Citation&gt;_x000a_"/>
    <w:docVar w:name="NE.Ref{186A91B6-4AFC-483E-974C-24BCFEDE3E98}" w:val=" ADDIN NE.Ref.{186A91B6-4AFC-483E-974C-24BCFEDE3E98}&lt;Citation SecTmpl=&quot;1&quot;&gt;&lt;Group&gt;&lt;References&gt;&lt;Item&gt;&lt;ID&gt;38&lt;/ID&gt;&lt;UID&gt;{DE5487CB-7043-4510-A48F-5C542661EA12}&lt;/UID&gt;&lt;Title&gt;Does mandatory rotation of audit partners improve audit quality?&lt;/Title&gt;&lt;Template&gt;Journal Article&lt;/Template&gt;&lt;Star&gt;0&lt;/Star&gt;&lt;Tag&gt;0&lt;/Tag&gt;&lt;Author&gt;Lennox, Clive S; Wu, Xi; Zhang, Tianyu&lt;/Author&gt;&lt;Year&gt;2014&lt;/Year&gt;&lt;Details&gt;&lt;_alternate_title&gt;The accounting review&lt;/_alternate_title&gt;&lt;_created&gt;63224357&lt;/_created&gt;&lt;_date&gt;2014-01-01&lt;/_date&gt;&lt;_date_display&gt;2014&lt;/_date_display&gt;&lt;_isbn&gt;1558-7967&lt;/_isbn&gt;&lt;_issue&gt;5&lt;/_issue&gt;&lt;_journal&gt;The accounting review&lt;/_journal&gt;&lt;_modified&gt;63224357&lt;/_modified&gt;&lt;_ori_publication&gt;American Accounting Association&lt;/_ori_publication&gt;&lt;_pages&gt;1775-1803&lt;/_pages&gt;&lt;_volume&gt;89&lt;/_volume&gt;&lt;/Details&gt;&lt;Extra&gt;&lt;DBUID&gt;{E9F07991-3B72-4492-A7D8-86E559D9F8FE}&lt;/DBUID&gt;&lt;/Extra&gt;&lt;/Item&gt;&lt;/References&gt;&lt;/Group&gt;&lt;/Citation&gt;_x000a_"/>
    <w:docVar w:name="NE.Ref{194B69E6-BC80-423C-ADDA-2CFB60374CCF}" w:val=" ADDIN NE.Ref.{194B69E6-BC80-423C-ADDA-2CFB60374CCF}&lt;Citation&gt;&lt;Group&gt;&lt;References&gt;&lt;Item&gt;&lt;ID&gt;124&lt;/ID&gt;&lt;UID&gt;{D4B1E494-6A25-4CC6-860E-830ED6974DB9}&lt;/UID&gt;&lt;Title&gt;反避税:任重而道远——访国家税务总局国际税务司司长王小平&lt;/Title&gt;&lt;Template&gt;Journal Article&lt;/Template&gt;&lt;Star&gt;0&lt;/Star&gt;&lt;Tag&gt;0&lt;/Tag&gt;&lt;Author&gt;李业&lt;/Author&gt;&lt;Year&gt;2008&lt;/Year&gt;&lt;Details&gt;&lt;_accessed&gt;61836032&lt;/_accessed&gt;&lt;_created&gt;61836032&lt;/_created&gt;&lt;_date&gt;57153600&lt;/_date&gt;&lt;_db_provider&gt;CNKI: 期刊&lt;/_db_provider&gt;&lt;_db_updated&gt;CNKI - Reference&lt;/_db_updated&gt;&lt;_issue&gt;09&lt;/_issue&gt;&lt;_journal&gt;中国税务&lt;/_journal&gt;&lt;_keywords&gt;反避税措施;国家税务总局;王小平;反避税工作;跨国纳税人;税务机关;预约定价;转让定价;税务司;情报交换;&lt;/_keywords&gt;&lt;_language&gt;Chinese&lt;/_language&gt;&lt;_modified&gt;61836032&lt;/_modified&gt;&lt;_pages&gt;7-9&lt;/_pages&gt;&lt;_url&gt;http://kns.cnki.net/KCMS/detail/detail.aspx?FileName=ZGSW200809005&amp;amp;DbName=CJFQ2008&lt;/_url&gt;&lt;_translated_author&gt;Li, Ye&lt;/_translated_author&gt;&lt;/Details&gt;&lt;Extra&gt;&lt;DBUID&gt;{83AC290F-D6FC-4574-9771-6904EE9C30A4}&lt;/DBUID&gt;&lt;/Extra&gt;&lt;/Item&gt;&lt;/References&gt;&lt;/Group&gt;&lt;/Citation&gt;_x000a_"/>
    <w:docVar w:name="NE.Ref{1A921B01-B7A8-420E-B065-304A66377252}" w:val=" ADDIN NE.Ref.{1A921B01-B7A8-420E-B065-304A66377252}&lt;Citation SecTmpl=&quot;1&quot;&gt;&lt;Group&gt;&lt;References&gt;&lt;Item&gt;&lt;ID&gt;176&lt;/ID&gt;&lt;UID&gt;{3DDFC726-FF8E-4325-97D2-8089FD8CBF38}&lt;/UID&gt;&lt;Title&gt;Corporate tax avoidance and stock price crash risk: Firm-level analysis&lt;/Title&gt;&lt;Template&gt;Journal Article&lt;/Template&gt;&lt;Star&gt;0&lt;/Star&gt;&lt;Tag&gt;0&lt;/Tag&gt;&lt;Author&gt;Kim, Jeong-Bon; Li, Yinghua; Zhang, Liandong&lt;/Author&gt;&lt;Year&gt;2011&lt;/Year&gt;&lt;Details&gt;&lt;_alternate_title&gt;Journal of Financial Economics&lt;/_alternate_title&gt;&lt;_collection_scope&gt;SSCI&lt;/_collection_scope&gt;&lt;_created&gt;62614802&lt;/_created&gt;&lt;_date&gt;2011-01-01&lt;/_date&gt;&lt;_date_display&gt;2011&lt;/_date_display&gt;&lt;_impact_factor&gt;   4.693&lt;/_impact_factor&gt;&lt;_isbn&gt;0304-405X&lt;/_isbn&gt;&lt;_issue&gt;3&lt;/_issue&gt;&lt;_journal&gt;Journal of Financial Economics&lt;/_journal&gt;&lt;_modified&gt;63295839&lt;/_modified&gt;&lt;_ori_publication&gt;Elsevier&lt;/_ori_publication&gt;&lt;_pages&gt;639-662&lt;/_pages&gt;&lt;_volume&gt;100&lt;/_volume&gt;&lt;/Details&gt;&lt;Extra&gt;&lt;DBUID&gt;{E9F07991-3B72-4492-A7D8-86E559D9F8FE}&lt;/DBUID&gt;&lt;/Extra&gt;&lt;/Item&gt;&lt;/References&gt;&lt;/Group&gt;&lt;/Citation&gt;_x000a_"/>
    <w:docVar w:name="NE.Ref{1B19C949-1090-4C1B-B5F3-3C84283CC452}" w:val=" ADDIN NE.Ref.{1B19C949-1090-4C1B-B5F3-3C84283CC452}&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1B7BE3A9-451F-4ACE-9E24-D5EAA1C767CC}" w:val=" ADDIN NE.Ref.{1B7BE3A9-451F-4ACE-9E24-D5EAA1C767CC}&lt;Citation SecTmpl=&quot;1&quot;&gt;&lt;Group&gt;&lt;References&gt;&lt;Item&gt;&lt;ID&gt;154&lt;/ID&gt;&lt;UID&gt;{60D82039-0183-465F-A5E0-C3FB50F0A90B}&lt;/UID&gt;&lt;Title&gt;Do changes in audit actions and attitudes consistent with increased auditor scepticism deter aggressive earnings management? An experimental investigation&lt;/Title&gt;&lt;Template&gt;Journal Article&lt;/Template&gt;&lt;Star&gt;0&lt;/Star&gt;&lt;Tag&gt;0&lt;/Tag&gt;&lt;Author&gt;Chen, Qiu; Kelly, Khim; Salterio, Steven E&lt;/Author&gt;&lt;Year&gt;2012&lt;/Year&gt;&lt;Details&gt;&lt;_alternate_title&gt;Accounting, Organizations and Society&lt;/_alternate_title&gt;&lt;_created&gt;63261237&lt;/_created&gt;&lt;_date&gt;2012-01-01&lt;/_date&gt;&lt;_date_display&gt;2012&lt;/_date_display&gt;&lt;_impact_factor&gt;   3.147&lt;/_impact_factor&gt;&lt;_isbn&gt;0361-3682&lt;/_isbn&gt;&lt;_issue&gt;2&lt;/_issue&gt;&lt;_journal&gt;Accounting, Organizations and Society&lt;/_journal&gt;&lt;_modified&gt;63261237&lt;/_modified&gt;&lt;_ori_publication&gt;Elsevier&lt;/_ori_publication&gt;&lt;_pages&gt;95-115&lt;/_pages&gt;&lt;_volume&gt;37&lt;/_volume&gt;&lt;/Details&gt;&lt;Extra&gt;&lt;DBUID&gt;{E9F07991-3B72-4492-A7D8-86E559D9F8FE}&lt;/DBUID&gt;&lt;/Extra&gt;&lt;/Item&gt;&lt;/References&gt;&lt;/Group&gt;&lt;/Citation&gt;_x000a_"/>
    <w:docVar w:name="NE.Ref{1B9DE14E-148A-47B2-A7BF-FD0E15259481}" w:val=" ADDIN NE.Ref.{1B9DE14E-148A-47B2-A7BF-FD0E15259481}&lt;Citation SecTmpl=&quot;1&quot;&gt;&lt;Group&gt;&lt;References&gt;&lt;Item&gt;&lt;ID&gt;308&lt;/ID&gt;&lt;UID&gt;{C13AFC2C-46AF-4F82-8549-B3151D5F17C1}&lt;/UID&gt;&lt;Title&gt;Personally tax aggressive executives and corporate tax sheltering&lt;/Title&gt;&lt;Template&gt;Journal Article&lt;/Template&gt;&lt;Star&gt;0&lt;/Star&gt;&lt;Tag&gt;0&lt;/Tag&gt;&lt;Author&gt;Chyz, James A&lt;/Author&gt;&lt;Year&gt;2013&lt;/Year&gt;&lt;Details&gt;&lt;_alternate_title&gt;Journal of Accounting and Economics&lt;/_alternate_title&gt;&lt;_created&gt;63309385&lt;/_created&gt;&lt;_date&gt;2013-01-01&lt;/_date&gt;&lt;_date_display&gt;2013&lt;/_date_display&gt;&lt;_impact_factor&gt;   3.753&lt;/_impact_factor&gt;&lt;_isbn&gt;0165-4101&lt;/_isbn&gt;&lt;_issue&gt;2-3&lt;/_issue&gt;&lt;_journal&gt;Journal of Accounting and Economics&lt;/_journal&gt;&lt;_modified&gt;63309385&lt;/_modified&gt;&lt;_ori_publication&gt;Elsevier&lt;/_ori_publication&gt;&lt;_pages&gt;311-328&lt;/_pages&gt;&lt;_volume&gt;56&lt;/_volume&gt;&lt;/Details&gt;&lt;Extra&gt;&lt;DBUID&gt;{E9F07991-3B72-4492-A7D8-86E559D9F8FE}&lt;/DBUID&gt;&lt;/Extra&gt;&lt;/Item&gt;&lt;/References&gt;&lt;/Group&gt;&lt;/Citation&gt;_x000a_"/>
    <w:docVar w:name="NE.Ref{1C3FD9CE-1A4B-4D41-B022-C424DC279ADF}" w:val=" ADDIN NE.Ref.{1C3FD9CE-1A4B-4D41-B022-C424DC279ADF}&lt;Citation SecTmpl=&quot;1&quot;&gt;&lt;Group&gt;&lt;References&gt;&lt;Item&gt;&lt;ID&gt;304&lt;/ID&gt;&lt;UID&gt;{A804FE20-7DFB-4FA3-8385-96E682487FDC}&lt;/UID&gt;&lt;Title&gt;The effects of executives on corporate tax avoidance&lt;/Title&gt;&lt;Template&gt;Journal Article&lt;/Template&gt;&lt;Star&gt;0&lt;/Star&gt;&lt;Tag&gt;0&lt;/Tag&gt;&lt;Author&gt;Dyreng, Scott D; Hanlon, Michelle; Maydew, Edward L&lt;/Author&gt;&lt;Year&gt;2010&lt;/Year&gt;&lt;Details&gt;&lt;_alternate_title&gt;The accounting review&lt;/_alternate_title&gt;&lt;_created&gt;63309320&lt;/_created&gt;&lt;_date&gt;2010-01-01&lt;/_date&gt;&lt;_date_display&gt;2010&lt;/_date_display&gt;&lt;_impact_factor&gt;   4.562&lt;/_impact_factor&gt;&lt;_isbn&gt;0001-4826&lt;/_isbn&gt;&lt;_issue&gt;4&lt;/_issue&gt;&lt;_journal&gt;The accounting review&lt;/_journal&gt;&lt;_modified&gt;63309320&lt;/_modified&gt;&lt;_pages&gt;1163-1189&lt;/_pages&gt;&lt;_volume&gt;85&lt;/_volume&gt;&lt;/Details&gt;&lt;Extra&gt;&lt;DBUID&gt;{E9F07991-3B72-4492-A7D8-86E559D9F8FE}&lt;/DBUID&gt;&lt;/Extra&gt;&lt;/Item&gt;&lt;/References&gt;&lt;/Group&gt;&lt;/Citation&gt;_x000a_"/>
    <w:docVar w:name="NE.Ref{1CE8D7AB-5A93-409D-8855-94130383CA44}" w:val=" ADDIN NE.Ref.{1CE8D7AB-5A93-409D-8855-94130383CA44}&lt;Citation SecTmpl=&quot;1&quot;&gt;&lt;Group&gt;&lt;References&gt;&lt;Item&gt;&lt;ID&gt;12&lt;/ID&gt;&lt;UID&gt;{BA5E2246-A0BF-40B2-9E3C-73547EF9E25B}&lt;/UID&gt;&lt;Title&gt;Does the PCAOB international inspection program improve audit quality for non-US-listed foreign clients?&lt;/Title&gt;&lt;Template&gt;Journal Article&lt;/Template&gt;&lt;Star&gt;0&lt;/Star&gt;&lt;Tag&gt;0&lt;/Tag&gt;&lt;Author&gt;Fung, Simon Yu Kit; Raman, K K; Zhu, Xindong Kevin&lt;/Author&gt;&lt;Year&gt;2017&lt;/Year&gt;&lt;Details&gt;&lt;_accessed&gt;62690282&lt;/_accessed&gt;&lt;_created&gt;61923511&lt;/_created&gt;&lt;_date&gt;61536960&lt;/_date&gt;&lt;_date_display&gt;2017&lt;/_date_display&gt;&lt;_db_updated&gt;PKU Search&lt;/_db_updated&gt;&lt;_doi&gt;10.1016/j.jacceco.2017.04.002&lt;/_doi&gt;&lt;_impact_factor&gt;   3.753&lt;/_impact_factor&gt;&lt;_isbn&gt;0165-4101_x000d__x000a_&lt;/_isbn&gt;&lt;_issue&gt;1_x000d__x000a_&lt;/_issue&gt;&lt;_journal&gt;Journal of Accounting and Economics&lt;/_journal&gt;&lt;_keywords&gt;Non-US-listed foreign public companies_x000d__x000a_; Audit quality_x000d__x000a_; Positive externality_x000d__x000a_; Foreign auditors_x000d__x000a_; PCAOB international inspection program_x000d__x000a_; Auditor_x000d__x000a_; Audit_x000d__x000a_; Multinational Firms, International Business (F23)_x000d__x000a_; Financing Policy, Financial Risk and Risk Management, Capital and Ownership Structure, Value of Firms, Goodwill (G32)_x000d__x000a_; Selected Countries_x000d__x000a_; Firm Behavior: Empirical Analysis (D22)_x000d__x000a_; Corporate Finance and Governance: Government Policy and Regulation (G38)_x000d__x000a_; Auditing (M42)_x000d__x000a_; Quality control equipment_x000d__x000a_; Inspection_x000d__x000a_; Accounting_x000d__x000a_; Foreign investments_x000d__x000a_; Standards_x000d__x000a_; Foreign corporations_x000d__x000a_&lt;/_keywords&gt;&lt;_modified&gt;62897310&lt;/_modified&gt;&lt;_number&gt;1&lt;/_number&gt;&lt;_ori_publication&gt;Elsevier B.V_x000d__x000a_&lt;/_ori_publication&gt;&lt;_pages&gt;15_x000d__x000a_-36_x000d__x000a_&lt;/_pages&gt;&lt;_url&gt;http://pku.summon.serialssolutions.com/2.0.0/link/0/eLvHCXMwrV1LSwMxEA7ag3jx_X6Qm6dts6909yRtbRFRLFQvXkKSJtha2mLbg__emWwWqxQEEfaS7IRkM7Mzk2G-CSFxVGXBD50Q1rk1SlkVgwNh0zy24HmwOHEmw0qMFLw8ZPfdqNNO79ZIq4TGYJalNwWFinfK2_fU_ObWpoNBredwOSGWOIsd4tMB2jmKfuem-QWVjNxlakgcIPUXqKc2rA6l1nDow4SvuiuA6oMtK8zVav3tjFJn-1_Wv0O2vE9KGwXdLlkz4z2yUabE75PXm4mZUfAUabfVeGzSwXIUEVoFWnMypj7Ziw5cpMJQiZAPWuA2Pyi4x3Q8GQfPvWCEwtXHHrwXlOoRojJn1wfkudN-at0G_oaGQIOeiAIV2iSXKUukDTPLWJ8jkFVZeGzIJY_6kQ5ZbnmqdeIwu31tFLicJoORdRUfkgpMbI4J5TYzacQUSwx4mUrLHLQPHG41jJZRnZ-QaskIMS0KcYgyQ20oPOcEck6wRMAOnpCsZJf4xgIBxuK3oUfIXoH_-PxdagFeEdaB47CKq29vpAcxwDdgHS3RWKK8KGVDSIVhKz2f4SR5hjGJ9PTvyzsjm9gq0hDPSWX-vjAXZH36trh0wv4JMBAI6w&lt;/_url&gt;&lt;_volume&gt;64&lt;/_volume&gt;&lt;/Details&gt;&lt;Extra&gt;&lt;DBUID&gt;{D2579611-BF89-4C7B-83D9-BE1288535D97}&lt;/DBUID&gt;&lt;/Extra&gt;&lt;/Item&gt;&lt;/References&gt;&lt;/Group&gt;&lt;/Citation&gt;_x000a_"/>
    <w:docVar w:name="NE.Ref{1D57CB82-B83C-4CF3-89D5-2D64513AA2BB}" w:val=" ADDIN NE.Ref.{1D57CB82-B83C-4CF3-89D5-2D64513AA2BB}&lt;Citation SecTmpl=&quot;1&quot;&gt;&lt;Group&gt;&lt;References&gt;&lt;Item&gt;&lt;ID&gt;54&lt;/ID&gt;&lt;UID&gt;{6132C291-7203-44E0-A9F3-42029B3D1425}&lt;/UID&gt;&lt;Title&gt;Insider trading restrictions and insiders’ supply of information: Evidence from earnings smoothing&lt;/Title&gt;&lt;Template&gt;Journal Article&lt;/Template&gt;&lt;Star&gt;0&lt;/Star&gt;&lt;Tag&gt;0&lt;/Tag&gt;&lt;Author&gt;Zhang, Ivy Xiying; Zhang, Yong&lt;/Author&gt;&lt;Year&gt;2018&lt;/Year&gt;&lt;Details&gt;&lt;_alternate_title&gt;Contemporary Accounting Research&lt;/_alternate_title&gt;&lt;_collection_scope&gt;SSCI&lt;/_collection_scope&gt;&lt;_created&gt;63268499&lt;/_created&gt;&lt;_date&gt;2018-01-01&lt;/_date&gt;&lt;_date_display&gt;2018&lt;/_date_display&gt;&lt;_impact_factor&gt;   2.261&lt;/_impact_factor&gt;&lt;_isbn&gt;0823-9150&lt;/_isbn&gt;&lt;_issue&gt;2&lt;/_issue&gt;&lt;_journal&gt;Contemporary Accounting Research&lt;/_journal&gt;&lt;_modified&gt;63268499&lt;/_modified&gt;&lt;_ori_publication&gt;Wiley Online Library&lt;/_ori_publication&gt;&lt;_pages&gt;898-929&lt;/_pages&gt;&lt;_volume&gt;35&lt;/_volume&gt;&lt;/Details&gt;&lt;Extra&gt;&lt;DBUID&gt;{439358B4-FA18-4C63-A3A1-0E3BE4066E7A}&lt;/DBUID&gt;&lt;/Extra&gt;&lt;/Item&gt;&lt;/References&gt;&lt;/Group&gt;&lt;/Citation&gt;_x000a_"/>
    <w:docVar w:name="NE.Ref{1D63764D-A325-421B-A3A8-D276D01217F7}" w:val=" ADDIN NE.Ref.{1D63764D-A325-421B-A3A8-D276D01217F7}&lt;Citation SecTmpl=&quot;1&quot;&gt;&lt;Group&gt;&lt;References&gt;&lt;Item&gt;&lt;ID&gt;35&lt;/ID&gt;&lt;UID&gt;{1CEED0DD-C988-40CB-B79D-D811A90A7A34}&lt;/UID&gt;&lt;Title&gt;Aggregate quasi rents and auditor independence: Evidence from audit firm mergers in China&lt;/Title&gt;&lt;Template&gt;Journal Article&lt;/Template&gt;&lt;Star&gt;0&lt;/Star&gt;&lt;Tag&gt;0&lt;/Tag&gt;&lt;Author&gt;Hung Chan, K; Wu, Donghui&lt;/Author&gt;&lt;Year&gt;2011&lt;/Year&gt;&lt;Details&gt;&lt;_accessed&gt;62757196&lt;/_accessed&gt;&lt;_alternate_title&gt;Contemporary Accounting Research&lt;/_alternate_title&gt;&lt;_collection_scope&gt;SSCI;&lt;/_collection_scope&gt;&lt;_created&gt;62547340&lt;/_created&gt;&lt;_date&gt;2011-01-01&lt;/_date&gt;&lt;_date_display&gt;2011&lt;/_date_display&gt;&lt;_impact_factor&gt;   2.261&lt;/_impact_factor&gt;&lt;_isbn&gt;0823-9150&lt;/_isbn&gt;&lt;_issue&gt;1&lt;/_issue&gt;&lt;_journal&gt;Contemporary Accounting Research&lt;/_journal&gt;&lt;_modified&gt;63222327&lt;/_modified&gt;&lt;_ori_publication&gt;Wiley Online Library&lt;/_ori_publication&gt;&lt;_pages&gt;175-213&lt;/_pages&gt;&lt;_volume&gt;28&lt;/_volume&gt;&lt;/Details&gt;&lt;Extra&gt;&lt;DBUID&gt;{E9F07991-3B72-4492-A7D8-86E559D9F8FE}&lt;/DBUID&gt;&lt;/Extra&gt;&lt;/Item&gt;&lt;/References&gt;&lt;/Group&gt;&lt;/Citation&gt;_x000a_"/>
    <w:docVar w:name="NE.Ref{1D63E229-188E-4266-B011-84E4BBE53081}" w:val=" ADDIN NE.Ref.{1D63E229-188E-4266-B011-84E4BBE53081}&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1D83CB88-180A-44C3-968A-BB367F8E8F49}" w:val=" ADDIN NE.Ref.{1D83CB88-180A-44C3-968A-BB367F8E8F49}&lt;Citation SecTmpl=&quot;1&quot;&gt;&lt;Group&gt;&lt;References&gt;&lt;Item&gt;&lt;ID&gt;225&lt;/ID&gt;&lt;UID&gt;{42896BAA-8058-43FC-8057-8340C1ECC063}&lt;/UID&gt;&lt;Title&gt;审计师聘约权安排重要吗?——审计师声誉角度的检验&lt;/Title&gt;&lt;Template&gt;Journal Article&lt;/Template&gt;&lt;Star&gt;0&lt;/Star&gt;&lt;Tag&gt;0&lt;/Tag&gt;&lt;Author&gt;刘峰; 赵景文; 涂国前; 黄宇明&lt;/Author&gt;&lt;Year&gt;2010&lt;/Year&gt;&lt;Details&gt;&lt;_accessed&gt;63097183&lt;/_accessed&gt;&lt;_author_aff&gt;厦门大学会计系;中山大学管理学院;埃森哲咨询公司;&lt;/_author_aff&gt;&lt;_collection_scope&gt;CSSCI-C;PKU&lt;/_collection_scope&gt;&lt;_created&gt;63097118&lt;/_created&gt;&lt;_date&gt;58356000&lt;/_date&gt;&lt;_db_provider&gt;CNKI: 期刊&lt;/_db_provider&gt;&lt;_db_updated&gt;CNKI - Reference&lt;/_db_updated&gt;&lt;_issue&gt;12&lt;/_issue&gt;&lt;_journal&gt;会计研究&lt;/_journal&gt;&lt;_keywords&gt;聘约权;审计师声誉;经济后果;证监会处罚公告&lt;/_keywords&gt;&lt;_language&gt;Chinese&lt;/_language&gt;&lt;_modified&gt;63302021&lt;/_modified&gt;&lt;_pages&gt;49-56&lt;/_pages&gt;&lt;_url&gt;http://kns.cnki.net/KCMS/detail/detail.aspx?FileName=KJYJ201012009&amp;amp;DbName=CJFQ2010&lt;/_url&gt;&lt;_translated_author&gt;Liu, Feng;Zhao, Jingwen;Tu, Guoqian;Huang, Yuming&lt;/_translated_author&gt;&lt;/Details&gt;&lt;Extra&gt;&lt;DBUID&gt;{E9F07991-3B72-4492-A7D8-86E559D9F8FE}&lt;/DBUID&gt;&lt;/Extra&gt;&lt;/Item&gt;&lt;/References&gt;&lt;/Group&gt;&lt;/Citation&gt;_x000a_"/>
    <w:docVar w:name="NE.Ref{1DDE81B1-F55B-4D4B-8A33-598529FD0CA8}" w:val=" ADDIN NE.Ref.{1DDE81B1-F55B-4D4B-8A33-598529FD0CA8}&lt;Citation&gt;&lt;Group&gt;&lt;References&gt;&lt;Item&gt;&lt;ID&gt;114&lt;/ID&gt;&lt;UID&gt;{0E4F9C58-C345-46D1-A2FF-01C47173376B}&lt;/UID&gt;&lt;Title&gt;大股东资金占用、外部审计与公司治理&lt;/Title&gt;&lt;Template&gt;Journal Article&lt;/Template&gt;&lt;Star&gt;0&lt;/Star&gt;&lt;Tag&gt;0&lt;/Tag&gt;&lt;Author&gt;杜兴强; 郭剑花; 雷宇&lt;/Author&gt;&lt;Year&gt;2010&lt;/Year&gt;&lt;Details&gt;&lt;_accessed&gt;63241051&lt;/_accessed&gt;&lt;_author_aff&gt;厦门大学管理学院;&lt;/_author_aff&gt;&lt;_collection_scope&gt;CSSCI-C&lt;/_collection_scope&gt;&lt;_created&gt;63240989&lt;/_created&gt;&lt;_date&gt;57860640&lt;/_date&gt;&lt;_db_provider&gt;CNKI: 期刊&lt;/_db_provider&gt;&lt;_db_updated&gt;CNKI - Reference&lt;/_db_updated&gt;&lt;_issue&gt;01&lt;/_issue&gt;&lt;_journal&gt;经济管理&lt;/_journal&gt;&lt;_keywords&gt;大股东资金占用;掏空;外部审计;公司治理&lt;/_keywords&gt;&lt;_language&gt;Chinese&lt;/_language&gt;&lt;_modified&gt;63241051&lt;/_modified&gt;&lt;_pages&gt;111-117&lt;/_pages&gt;&lt;_url&gt;http://kns.cnki.net/KCMS/detail/detail.aspx?FileName=JJGU201001020&amp;amp;DbName=CJFQ2010&lt;/_url&gt;&lt;_volume&gt;32&lt;/_volume&gt;&lt;_translated_author&gt;Du, Xingqiang;Guo, Jianhua;Lei, Yu&lt;/_translated_author&gt;&lt;/Details&gt;&lt;Extra&gt;&lt;DBUID&gt;{E9F07991-3B72-4492-A7D8-86E559D9F8FE}&lt;/DBUID&gt;&lt;/Extra&gt;&lt;/Item&gt;&lt;/References&gt;&lt;/Group&gt;&lt;/Citation&gt;_x000a_"/>
    <w:docVar w:name="NE.Ref{1DF9F57F-8029-4C4E-8394-B2D5B7BB935D}" w:val=" ADDIN NE.Ref.{1DF9F57F-8029-4C4E-8394-B2D5B7BB935D}&lt;Citation SecTmpl=&quot;1&quot;&gt;&lt;Group&gt;&lt;References&gt;&lt;Item&gt;&lt;ID&gt;170&lt;/ID&gt;&lt;UID&gt;{A8E26643-3D9B-4688-A99F-3C8E79A065BA}&lt;/UID&gt;&lt;Title&gt;Does corporate tax aggressiveness influence audit pricing?&lt;/Title&gt;&lt;Template&gt;Journal Article&lt;/Template&gt;&lt;Star&gt;0&lt;/Star&gt;&lt;Tag&gt;0&lt;/Tag&gt;&lt;Author&gt;Donohoe, Michael P; Robert Knechel, W&lt;/Author&gt;&lt;Year&gt;2014&lt;/Year&gt;&lt;Details&gt;&lt;_accessed&gt;62701858&lt;/_accessed&gt;&lt;_alternate_title&gt;Contemporary Accounting Research&lt;/_alternate_title&gt;&lt;_collection_scope&gt;SSCI&lt;/_collection_scope&gt;&lt;_created&gt;62649279&lt;/_created&gt;&lt;_date&gt;2014-01-01&lt;/_date&gt;&lt;_date_display&gt;2014&lt;/_date_display&gt;&lt;_impact_factor&gt;   2.261&lt;/_impact_factor&gt;&lt;_isbn&gt;0823-9150&lt;/_isbn&gt;&lt;_issue&gt;1&lt;/_issue&gt;&lt;_journal&gt;Contemporary Accounting Research&lt;/_journal&gt;&lt;_modified&gt;63295786&lt;/_modified&gt;&lt;_ori_publication&gt;Wiley Online Library&lt;/_ori_publication&gt;&lt;_pages&gt;284-308&lt;/_pages&gt;&lt;_volume&gt;31&lt;/_volume&gt;&lt;/Details&gt;&lt;Extra&gt;&lt;DBUID&gt;{E9F07991-3B72-4492-A7D8-86E559D9F8FE}&lt;/DBUID&gt;&lt;/Extra&gt;&lt;/Item&gt;&lt;/References&gt;&lt;/Group&gt;&lt;/Citation&gt;_x000a_"/>
    <w:docVar w:name="NE.Ref{1E3C2813-7D22-4B97-B2D1-F37184859D10}" w:val=" ADDIN NE.Ref.{1E3C2813-7D22-4B97-B2D1-F37184859D10}&lt;Citation&gt;&lt;Group&gt;&lt;References&gt;&lt;Item&gt;&lt;ID&gt;64&lt;/ID&gt;&lt;UID&gt;{BB5E10B4-76DE-40E7-8E5C-0B67E6EFD227}&lt;/UID&gt;&lt;Title&gt;Can Big 4 versus non-Big 4 differences in audit-quality proxies be attributed to client characteristics?&lt;/Title&gt;&lt;Template&gt;Journal Article&lt;/Template&gt;&lt;Star&gt;0&lt;/Star&gt;&lt;Tag&gt;0&lt;/Tag&gt;&lt;Author&gt;Lawrence, Alastair; Minutti-Meza, Miguel; Zhang, Ping&lt;/Author&gt;&lt;Year&gt;2011&lt;/Year&gt;&lt;Details&gt;&lt;_alternate_title&gt;The accounting review&lt;/_alternate_title&gt;&lt;_created&gt;63225950&lt;/_created&gt;&lt;_date&gt;2011-01-01&lt;/_date&gt;&lt;_date_display&gt;2011&lt;/_date_display&gt;&lt;_impact_factor&gt;   4.562&lt;/_impact_factor&gt;&lt;_isbn&gt;0001-4826&lt;/_isbn&gt;&lt;_issue&gt;1&lt;/_issue&gt;&lt;_journal&gt;The accounting review&lt;/_journal&gt;&lt;_modified&gt;63225950&lt;/_modified&gt;&lt;_pages&gt;259-286&lt;/_pages&gt;&lt;_volume&gt;86&lt;/_volume&gt;&lt;/Details&gt;&lt;Extra&gt;&lt;DBUID&gt;{E9F07991-3B72-4492-A7D8-86E559D9F8FE}&lt;/DBUID&gt;&lt;/Extra&gt;&lt;/Item&gt;&lt;/References&gt;&lt;/Group&gt;&lt;Group&gt;&lt;References&gt;&lt;Item&gt;&lt;ID&gt;65&lt;/ID&gt;&lt;UID&gt;{7012EF85-3CFA-46BE-BB65-84928D8555C4}&lt;/UID&gt;&lt;Title&gt;Big N auditors and audit quality: New evidence from quasi-experiments&lt;/Title&gt;&lt;Template&gt;Journal Article&lt;/Template&gt;&lt;Star&gt;0&lt;/Star&gt;&lt;Tag&gt;0&lt;/Tag&gt;&lt;Author&gt;Jiang, John X; Wang, Isabel Y; Wang, K Philip&lt;/Author&gt;&lt;Year&gt;2018&lt;/Year&gt;&lt;Details&gt;&lt;_alternate_title&gt;The Accounting Review&lt;/_alternate_title&gt;&lt;_created&gt;63225956&lt;/_created&gt;&lt;_date&gt;2018-01-01&lt;/_date&gt;&lt;_date_display&gt;2018&lt;/_date_display&gt;&lt;_impact_factor&gt;   4.562&lt;/_impact_factor&gt;&lt;_isbn&gt;0001-4826&lt;/_isbn&gt;&lt;_journal&gt;The Accounting Review&lt;/_journal&gt;&lt;_modified&gt;63225956&lt;/_modified&gt;&lt;/Details&gt;&lt;Extra&gt;&lt;DBUID&gt;{E9F07991-3B72-4492-A7D8-86E559D9F8FE}&lt;/DBUID&gt;&lt;/Extra&gt;&lt;/Item&gt;&lt;/References&gt;&lt;/Group&gt;&lt;/Citation&gt;_x000a_"/>
    <w:docVar w:name="NE.Ref{1E44F1EB-8DBA-4319-830C-2EAEA59CE9F9}" w:val=" ADDIN NE.Ref.{1E44F1EB-8DBA-4319-830C-2EAEA59CE9F9}&lt;Citation SecTmpl=&quot;1&quot;&gt;&lt;Group&gt;&lt;References&gt;&lt;Item&gt;&lt;ID&gt;80&lt;/ID&gt;&lt;UID&gt;{5C9767C4-EDE7-4C7F-99C1-11350DAD7A91}&lt;/UID&gt;&lt;Title&gt;The role of auditors, non-auditors, and internal tax departments in corporate tax aggressiveness&lt;/Title&gt;&lt;Template&gt;Journal Article&lt;/Template&gt;&lt;Star&gt;0&lt;/Star&gt;&lt;Tag&gt;0&lt;/Tag&gt;&lt;Author&gt;Klassen, Kenneth J; Lisowsky, Petro; Mescall, Devan&lt;/Author&gt;&lt;Year&gt;2015&lt;/Year&gt;&lt;Details&gt;&lt;_alternate_title&gt;The Accounting Review&lt;/_alternate_title&gt;&lt;_created&gt;62649258&lt;/_created&gt;&lt;_date&gt;2015-01-01&lt;/_date&gt;&lt;_date_display&gt;2015&lt;/_date_display&gt;&lt;_isbn&gt;1558-7967&lt;/_isbn&gt;&lt;_issue&gt;1&lt;/_issue&gt;&lt;_journal&gt;The Accounting Review&lt;/_journal&gt;&lt;_modified&gt;63228167&lt;/_modified&gt;&lt;_ori_publication&gt;American Accounting Association&lt;/_ori_publication&gt;&lt;_pages&gt;179-205&lt;/_pages&gt;&lt;_volume&gt;91&lt;/_volume&gt;&lt;/Details&gt;&lt;Extra&gt;&lt;DBUID&gt;{E9F07991-3B72-4492-A7D8-86E559D9F8FE}&lt;/DBUID&gt;&lt;/Extra&gt;&lt;/Item&gt;&lt;/References&gt;&lt;/Group&gt;&lt;/Citation&gt;_x000a_"/>
    <w:docVar w:name="NE.Ref{1EA2B0B2-1E68-4FCE-BA3D-A5A139608D3F}" w:val=" ADDIN NE.Ref.{1EA2B0B2-1E68-4FCE-BA3D-A5A139608D3F}&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1EE8672A-36F2-47C4-B8AA-220D3D276808}" w:val=" ADDIN NE.Ref.{1EE8672A-36F2-47C4-B8AA-220D3D276808}&lt;Citation&gt;&lt;Group&gt;&lt;References&gt;&lt;Item&gt;&lt;ID&gt;629&lt;/ID&gt;&lt;UID&gt;{D14BCB3A-E4D8-4193-9891-3A081C7B51C1}&lt;/UID&gt;&lt;Title&gt;Experience effects in auditing: The role of task-specific knowledge&lt;/Title&gt;&lt;Template&gt;Journal Article&lt;/Template&gt;&lt;Star&gt;0&lt;/Star&gt;&lt;Tag&gt;0&lt;/Tag&gt;&lt;Author&gt;Bonner, Sarah E&lt;/Author&gt;&lt;Year&gt;1990&lt;/Year&gt;&lt;Details&gt;&lt;_alternate_title&gt;Accounting Review&lt;/_alternate_title&gt;&lt;_collection_scope&gt;SSCI&lt;/_collection_scope&gt;&lt;_created&gt;63179527&lt;/_created&gt;&lt;_date&gt;1990-01-01&lt;/_date&gt;&lt;_date_display&gt;1990&lt;/_date_display&gt;&lt;_impact_factor&gt;   4.562&lt;/_impact_factor&gt;&lt;_isbn&gt;0001-4826&lt;/_isbn&gt;&lt;_journal&gt;Accounting Review&lt;/_journal&gt;&lt;_modified&gt;63179527&lt;/_modified&gt;&lt;_ori_publication&gt;JSTOR&lt;/_ori_publication&gt;&lt;_pages&gt;72-92&lt;/_pages&gt;&lt;/Details&gt;&lt;Extra&gt;&lt;DBUID&gt;{83AC290F-D6FC-4574-9771-6904EE9C30A4}&lt;/DBUID&gt;&lt;/Extra&gt;&lt;/Item&gt;&lt;/References&gt;&lt;/Group&gt;&lt;Group&gt;&lt;References&gt;&lt;Item&gt;&lt;ID&gt;630&lt;/ID&gt;&lt;UID&gt;{721F6B9D-DA4E-41E5-9B32-8B8FAEE3CE07}&lt;/UID&gt;&lt;Title&gt;Experience and the ability to explain audit findings&lt;/Title&gt;&lt;Template&gt;Journal Article&lt;/Template&gt;&lt;Star&gt;0&lt;/Star&gt;&lt;Tag&gt;0&lt;/Tag&gt;&lt;Author&gt;Libby, Robert; Frederick, David M&lt;/Author&gt;&lt;Year&gt;1990&lt;/Year&gt;&lt;Details&gt;&lt;_alternate_title&gt;Journal of Accounting Research&lt;/_alternate_title&gt;&lt;_collection_scope&gt;SSCI&lt;/_collection_scope&gt;&lt;_created&gt;63179529&lt;/_created&gt;&lt;_date&gt;1990-01-01&lt;/_date&gt;&lt;_date_display&gt;1990&lt;/_date_display&gt;&lt;_impact_factor&gt;   4.891&lt;/_impact_factor&gt;&lt;_isbn&gt;0021-8456&lt;/_isbn&gt;&lt;_issue&gt;2&lt;/_issue&gt;&lt;_journal&gt;Journal of Accounting Research&lt;/_journal&gt;&lt;_modified&gt;63179529&lt;/_modified&gt;&lt;_ori_publication&gt;JSTOR&lt;/_ori_publication&gt;&lt;_pages&gt;348-367&lt;/_pages&gt;&lt;_volume&gt;28&lt;/_volume&gt;&lt;/Details&gt;&lt;Extra&gt;&lt;DBUID&gt;{83AC290F-D6FC-4574-9771-6904EE9C30A4}&lt;/DBUID&gt;&lt;/Extra&gt;&lt;/Item&gt;&lt;/References&gt;&lt;/Group&gt;&lt;Group&gt;&lt;References&gt;&lt;Item&gt;&lt;ID&gt;632&lt;/ID&gt;&lt;UID&gt;{EE53850E-757C-4618-9FB6-0539A907DDFF}&lt;/UID&gt;&lt;Title&gt;The effect of experience on the use of irrelevant evidence in auditor judgment&lt;/Title&gt;&lt;Template&gt;Journal Article&lt;/Template&gt;&lt;Star&gt;0&lt;/Star&gt;&lt;Tag&gt;0&lt;/Tag&gt;&lt;Author&gt;Shelton, Sandra Waller&lt;/Author&gt;&lt;Year&gt;1999&lt;/Year&gt;&lt;Details&gt;&lt;_alternate_title&gt;The Accounting Review&lt;/_alternate_title&gt;&lt;_created&gt;63179531&lt;/_created&gt;&lt;_date&gt;1999-01-01&lt;/_date&gt;&lt;_date_display&gt;1999&lt;/_date_display&gt;&lt;_impact_factor&gt;   4.562&lt;/_impact_factor&gt;&lt;_isbn&gt;0001-4826&lt;/_isbn&gt;&lt;_issue&gt;2&lt;/_issue&gt;&lt;_journal&gt;The Accounting Review&lt;/_journal&gt;&lt;_modified&gt;63179531&lt;/_modified&gt;&lt;_pages&gt;217-224&lt;/_pages&gt;&lt;_volume&gt;74&lt;/_volume&gt;&lt;/Details&gt;&lt;Extra&gt;&lt;DBUID&gt;{83AC290F-D6FC-4574-9771-6904EE9C30A4}&lt;/DBUID&gt;&lt;/Extra&gt;&lt;/Item&gt;&lt;/References&gt;&lt;/Group&gt;&lt;/Citation&gt;_x000a_"/>
    <w:docVar w:name="NE.Ref{1F735EEC-26BB-424C-A14F-0FDDE4FE6588}" w:val=" ADDIN NE.Ref.{1F735EEC-26BB-424C-A14F-0FDDE4FE6588}&lt;Citation SecTmpl=&quot;1&quot;&gt;&lt;Group&gt;&lt;References&gt;&lt;Item&gt;&lt;ID&gt;176&lt;/ID&gt;&lt;UID&gt;{3DDFC726-FF8E-4325-97D2-8089FD8CBF38}&lt;/UID&gt;&lt;Title&gt;Corporate tax avoidance and stock price crash risk: Firm-level analysis&lt;/Title&gt;&lt;Template&gt;Journal Article&lt;/Template&gt;&lt;Star&gt;0&lt;/Star&gt;&lt;Tag&gt;0&lt;/Tag&gt;&lt;Author&gt;Kim, Jeong-Bon; Li, Yinghua; Zhang, Liandong&lt;/Author&gt;&lt;Year&gt;2011&lt;/Year&gt;&lt;Details&gt;&lt;_alternate_title&gt;Journal of Financial Economics&lt;/_alternate_title&gt;&lt;_collection_scope&gt;SSCI&lt;/_collection_scope&gt;&lt;_created&gt;62614802&lt;/_created&gt;&lt;_date&gt;2011-01-01&lt;/_date&gt;&lt;_date_display&gt;2011&lt;/_date_display&gt;&lt;_impact_factor&gt;   4.693&lt;/_impact_factor&gt;&lt;_isbn&gt;0304-405X&lt;/_isbn&gt;&lt;_issue&gt;3&lt;/_issue&gt;&lt;_journal&gt;Journal of Financial Economics&lt;/_journal&gt;&lt;_modified&gt;63295839&lt;/_modified&gt;&lt;_ori_publication&gt;Elsevier&lt;/_ori_publication&gt;&lt;_pages&gt;639-662&lt;/_pages&gt;&lt;_volume&gt;100&lt;/_volume&gt;&lt;/Details&gt;&lt;Extra&gt;&lt;DBUID&gt;{E9F07991-3B72-4492-A7D8-86E559D9F8FE}&lt;/DBUID&gt;&lt;/Extra&gt;&lt;/Item&gt;&lt;/References&gt;&lt;/Group&gt;&lt;/Citation&gt;_x000a_"/>
    <w:docVar w:name="NE.Ref{1F845816-AC70-4DDC-92F7-DBB5A866DD94}" w:val=" ADDIN NE.Ref.{1F845816-AC70-4DDC-92F7-DBB5A866DD94}&lt;Citation SecTmpl=&quot;1&quot;&gt;&lt;Group&gt;&lt;References&gt;&lt;Item&gt;&lt;ID&gt;100&lt;/ID&gt;&lt;UID&gt;{E328F66A-7F5B-4998-8344-D3853412BE7F}&lt;/UID&gt;&lt;Title&gt;代理冲突、董事会质量与“污点”审计师变更&lt;/Title&gt;&lt;Template&gt;Journal Article&lt;/Template&gt;&lt;Star&gt;0&lt;/Star&gt;&lt;Tag&gt;0&lt;/Tag&gt;&lt;Author&gt;刘笑霞; 李明辉&lt;/Author&gt;&lt;Year&gt;2013&lt;/Year&gt;&lt;Details&gt;&lt;_accessed&gt;61631239&lt;/_accessed&gt;&lt;_author_aff&gt;河海大学会计学系;南京大学会计学系;&lt;/_author_aff&gt;&lt;_collection_scope&gt;CSSCI;中文核心期刊;&lt;/_collection_scope&gt;&lt;_created&gt;61610952&lt;/_created&gt;&lt;_date&gt;59891040&lt;/_date&gt;&lt;_db_provider&gt;CNKI: 期刊&lt;/_db_provider&gt;&lt;_db_updated&gt;CNKI - Reference&lt;/_db_updated&gt;&lt;_issue&gt;11&lt;/_issue&gt;&lt;_journal&gt;会计研究&lt;/_journal&gt;&lt;_keywords&gt;审计师变更;审计需求;审计师声誉;代理冲突;董事会&lt;/_keywords&gt;&lt;_language&gt;Chinese&lt;/_language&gt;&lt;_modified&gt;61610952&lt;/_modified&gt;&lt;_pages&gt;67-74+96&lt;/_pages&gt;&lt;_url&gt;http://www.cnki.net/KCMS/detail/detail.aspx?FileName=KJYJ201311010&amp;amp;DbName=CJFQ2013&lt;/_url&gt;&lt;_translated_author&gt;Liu, Xiaoxia;Li, Minghui&lt;/_translated_author&gt;&lt;/Details&gt;&lt;Extra&gt;&lt;DBUID&gt;{7EBDD973-FB19-4DB0-8AC1-C6FC73CA4F6A}&lt;/DBUID&gt;&lt;/Extra&gt;&lt;/Item&gt;&lt;/References&gt;&lt;/Group&gt;&lt;/Citation&gt;_x000a_"/>
    <w:docVar w:name="NE.Ref{1FD937EF-C77A-40C2-9485-38ECA62A4375}" w:val=" ADDIN NE.Ref.{1FD937EF-C77A-40C2-9485-38ECA62A4375}&lt;Citation&gt;&lt;Group&gt;&lt;References&gt;&lt;Item&gt;&lt;ID&gt;50&lt;/ID&gt;&lt;UID&gt;{91A387CD-D9EB-4910-A073-004C6316D962}&lt;/UID&gt;&lt;Title&gt;An empirical analysis of auditor reporting and its association with abnormal accruals&lt;/Title&gt;&lt;Template&gt;Journal Article&lt;/Template&gt;&lt;Star&gt;0&lt;/Star&gt;&lt;Tag&gt;0&lt;/Tag&gt;&lt;Author&gt;Butler, Marty; Leone, Andrew J; Willenborg, Michael&lt;/Author&gt;&lt;Year&gt;2004&lt;/Year&gt;&lt;Details&gt;&lt;_alternate_title&gt;Journal of Accounting and Economics&lt;/_alternate_title&gt;&lt;_created&gt;63224462&lt;/_created&gt;&lt;_date&gt;2004-01-01&lt;/_date&gt;&lt;_date_display&gt;2004&lt;/_date_display&gt;&lt;_impact_factor&gt;   3.753&lt;/_impact_factor&gt;&lt;_isbn&gt;0165-4101&lt;/_isbn&gt;&lt;_issue&gt;2&lt;/_issue&gt;&lt;_journal&gt;Journal of Accounting and Economics&lt;/_journal&gt;&lt;_modified&gt;63224462&lt;/_modified&gt;&lt;_ori_publication&gt;Elsevier&lt;/_ori_publication&gt;&lt;_pages&gt;139-165&lt;/_pages&gt;&lt;_volume&gt;37&lt;/_volume&gt;&lt;/Details&gt;&lt;Extra&gt;&lt;DBUID&gt;{E9F07991-3B72-4492-A7D8-86E559D9F8FE}&lt;/DBUID&gt;&lt;/Extra&gt;&lt;/Item&gt;&lt;/References&gt;&lt;/Group&gt;&lt;/Citation&gt;_x000a_"/>
    <w:docVar w:name="NE.Ref{2026A83C-5C67-43A1-976E-81BDF2775516}" w:val=" ADDIN NE.Ref.{2026A83C-5C67-43A1-976E-81BDF2775516}&lt;Citation SecTmpl=&quot;1&quot;&gt;&lt;Group&gt;&lt;References&gt;&lt;Item&gt;&lt;ID&gt;160&lt;/ID&gt;&lt;UID&gt;{685ABCBC-968D-49AA-BC2C-1FF147BFFDC9}&lt;/UID&gt;&lt;Title&gt;Tax avoidance: Does tax-specific industry expertise make a difference?&lt;/Title&gt;&lt;Template&gt;Journal Article&lt;/Template&gt;&lt;Star&gt;0&lt;/Star&gt;&lt;Tag&gt;0&lt;/Tag&gt;&lt;Author&gt;McGuire, Sean T; Omer, Thomas C; Wang, Dechun&lt;/Author&gt;&lt;Year&gt;2012&lt;/Year&gt;&lt;Details&gt;&lt;_created&gt;61742028&lt;/_created&gt;&lt;_impact_factor&gt;   4.562&lt;/_impact_factor&gt;&lt;_isbn&gt;0001-4826&lt;/_isbn&gt;&lt;_issue&gt;3&lt;/_issue&gt;&lt;_journal&gt;The Accounting Review&lt;/_journal&gt;&lt;_modified&gt;63290029&lt;/_modified&gt;&lt;_pages&gt;975-1003&lt;/_pages&gt;&lt;_volume&gt;87&lt;/_volume&gt;&lt;/Details&gt;&lt;Extra&gt;&lt;DBUID&gt;{E9F07991-3B72-4492-A7D8-86E559D9F8FE}&lt;/DBUID&gt;&lt;/Extra&gt;&lt;/Item&gt;&lt;/References&gt;&lt;/Group&gt;&lt;/Citation&gt;_x000a_"/>
    <w:docVar w:name="NE.Ref{208B2EA8-01F0-42CF-90B2-4EA22F4BF80D}" w:val=" ADDIN NE.Ref.{208B2EA8-01F0-42CF-90B2-4EA22F4BF80D}&lt;Citation SecTmpl=&quot;1&quot;&gt;&lt;Group&gt;&lt;References&gt;&lt;Item&gt;&lt;ID&gt;27&lt;/ID&gt;&lt;UID&gt;{3219ACAE-2438-4139-B8BC-66B81A9226CD}&lt;/UID&gt;&lt;Title&gt;税收激进行为的外溢效应——来自共同审计师的证据&lt;/Title&gt;&lt;Template&gt;Journal Article&lt;/Template&gt;&lt;Star&gt;0&lt;/Star&gt;&lt;Tag&gt;0&lt;/Tag&gt;&lt;Author&gt;曾姝; 李青原&lt;/Author&gt;&lt;Year&gt;2016&lt;/Year&gt;&lt;Details&gt;&lt;_accessed&gt;61697771&lt;/_accessed&gt;&lt;_author_adr&gt;武汉大学经济与管理学院 430072&lt;/_author_adr&gt;&lt;_author_aff&gt;武汉大学经济与管理学院 430072&lt;/_author_aff&gt;&lt;_collection_scope&gt;CSSCI;中文核心期刊;&lt;/_collection_scope&gt;&lt;_created&gt;61697771&lt;/_created&gt;&lt;_db_provider&gt;北京万方数据股份有限公司&lt;/_db_provider&gt;&lt;_db_updated&gt;Wanfangdata&lt;/_db_updated&gt;&lt;_doi&gt;10.3969/j.issn.1003-2886.2016.06.010&lt;/_doi&gt;&lt;_isbn&gt;1003-2886&lt;/_isbn&gt;&lt;_issue&gt;6&lt;/_issue&gt;&lt;_journal&gt;会计研究&lt;/_journal&gt;&lt;_keywords&gt;共同审计师; 税收激进; 外溢效应; 代理问题&lt;/_keywords&gt;&lt;_language&gt;chi&lt;/_language&gt;&lt;_modified&gt;61697771&lt;/_modified&gt;&lt;_pages&gt;70-76&lt;/_pages&gt;&lt;_tertiary_title&gt;Accounting Research&lt;/_tertiary_title&gt;&lt;_url&gt;http://d.g.wanfangdata.com.cn/Periodical_kjyj201606010.aspx&lt;/_url&gt;&lt;_translated_author&gt;Ceng, Shu;Li, Qingyuan&lt;/_translated_author&gt;&lt;/Details&gt;&lt;Extra&gt;&lt;DBUID&gt;{83AC290F-D6FC-4574-9771-6904EE9C30A4}&lt;/DBUID&gt;&lt;/Extra&gt;&lt;/Item&gt;&lt;/References&gt;&lt;/Group&gt;&lt;Group&gt;&lt;References&gt;&lt;Item&gt;&lt;ID&gt;273&lt;/ID&gt;&lt;UID&gt;{5D504A91-E2EB-4E2D-9078-025784EFDF9A}&lt;/UID&gt;&lt;Title&gt;The Persistence and Pricing of Earnings, Accruals, and Cash Flows When Firms Have Large Book‐Tax Differences&lt;/Title&gt;&lt;Template&gt;Journal Article&lt;/Template&gt;&lt;Star&gt;0&lt;/Star&gt;&lt;Tag&gt;0&lt;/Tag&gt;&lt;Author&gt;Hanlon, Michelle&lt;/Author&gt;&lt;Year&gt;2005&lt;/Year&gt;&lt;Details&gt;&lt;_created&gt;62127925&lt;/_created&gt;&lt;_issue&gt;1&lt;/_issue&gt;&lt;_journal&gt;Journal of the American Taxation Association&lt;/_journal&gt;&lt;_modified&gt;62877357&lt;/_modified&gt;&lt;_pages&gt;págs. 137-166&lt;/_pages&gt;&lt;_volume&gt;80&lt;/_volume&gt;&lt;/Details&gt;&lt;Extra&gt;&lt;DBUID&gt;{83AC290F-D6FC-4574-9771-6904EE9C30A4}&lt;/DBUID&gt;&lt;/Extra&gt;&lt;/Item&gt;&lt;/References&gt;&lt;/Group&gt;&lt;Group&gt;&lt;References&gt;&lt;Item&gt;&lt;ID&gt;48&lt;/ID&gt;&lt;UID&gt;{A31B03B8-FE8E-4540-8695-9F046226452E}&lt;/UID&gt;&lt;Title&gt;Auditor Independence, Non‐Audit Services, and Restatements: Was the US Government Right?&lt;/Title&gt;&lt;Template&gt;Journal Article&lt;/Template&gt;&lt;Star&gt;0&lt;/Star&gt;&lt;Tag&gt;0&lt;/Tag&gt;&lt;Author&gt;Kinney, William R; Palmrose, Zoe Vonna; Scholz, Susan&lt;/Author&gt;&lt;Year&gt;2004&lt;/Year&gt;&lt;Details&gt;&lt;_accessed&gt;61845728&lt;/_accessed&gt;&lt;_collection_scope&gt;SSCI;&lt;/_collection_scope&gt;&lt;_created&gt;61698030&lt;/_created&gt;&lt;_impact_factor&gt;   4.891&lt;/_impact_factor&gt;&lt;_isbn&gt;1475-679X&lt;/_isbn&gt;&lt;_issue&gt;3&lt;/_issue&gt;&lt;_journal&gt;Journal of Accounting Research&lt;/_journal&gt;&lt;_modified&gt;62877357&lt;/_modified&gt;&lt;_pages&gt;561-588&lt;/_pages&gt;&lt;_volume&gt;42&lt;/_volume&gt;&lt;/Details&gt;&lt;Extra&gt;&lt;DBUID&gt;{83AC290F-D6FC-4574-9771-6904EE9C30A4}&lt;/DBUID&gt;&lt;/Extra&gt;&lt;/Item&gt;&lt;/References&gt;&lt;/Group&gt;&lt;/Citation&gt;_x000a_"/>
    <w:docVar w:name="NE.Ref{20B0E289-2E1F-442D-83B5-0096D6E16589}" w:val=" ADDIN NE.Ref.{20B0E289-2E1F-442D-83B5-0096D6E16589}&lt;Citation SecTmpl=&quot;1&quot;&gt;&lt;Group&gt;&lt;References&gt;&lt;Item&gt;&lt;ID&gt;86&lt;/ID&gt;&lt;UID&gt;{3CD6102F-1F48-4D0E-B029-81887B709E47}&lt;/UID&gt;&lt;Title&gt;Corporate tax avoidance and high-powered incentives&lt;/Title&gt;&lt;Template&gt;Journal Article&lt;/Template&gt;&lt;Star&gt;0&lt;/Star&gt;&lt;Tag&gt;0&lt;/Tag&gt;&lt;Author&gt;Desai, Mihir A; Dharmapala, Dhammika&lt;/Author&gt;&lt;Year&gt;2006&lt;/Year&gt;&lt;Details&gt;&lt;_accessed&gt;63309299&lt;/_accessed&gt;&lt;_alternate_title&gt;Journal of Financial Economics&lt;/_alternate_title&gt;&lt;_collection_scope&gt;SSCI&lt;/_collection_scope&gt;&lt;_created&gt;63228696&lt;/_created&gt;&lt;_date&gt;2006-01-01&lt;/_date&gt;&lt;_date_display&gt;2006&lt;/_date_display&gt;&lt;_impact_factor&gt;   4.693&lt;/_impact_factor&gt;&lt;_isbn&gt;0304-405X&lt;/_isbn&gt;&lt;_issue&gt;1&lt;/_issue&gt;&lt;_journal&gt;Journal of Financial Economics&lt;/_journal&gt;&lt;_modified&gt;63309297&lt;/_modified&gt;&lt;_ori_publication&gt;Elsevier&lt;/_ori_publication&gt;&lt;_pages&gt;145-179&lt;/_pages&gt;&lt;_volume&gt;79&lt;/_volume&gt;&lt;/Details&gt;&lt;Extra&gt;&lt;DBUID&gt;{E9F07991-3B72-4492-A7D8-86E559D9F8FE}&lt;/DBUID&gt;&lt;/Extra&gt;&lt;/Item&gt;&lt;/References&gt;&lt;/Group&gt;&lt;/Citation&gt;_x000a_"/>
    <w:docVar w:name="NE.Ref{2183B8C5-0DFF-40C1-B14C-F6656AE01289}" w:val=" ADDIN NE.Ref.{2183B8C5-0DFF-40C1-B14C-F6656AE01289}&lt;Citation SecTmpl=&quot;1&quot;&gt;&lt;Group&gt;&lt;References&gt;&lt;Item&gt;&lt;ID&gt;234&lt;/ID&gt;&lt;UID&gt;{954EE3B3-AA63-4042-BCD4-6A14A60604A3}&lt;/UID&gt;&lt;Title&gt;Legal systems and auditor independence&lt;/Title&gt;&lt;Template&gt;Journal Article&lt;/Template&gt;&lt;Star&gt;0&lt;/Star&gt;&lt;Tag&gt;0&lt;/Tag&gt;&lt;Author&gt;Yu, Hung-Chao&lt;/Author&gt;&lt;Year&gt;2011&lt;/Year&gt;&lt;Details&gt;&lt;_alternate_title&gt;Review of Accounting Studies&lt;/_alternate_title&gt;&lt;_collection_scope&gt;SSCI&lt;/_collection_scope&gt;&lt;_created&gt;63302983&lt;/_created&gt;&lt;_date&gt;2011-01-01&lt;/_date&gt;&lt;_date_display&gt;2011&lt;/_date_display&gt;&lt;_impact_factor&gt;   2.108&lt;/_impact_factor&gt;&lt;_isbn&gt;1380-6653&lt;/_isbn&gt;&lt;_issue&gt;2&lt;/_issue&gt;&lt;_journal&gt;Review of Accounting Studies&lt;/_journal&gt;&lt;_modified&gt;63302983&lt;/_modified&gt;&lt;_ori_publication&gt;Springer&lt;/_ori_publication&gt;&lt;_pages&gt;377&lt;/_pages&gt;&lt;_volume&gt;16&lt;/_volume&gt;&lt;/Details&gt;&lt;Extra&gt;&lt;DBUID&gt;{E9F07991-3B72-4492-A7D8-86E559D9F8FE}&lt;/DBUID&gt;&lt;/Extra&gt;&lt;/Item&gt;&lt;/References&gt;&lt;/Group&gt;&lt;/Citation&gt;_x000a_"/>
    <w:docVar w:name="NE.Ref{22572941-E032-45FA-A0C4-5B620A7CF429}" w:val=" ADDIN NE.Ref.{22572941-E032-45FA-A0C4-5B620A7CF429}&lt;Citation SecTmpl=&quot;1&quot;&gt;&lt;Group&gt;&lt;References&gt;&lt;Item&gt;&lt;ID&gt;118&lt;/ID&gt;&lt;UID&gt;{3A6E3F74-453F-41AD-9493-01E49EF8E7E3}&lt;/UID&gt;&lt;Title&gt;中国各地区市场化相对进程报告&lt;/Title&gt;&lt;Template&gt;Journal Article&lt;/Template&gt;&lt;Star&gt;0&lt;/Star&gt;&lt;Tag&gt;0&lt;/Tag&gt;&lt;Author&gt;樊纲; 王小鲁; 张立文; 朱恒鹏&lt;/Author&gt;&lt;Year&gt;2003&lt;/Year&gt;&lt;Details&gt;&lt;_collection_scope&gt;CSSCI;中文核心期刊;&lt;/_collection_scope&gt;&lt;_created&gt;61618380&lt;/_created&gt;&lt;_issue&gt;10&lt;/_issue&gt;&lt;_journal&gt;经济研究&lt;/_journal&gt;&lt;_modified&gt;61618380&lt;/_modified&gt;&lt;_volume&gt;3&lt;/_volume&gt;&lt;_translated_author&gt;Fan, Gang;Wang, Xiaolu;Zhang, Liwen;Zhu, Hengpeng&lt;/_translated_author&gt;&lt;/Details&gt;&lt;Extra&gt;&lt;DBUID&gt;{7EBDD973-FB19-4DB0-8AC1-C6FC73CA4F6A}&lt;/DBUID&gt;&lt;/Extra&gt;&lt;/Item&gt;&lt;/References&gt;&lt;/Group&gt;&lt;/Citation&gt;_x000a_"/>
    <w:docVar w:name="NE.Ref{239D6C7F-90A8-41B3-B59B-BFD07307DDB0}" w:val=" ADDIN NE.Ref.{239D6C7F-90A8-41B3-B59B-BFD07307DDB0}&lt;Citation SecTmpl=&quot;1&quot;&gt;&lt;Group&gt;&lt;References&gt;&lt;Item&gt;&lt;ID&gt;5&lt;/ID&gt;&lt;UID&gt;{C8C23CCF-9B62-48AF-8363-6DD252760CB7}&lt;/UID&gt;&lt;Title&gt;年报语调与内部人交易:“表里如一”还是“口是心非”?&lt;/Title&gt;&lt;Template&gt;Journal Article&lt;/Template&gt;&lt;Star&gt;0&lt;/Star&gt;&lt;Tag&gt;0&lt;/Tag&gt;&lt;Author&gt;曾庆生; 周波; 张程; 陈信元&lt;/Author&gt;&lt;Year&gt;2018&lt;/Year&gt;&lt;Details&gt;&lt;_accessed&gt;63270278&lt;/_accessed&gt;&lt;_author_aff&gt;上海财经大学会计学院;&lt;/_author_aff&gt;&lt;_collection_scope&gt;CSSCI-C;PKU&lt;/_collection_scope&gt;&lt;_created&gt;63097440&lt;/_created&gt;&lt;_date&gt;62432640&lt;/_date&gt;&lt;_db_provider&gt;CNKI: 期刊&lt;/_db_provider&gt;&lt;_db_updated&gt;CNKI - Reference&lt;/_db_updated&gt;&lt;_issue&gt;09&lt;/_issue&gt;&lt;_journal&gt;管理世界&lt;/_journal&gt;&lt;_keywords&gt;年报;语调管理;内部人交易;信息不对称&lt;/_keywords&gt;&lt;_language&gt;Chinese&lt;/_language&gt;&lt;_modified&gt;63270278&lt;/_modified&gt;&lt;_pages&gt;143-160&lt;/_pages&gt;&lt;_url&gt;http://kns.cnki.net/KCMS/detail/detail.aspx?FileName=GLSJ201809015&amp;amp;DbName=CJFQ2018&lt;/_url&gt;&lt;_volume&gt;34&lt;/_volume&gt;&lt;_translated_author&gt;Ceng, Qingsheng;Zhou, Bo;Zhang, Cheng;Chen, Xinyuan&lt;/_translated_author&gt;&lt;/Details&gt;&lt;Extra&gt;&lt;DBUID&gt;{439358B4-FA18-4C63-A3A1-0E3BE4066E7A}&lt;/DBUID&gt;&lt;/Extra&gt;&lt;/Item&gt;&lt;/References&gt;&lt;/Group&gt;&lt;/Citation&gt;_x000a_"/>
    <w:docVar w:name="NE.Ref{23CC54A1-D863-4E2C-9D1B-644A9869856B}" w:val=" ADDIN NE.Ref.{23CC54A1-D863-4E2C-9D1B-644A9869856B}&lt;Citation SecTmpl=&quot;1&quot;&gt;&lt;Group&gt;&lt;References&gt;&lt;Item&gt;&lt;ID&gt;134&lt;/ID&gt;&lt;UID&gt;{E388FFA0-742B-4FE1-8B86-C7E1E76D1990}&lt;/UID&gt;&lt;Title&gt;Do client characteristics really drive the Big N audit quality effect? New evidence from propensity score matching&lt;/Title&gt;&lt;Template&gt;Journal Article&lt;/Template&gt;&lt;Star&gt;0&lt;/Star&gt;&lt;Tag&gt;0&lt;/Tag&gt;&lt;Author&gt;DeFond, Mark; Erkens, David H; Zhang, Jieying&lt;/Author&gt;&lt;Year&gt;2017&lt;/Year&gt;&lt;Details&gt;&lt;_alternate_title&gt;Management Science&lt;/_alternate_title&gt;&lt;_collection_scope&gt;SCIE;SSCI;EI&lt;/_collection_scope&gt;&lt;_created&gt;63243914&lt;/_created&gt;&lt;_date&gt;2017-01-01&lt;/_date&gt;&lt;_date_display&gt;2017&lt;/_date_display&gt;&lt;_impact_factor&gt;   4.219&lt;/_impact_factor&gt;&lt;_isbn&gt;0025-1909&lt;/_isbn&gt;&lt;_issue&gt;11&lt;/_issue&gt;&lt;_journal&gt;Management Science&lt;/_journal&gt;&lt;_modified&gt;63243914&lt;/_modified&gt;&lt;_ori_publication&gt;INFORMS&lt;/_ori_publication&gt;&lt;_pages&gt;3628-3649&lt;/_pages&gt;&lt;_volume&gt;63&lt;/_volume&gt;&lt;/Details&gt;&lt;Extra&gt;&lt;DBUID&gt;{E9F07991-3B72-4492-A7D8-86E559D9F8FE}&lt;/DBUID&gt;&lt;/Extra&gt;&lt;/Item&gt;&lt;/References&gt;&lt;/Group&gt;&lt;/Citation&gt;_x000a_"/>
    <w:docVar w:name="NE.Ref{2401925F-DCCC-48D3-A0DE-CD295A26BB95}" w:val=" ADDIN NE.Ref.{2401925F-DCCC-48D3-A0DE-CD295A26BB95}&lt;Citation SecTmpl=&quot;1&quot;&gt;&lt;Group&gt;&lt;References&gt;&lt;Item&gt;&lt;ID&gt;27&lt;/ID&gt;&lt;UID&gt;{E9469419-C88E-4967-8E69-578D60278A15}&lt;/UID&gt;&lt;Title&gt;Board Gender Diversity, Auditor Fees, and Auditor Choice&lt;/Title&gt;&lt;Template&gt;Journal Article&lt;/Template&gt;&lt;Star&gt;0&lt;/Star&gt;&lt;Tag&gt;0&lt;/Tag&gt;&lt;Author&gt;Lai, Karen M Y; Srinidhi, Bin; Gul, Ferdinand A; Tsui, Judy S L&lt;/Author&gt;&lt;Year&gt;2017&lt;/Year&gt;&lt;Details&gt;&lt;_accessed&gt;62437790&lt;/_accessed&gt;&lt;_collection_scope&gt;SSCI;&lt;/_collection_scope&gt;&lt;_created&gt;62437790&lt;/_created&gt;&lt;_db_updated&gt;CrossRef&lt;/_db_updated&gt;&lt;_doi&gt;10.1111/1911-3846.12313&lt;/_doi&gt;&lt;_impact_factor&gt;   2.261&lt;/_impact_factor&gt;&lt;_issue&gt;3&lt;/_issue&gt;&lt;_journal&gt;Contemporary Accounting Research&lt;/_journal&gt;&lt;_modified&gt;62904699&lt;/_modified&gt;&lt;_pages&gt;1681-1714&lt;/_pages&gt;&lt;_tertiary_title&gt;Contemp Account Res&lt;/_tertiary_title&gt;&lt;_url&gt;http://doi.wiley.com/10.1111/1911-3846.12313_x000d__x000a_http://onlinelibrary.wiley.com/wol1/doi/10.1111/1911-3846.12313/fullpdf&lt;/_url&gt;&lt;_volume&gt;34&lt;/_volume&gt;&lt;/Details&gt;&lt;Extra&gt;&lt;DBUID&gt;{D2579611-BF89-4C7B-83D9-BE1288535D97}&lt;/DBUID&gt;&lt;/Extra&gt;&lt;/Item&gt;&lt;/References&gt;&lt;/Group&gt;&lt;/Citation&gt;_x000a_"/>
    <w:docVar w:name="NE.Ref{2523151B-5240-461D-88DA-EE6E47C465A3}" w:val=" ADDIN NE.Ref.{2523151B-5240-461D-88DA-EE6E47C465A3}&lt;Citation SecTmpl=&quot;1&quot;&gt;&lt;Group&gt;&lt;References&gt;&lt;Item&gt;&lt;ID&gt;43&lt;/ID&gt;&lt;UID&gt;{834E60B6-DB09-44F5-B120-96831E042999}&lt;/UID&gt;&lt;Title&gt;The Loss of Information Associated with Binary Audit Reports: Evidence from Auditors&amp;apos; Internal Control and Going Concern Opinions&lt;/Title&gt;&lt;Template&gt;Journal Article&lt;/Template&gt;&lt;Star&gt;0&lt;/Star&gt;&lt;Tag&gt;0&lt;/Tag&gt;&lt;Author&gt;Christensen, Brant E; Neuman, Stevanie S; Rice, Sarah C&lt;/Author&gt;&lt;Year&gt;2018&lt;/Year&gt;&lt;Details&gt;&lt;_alternate_title&gt;Contemporary Accounting Research&lt;/_alternate_title&gt;&lt;_collection_scope&gt;SSCI&lt;/_collection_scope&gt;&lt;_created&gt;62804047&lt;/_created&gt;&lt;_date&gt;2018-01-01&lt;/_date&gt;&lt;_date_display&gt;2018&lt;/_date_display&gt;&lt;_impact_factor&gt;   2.261&lt;/_impact_factor&gt;&lt;_isbn&gt;0823-9150&lt;/_isbn&gt;&lt;_journal&gt;Contemporary Accounting Research&lt;/_journal&gt;&lt;_modified&gt;62877186&lt;/_modified&gt;&lt;_ori_publication&gt;Wiley Online Library&lt;/_ori_publication&gt;&lt;/Details&gt;&lt;Extra&gt;&lt;DBUID&gt;{D2579611-BF89-4C7B-83D9-BE1288535D97}&lt;/DBUID&gt;&lt;/Extra&gt;&lt;/Item&gt;&lt;/References&gt;&lt;/Group&gt;&lt;/Citation&gt;_x000a_"/>
    <w:docVar w:name="NE.Ref{254B6E1D-2B52-4CD9-8D82-89D45EF52E8E}" w:val=" ADDIN NE.Ref.{254B6E1D-2B52-4CD9-8D82-89D45EF52E8E}&lt;Citation&gt;&lt;Group&gt;&lt;References&gt;&lt;Item&gt;&lt;ID&gt;226&lt;/ID&gt;&lt;UID&gt;{CFF5C493-2B4F-4AAF-85E0-FCF85C905E3F}&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2751448&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2928632&lt;/_modified&gt;&lt;_pages&gt;127-158&lt;/_pages&gt;&lt;_volume&gt;85&lt;/_volume&gt;&lt;/Details&gt;&lt;Extra&gt;&lt;DBUID&gt;{2097646C-7C2F-4992-8A9B-6FF23AE7F1B7}&lt;/DBUID&gt;&lt;/Extra&gt;&lt;/Item&gt;&lt;/References&gt;&lt;/Group&gt;&lt;Group&gt;&lt;References&gt;&lt;Item&gt;&lt;ID&gt;14&lt;/ID&gt;&lt;UID&gt;{D8541BD4-6C7D-406C-98BD-74686723A23F}&lt;/UID&gt;&lt;Title&gt;客户重要性与审计谈判&lt;/Title&gt;&lt;Template&gt;Journal Article&lt;/Template&gt;&lt;Star&gt;0&lt;/Star&gt;&lt;Tag&gt;0&lt;/Tag&gt;&lt;Author&gt;张继勋; 张丽霞&lt;/Author&gt;&lt;Year&gt;2011&lt;/Year&gt;&lt;Details&gt;&lt;_language&gt;Chinese&lt;/_language&gt;&lt;_created&gt;63218055&lt;/_created&gt;&lt;_modified&gt;63218055&lt;/_modified&gt;&lt;_db_updated&gt;CNKI - Reference&lt;/_db_updated&gt;&lt;_url&gt;http://kns.cnki.net/KCMS/detail/detail.aspx?FileName=SJYZ201103012&amp;amp;DbName=CJFQ2011&lt;/_url&gt;&lt;_journal&gt;审计研究&lt;/_journal&gt;&lt;_issue&gt;03&lt;/_issue&gt;&lt;_pages&gt;56-63&lt;/_pages&gt;&lt;_date&gt;58592160&lt;/_date&gt;&lt;_keywords&gt;客户重要性;审计谈判;谈判结果&lt;/_keywords&gt;&lt;_author_aff&gt;南开大学商学院;&lt;/_author_aff&gt;&lt;_db_provider&gt;CNKI: 期刊&lt;/_db_provider&gt;&lt;_accessed&gt;63218055&lt;/_accessed&gt;&lt;_collection_scope&gt;CSSCI-C;PKU&lt;/_collection_scope&gt;&lt;_translated_author&gt;Zhang, Jixun;Zhang, Lixia&lt;/_translated_author&gt;&lt;/Details&gt;&lt;Extra&gt;&lt;DBUID&gt;{E9F07991-3B72-4492-A7D8-86E559D9F8FE}&lt;/DBUID&gt;&lt;/Extra&gt;&lt;/Item&gt;&lt;/References&gt;&lt;/Group&gt;&lt;Group&gt;&lt;References&gt;&lt;Item&gt;&lt;ID&gt;15&lt;/ID&gt;&lt;UID&gt;{E929BB2F-8CD6-48D3-98F6-D4A48FA1FEDE}&lt;/UID&gt;&lt;Title&gt;客户重要性、风险性质与审计质量——基于财务重述视角的经验证据&lt;/Title&gt;&lt;Template&gt;Journal Article&lt;/Template&gt;&lt;Star&gt;0&lt;/Star&gt;&lt;Tag&gt;0&lt;/Tag&gt;&lt;Author&gt;曹强; 胡南薇; 王良成&lt;/Author&gt;&lt;Year&gt;2012&lt;/Year&gt;&lt;Details&gt;&lt;_language&gt;Chinese&lt;/_language&gt;&lt;_created&gt;63218058&lt;/_created&gt;&lt;_modified&gt;63218058&lt;/_modified&gt;&lt;_db_updated&gt;CNKI - Reference&lt;/_db_updated&gt;&lt;_url&gt;http://kns.cnki.net/KCMS/detail/detail.aspx?FileName=SJYZ201206010&amp;amp;DbName=CJFQ2012&lt;/_url&gt;&lt;_journal&gt;审计研究&lt;/_journal&gt;&lt;_issue&gt;06&lt;/_issue&gt;&lt;_pages&gt;60-70&lt;/_pages&gt;&lt;_date&gt;59384160&lt;/_date&gt;&lt;_keywords&gt;客户重要性;财务重述;审计意见;风险性质&lt;/_keywords&gt;&lt;_author_aff&gt;中央财经大学会计学院;中国矿业大学(北京)管理学院;四川大学工商管理学院;&lt;/_author_aff&gt;&lt;_db_provider&gt;CNKI: 期刊&lt;/_db_provider&gt;&lt;_accessed&gt;63218058&lt;/_accessed&gt;&lt;_collection_scope&gt;CSSCI-C;PKU&lt;/_collection_scope&gt;&lt;_translated_author&gt;Cao, Qiang;Hu, Nanwei;Wang, Liangcheng&lt;/_translated_author&gt;&lt;/Details&gt;&lt;Extra&gt;&lt;DBUID&gt;{E9F07991-3B72-4492-A7D8-86E559D9F8FE}&lt;/DBUID&gt;&lt;/Extra&gt;&lt;/Item&gt;&lt;/References&gt;&lt;/Group&gt;&lt;/Citation&gt;_x000a_"/>
    <w:docVar w:name="NE.Ref{258749B7-E630-49A6-BC9B-F0556E6A9BE3}" w:val=" ADDIN NE.Ref.{258749B7-E630-49A6-BC9B-F0556E6A9BE3}&lt;Citation SecTmpl=&quot;1&quot;&gt;&lt;Group&gt;&lt;References&gt;&lt;Item&gt;&lt;ID&gt;249&lt;/ID&gt;&lt;UID&gt;{4793DC55-FA68-4491-8989-82B169AE2BA4}&lt;/UID&gt;&lt;Title&gt;Does auditor reputation matter? The case of KPMG Germany and ComROAD AG&lt;/Title&gt;&lt;Template&gt;Journal Article&lt;/Template&gt;&lt;Star&gt;0&lt;/Star&gt;&lt;Tag&gt;0&lt;/Tag&gt;&lt;Author&gt;Weber, Joseph; Willenborg, Michael; Zhang, Jieying&lt;/Author&gt;&lt;Year&gt;2008&lt;/Year&gt;&lt;Details&gt;&lt;_alternate_title&gt;Journal of Accounting Research&lt;/_alternate_title&gt;&lt;_collection_scope&gt;SSCI&lt;/_collection_scope&gt;&lt;_created&gt;63178214&lt;/_created&gt;&lt;_date&gt;2008-01-01&lt;/_date&gt;&lt;_date_display&gt;2008&lt;/_date_display&gt;&lt;_impact_factor&gt;   4.891&lt;/_impact_factor&gt;&lt;_isbn&gt;0021-8456&lt;/_isbn&gt;&lt;_issue&gt;4&lt;/_issue&gt;&lt;_journal&gt;Journal of Accounting Research&lt;/_journal&gt;&lt;_modified&gt;63178214&lt;/_modified&gt;&lt;_ori_publication&gt;Wiley Online Library&lt;/_ori_publication&gt;&lt;_pages&gt;941-972&lt;/_pages&gt;&lt;_volume&gt;46&lt;/_volume&gt;&lt;/Details&gt;&lt;Extra&gt;&lt;DBUID&gt;{2097646C-7C2F-4992-8A9B-6FF23AE7F1B7}&lt;/DBUID&gt;&lt;/Extra&gt;&lt;/Item&gt;&lt;/References&gt;&lt;/Group&gt;&lt;/Citation&gt;_x000a_"/>
    <w:docVar w:name="NE.Ref{261FFE74-E3A9-45B8-AB33-E74EEBF8A226}" w:val=" ADDIN NE.Ref.{261FFE74-E3A9-45B8-AB33-E74EEBF8A226}&lt;Citation SecTmpl=&quot;1&quot;&gt;&lt;Group&gt;&lt;References&gt;&lt;Item&gt;&lt;ID&gt;148&lt;/ID&gt;&lt;UID&gt;{0D2B7373-87FF-4E59-AF65-306695BAAB89}&lt;/UID&gt;&lt;Title&gt;Corporate governance in the Asian financial crisis&lt;/Title&gt;&lt;Template&gt;Journal Article&lt;/Template&gt;&lt;Star&gt;0&lt;/Star&gt;&lt;Tag&gt;0&lt;/Tag&gt;&lt;Author&gt;Johnson, Simon; Boone, Peter; Breach, Alasdair; Friedman, Eric&lt;/Author&gt;&lt;Year&gt;2000&lt;/Year&gt;&lt;Details&gt;&lt;_alternate_title&gt;Journal of financial Economics&lt;/_alternate_title&gt;&lt;_collection_scope&gt;SSCI&lt;/_collection_scope&gt;&lt;_created&gt;63258334&lt;/_created&gt;&lt;_date&gt;2000-01-01&lt;/_date&gt;&lt;_date_display&gt;2000&lt;/_date_display&gt;&lt;_impact_factor&gt;   4.693&lt;/_impact_factor&gt;&lt;_isbn&gt;0304-405X&lt;/_isbn&gt;&lt;_issue&gt;1-2&lt;/_issue&gt;&lt;_journal&gt;Journal of financial Economics&lt;/_journal&gt;&lt;_modified&gt;63258334&lt;/_modified&gt;&lt;_ori_publication&gt;Elsevier&lt;/_ori_publication&gt;&lt;_pages&gt;141-186&lt;/_pages&gt;&lt;_volume&gt;58&lt;/_volume&gt;&lt;/Details&gt;&lt;Extra&gt;&lt;DBUID&gt;{E9F07991-3B72-4492-A7D8-86E559D9F8FE}&lt;/DBUID&gt;&lt;/Extra&gt;&lt;/Item&gt;&lt;/References&gt;&lt;/Group&gt;&lt;/Citation&gt;_x000a_"/>
    <w:docVar w:name="NE.Ref{26658A79-0D83-4C20-85C0-BE8D7D3371B5}" w:val=" ADDIN NE.Ref.{26658A79-0D83-4C20-85C0-BE8D7D3371B5}&lt;Citation SecTmpl=&quot;1&quot;&gt;&lt;Group&gt;&lt;References&gt;&lt;Item&gt;&lt;ID&gt;4&lt;/ID&gt;&lt;UID&gt;{CA24409A-37FE-458E-87F9-0841934B9824}&lt;/UID&gt;&lt;Title&gt;内部人交易与持续经营审计意见——来自财务困境类上市公司的经验证据&lt;/Title&gt;&lt;Template&gt;Journal Article&lt;/Template&gt;&lt;Star&gt;0&lt;/Star&gt;&lt;Tag&gt;0&lt;/Tag&gt;&lt;Author&gt;周冬华; 康华; 赵玉洁&lt;/Author&gt;&lt;Year&gt;2015&lt;/Year&gt;&lt;Details&gt;&lt;_accessed&gt;63098524&lt;/_accessed&gt;&lt;_author_aff&gt;江西财经大学会计学院;&lt;/_author_aff&gt;&lt;_collection_scope&gt;CSSCI-C;PKU&lt;/_collection_scope&gt;&lt;_created&gt;63097439&lt;/_created&gt;&lt;_date&gt;60608160&lt;/_date&gt;&lt;_db_provider&gt;CNKI: 期刊&lt;/_db_provider&gt;&lt;_db_updated&gt;CNKI - Reference&lt;/_db_updated&gt;&lt;_issue&gt;02&lt;/_issue&gt;&lt;_journal&gt;审计研究&lt;/_journal&gt;&lt;_keywords&gt;内部人交易;持续经营;财务困境&lt;/_keywords&gt;&lt;_language&gt;Chinese&lt;/_language&gt;&lt;_modified&gt;63098524&lt;/_modified&gt;&lt;_pages&gt;97-105&lt;/_pages&gt;&lt;_url&gt;http://kns.cnki.net/KCMS/detail/detail.aspx?FileName=SJYZ201502017&amp;amp;DbName=CJFQ2015&lt;/_url&gt;&lt;_translated_author&gt;Zhou, Donghua;Kang, Hua;Zhao, Yujie&lt;/_translated_author&gt;&lt;/Details&gt;&lt;Extra&gt;&lt;DBUID&gt;{439358B4-FA18-4C63-A3A1-0E3BE4066E7A}&lt;/DBUID&gt;&lt;/Extra&gt;&lt;/Item&gt;&lt;/References&gt;&lt;/Group&gt;&lt;/Citation&gt;_x000a_"/>
    <w:docVar w:name="NE.Ref{2676134E-FFD0-4086-AB29-3F4F5CCB9CF9}" w:val=" ADDIN NE.Ref.{2676134E-FFD0-4086-AB29-3F4F5CCB9CF9}&lt;Citation SecTmpl=&quot;1&quot;&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26F5FD23-B2A4-457E-9611-9C403DC827A3}" w:val=" ADDIN NE.Ref.{26F5FD23-B2A4-457E-9611-9C403DC827A3}&lt;Citation&gt;&lt;Group&gt;&lt;References&gt;&lt;Item&gt;&lt;ID&gt;220&lt;/ID&gt;&lt;UID&gt;{7C2D3DCA-2B29-43E4-ADC5-5BA328C76252}&lt;/UID&gt;&lt;Title&gt;Do Client Characteristics Really Drive the Big N Audit Quality Effect? New Evidence from Propensity Score Matching&lt;/Title&gt;&lt;Template&gt;Journal Article&lt;/Template&gt;&lt;Star&gt;0&lt;/Star&gt;&lt;Tag&gt;0&lt;/Tag&gt;&lt;Author&gt;DeFond, Mark; Erkens, David H; Zhang, Jieying&lt;/Author&gt;&lt;Year&gt;2017&lt;/Year&gt;&lt;Details&gt;&lt;_accessed&gt;63243913&lt;/_accessed&gt;&lt;_collection_scope&gt;SCIE;SSCI;EI&lt;/_collection_scope&gt;&lt;_created&gt;62914099&lt;/_created&gt;&lt;_date&gt;61536960&lt;/_date&gt;&lt;_date_display&gt;2017&lt;/_date_display&gt;&lt;_db_updated&gt;PKU Search&lt;/_db_updated&gt;&lt;_doi&gt;10.1287/mnsc.2016.2528&lt;/_doi&gt;&lt;_impact_factor&gt;   4.219&lt;/_impact_factor&gt;&lt;_isbn&gt;0025-1909&lt;/_isbn&gt;&lt;_issue&gt;11&lt;/_issue&gt;&lt;_journal&gt;Management Science&lt;/_journal&gt;&lt;_keywords&gt;propensity score matching; auditing; accounting; simulation: statistical analysis; statistics: pattern analysis; Evaluation; Accounting firms&lt;/_keywords&gt;&lt;_modified&gt;62914101&lt;/_modified&gt;&lt;_number&gt;1&lt;/_number&gt;&lt;_ori_publication&gt;INFORMS&lt;/_ori_publication&gt;&lt;_pages&gt;3628-3649&lt;/_pages&gt;&lt;_url&gt;http://pku.summon.serialssolutions.com/2.0.0/link/0/eLvHCXMwtV1Lb9NAEF4llUBcEO-Gl_bS9mC5eNex4xwQKm0sVEipaMqBi2XvrkvU1o3i5JB_z4x3148CAg5crGjtxJuZLzPjycw3hPh833Nv2QQpMhXKnIksR0I0wVgoBU8jJVKAVYqZgm_T6NMpjyfBca9n5xg0a_9V8bAGqsdG2n9Qfv2hsACvAQJwBBDA8a9gcHTjHF5hz2P1x3qbmvkLhIhXG-doibVDVZnA_MI5cQ6wTcPR1BobR5Mb7_hxVQhpR5DqppRTzOMXVU3HGZJhOlMw69-tK7RTouryGmtG6tBZxXakcatfaLK8VCa0x2r7pneizmwfz9XG3sSkK8AFsk66oimBwCrKzwu1NBV_ttCwLhz9eX_t7CVO4YVYRltbZWw3D1144GJt426spwExa5lq8NzRL30IxyxMfF2UyHDJwn0emPb1Dln3-4_T6ay7rGmEA_QhPh-zXSRvv5ZzsXqrCvf8rE_6YFCxuvRrU4UE9jK0U4Xx-xheUdjDm-4OOnGTiR7uaHLdshURzR6Q--ZRhh5o0D0kPVU8IndtJ8VjAgEM1dijt7BHNfZohT0KaqCAPXpCK-xRgz2qsfeOAvKoRR5F5NEGebRCHrXIe0LO48ns8INrRny4AmnIXDnMIn_k40yEYYgVWbkYhiyPPAk-OGNhIEaCSxVBnI8sUzyLslB6ozwXnpRjT_hPyVZxU6htQnN0VSM1ZvCeYc7lGC5NeZClAVNhlHkDsmcFmCw0k0uCT8Ag6gRFnaCoExT1gOygfBMzBhYOJSbKyot0XZZJo-ABeVZdh1pYgRST1pm9zpnU9LrATpFurfMZu0aJf9jU89_e7AW51_zQXpKt1XKtXpH-4nL9usLaD6GQv24&lt;/_url&gt;&lt;_volume&gt;63&lt;/_volume&gt;&lt;/Details&gt;&lt;Extra&gt;&lt;DBUID&gt;{2097646C-7C2F-4992-8A9B-6FF23AE7F1B7}&lt;/DBUID&gt;&lt;/Extra&gt;&lt;/Item&gt;&lt;/References&gt;&lt;/Group&gt;&lt;Group&gt;&lt;References&gt;&lt;Item&gt;&lt;ID&gt;217&lt;/ID&gt;&lt;UID&gt;{C2356E9D-1CC8-4E37-B3EE-93D80EDE9764}&lt;/UID&gt;&lt;Title&gt;Can Big 4 versus Non-Big 4 Differences in Audit-Quality Proxies Be Attributed to Client Characteristics?&lt;/Title&gt;&lt;Template&gt;Journal Article&lt;/Template&gt;&lt;Star&gt;0&lt;/Star&gt;&lt;Tag&gt;0&lt;/Tag&gt;&lt;Author&gt;Lawrence, Alastair; Minutti-Meza, Miguel; Zhang, Ping&lt;/Author&gt;&lt;Year&gt;2011&lt;/Year&gt;&lt;Details&gt;&lt;_accessed&gt;62888249&lt;/_accessed&gt;&lt;_created&gt;62888249&lt;/_created&gt;&lt;_db_updated&gt;CrossRef&lt;/_db_updated&gt;&lt;_doi&gt;10.2308/accr.00000009&lt;/_doi&gt;&lt;_impact_factor&gt;   4.562&lt;/_impact_factor&gt;&lt;_isbn&gt;0001-4826&lt;/_isbn&gt;&lt;_issue&gt;1&lt;/_issue&gt;&lt;_journal&gt;The Accounting Review&lt;/_journal&gt;&lt;_modified&gt;62888249&lt;/_modified&gt;&lt;_pages&gt;259-286&lt;/_pages&gt;&lt;_tertiary_title&gt;The Accounting Review&lt;/_tertiary_title&gt;&lt;_url&gt;http://aaajournals.org/doi/10.2308/accr.00000009_x000d__x000a_http://aaajournals.org/doi/pdf/10.2308/accr.00000009&lt;/_url&gt;&lt;_volume&gt;86&lt;/_volume&gt;&lt;/Details&gt;&lt;Extra&gt;&lt;DBUID&gt;{2097646C-7C2F-4992-8A9B-6FF23AE7F1B7}&lt;/DBUID&gt;&lt;/Extra&gt;&lt;/Item&gt;&lt;/References&gt;&lt;/Group&gt;&lt;/Citation&gt;_x000a_"/>
    <w:docVar w:name="NE.Ref{274D4DE3-32D6-42A2-ADB9-4ED46E81C084}" w:val=" ADDIN NE.Ref.{274D4DE3-32D6-42A2-ADB9-4ED46E81C084}&lt;Citation SecTmpl=&quot;1&quot;&gt;&lt;Group&gt;&lt;References&gt;&lt;Item&gt;&lt;ID&gt;188&lt;/ID&gt;&lt;UID&gt;{1C44C79D-E6C5-4578-BC2F-95FB9025F1E9}&lt;/UID&gt;&lt;Title&gt;Abnormal audit fees and restatements&lt;/Title&gt;&lt;Template&gt;Journal Article&lt;/Template&gt;&lt;Star&gt;0&lt;/Star&gt;&lt;Tag&gt;0&lt;/Tag&gt;&lt;Author&gt;Blankley, Alan I; Hurtt, David N; MacGregor, Jason E&lt;/Author&gt;&lt;Year&gt;2012&lt;/Year&gt;&lt;Details&gt;&lt;_accessed&gt;63297904&lt;/_accessed&gt;&lt;_alternate_title&gt;Auditing: A Journal of Practice &amp;amp; Theory&lt;/_alternate_title&gt;&lt;_created&gt;62570440&lt;/_created&gt;&lt;_date&gt;2012-01-01&lt;/_date&gt;&lt;_date_display&gt;2012&lt;/_date_display&gt;&lt;_impact_factor&gt;   2.642&lt;/_impact_factor&gt;&lt;_isbn&gt;0278-0380&lt;/_isbn&gt;&lt;_issue&gt;1&lt;/_issue&gt;&lt;_journal&gt;Auditing: A Journal of Practice &amp;amp; Theory&lt;/_journal&gt;&lt;_modified&gt;63297909&lt;/_modified&gt;&lt;_ori_publication&gt;American Accounting Assocation&lt;/_ori_publication&gt;&lt;_pages&gt;79-96&lt;/_pages&gt;&lt;_volume&gt;31&lt;/_volume&gt;&lt;/Details&gt;&lt;Extra&gt;&lt;DBUID&gt;{E9F07991-3B72-4492-A7D8-86E559D9F8FE}&lt;/DBUID&gt;&lt;/Extra&gt;&lt;/Item&gt;&lt;/References&gt;&lt;/Group&gt;&lt;/Citation&gt;_x000a_"/>
    <w:docVar w:name="NE.Ref{27D92F56-408E-4B5B-9E21-F130F637BEE2}" w:val=" ADDIN NE.Ref.{27D92F56-408E-4B5B-9E21-F130F637BEE2}&lt;Citation&gt;&lt;Group&gt;&lt;References&gt;&lt;Item&gt;&lt;ID&gt;25&lt;/ID&gt;&lt;UID&gt;{8F43A1BD-0102-439A-BB61-B93C06EFD60B}&lt;/UID&gt;&lt;Title&gt;Does size matter? The influence of large clients on office-level auditor reporting decisions&lt;/Title&gt;&lt;Template&gt;Journal Article&lt;/Template&gt;&lt;Star&gt;0&lt;/Star&gt;&lt;Tag&gt;0&lt;/Tag&gt;&lt;Author&gt;Reynolds, J Kenneth; Francis, Jere R&lt;/Author&gt;&lt;Year&gt;2000&lt;/Year&gt;&lt;Details&gt;&lt;_alternate_title&gt;Journal of accounting and economics&lt;/_alternate_title&gt;&lt;_created&gt;63219544&lt;/_created&gt;&lt;_date&gt;2000-01-01&lt;/_date&gt;&lt;_date_display&gt;2000&lt;/_date_display&gt;&lt;_impact_factor&gt;   3.753&lt;/_impact_factor&gt;&lt;_isbn&gt;0165-4101&lt;/_isbn&gt;&lt;_issue&gt;3&lt;/_issue&gt;&lt;_journal&gt;Journal of accounting and economics&lt;/_journal&gt;&lt;_modified&gt;63219544&lt;/_modified&gt;&lt;_ori_publication&gt;Elsevier&lt;/_ori_publication&gt;&lt;_pages&gt;375-400&lt;/_pages&gt;&lt;_volume&gt;30&lt;/_volume&gt;&lt;/Details&gt;&lt;Extra&gt;&lt;DBUID&gt;{E9F07991-3B72-4492-A7D8-86E559D9F8FE}&lt;/DBUID&gt;&lt;/Extra&gt;&lt;/Item&gt;&lt;/References&gt;&lt;/Group&gt;&lt;/Citation&gt;_x000a_"/>
    <w:docVar w:name="NE.Ref{280A9AB4-A419-4F8D-B421-A6D987858494}" w:val=" ADDIN NE.Ref.{280A9AB4-A419-4F8D-B421-A6D987858494}&lt;Citation SecTmpl=&quot;1&quot;&gt;&lt;Group&gt;&lt;References&gt;&lt;Item&gt;&lt;ID&gt;25&lt;/ID&gt;&lt;UID&gt;{078D863B-9B94-4ECB-9D90-1428D066E6C6}&lt;/UID&gt;&lt;Title&gt;公司内部人具有交易时机的选择能力吗?——来自中国上市公司内部人卖出股票的证据&lt;/Title&gt;&lt;Template&gt;Journal Article&lt;/Template&gt;&lt;Star&gt;0&lt;/Star&gt;&lt;Tag&gt;0&lt;/Tag&gt;&lt;Author&gt;曾庆生&lt;/Author&gt;&lt;Year&gt;2008&lt;/Year&gt;&lt;Details&gt;&lt;_accessed&gt;63268340&lt;/_accessed&gt;&lt;_author_aff&gt;上海交通大学安泰经济与管理学院;&lt;/_author_aff&gt;&lt;_collection_scope&gt;CSSCI-C&lt;/_collection_scope&gt;&lt;_created&gt;63267311&lt;/_created&gt;&lt;_date&gt;57178080&lt;/_date&gt;&lt;_db_provider&gt;CNKI: 期刊&lt;/_db_provider&gt;&lt;_db_updated&gt;CNKI - Reference&lt;/_db_updated&gt;&lt;_issue&gt;10&lt;/_issue&gt;&lt;_journal&gt;金融研究&lt;/_journal&gt;&lt;_keywords&gt;内部人交易;超常回报;短窗口;信息层级假说&lt;/_keywords&gt;&lt;_language&gt;Chinese&lt;/_language&gt;&lt;_modified&gt;63268340&lt;/_modified&gt;&lt;_pages&gt;117-135&lt;/_pages&gt;&lt;_url&gt;http://kns.cnki.net/KCMS/detail/detail.aspx?FileName=JRYJ200810012&amp;amp;DbName=CJFQ2008&lt;/_url&gt;&lt;_translated_author&gt;Ceng, Qingsheng&lt;/_translated_author&gt;&lt;/Details&gt;&lt;Extra&gt;&lt;DBUID&gt;{439358B4-FA18-4C63-A3A1-0E3BE4066E7A}&lt;/DBUID&gt;&lt;/Extra&gt;&lt;/Item&gt;&lt;/References&gt;&lt;/Group&gt;&lt;/Citation&gt;_x000a_"/>
    <w:docVar w:name="NE.Ref{28AD8AAB-16C3-4C45-A89E-24BDA6EDC27A}" w:val=" ADDIN NE.Ref.{28AD8AAB-16C3-4C45-A89E-24BDA6EDC27A}&lt;Citation&gt;&lt;Group&gt;&lt;References&gt;&lt;Item&gt;&lt;ID&gt;5&lt;/ID&gt;&lt;UID&gt;{C8C23CCF-9B62-48AF-8363-6DD252760CB7}&lt;/UID&gt;&lt;Title&gt;年报语调与内部人交易:“表里如一”还是“口是心非”?&lt;/Title&gt;&lt;Template&gt;Journal Article&lt;/Template&gt;&lt;Star&gt;0&lt;/Star&gt;&lt;Tag&gt;0&lt;/Tag&gt;&lt;Author&gt;曾庆生; 周波; 张程; 陈信元&lt;/Author&gt;&lt;Year&gt;2018&lt;/Year&gt;&lt;Details&gt;&lt;_accessed&gt;63270278&lt;/_accessed&gt;&lt;_author_aff&gt;上海财经大学会计学院;&lt;/_author_aff&gt;&lt;_collection_scope&gt;CSSCI-C;PKU&lt;/_collection_scope&gt;&lt;_created&gt;63097440&lt;/_created&gt;&lt;_date&gt;62432640&lt;/_date&gt;&lt;_db_provider&gt;CNKI: 期刊&lt;/_db_provider&gt;&lt;_db_updated&gt;CNKI - Reference&lt;/_db_updated&gt;&lt;_issue&gt;09&lt;/_issue&gt;&lt;_journal&gt;管理世界&lt;/_journal&gt;&lt;_keywords&gt;年报;语调管理;内部人交易;信息不对称&lt;/_keywords&gt;&lt;_language&gt;Chinese&lt;/_language&gt;&lt;_modified&gt;63270278&lt;/_modified&gt;&lt;_pages&gt;143-160&lt;/_pages&gt;&lt;_url&gt;http://kns.cnki.net/KCMS/detail/detail.aspx?FileName=GLSJ201809015&amp;amp;DbName=CJFQ2018&lt;/_url&gt;&lt;_volume&gt;34&lt;/_volume&gt;&lt;_translated_author&gt;Ceng, Qingsheng;Zhou, Bo;Zhang, Cheng;Chen, Xinyuan&lt;/_translated_author&gt;&lt;/Details&gt;&lt;Extra&gt;&lt;DBUID&gt;{439358B4-FA18-4C63-A3A1-0E3BE4066E7A}&lt;/DBUID&gt;&lt;/Extra&gt;&lt;/Item&gt;&lt;/References&gt;&lt;/Group&gt;&lt;/Citation&gt;_x000a_"/>
    <w:docVar w:name="NE.Ref{292C438C-C39E-4881-A49E-6CBCC0B21772}" w:val=" ADDIN NE.Ref.{292C438C-C39E-4881-A49E-6CBCC0B21772}&lt;Citation&gt;&lt;Group&gt;&lt;References&gt;&lt;Item&gt;&lt;ID&gt;85&lt;/ID&gt;&lt;UID&gt;{DDD4E076-3F7C-4246-960D-BF3D93AC29E7}&lt;/UID&gt;&lt;Title&gt;National and office‐specific measures of auditor industry expertise and effects on audit quality&lt;/Title&gt;&lt;Template&gt;Journal Article&lt;/Template&gt;&lt;Star&gt;0&lt;/Star&gt;&lt;Tag&gt;0&lt;/Tag&gt;&lt;Author&gt;Reichelt, Kenneth J; Wang, Dechun&lt;/Author&gt;&lt;Year&gt;2010&lt;/Year&gt;&lt;Details&gt;&lt;_alternate_title&gt;Journal of Accounting Research&lt;/_alternate_title&gt;&lt;_collection_scope&gt;SSCI&lt;/_collection_scope&gt;&lt;_created&gt;63228498&lt;/_created&gt;&lt;_date&gt;2010-01-01&lt;/_date&gt;&lt;_date_display&gt;2010&lt;/_date_display&gt;&lt;_impact_factor&gt;   4.891&lt;/_impact_factor&gt;&lt;_isbn&gt;0021-8456&lt;/_isbn&gt;&lt;_issue&gt;3&lt;/_issue&gt;&lt;_journal&gt;Journal of Accounting Research&lt;/_journal&gt;&lt;_modified&gt;63228498&lt;/_modified&gt;&lt;_ori_publication&gt;Wiley Online Library&lt;/_ori_publication&gt;&lt;_pages&gt;647-686&lt;/_pages&gt;&lt;_volume&gt;48&lt;/_volume&gt;&lt;/Details&gt;&lt;Extra&gt;&lt;DBUID&gt;{E9F07991-3B72-4492-A7D8-86E559D9F8FE}&lt;/DBUID&gt;&lt;/Extra&gt;&lt;/Item&gt;&lt;/References&gt;&lt;/Group&gt;&lt;/Citation&gt;_x000a_"/>
    <w:docVar w:name="NE.Ref{2987C642-6B37-43D5-AB48-FD2575D15E6E}" w:val=" ADDIN NE.Ref.{2987C642-6B37-43D5-AB48-FD2575D15E6E}&lt;Citation&gt;&lt;Group&gt;&lt;References&gt;&lt;Item&gt;&lt;ID&gt;161&lt;/ID&gt;&lt;UID&gt;{67D8EE23-E247-41D5-BF4F-6D7F826B7E88}&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90029&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Group&gt;&lt;References&gt;&lt;Item&gt;&lt;ID&gt;160&lt;/ID&gt;&lt;UID&gt;{685ABCBC-968D-49AA-BC2C-1FF147BFFDC9}&lt;/UID&gt;&lt;Title&gt;Tax avoidance: Does tax-specific industry expertise make a difference?&lt;/Title&gt;&lt;Template&gt;Journal Article&lt;/Template&gt;&lt;Star&gt;0&lt;/Star&gt;&lt;Tag&gt;0&lt;/Tag&gt;&lt;Author&gt;McGuire, Sean T; Omer, Thomas C; Wang, Dechun&lt;/Author&gt;&lt;Year&gt;2012&lt;/Year&gt;&lt;Details&gt;&lt;_created&gt;61742028&lt;/_created&gt;&lt;_impact_factor&gt;   4.562&lt;/_impact_factor&gt;&lt;_isbn&gt;0001-4826&lt;/_isbn&gt;&lt;_issue&gt;3&lt;/_issue&gt;&lt;_journal&gt;The Accounting Review&lt;/_journal&gt;&lt;_modified&gt;63290029&lt;/_modified&gt;&lt;_pages&gt;975-1003&lt;/_pages&gt;&lt;_volume&gt;87&lt;/_volume&gt;&lt;/Details&gt;&lt;Extra&gt;&lt;DBUID&gt;{E9F07991-3B72-4492-A7D8-86E559D9F8FE}&lt;/DBUID&gt;&lt;/Extra&gt;&lt;/Item&gt;&lt;/References&gt;&lt;/Group&gt;&lt;/Citation&gt;_x000a_"/>
    <w:docVar w:name="NE.Ref{298DD0A1-4A8A-4290-9F24-B008DD7C77C6}" w:val=" ADDIN NE.Ref.{298DD0A1-4A8A-4290-9F24-B008DD7C77C6}&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298F4C1D-2191-40C7-952E-C7E6A228BD90}" w:val=" ADDIN NE.Ref.{298F4C1D-2191-40C7-952E-C7E6A228BD90}&lt;Citation SecTmpl=&quot;1&quot;&gt;&lt;Group&gt;&lt;References&gt;&lt;Item&gt;&lt;ID&gt;180&lt;/ID&gt;&lt;UID&gt;{190B3A92-7AFA-4568-8105-325F4566D515}&lt;/UID&gt;&lt;Title&gt;A framework for understanding and researching audit quality&lt;/Title&gt;&lt;Template&gt;Journal Article&lt;/Template&gt;&lt;Star&gt;0&lt;/Star&gt;&lt;Tag&gt;0&lt;/Tag&gt;&lt;Author&gt;Francis, Jere R&lt;/Author&gt;&lt;Year&gt;2011&lt;/Year&gt;&lt;Details&gt;&lt;_alternate_title&gt;Auditing: A journal of practice &amp;amp; theory&lt;/_alternate_title&gt;&lt;_created&gt;63296424&lt;/_created&gt;&lt;_date&gt;2011-01-01&lt;/_date&gt;&lt;_date_display&gt;2011&lt;/_date_display&gt;&lt;_impact_factor&gt;   2.642&lt;/_impact_factor&gt;&lt;_isbn&gt;0278-0380&lt;/_isbn&gt;&lt;_issue&gt;2&lt;/_issue&gt;&lt;_journal&gt;Auditing: A journal of practice &amp;amp; theory&lt;/_journal&gt;&lt;_modified&gt;63296424&lt;/_modified&gt;&lt;_ori_publication&gt;American Accounting Association&lt;/_ori_publication&gt;&lt;_pages&gt;125-152&lt;/_pages&gt;&lt;_volume&gt;30&lt;/_volume&gt;&lt;/Details&gt;&lt;Extra&gt;&lt;DBUID&gt;{E9F07991-3B72-4492-A7D8-86E559D9F8FE}&lt;/DBUID&gt;&lt;/Extra&gt;&lt;/Item&gt;&lt;/References&gt;&lt;/Group&gt;&lt;/Citation&gt;_x000a_"/>
    <w:docVar w:name="NE.Ref{2A01BA3A-5514-4D31-A51E-18C766E47536}" w:val=" ADDIN NE.Ref.{2A01BA3A-5514-4D31-A51E-18C766E47536}&lt;Citation SecTmpl=&quot;1&quot;&gt;&lt;Group&gt;&lt;References&gt;&lt;Item&gt;&lt;ID&gt;130&lt;/ID&gt;&lt;UID&gt;{42C63340-6B54-43C0-9C30-75A208220544}&lt;/UID&gt;&lt;Title&gt;放松卖空管制与大股东“掏空”&lt;/Title&gt;&lt;Template&gt;Journal Article&lt;/Template&gt;&lt;Star&gt;0&lt;/Star&gt;&lt;Tag&gt;0&lt;/Tag&gt;&lt;Author&gt;侯青川; 靳庆鲁; 苏玲; 于潇潇&lt;/Author&gt;&lt;Year&gt;2017&lt;/Year&gt;&lt;Details&gt;&lt;_accessed&gt;62704518&lt;/_accessed&gt;&lt;_author_aff&gt;上海财经大学会计与财务研究院;新疆财经大学会计学院;上海财经大学会计学院;&lt;/_author_aff&gt;&lt;_created&gt;62704518&lt;/_created&gt;&lt;_date&gt;61686720&lt;/_date&gt;&lt;_db_provider&gt;CNKI: 期刊&lt;/_db_provider&gt;&lt;_db_updated&gt;CNKI - Reference&lt;/_db_updated&gt;&lt;_issue&gt;03&lt;/_issue&gt;&lt;_journal&gt;经济学(季刊)&lt;/_journal&gt;&lt;_keywords&gt;放松卖空管制;掏空;外部监督&lt;/_keywords&gt;&lt;_language&gt;Chinese&lt;/_language&gt;&lt;_modified&gt;63241057&lt;/_modified&gt;&lt;_pages&gt;1143-1172&lt;/_pages&gt;&lt;_url&gt;http://kns.cnki.net/KCMS/detail/detail.aspx?FileName=JJXU201703015&amp;amp;DbName=CJFQ2017&lt;/_url&gt;&lt;_volume&gt;16&lt;/_volume&gt;&lt;_translated_author&gt;Hou, Qingchuan;Jin, Qinglu;Su, Ling;Yu, Xiaoxiao&lt;/_translated_author&gt;&lt;/Details&gt;&lt;Extra&gt;&lt;DBUID&gt;{E9F07991-3B72-4492-A7D8-86E559D9F8FE}&lt;/DBUID&gt;&lt;/Extra&gt;&lt;/Item&gt;&lt;/References&gt;&lt;/Group&gt;&lt;/Citation&gt;_x000a_"/>
    <w:docVar w:name="NE.Ref{2BF31E13-3039-4AF7-B41F-EC8CF1E89CF5}" w:val=" ADDIN NE.Ref.{2BF31E13-3039-4AF7-B41F-EC8CF1E89CF5}&lt;Citation SecTmpl=&quot;1&quot;&gt;&lt;Group&gt;&lt;References&gt;&lt;Item&gt;&lt;ID&gt;255&lt;/ID&gt;&lt;UID&gt;{0E6E9127-136D-4CC3-B1DF-2A50F6FD467F}&lt;/UID&gt;&lt;Title&gt;Audit quality and executive officers’ affiliations with CPA firms&lt;/Title&gt;&lt;Template&gt;Journal Article&lt;/Template&gt;&lt;Star&gt;0&lt;/Star&gt;&lt;Tag&gt;0&lt;/Tag&gt;&lt;Author&gt;Lennox, Clive&lt;/Author&gt;&lt;Year&gt;2005&lt;/Year&gt;&lt;Details&gt;&lt;_alternate_title&gt;Journal of accounting and economics&lt;/_alternate_title&gt;&lt;_created&gt;63303444&lt;/_created&gt;&lt;_date&gt;2005-01-01&lt;/_date&gt;&lt;_date_display&gt;2005&lt;/_date_display&gt;&lt;_impact_factor&gt;   3.753&lt;/_impact_factor&gt;&lt;_isbn&gt;0165-4101&lt;/_isbn&gt;&lt;_issue&gt;2&lt;/_issue&gt;&lt;_journal&gt;Journal of accounting and economics&lt;/_journal&gt;&lt;_modified&gt;63303444&lt;/_modified&gt;&lt;_ori_publication&gt;Elsevier&lt;/_ori_publication&gt;&lt;_pages&gt;201-231&lt;/_pages&gt;&lt;_volume&gt;39&lt;/_volume&gt;&lt;/Details&gt;&lt;Extra&gt;&lt;DBUID&gt;{E9F07991-3B72-4492-A7D8-86E559D9F8FE}&lt;/DBUID&gt;&lt;/Extra&gt;&lt;/Item&gt;&lt;/References&gt;&lt;/Group&gt;&lt;/Citation&gt;_x000a_"/>
    <w:docVar w:name="NE.Ref{2C788DA4-21E5-4822-BA28-A1B771BFF408}" w:val=" ADDIN NE.Ref.{2C788DA4-21E5-4822-BA28-A1B771BFF408}&lt;Citation SecTmpl=&quot;1&quot;&gt;&lt;Group&gt;&lt;References&gt;&lt;Item&gt;&lt;ID&gt;121&lt;/ID&gt;&lt;UID&gt;{3B0A19E9-8127-4D51-A02B-E832F794B49F}&lt;/UID&gt;&lt;Title&gt;会计师事务所行业专长与审计质量相关性的检验——来自中国上市公司审计市场的经验证据&lt;/Title&gt;&lt;Template&gt;Journal Article&lt;/Template&gt;&lt;Star&gt;0&lt;/Star&gt;&lt;Tag&gt;0&lt;/Tag&gt;&lt;Author&gt;蔡春; 鲜文铎&lt;/Author&gt;&lt;Year&gt;2007&lt;/Year&gt;&lt;Details&gt;&lt;_accessed&gt;62473593&lt;/_accessed&gt;&lt;_author_aff&gt;西南财经大学会计学院;西南财经大学会计学院 610074;610074&lt;/_author_aff&gt;&lt;_collection_scope&gt;CSSCI;中文核心期刊;&lt;/_collection_scope&gt;&lt;_created&gt;62473593&lt;/_created&gt;&lt;_date&gt;56514240&lt;/_date&gt;&lt;_db_provider&gt;CNKI: 期刊&lt;/_db_provider&gt;&lt;_db_updated&gt;CNKI - Reference&lt;/_db_updated&gt;&lt;_issue&gt;06&lt;/_issue&gt;&lt;_journal&gt;会计研究&lt;/_journal&gt;&lt;_keywords&gt;会计师事务所;行业专长;审计质量;异常应计&lt;/_keywords&gt;&lt;_language&gt;Chinese&lt;/_language&gt;&lt;_modified&gt;62475292&lt;/_modified&gt;&lt;_pages&gt;41-47+95&lt;/_pages&gt;&lt;_url&gt;http://kns.cnki.net/KCMS/detail/detail.aspx?FileName=KJYJ200706009&amp;amp;DbName=CJFQ2007&lt;/_url&gt;&lt;_translated_author&gt;Cai, Chun;Xian, Wenduo&lt;/_translated_author&gt;&lt;/Details&gt;&lt;Extra&gt;&lt;DBUID&gt;{2097646C-7C2F-4992-8A9B-6FF23AE7F1B7}&lt;/DBUID&gt;&lt;/Extra&gt;&lt;/Item&gt;&lt;/References&gt;&lt;/Group&gt;&lt;/Citation&gt;_x000a_"/>
    <w:docVar w:name="NE.Ref{2CA8AD64-CF0C-49EC-B40C-A8A35DB94E34}" w:val=" ADDIN NE.Ref.{2CA8AD64-CF0C-49EC-B40C-A8A35DB94E34}&lt;Citation SecTmpl=&quot;1&quot;&gt;&lt;Group&gt;&lt;References&gt;&lt;Item&gt;&lt;ID&gt;114&lt;/ID&gt;&lt;UID&gt;{0E4F9C58-C345-46D1-A2FF-01C47173376B}&lt;/UID&gt;&lt;Title&gt;大股东资金占用、外部审计与公司治理&lt;/Title&gt;&lt;Template&gt;Journal Article&lt;/Template&gt;&lt;Star&gt;0&lt;/Star&gt;&lt;Tag&gt;0&lt;/Tag&gt;&lt;Author&gt;杜兴强; 郭剑花; 雷宇&lt;/Author&gt;&lt;Year&gt;2010&lt;/Year&gt;&lt;Details&gt;&lt;_accessed&gt;63241051&lt;/_accessed&gt;&lt;_author_aff&gt;厦门大学管理学院;&lt;/_author_aff&gt;&lt;_collection_scope&gt;CSSCI-C&lt;/_collection_scope&gt;&lt;_created&gt;63240989&lt;/_created&gt;&lt;_date&gt;57860640&lt;/_date&gt;&lt;_db_provider&gt;CNKI: 期刊&lt;/_db_provider&gt;&lt;_db_updated&gt;CNKI - Reference&lt;/_db_updated&gt;&lt;_issue&gt;01&lt;/_issue&gt;&lt;_journal&gt;经济管理&lt;/_journal&gt;&lt;_keywords&gt;大股东资金占用;掏空;外部审计;公司治理&lt;/_keywords&gt;&lt;_language&gt;Chinese&lt;/_language&gt;&lt;_modified&gt;63241051&lt;/_modified&gt;&lt;_pages&gt;111-117&lt;/_pages&gt;&lt;_url&gt;http://kns.cnki.net/KCMS/detail/detail.aspx?FileName=JJGU201001020&amp;amp;DbName=CJFQ2010&lt;/_url&gt;&lt;_volume&gt;32&lt;/_volume&gt;&lt;_translated_author&gt;Du, Xingqiang;Guo, Jianhua;Lei, Yu&lt;/_translated_author&gt;&lt;/Details&gt;&lt;Extra&gt;&lt;DBUID&gt;{E9F07991-3B72-4492-A7D8-86E559D9F8FE}&lt;/DBUID&gt;&lt;/Extra&gt;&lt;/Item&gt;&lt;/References&gt;&lt;/Group&gt;&lt;/Citation&gt;_x000a_"/>
    <w:docVar w:name="NE.Ref{2D2C3238-1AD3-4569-9CC4-86772A90A71E}" w:val=" ADDIN NE.Ref.{2D2C3238-1AD3-4569-9CC4-86772A90A71E}&lt;Citation&gt;&lt;Group&gt;&lt;References&gt;&lt;Item&gt;&lt;ID&gt;695&lt;/ID&gt;&lt;UID&gt;{E7F36351-87E6-4F68-8E22-E80B3584251C}&lt;/UID&gt;&lt;Title&gt;Auditor changes following a Big 4 merger with a local Chinese firm: A case study&lt;/Title&gt;&lt;Template&gt;Journal Article&lt;/Template&gt;&lt;Star&gt;0&lt;/Star&gt;&lt;Tag&gt;0&lt;/Tag&gt;&lt;Author&gt;Chen, Charles JP; Su, Xijia; Wu, Xi&lt;/Author&gt;&lt;Year&gt;2010&lt;/Year&gt;&lt;Details&gt;&lt;_alternate_title&gt;Auditing: A journal of practice &amp;amp; theory&lt;/_alternate_title&gt;&lt;_created&gt;63303607&lt;/_created&gt;&lt;_date&gt;2010-01-01&lt;/_date&gt;&lt;_date_display&gt;2010&lt;/_date_display&gt;&lt;_impact_factor&gt;   2.642&lt;/_impact_factor&gt;&lt;_isbn&gt;0278-0380&lt;/_isbn&gt;&lt;_issue&gt;1&lt;/_issue&gt;&lt;_journal&gt;Auditing: A journal of practice &amp;amp; theory&lt;/_journal&gt;&lt;_modified&gt;63303607&lt;/_modified&gt;&lt;_pages&gt;41-72&lt;/_pages&gt;&lt;_volume&gt;29&lt;/_volume&gt;&lt;/Details&gt;&lt;Extra&gt;&lt;DBUID&gt;{83AC290F-D6FC-4574-9771-6904EE9C30A4}&lt;/DBUID&gt;&lt;/Extra&gt;&lt;/Item&gt;&lt;/References&gt;&lt;/Group&gt;&lt;/Citation&gt;_x000a_"/>
    <w:docVar w:name="NE.Ref{2DBAB836-5FF8-4C63-A3F9-8F30EAC33EFF}" w:val=" ADDIN NE.Ref.{2DBAB836-5FF8-4C63-A3F9-8F30EAC33EFF}&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2E0CAB5C-AD06-4CA3-8B49-045FA0E4BF86}" w:val=" ADDIN NE.Ref.{2E0CAB5C-AD06-4CA3-8B49-045FA0E4BF86}&lt;Citation SecTmpl=&quot;1&quot;&gt;&lt;Group&gt;&lt;References&gt;&lt;Item&gt;&lt;ID&gt;687&lt;/ID&gt;&lt;UID&gt;{EA87ABF3-6155-4802-B00F-D8E8C92A6FF9}&lt;/UID&gt;&lt;Title&gt;Tax aggressiveness and corporate transparency&lt;/Title&gt;&lt;Template&gt;Journal Article&lt;/Template&gt;&lt;Star&gt;0&lt;/Star&gt;&lt;Tag&gt;0&lt;/Tag&gt;&lt;Author&gt;Balakrishnan, Karthik; Blouin, Jennifer L; Guay, Wayne R&lt;/Author&gt;&lt;Year&gt;2019&lt;/Year&gt;&lt;Details&gt;&lt;_accessed&gt;63295859&lt;/_accessed&gt;&lt;_alternate_title&gt;The Accounting Review&lt;/_alternate_title&gt;&lt;_created&gt;63284683&lt;/_created&gt;&lt;_date&gt;2019-01-01&lt;/_date&gt;&lt;_date_display&gt;2019&lt;/_date_display&gt;&lt;_isbn&gt;1558-7967&lt;/_isbn&gt;&lt;_issue&gt;1&lt;/_issue&gt;&lt;_journal&gt;The Accounting Review&lt;/_journal&gt;&lt;_modified&gt;63295859&lt;/_modified&gt;&lt;_ori_publication&gt;American Accounting Association&lt;/_ori_publication&gt;&lt;_pages&gt;45-69&lt;/_pages&gt;&lt;_volume&gt;94&lt;/_volume&gt;&lt;/Details&gt;&lt;Extra&gt;&lt;DBUID&gt;{83AC290F-D6FC-4574-9771-6904EE9C30A4}&lt;/DBUID&gt;&lt;/Extra&gt;&lt;/Item&gt;&lt;/References&gt;&lt;/Group&gt;&lt;/Citation&gt;_x000a_"/>
    <w:docVar w:name="NE.Ref{2E2A844B-F067-4658-AB16-F3E41CABCA71}" w:val=" ADDIN NE.Ref.{2E2A844B-F067-4658-AB16-F3E41CABCA71}&lt;Citation SecTmpl=&quot;1&quot;&gt;&lt;Group&gt;&lt;References&gt;&lt;Item&gt;&lt;ID&gt;91&lt;/ID&gt;&lt;UID&gt;{DD70F83F-7A6D-47F6-984A-C062E08DFC0A}&lt;/UID&gt;&lt;Title&gt;Fraud detection: A theoretical foundation&lt;/Title&gt;&lt;Template&gt;Journal Article&lt;/Template&gt;&lt;Star&gt;0&lt;/Star&gt;&lt;Tag&gt;0&lt;/Tag&gt;&lt;Author&gt;Matsumura, Ella Mae; Tucker, Robert R&lt;/Author&gt;&lt;Year&gt;1992&lt;/Year&gt;&lt;Details&gt;&lt;_alternate_title&gt;Accounting Review&lt;/_alternate_title&gt;&lt;_collection_scope&gt;SSCI&lt;/_collection_scope&gt;&lt;_created&gt;63228790&lt;/_created&gt;&lt;_date&gt;1992-01-01&lt;/_date&gt;&lt;_date_display&gt;1992&lt;/_date_display&gt;&lt;_impact_factor&gt;   4.562&lt;/_impact_factor&gt;&lt;_isbn&gt;0001-4826&lt;/_isbn&gt;&lt;_journal&gt;Accounting Review&lt;/_journal&gt;&lt;_modified&gt;63228790&lt;/_modified&gt;&lt;_ori_publication&gt;JSTOR&lt;/_ori_publication&gt;&lt;_pages&gt;753-782&lt;/_pages&gt;&lt;/Details&gt;&lt;Extra&gt;&lt;DBUID&gt;{E9F07991-3B72-4492-A7D8-86E559D9F8FE}&lt;/DBUID&gt;&lt;/Extra&gt;&lt;/Item&gt;&lt;/References&gt;&lt;/Group&gt;&lt;/Citation&gt;_x000a_"/>
    <w:docVar w:name="NE.Ref{2E58FD7F-1BD9-440A-BF7E-E948B75E93D9}" w:val=" ADDIN NE.Ref.{2E58FD7F-1BD9-440A-BF7E-E948B75E93D9}&lt;Citation SecTmpl=&quot;1&quot;&gt;&lt;Group&gt;&lt;References&gt;&lt;Item&gt;&lt;ID&gt;633&lt;/ID&gt;&lt;UID&gt;{86708EEC-79DB-437E-BDB8-2DBABAA1C3C9}&lt;/UID&gt;&lt;Title&gt;The effects of audit partner pre-client and client-specific experience on audit quality and on perceptions of audit quality&lt;/Title&gt;&lt;Template&gt;Journal Article&lt;/Template&gt;&lt;Star&gt;0&lt;/Star&gt;&lt;Tag&gt;0&lt;/Tag&gt;&lt;Author&gt;Chi, Wuchun; Myers, Linda A; Omer, Thomas C; Xie, Hong&lt;/Author&gt;&lt;Year&gt;2017&lt;/Year&gt;&lt;Details&gt;&lt;_accessed&gt;63179676&lt;/_accessed&gt;&lt;_alternate_title&gt;Review of Accounting Studies&lt;/_alternate_title&gt;&lt;_collection_scope&gt;SSCI&lt;/_collection_scope&gt;&lt;_created&gt;63179532&lt;/_created&gt;&lt;_date&gt;2017-01-01&lt;/_date&gt;&lt;_date_display&gt;2017&lt;/_date_display&gt;&lt;_impact_factor&gt;   2.108&lt;/_impact_factor&gt;&lt;_isbn&gt;1380-6653&lt;/_isbn&gt;&lt;_issue&gt;1&lt;/_issue&gt;&lt;_journal&gt;Review of Accounting Studies&lt;/_journal&gt;&lt;_modified&gt;63179676&lt;/_modified&gt;&lt;_ori_publication&gt;Springer&lt;/_ori_publication&gt;&lt;_pages&gt;361-391&lt;/_pages&gt;&lt;_volume&gt;22&lt;/_volume&gt;&lt;/Details&gt;&lt;Extra&gt;&lt;DBUID&gt;{83AC290F-D6FC-4574-9771-6904EE9C30A4}&lt;/DBUID&gt;&lt;/Extra&gt;&lt;/Item&gt;&lt;/References&gt;&lt;/Group&gt;&lt;/Citation&gt;_x000a_"/>
    <w:docVar w:name="NE.Ref{2E9A8488-B647-4516-81FD-F5B8D8325C04}" w:val=" ADDIN NE.Ref.{2E9A8488-B647-4516-81FD-F5B8D8325C04}&lt;Citation SecTmpl=&quot;1&quot;&gt;&lt;Group&gt;&lt;References&gt;&lt;Item&gt;&lt;ID&gt;4&lt;/ID&gt;&lt;UID&gt;{31145EE2-9AD7-4B3C-807E-8DB51F468947}&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ccessed&gt;62649323&lt;/_accessed&gt;&lt;_created&gt;61697758&lt;/_created&gt;&lt;_isbn&gt;1558-7991&lt;/_isbn&gt;&lt;_issue&gt;4&lt;/_issue&gt;&lt;_journal&gt;Auditing: A Journal of Practice &amp;amp; Theory&lt;/_journal&gt;&lt;_modified&gt;61697766&lt;/_modified&gt;&lt;_pages&gt;105-135&lt;/_pages&gt;&lt;_volume&gt;35&lt;/_volume&gt;&lt;/Details&gt;&lt;Extra&gt;&lt;DBUID&gt;{83AC290F-D6FC-4574-9771-6904EE9C30A4}&lt;/DBUID&gt;&lt;/Extra&gt;&lt;/Item&gt;&lt;/References&gt;&lt;/Group&gt;&lt;/Citation&gt;_x000a_"/>
    <w:docVar w:name="NE.Ref{2EA81CC0-0352-4D27-869B-5A710117FD6F}" w:val=" ADDIN NE.Ref.{2EA81CC0-0352-4D27-869B-5A710117FD6F}&lt;Citation SecTmpl=&quot;1&quot;&gt;&lt;Group&gt;&lt;References&gt;&lt;Item&gt;&lt;ID&gt;58&lt;/ID&gt;&lt;UID&gt;{BBE49ADC-1D63-4122-9146-675A8D4C9C33}&lt;/UID&gt;&lt;Title&gt;Network ties among low-tax firms&lt;/Title&gt;&lt;Template&gt;Journal Article&lt;/Template&gt;&lt;Star&gt;0&lt;/Star&gt;&lt;Tag&gt;0&lt;/Tag&gt;&lt;Author&gt;Brown, Jennifer L; Drake, Katharine D&lt;/Author&gt;&lt;Year&gt;2014&lt;/Year&gt;&lt;Details&gt;&lt;_alternate_title&gt;The Accounting Review&lt;/_alternate_title&gt;&lt;_created&gt;63225537&lt;/_created&gt;&lt;_date&gt;2014-01-01&lt;/_date&gt;&lt;_date_display&gt;2014&lt;/_date_display&gt;&lt;_isbn&gt;1558-7967&lt;/_isbn&gt;&lt;_issue&gt;2&lt;/_issue&gt;&lt;_journal&gt;The Accounting Review&lt;/_journal&gt;&lt;_modified&gt;63225537&lt;/_modified&gt;&lt;_ori_publication&gt;American Accounting Association&lt;/_ori_publication&gt;&lt;_pages&gt;483-510&lt;/_pages&gt;&lt;_volume&gt;89&lt;/_volume&gt;&lt;/Details&gt;&lt;Extra&gt;&lt;DBUID&gt;{E9F07991-3B72-4492-A7D8-86E559D9F8FE}&lt;/DBUID&gt;&lt;/Extra&gt;&lt;/Item&gt;&lt;/References&gt;&lt;/Group&gt;&lt;/Citation&gt;_x000a_"/>
    <w:docVar w:name="NE.Ref{2EBE8CE1-1BAB-4B1A-87DC-7B10F66E036F}" w:val=" ADDIN NE.Ref.{2EBE8CE1-1BAB-4B1A-87DC-7B10F66E036F}&lt;Citation SecTmpl=&quot;1&quot;&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2F33D48F-86E3-4FDF-A94D-03450924A758}" w:val=" ADDIN NE.Ref.{2F33D48F-86E3-4FDF-A94D-03450924A758}&lt;Citation SecTmpl=&quot;1&quot;&gt;&lt;Group&gt;&lt;References&gt;&lt;Item&gt;&lt;ID&gt;161&lt;/ID&gt;&lt;UID&gt;{67D8EE23-E247-41D5-BF4F-6D7F826B7E88}&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90029&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Citation&gt;_x000a_"/>
    <w:docVar w:name="NE.Ref{2F676B49-985B-4CDD-87C7-0963DE6E3E9B}" w:val=" ADDIN NE.Ref.{2F676B49-985B-4CDD-87C7-0963DE6E3E9B}&lt;Citation SecTmpl=&quot;1&quot;&gt;&lt;Group&gt;&lt;References&gt;&lt;Item&gt;&lt;ID&gt;140&lt;/ID&gt;&lt;UID&gt;{D7055322-858E-4F91-ABD3-D9938C531B33}&lt;/UID&gt;&lt;Title&gt;审计任期、公司治理与盈余质量&lt;/Title&gt;&lt;Template&gt;Journal Article&lt;/Template&gt;&lt;Star&gt;0&lt;/Star&gt;&lt;Tag&gt;0&lt;/Tag&gt;&lt;Author&gt;沈玉清; 戚务君; 曾勇&lt;/Author&gt;&lt;Year&gt;2009&lt;/Year&gt;&lt;Details&gt;&lt;_accessed&gt;63245320&lt;/_accessed&gt;&lt;_author_aff&gt;电子科技大学经济与管理学院;台湾政治大学会计系;&lt;/_author_aff&gt;&lt;_collection_scope&gt;CSSCI-C;PKU&lt;/_collection_scope&gt;&lt;_created&gt;63245320&lt;/_created&gt;&lt;_date&gt;57453120&lt;/_date&gt;&lt;_db_provider&gt;CNKI: 期刊&lt;/_db_provider&gt;&lt;_db_updated&gt;CNKI - Reference&lt;/_db_updated&gt;&lt;_issue&gt;02&lt;/_issue&gt;&lt;_journal&gt;审计研究&lt;/_journal&gt;&lt;_keywords&gt;盈余质量;审计质量;审计任期;公司治理&lt;/_keywords&gt;&lt;_language&gt;Chinese&lt;/_language&gt;&lt;_modified&gt;63245320&lt;/_modified&gt;&lt;_pages&gt;50-56&lt;/_pages&gt;&lt;_url&gt;http://kns.cnki.net/KCMS/detail/detail.aspx?FileName=SJYZ200902012&amp;amp;DbName=CJFQ2009&lt;/_url&gt;&lt;_translated_author&gt;Shen, Yuqing;Qi, Wujun;Ceng, Yong&lt;/_translated_author&gt;&lt;/Details&gt;&lt;Extra&gt;&lt;DBUID&gt;{E9F07991-3B72-4492-A7D8-86E559D9F8FE}&lt;/DBUID&gt;&lt;/Extra&gt;&lt;/Item&gt;&lt;/References&gt;&lt;/Group&gt;&lt;/Citation&gt;_x000a_"/>
    <w:docVar w:name="NE.Ref{306B277C-5259-4D65-9E4E-99ACD5D40DFC}" w:val=" ADDIN NE.Ref.{306B277C-5259-4D65-9E4E-99ACD5D40DFC}&lt;Citation SecTmpl=&quot;1&quot;&gt;&lt;Group&gt;&lt;References&gt;&lt;Item&gt;&lt;ID&gt;149&lt;/ID&gt;&lt;UID&gt;{45404A6D-1227-4953-AD65-6AD6398C6470}&lt;/UID&gt;&lt;Title&gt;大股东资金占用与外部审计监督&lt;/Title&gt;&lt;Template&gt;Journal Article&lt;/Template&gt;&lt;Star&gt;0&lt;/Star&gt;&lt;Tag&gt;0&lt;/Tag&gt;&lt;Author&gt;周中胜; 陈汉文&lt;/Author&gt;&lt;Year&gt;2006&lt;/Year&gt;&lt;Details&gt;&lt;_accessed&gt;63258676&lt;/_accessed&gt;&lt;_author_aff&gt;厦门大学会计系;厦门大学会计系 361005;361005&lt;/_author_aff&gt;&lt;_collection_scope&gt;CSSCI-C;PKU&lt;/_collection_scope&gt;&lt;_created&gt;63258676&lt;/_created&gt;&lt;_date&gt;55962720&lt;/_date&gt;&lt;_db_provider&gt;CNKI: 期刊&lt;/_db_provider&gt;&lt;_db_updated&gt;CNKI - Reference&lt;/_db_updated&gt;&lt;_issue&gt;03&lt;/_issue&gt;&lt;_journal&gt;审计研究&lt;/_journal&gt;&lt;_keywords&gt;资金占用;审计需求;审计意见&lt;/_keywords&gt;&lt;_language&gt;Chinese&lt;/_language&gt;&lt;_modified&gt;63258676&lt;/_modified&gt;&lt;_pages&gt;73-81&lt;/_pages&gt;&lt;_url&gt;http://kns.cnki.net/KCMS/detail/detail.aspx?FileName=SJYZ200603015&amp;amp;DbName=CJFQ2006&lt;/_url&gt;&lt;_translated_author&gt;Zhou, Zhongsheng;Chen, Hanwen&lt;/_translated_author&gt;&lt;/Details&gt;&lt;Extra&gt;&lt;DBUID&gt;{E9F07991-3B72-4492-A7D8-86E559D9F8FE}&lt;/DBUID&gt;&lt;/Extra&gt;&lt;/Item&gt;&lt;/References&gt;&lt;/Group&gt;&lt;/Citation&gt;_x000a_"/>
    <w:docVar w:name="NE.Ref{30B89CBE-8179-42A3-82A4-29B6BBC951E2}" w:val=" ADDIN NE.Ref.{30B89CBE-8179-42A3-82A4-29B6BBC951E2}&lt;Citation SecTmpl=&quot;1&quot;&gt;&lt;Group&gt;&lt;References&gt;&lt;Item&gt;&lt;ID&gt;57&lt;/ID&gt;&lt;UID&gt;{72ECE1C2-31B8-4F15-8BB8-BE7B03BA975E}&lt;/UID&gt;&lt;Title&gt;Insiders and market efficiency&lt;/Title&gt;&lt;Template&gt;Journal Article&lt;/Template&gt;&lt;Star&gt;0&lt;/Star&gt;&lt;Tag&gt;0&lt;/Tag&gt;&lt;Author&gt;Finnerty, Joseph E&lt;/Author&gt;&lt;Year&gt;1976&lt;/Year&gt;&lt;Details&gt;&lt;_accessed&gt;63285730&lt;/_accessed&gt;&lt;_alternate_title&gt;The Journal of Finance&lt;/_alternate_title&gt;&lt;_created&gt;63277149&lt;/_created&gt;&lt;_date&gt;1976-01-01&lt;/_date&gt;&lt;_date_display&gt;1976&lt;/_date_display&gt;&lt;_impact_factor&gt;   6.201&lt;/_impact_factor&gt;&lt;_isbn&gt;0022-1082&lt;/_isbn&gt;&lt;_issue&gt;4&lt;/_issue&gt;&lt;_journal&gt;The Journal of Finance&lt;/_journal&gt;&lt;_modified&gt;63285730&lt;/_modified&gt;&lt;_ori_publication&gt;Wiley Online Library&lt;/_ori_publication&gt;&lt;_pages&gt;1141-1148&lt;/_pages&gt;&lt;_volume&gt;31&lt;/_volume&gt;&lt;/Details&gt;&lt;Extra&gt;&lt;DBUID&gt;{439358B4-FA18-4C63-A3A1-0E3BE4066E7A}&lt;/DBUID&gt;&lt;/Extra&gt;&lt;/Item&gt;&lt;/References&gt;&lt;/Group&gt;&lt;/Citation&gt;_x000a_"/>
    <w:docVar w:name="NE.Ref{30FBBAEF-9C13-4F09-A439-927B0E6E8A7E}" w:val=" ADDIN NE.Ref.{30FBBAEF-9C13-4F09-A439-927B0E6E8A7E}&lt;Citation SecTmpl=&quot;1&quot;&gt;&lt;Group&gt;&lt;References&gt;&lt;Item&gt;&lt;ID&gt;186&lt;/ID&gt;&lt;UID&gt;{A59B52F6-AF68-4C15-A2D9-A34D497048BB}&lt;/UID&gt;&lt;Title&gt;会计师事务所执业质量检查提高审计质量了吗?&lt;/Title&gt;&lt;Template&gt;Journal Article&lt;/Template&gt;&lt;Star&gt;0&lt;/Star&gt;&lt;Tag&gt;0&lt;/Tag&gt;&lt;Author&gt;刘文军&lt;/Author&gt;&lt;Year&gt;2016&lt;/Year&gt;&lt;Details&gt;&lt;_accessed&gt;63303070&lt;/_accessed&gt;&lt;_collection_scope&gt;CSSCI-C;PKU&lt;/_collection_scope&gt;&lt;_created&gt;62681274&lt;/_created&gt;&lt;_date&gt;2016-01-01&lt;/_date&gt;&lt;_date_display&gt;2016&lt;/_date_display&gt;&lt;_issue&gt;6&lt;/_issue&gt;&lt;_journal&gt;审计研究&lt;/_journal&gt;&lt;_modified&gt;63303070&lt;/_modified&gt;&lt;_pages&gt;98-104&lt;/_pages&gt;&lt;_translated_author&gt;Liu, Wenjun&lt;/_translated_author&gt;&lt;/Details&gt;&lt;Extra&gt;&lt;DBUID&gt;{2097646C-7C2F-4992-8A9B-6FF23AE7F1B7}&lt;/DBUID&gt;&lt;/Extra&gt;&lt;/Item&gt;&lt;/References&gt;&lt;/Group&gt;&lt;/Citation&gt;_x000a_"/>
    <w:docVar w:name="NE.Ref{30FED128-33E3-44C5-8A80-A51243EA3A15}" w:val=" ADDIN NE.Ref.{30FED128-33E3-44C5-8A80-A51243EA3A15}&lt;Citation&gt;&lt;Group&gt;&lt;References&gt;&lt;Item&gt;&lt;ID&gt;89&lt;/ID&gt;&lt;UID&gt;{2F05C68E-4799-4B60-B54E-76F05872541D}&lt;/UID&gt;&lt;Title&gt;Analyst coverage and earnings management&lt;/Title&gt;&lt;Template&gt;Journal Article&lt;/Template&gt;&lt;Star&gt;0&lt;/Star&gt;&lt;Tag&gt;0&lt;/Tag&gt;&lt;Author&gt;Yu, Fang Frank&lt;/Author&gt;&lt;Year&gt;2008&lt;/Year&gt;&lt;Details&gt;&lt;_alternate_title&gt;Journal of financial economics&lt;/_alternate_title&gt;&lt;_collection_scope&gt;SSCI&lt;/_collection_scope&gt;&lt;_created&gt;63228712&lt;/_created&gt;&lt;_date&gt;2008-01-01&lt;/_date&gt;&lt;_date_display&gt;2008&lt;/_date_display&gt;&lt;_impact_factor&gt;   4.693&lt;/_impact_factor&gt;&lt;_isbn&gt;0304-405X&lt;/_isbn&gt;&lt;_issue&gt;2&lt;/_issue&gt;&lt;_journal&gt;Journal of financial economics&lt;/_journal&gt;&lt;_modified&gt;63228712&lt;/_modified&gt;&lt;_ori_publication&gt;Elsevier&lt;/_ori_publication&gt;&lt;_pages&gt;245-271&lt;/_pages&gt;&lt;_volume&gt;88&lt;/_volume&gt;&lt;/Details&gt;&lt;Extra&gt;&lt;DBUID&gt;{E9F07991-3B72-4492-A7D8-86E559D9F8FE}&lt;/DBUID&gt;&lt;/Extra&gt;&lt;/Item&gt;&lt;/References&gt;&lt;/Group&gt;&lt;/Citation&gt;_x000a_"/>
    <w:docVar w:name="NE.Ref{31911717-0038-4B7A-BA9E-461D1CF1C221}" w:val=" ADDIN NE.Ref.{31911717-0038-4B7A-BA9E-461D1CF1C221}&lt;Citation SecTmpl=&quot;1&quot;&gt;&lt;Group&gt;&lt;References&gt;&lt;Item&gt;&lt;ID&gt;179&lt;/ID&gt;&lt;UID&gt;{9546BF79-CCB3-4D83-9D33-CD1BF0CF3883}&lt;/UID&gt;&lt;Title&gt;Auditor-provided tax services and long-term tax avoidance&lt;/Title&gt;&lt;Template&gt;Journal Article&lt;/Template&gt;&lt;Star&gt;0&lt;/Star&gt;&lt;Tag&gt;0&lt;/Tag&gt;&lt;Author&gt;Hogan, Brian; Noga, Tracy&lt;/Author&gt;&lt;Year&gt;2015&lt;/Year&gt;&lt;Details&gt;&lt;_alternate_title&gt;Review of Accounting and Finance&lt;/_alternate_title&gt;&lt;_created&gt;63295976&lt;/_created&gt;&lt;_date&gt;2015-01-01&lt;/_date&gt;&lt;_date_display&gt;2015&lt;/_date_display&gt;&lt;_journal&gt;Review of Accounting and Finance&lt;/_journal&gt;&lt;_modified&gt;63295976&lt;/_modified&gt;&lt;_ori_publication&gt;Emerald Group Publishing Limited&lt;/_ori_publication&gt;&lt;/Details&gt;&lt;Extra&gt;&lt;DBUID&gt;{E9F07991-3B72-4492-A7D8-86E559D9F8FE}&lt;/DBUID&gt;&lt;/Extra&gt;&lt;/Item&gt;&lt;/References&gt;&lt;/Group&gt;&lt;/Citation&gt;_x000a_"/>
    <w:docVar w:name="NE.Ref{31C0D09F-F0E0-45A0-A4A3-107321242209}" w:val=" ADDIN NE.Ref.{31C0D09F-F0E0-45A0-A4A3-107321242209}&lt;Citation SecTmpl=&quot;1&quot;&gt;&lt;Group&gt;&lt;References&gt;&lt;Item&gt;&lt;ID&gt;73&lt;/ID&gt;&lt;UID&gt;{E8769188-1BE4-4D70-865B-879436B96ABF}&lt;/UID&gt;&lt;Title&gt;审计监督、最终控制人性质与税收激进度&lt;/Title&gt;&lt;Template&gt;Journal Article&lt;/Template&gt;&lt;Star&gt;0&lt;/Star&gt;&lt;Tag&gt;0&lt;/Tag&gt;&lt;Author&gt;金鑫; 雷光勇&lt;/Author&gt;&lt;Year&gt;2011&lt;/Year&gt;&lt;Details&gt;&lt;_accessed&gt;61697770&lt;/_accessed&gt;&lt;_author_aff&gt;对外经济贸易大学;&lt;/_author_aff&gt;&lt;_collection_scope&gt;CSSCI;中文核心期刊;&lt;/_collection_scope&gt;&lt;_created&gt;61697770&lt;/_created&gt;&lt;_date&gt;58769280&lt;/_date&gt;&lt;_db_provider&gt;CNKI: 期刊&lt;/_db_provider&gt;&lt;_db_updated&gt;CNKI - Reference&lt;/_db_updated&gt;&lt;_issue&gt;05&lt;/_issue&gt;&lt;_journal&gt;审计研究&lt;/_journal&gt;&lt;_keywords&gt;审计监督;最终控制人性质;税收激进度;制度环境&lt;/_keywords&gt;&lt;_language&gt;Chinese&lt;/_language&gt;&lt;_modified&gt;63228070&lt;/_modified&gt;&lt;_pages&gt;98-106&lt;/_pages&gt;&lt;_url&gt;http://www.cnki.net/KCMS/detail/detail.aspx?FileName=SJYZ201105015&amp;amp;DbName=CJFQ2011&lt;/_url&gt;&lt;_translated_author&gt;Jin, Xin;Lei, Guangyong&lt;/_translated_author&gt;&lt;/Details&gt;&lt;Extra&gt;&lt;DBUID&gt;{E9F07991-3B72-4492-A7D8-86E559D9F8FE}&lt;/DBUID&gt;&lt;/Extra&gt;&lt;/Item&gt;&lt;/References&gt;&lt;/Group&gt;&lt;/Citation&gt;_x000a_"/>
    <w:docVar w:name="NE.Ref{31CC1759-0B1E-44A9-ADD1-5C2C7A904425}" w:val=" ADDIN NE.Ref.{31CC1759-0B1E-44A9-ADD1-5C2C7A904425}&lt;Citation SecTmpl=&quot;1&quot;&gt;&lt;Group&gt;&lt;References&gt;&lt;Item&gt;&lt;ID&gt;78&lt;/ID&gt;&lt;UID&gt;{8F9EB566-BB97-4173-AF60-FCC152726F5D}&lt;/UID&gt;&lt;Title&gt;Auditors’ organizational form, legal liability, and reporting conservatism: Evidence from China&lt;/Title&gt;&lt;Template&gt;Journal Article&lt;/Template&gt;&lt;Star&gt;0&lt;/Star&gt;&lt;Tag&gt;0&lt;/Tag&gt;&lt;Author&gt;Firth, Michael; Mo, Phyllis LL; Wong, Raymond MK&lt;/Author&gt;&lt;Year&gt;2012&lt;/Year&gt;&lt;Details&gt;&lt;_alternate_title&gt;Contemporary Accounting Research&lt;/_alternate_title&gt;&lt;_collection_scope&gt;SSCI&lt;/_collection_scope&gt;&lt;_created&gt;62854164&lt;/_created&gt;&lt;_date&gt;2012-01-01&lt;/_date&gt;&lt;_date_display&gt;2012&lt;/_date_display&gt;&lt;_impact_factor&gt;   2.261&lt;/_impact_factor&gt;&lt;_isbn&gt;0823-9150&lt;/_isbn&gt;&lt;_issue&gt;1&lt;/_issue&gt;&lt;_journal&gt;Contemporary Accounting Research&lt;/_journal&gt;&lt;_modified&gt;62871075&lt;/_modified&gt;&lt;_ori_publication&gt;Wiley Online Library&lt;/_ori_publication&gt;&lt;_pages&gt;57-93&lt;/_pages&gt;&lt;_volume&gt;29&lt;/_volume&gt;&lt;/Details&gt;&lt;Extra&gt;&lt;DBUID&gt;{3537AC57-1DBB-4905-8F48-92A348A9E004}&lt;/DBUID&gt;&lt;/Extra&gt;&lt;/Item&gt;&lt;/References&gt;&lt;/Group&gt;&lt;/Citation&gt;_x000a_"/>
    <w:docVar w:name="NE.Ref{328D7B13-0684-4B3E-97CC-1DA6DBD3792A}" w:val=" ADDIN NE.Ref.{328D7B13-0684-4B3E-97CC-1DA6DBD3792A}&lt;Citation&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32A9C805-DB8B-4DCC-9D92-030E6077B168}" w:val=" ADDIN NE.Ref.{32A9C805-DB8B-4DCC-9D92-030E6077B168}&lt;Citation SecTmpl=&quot;1&quot;&gt;&lt;Group&gt;&lt;References&gt;&lt;Item&gt;&lt;ID&gt;33&lt;/ID&gt;&lt;UID&gt;{297CB1B6-86FB-434F-9B5F-656FECDB2C98}&lt;/UID&gt;&lt;Title&gt;Discussion of the Quality of Accruals and Earnings: The Role of Accrual Estimation Errors&lt;/Title&gt;&lt;Template&gt;Journal Article&lt;/Template&gt;&lt;Star&gt;0&lt;/Star&gt;&lt;Tag&gt;0&lt;/Tag&gt;&lt;Author&gt;McNichols, Maureen F&lt;/Author&gt;&lt;Year&gt;2002&lt;/Year&gt;&lt;Details&gt;&lt;_accessed&gt;62055930&lt;/_accessed&gt;&lt;_collection_scope&gt;SSCI;&lt;/_collection_scope&gt;&lt;_created&gt;61988599&lt;/_created&gt;&lt;_impact_factor&gt;   4.562&lt;/_impact_factor&gt;&lt;_issue&gt;s-1&lt;/_issue&gt;&lt;_journal&gt;Accounting Review&lt;/_journal&gt;&lt;_modified&gt;62983578&lt;/_modified&gt;&lt;_pages&gt;61-69&lt;/_pages&gt;&lt;_volume&gt;77&lt;/_volume&gt;&lt;/Details&gt;&lt;Extra&gt;&lt;DBUID&gt;{33BA340C-9D61-4380-9AC0-75859ADA3E7E}&lt;/DBUID&gt;&lt;/Extra&gt;&lt;/Item&gt;&lt;/References&gt;&lt;/Group&gt;&lt;/Citation&gt;_x000a_"/>
    <w:docVar w:name="NE.Ref{32AF4840-0551-43DC-BBB8-49CB027A6B1F}" w:val=" ADDIN NE.Ref.{32AF4840-0551-43DC-BBB8-49CB027A6B1F}&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32B65EC9-1550-4AE8-AA37-5B574A26828E}" w:val=" ADDIN NE.Ref.{32B65EC9-1550-4AE8-AA37-5B574A26828E}&lt;Citation&gt;&lt;Group&gt;&lt;References&gt;&lt;Item&gt;&lt;ID&gt;16&lt;/ID&gt;&lt;UID&gt;{B12F4AC2-82DA-4B28-960B-C548E3CED5F5}&lt;/UID&gt;&lt;Title&gt;国有股权、税收优惠与公司税负&lt;/Title&gt;&lt;Template&gt;Journal Article&lt;/Template&gt;&lt;Star&gt;0&lt;/Star&gt;&lt;Tag&gt;0&lt;/Tag&gt;&lt;Author&gt;吴联生&lt;/Author&gt;&lt;Year&gt;2009&lt;/Year&gt;&lt;Details&gt;&lt;_accessed&gt;61697770&lt;/_accessed&gt;&lt;_author_aff&gt;北京大学光华管理学院;&lt;/_author_aff&gt;&lt;_collection_scope&gt;CSSCI;中文核心期刊;&lt;/_collection_scope&gt;&lt;_created&gt;61697769&lt;/_created&gt;&lt;_date&gt;57749760&lt;/_date&gt;&lt;_db_provider&gt;CNKI: 期刊&lt;/_db_provider&gt;&lt;_db_updated&gt;CNKI - Reference&lt;/_db_updated&gt;&lt;_issue&gt;10&lt;/_issue&gt;&lt;_journal&gt;经济研究&lt;/_journal&gt;&lt;_keywords&gt;公司治理;企业所得税;政府干预&lt;/_keywords&gt;&lt;_language&gt;Chinese&lt;/_language&gt;&lt;_modified&gt;61697770&lt;/_modified&gt;&lt;_pages&gt;109-120&lt;/_pages&gt;&lt;_url&gt;http://www.cnki.net/KCMS/detail/detail.aspx?FileName=JJYJ200910010&amp;amp;DbName=CJFQ2009&lt;/_url&gt;&lt;_translated_author&gt;Wu, Liansheng&lt;/_translated_author&gt;&lt;/Details&gt;&lt;Extra&gt;&lt;DBUID&gt;{83AC290F-D6FC-4574-9771-6904EE9C30A4}&lt;/DBUID&gt;&lt;/Extra&gt;&lt;/Item&gt;&lt;/References&gt;&lt;/Group&gt;&lt;/Citation&gt;_x000a_"/>
    <w:docVar w:name="NE.Ref{33109928-6016-4002-97B4-462BDBA5F4B9}" w:val=" ADDIN NE.Ref.{33109928-6016-4002-97B4-462BDBA5F4B9}&lt;Citation SecTmpl=&quot;1&quot;&gt;&lt;Group&gt;&lt;References&gt;&lt;Item&gt;&lt;ID&gt;181&lt;/ID&gt;&lt;UID&gt;{E748DC47-A243-470C-9027-A47D6A92A638}&lt;/UID&gt;&lt;Title&gt;会计师事务所合并与质量控制:基于中天勤合并案例的经验分析&lt;/Title&gt;&lt;Template&gt;Journal Article&lt;/Template&gt;&lt;Star&gt;0&lt;/Star&gt;&lt;Tag&gt;0&lt;/Tag&gt;&lt;Author&gt;吴溪&lt;/Author&gt;&lt;Year&gt;2006&lt;/Year&gt;&lt;Details&gt;&lt;_accessed&gt;63105673&lt;/_accessed&gt;&lt;_collection_scope&gt;CSSCI-C;PKU&lt;/_collection_scope&gt;&lt;_created&gt;62681263&lt;/_created&gt;&lt;_date&gt;2006-01-01&lt;/_date&gt;&lt;_date_display&gt;2006&lt;/_date_display&gt;&lt;_issue&gt;10&lt;/_issue&gt;&lt;_journal&gt;会计研究&lt;/_journal&gt;&lt;_keywords&gt;会计师事务所合并;质量控制;签字集中度&lt;/_keywords&gt;&lt;_modified&gt;62681263&lt;/_modified&gt;&lt;_pages&gt;79-85&lt;/_pages&gt;&lt;_translated_author&gt;Wu, Xi&lt;/_translated_author&gt;&lt;/Details&gt;&lt;Extra&gt;&lt;DBUID&gt;{2097646C-7C2F-4992-8A9B-6FF23AE7F1B7}&lt;/DBUID&gt;&lt;/Extra&gt;&lt;/Item&gt;&lt;/References&gt;&lt;/Group&gt;&lt;/Citation&gt;_x000a_"/>
    <w:docVar w:name="NE.Ref{331498D0-4642-4CFE-B46E-DC28B385DD84}" w:val=" ADDIN NE.Ref.{331498D0-4642-4CFE-B46E-DC28B385DD84}&lt;Citation SecTmpl=&quot;1&quot;&gt;&lt;Group&gt;&lt;References&gt;&lt;Item&gt;&lt;ID&gt;260&lt;/ID&gt;&lt;UID&gt;{EEB83348-3444-4F84-9BAD-A1EBE26F1A9C}&lt;/UID&gt;&lt;Title&gt;Auditor independence and fee dependence&lt;/Title&gt;&lt;Template&gt;Journal Article&lt;/Template&gt;&lt;Star&gt;0&lt;/Star&gt;&lt;Tag&gt;0&lt;/Tag&gt;&lt;Author&gt;Craswell, Allen; Stokes, Donald J; Laughton, Janet&lt;/Author&gt;&lt;Year&gt;2002&lt;/Year&gt;&lt;Details&gt;&lt;_accessed&gt;63303280&lt;/_accessed&gt;&lt;_alternate_title&gt;Journal of Accounting and Economics&lt;/_alternate_title&gt;&lt;_created&gt;63219549&lt;/_created&gt;&lt;_date&gt;2002-01-01&lt;/_date&gt;&lt;_date_display&gt;2002&lt;/_date_display&gt;&lt;_impact_factor&gt;   3.753&lt;/_impact_factor&gt;&lt;_isbn&gt;0165-4101&lt;/_isbn&gt;&lt;_issue&gt;2&lt;/_issue&gt;&lt;_journal&gt;Journal of Accounting and Economics&lt;/_journal&gt;&lt;_modified&gt;63303268&lt;/_modified&gt;&lt;_ori_publication&gt;Elsevier&lt;/_ori_publication&gt;&lt;_pages&gt;253-275&lt;/_pages&gt;&lt;_volume&gt;33&lt;/_volume&gt;&lt;/Details&gt;&lt;Extra&gt;&lt;DBUID&gt;{2097646C-7C2F-4992-8A9B-6FF23AE7F1B7}&lt;/DBUID&gt;&lt;/Extra&gt;&lt;/Item&gt;&lt;/References&gt;&lt;/Group&gt;&lt;/Citation&gt;_x000a_"/>
    <w:docVar w:name="NE.Ref{339D8322-4D0C-458C-916A-6F283436BD07}" w:val=" ADDIN NE.Ref.{339D8322-4D0C-458C-916A-6F283436BD07}&lt;Citation SecTmpl=&quot;1&quot;&gt;&lt;Group&gt;&lt;References&gt;&lt;Item&gt;&lt;ID&gt;196&lt;/ID&gt;&lt;UID&gt;{76431EDA-B630-4CCC-86DC-20D0D4F85A68}&lt;/UID&gt;&lt;Title&gt;Auditors’ organizational form, legal liability, and reporting conservatism: Evidence from China&lt;/Title&gt;&lt;Template&gt;Journal Article&lt;/Template&gt;&lt;Star&gt;0&lt;/Star&gt;&lt;Tag&gt;0&lt;/Tag&gt;&lt;Author&gt;Firth, Michael; Mo, Phyllis LL; Wong, Raymond MK&lt;/Author&gt;&lt;Year&gt;2012&lt;/Year&gt;&lt;Details&gt;&lt;_alternate_title&gt;Contemporary Accounting Research&lt;/_alternate_title&gt;&lt;_collection_scope&gt;SSCI&lt;/_collection_scope&gt;&lt;_created&gt;62854164&lt;/_created&gt;&lt;_date&gt;2012-01-01&lt;/_date&gt;&lt;_date_display&gt;2012&lt;/_date_display&gt;&lt;_impact_factor&gt;   2.261&lt;/_impact_factor&gt;&lt;_isbn&gt;0823-9150&lt;/_isbn&gt;&lt;_issue&gt;1&lt;/_issue&gt;&lt;_journal&gt;Contemporary Accounting Research&lt;/_journal&gt;&lt;_modified&gt;63300576&lt;/_modified&gt;&lt;_ori_publication&gt;Wiley Online Library&lt;/_ori_publication&gt;&lt;_pages&gt;57-93&lt;/_pages&gt;&lt;_volume&gt;29&lt;/_volume&gt;&lt;/Details&gt;&lt;Extra&gt;&lt;DBUID&gt;{E9F07991-3B72-4492-A7D8-86E559D9F8FE}&lt;/DBUID&gt;&lt;/Extra&gt;&lt;/Item&gt;&lt;/References&gt;&lt;/Group&gt;&lt;/Citation&gt;_x000a_"/>
    <w:docVar w:name="NE.Ref{33AF2AD1-EADB-4D30-AE18-B9C3E8A5C87B}" w:val=" ADDIN NE.Ref.{33AF2AD1-EADB-4D30-AE18-B9C3E8A5C87B}&lt;Citation SecTmpl=&quot;1&quot;&gt;&lt;Group&gt;&lt;References&gt;&lt;Item&gt;&lt;ID&gt;682&lt;/ID&gt;&lt;UID&gt;{877478C4-FD37-428C-82BC-F13B6308B0C1}&lt;/UID&gt;&lt;Title&gt;The effect of deferred taxes on security prices&lt;/Title&gt;&lt;Template&gt;Journal Article&lt;/Template&gt;&lt;Star&gt;0&lt;/Star&gt;&lt;Tag&gt;0&lt;/Tag&gt;&lt;Author&gt;Chaney, Paul K; Jeter, Debra C&lt;/Author&gt;&lt;Year&gt;1994&lt;/Year&gt;&lt;Details&gt;&lt;_alternate_title&gt;Journal of Accounting, Auditing &amp;amp; Finance&lt;/_alternate_title&gt;&lt;_created&gt;63284298&lt;/_created&gt;&lt;_date&gt;1994-01-01&lt;/_date&gt;&lt;_date_display&gt;1994&lt;/_date_display&gt;&lt;_isbn&gt;0148-558X&lt;/_isbn&gt;&lt;_issue&gt;1&lt;/_issue&gt;&lt;_journal&gt;Journal of Accounting, Auditing &amp;amp; Finance&lt;/_journal&gt;&lt;_modified&gt;63284298&lt;/_modified&gt;&lt;_ori_publication&gt;SAGE Publications Sage CA: Los Angeles, CA&lt;/_ori_publication&gt;&lt;_pages&gt;91-116&lt;/_pages&gt;&lt;_volume&gt;9&lt;/_volume&gt;&lt;/Details&gt;&lt;Extra&gt;&lt;DBUID&gt;{83AC290F-D6FC-4574-9771-6904EE9C30A4}&lt;/DBUID&gt;&lt;/Extra&gt;&lt;/Item&gt;&lt;/References&gt;&lt;/Group&gt;&lt;/Citation&gt;_x000a_"/>
    <w:docVar w:name="NE.Ref{33E7B659-6243-4600-A9B8-91A50B17AC18}" w:val=" ADDIN NE.Ref.{33E7B659-6243-4600-A9B8-91A50B17AC18}&lt;Citation&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347CAFBF-3774-4360-A804-3DC5FBD86277}" w:val=" ADDIN NE.Ref.{347CAFBF-3774-4360-A804-3DC5FBD86277}&lt;Citation SecTmpl=&quot;1&quot;&gt;&lt;Group&gt;&lt;References&gt;&lt;Item&gt;&lt;ID&gt;7&lt;/ID&gt;&lt;UID&gt;{06CFC10B-D482-4048-B7EC-CCF361BF506C}&lt;/UID&gt;&lt;Title&gt;管理层业绩预测的机会主义行为——来自高管股票交易的证据&lt;/Title&gt;&lt;Template&gt;Journal Article&lt;/Template&gt;&lt;Star&gt;0&lt;/Star&gt;&lt;Tag&gt;0&lt;/Tag&gt;&lt;Author&gt;李欢; 罗婷&lt;/Author&gt;&lt;Year&gt;2016&lt;/Year&gt;&lt;Details&gt;&lt;_accessed&gt;63098523&lt;/_accessed&gt;&lt;_author_aff&gt;国网四川省电力公司综合服务中心;&lt;/_author_aff&gt;&lt;_collection_scope&gt;CSSCI-C;PKU&lt;/_collection_scope&gt;&lt;_created&gt;63097441&lt;/_created&gt;&lt;_date&gt;61326720&lt;/_date&gt;&lt;_db_provider&gt;CNKI: 期刊&lt;/_db_provider&gt;&lt;_db_updated&gt;CNKI - Reference&lt;/_db_updated&gt;&lt;_issue&gt;04&lt;/_issue&gt;&lt;_journal&gt;南开管理评论&lt;/_journal&gt;&lt;_keywords&gt;业绩预测;高管交易;自利动机&lt;/_keywords&gt;&lt;_language&gt;Chinese&lt;/_language&gt;&lt;_modified&gt;63098523&lt;/_modified&gt;&lt;_pages&gt;63-74&lt;/_pages&gt;&lt;_url&gt;http://kns.cnki.net/KCMS/detail/detail.aspx?FileName=LKGP201604007&amp;amp;DbName=CJFQ2016&lt;/_url&gt;&lt;_volume&gt;19&lt;/_volume&gt;&lt;_translated_author&gt;Li, Huan;Luo, Ting&lt;/_translated_author&gt;&lt;/Details&gt;&lt;Extra&gt;&lt;DBUID&gt;{439358B4-FA18-4C63-A3A1-0E3BE4066E7A}&lt;/DBUID&gt;&lt;/Extra&gt;&lt;/Item&gt;&lt;/References&gt;&lt;/Group&gt;&lt;/Citation&gt;_x000a_"/>
    <w:docVar w:name="NE.Ref{348FCBFE-689B-4872-9FA5-0434845F8300}" w:val=" ADDIN NE.Ref.{348FCBFE-689B-4872-9FA5-0434845F8300}&lt;Citation SecTmpl=&quot;1&quot;&gt;&lt;Group&gt;&lt;References&gt;&lt;Item&gt;&lt;ID&gt;5&lt;/ID&gt;&lt;UID&gt;{C8C23CCF-9B62-48AF-8363-6DD252760CB7}&lt;/UID&gt;&lt;Title&gt;年报语调与内部人交易:“表里如一”还是“口是心非”?&lt;/Title&gt;&lt;Template&gt;Journal Article&lt;/Template&gt;&lt;Star&gt;0&lt;/Star&gt;&lt;Tag&gt;0&lt;/Tag&gt;&lt;Author&gt;曾庆生; 周波; 张程; 陈信元&lt;/Author&gt;&lt;Year&gt;2018&lt;/Year&gt;&lt;Details&gt;&lt;_accessed&gt;63270278&lt;/_accessed&gt;&lt;_author_aff&gt;上海财经大学会计学院;&lt;/_author_aff&gt;&lt;_collection_scope&gt;CSSCI-C;PKU&lt;/_collection_scope&gt;&lt;_created&gt;63097440&lt;/_created&gt;&lt;_date&gt;62432640&lt;/_date&gt;&lt;_db_provider&gt;CNKI: 期刊&lt;/_db_provider&gt;&lt;_db_updated&gt;CNKI - Reference&lt;/_db_updated&gt;&lt;_issue&gt;09&lt;/_issue&gt;&lt;_journal&gt;管理世界&lt;/_journal&gt;&lt;_keywords&gt;年报;语调管理;内部人交易;信息不对称&lt;/_keywords&gt;&lt;_language&gt;Chinese&lt;/_language&gt;&lt;_modified&gt;63270278&lt;/_modified&gt;&lt;_pages&gt;143-160&lt;/_pages&gt;&lt;_url&gt;http://kns.cnki.net/KCMS/detail/detail.aspx?FileName=GLSJ201809015&amp;amp;DbName=CJFQ2018&lt;/_url&gt;&lt;_volume&gt;34&lt;/_volume&gt;&lt;_translated_author&gt;Ceng, Qingsheng;Zhou, Bo;Zhang, Cheng;Chen, Xinyuan&lt;/_translated_author&gt;&lt;/Details&gt;&lt;Extra&gt;&lt;DBUID&gt;{439358B4-FA18-4C63-A3A1-0E3BE4066E7A}&lt;/DBUID&gt;&lt;/Extra&gt;&lt;/Item&gt;&lt;/References&gt;&lt;/Group&gt;&lt;/Citation&gt;_x000a_"/>
    <w:docVar w:name="NE.Ref{351C45DF-0361-417F-AA12-D16CBC3F0C79}" w:val=" ADDIN NE.Ref.{351C45DF-0361-417F-AA12-D16CBC3F0C79}&lt;Citation SecTmpl=&quot;1&quot;&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360D69B8-4285-4E01-8862-774FC1B87FEC}" w:val=" ADDIN NE.Ref.{360D69B8-4285-4E01-8862-774FC1B87FEC}&lt;Citation SecTmpl=&quot;1&quot;&gt;&lt;Group&gt;&lt;References&gt;&lt;Item&gt;&lt;ID&gt;173&lt;/ID&gt;&lt;UID&gt;{99B04256-27D2-4A84-B6AE-DD8E734B98FF}&lt;/UID&gt;&lt;Title&gt;会计师事务所组织形式、规模与审计质量&lt;/Title&gt;&lt;Template&gt;Journal Article&lt;/Template&gt;&lt;Star&gt;0&lt;/Star&gt;&lt;Tag&gt;0&lt;/Tag&gt;&lt;Author&gt;原红旗; 李海建&lt;/Author&gt;&lt;Year&gt;2003&lt;/Year&gt;&lt;Details&gt;&lt;_accessed&gt;63302954&lt;/_accessed&gt;&lt;_collection_scope&gt;CSSCI-C;PKU&lt;/_collection_scope&gt;&lt;_created&gt;62681244&lt;/_created&gt;&lt;_date&gt;2003-01-01&lt;/_date&gt;&lt;_date_display&gt;2003&lt;/_date_display&gt;&lt;_issue&gt;1&lt;/_issue&gt;&lt;_journal&gt;审计研究&lt;/_journal&gt;&lt;_modified&gt;62685515&lt;/_modified&gt;&lt;_pages&gt;32-37&lt;/_pages&gt;&lt;_translated_author&gt;Yuan, Hongqi;Li, Haijian&lt;/_translated_author&gt;&lt;/Details&gt;&lt;Extra&gt;&lt;DBUID&gt;{2097646C-7C2F-4992-8A9B-6FF23AE7F1B7}&lt;/DBUID&gt;&lt;/Extra&gt;&lt;/Item&gt;&lt;/References&gt;&lt;/Group&gt;&lt;/Citation&gt;_x000a_"/>
    <w:docVar w:name="NE.Ref{3740157C-105F-45FA-9AC7-FAB90F691C21}" w:val=" ADDIN NE.Ref.{3740157C-105F-45FA-9AC7-FAB90F691C21}&lt;Citation SecTmpl=&quot;1&quot;&gt;&lt;Group&gt;&lt;References&gt;&lt;Item&gt;&lt;ID&gt;162&lt;/ID&gt;&lt;UID&gt;{A85806C6-2297-4FE9-A319-27DF10D2A171}&lt;/UID&gt;&lt;Title&gt;The effect of audit adjustments on earnings quality: Evidence from China&lt;/Title&gt;&lt;Template&gt;Journal Article&lt;/Template&gt;&lt;Star&gt;0&lt;/Star&gt;&lt;Tag&gt;0&lt;/Tag&gt;&lt;Author&gt;Lennox, Clive; Wu, Xi; Zhang, Tianyu&lt;/Author&gt;&lt;Year&gt;2016&lt;/Year&gt;&lt;Details&gt;&lt;_alternate_title&gt;Journal of Accounting and Economics&lt;/_alternate_title&gt;&lt;_created&gt;63225911&lt;/_created&gt;&lt;_date&gt;2016-01-01&lt;/_date&gt;&lt;_date_display&gt;2016&lt;/_date_display&gt;&lt;_impact_factor&gt;   3.753&lt;/_impact_factor&gt;&lt;_isbn&gt;0165-4101&lt;/_isbn&gt;&lt;_issue&gt;2-3&lt;/_issue&gt;&lt;_journal&gt;Journal of Accounting and Economics&lt;/_journal&gt;&lt;_modified&gt;63290117&lt;/_modified&gt;&lt;_ori_publication&gt;Elsevier&lt;/_ori_publication&gt;&lt;_pages&gt;545-562&lt;/_pages&gt;&lt;_volume&gt;61&lt;/_volume&gt;&lt;/Details&gt;&lt;Extra&gt;&lt;DBUID&gt;{E9F07991-3B72-4492-A7D8-86E559D9F8FE}&lt;/DBUID&gt;&lt;/Extra&gt;&lt;/Item&gt;&lt;/References&gt;&lt;/Group&gt;&lt;/Citation&gt;_x000a_"/>
    <w:docVar w:name="NE.Ref{3918F24F-4EC0-419F-96D3-72CB53890603}" w:val=" ADDIN NE.Ref.{3918F24F-4EC0-419F-96D3-72CB53890603}&lt;Citation SecTmpl=&quot;1&quot;&gt;&lt;Group&gt;&lt;References&gt;&lt;Item&gt;&lt;ID&gt;38&lt;/ID&gt;&lt;UID&gt;{DE5487CB-7043-4510-A48F-5C542661EA12}&lt;/UID&gt;&lt;Title&gt;Does mandatory rotation of audit partners improve audit quality?&lt;/Title&gt;&lt;Template&gt;Journal Article&lt;/Template&gt;&lt;Star&gt;0&lt;/Star&gt;&lt;Tag&gt;0&lt;/Tag&gt;&lt;Author&gt;Lennox, Clive S; Wu, Xi; Zhang, Tianyu&lt;/Author&gt;&lt;Year&gt;2014&lt;/Year&gt;&lt;Details&gt;&lt;_alternate_title&gt;The accounting review&lt;/_alternate_title&gt;&lt;_created&gt;63224357&lt;/_created&gt;&lt;_date&gt;2014-01-01&lt;/_date&gt;&lt;_date_display&gt;2014&lt;/_date_display&gt;&lt;_isbn&gt;1558-7967&lt;/_isbn&gt;&lt;_issue&gt;5&lt;/_issue&gt;&lt;_journal&gt;The accounting review&lt;/_journal&gt;&lt;_modified&gt;63224357&lt;/_modified&gt;&lt;_ori_publication&gt;American Accounting Association&lt;/_ori_publication&gt;&lt;_pages&gt;1775-1803&lt;/_pages&gt;&lt;_volume&gt;89&lt;/_volume&gt;&lt;/Details&gt;&lt;Extra&gt;&lt;DBUID&gt;{E9F07991-3B72-4492-A7D8-86E559D9F8FE}&lt;/DBUID&gt;&lt;/Extra&gt;&lt;/Item&gt;&lt;/References&gt;&lt;/Group&gt;&lt;/Citation&gt;_x000a_"/>
    <w:docVar w:name="NE.Ref{3919F1B8-2DC9-46CA-8D07-3A03A94824A2}" w:val=" ADDIN NE.Ref.{3919F1B8-2DC9-46CA-8D07-3A03A94824A2}&lt;Citation SecTmpl=&quot;1&quot;&gt;&lt;Group&gt;&lt;References&gt;&lt;Item&gt;&lt;ID&gt;226&lt;/ID&gt;&lt;UID&gt;{CFF5C493-2B4F-4AAF-85E0-FCF85C905E3F}&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3303290&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2928632&lt;/_modified&gt;&lt;_pages&gt;127-158&lt;/_pages&gt;&lt;_volume&gt;85&lt;/_volume&gt;&lt;/Details&gt;&lt;Extra&gt;&lt;DBUID&gt;{2097646C-7C2F-4992-8A9B-6FF23AE7F1B7}&lt;/DBUID&gt;&lt;/Extra&gt;&lt;/Item&gt;&lt;/References&gt;&lt;/Group&gt;&lt;/Citation&gt;_x000a_"/>
    <w:docVar w:name="NE.Ref{396D84DC-071C-4618-BC5A-216F23458E15}" w:val=" ADDIN NE.Ref.{396D84DC-071C-4618-BC5A-216F23458E15}&lt;Citation SecTmpl=&quot;1&quot;&gt;&lt;Group&gt;&lt;References&gt;&lt;Item&gt;&lt;ID&gt;243&lt;/ID&gt;&lt;UID&gt;{E1B3D205-39BB-4A2A-B192-A0AFA17738B7}&lt;/UID&gt;&lt;Title&gt;客户重要性与审计谈判&lt;/Title&gt;&lt;Template&gt;Journal Article&lt;/Template&gt;&lt;Star&gt;0&lt;/Star&gt;&lt;Tag&gt;0&lt;/Tag&gt;&lt;Author&gt;张继勋; 张丽霞&lt;/Author&gt;&lt;Year&gt;2011&lt;/Year&gt;&lt;Details&gt;&lt;_accessed&gt;63218055&lt;/_accessed&gt;&lt;_author_aff&gt;南开大学商学院;&lt;/_author_aff&gt;&lt;_collection_scope&gt;CSSCI-C;PKU&lt;/_collection_scope&gt;&lt;_created&gt;63218055&lt;/_created&gt;&lt;_date&gt;58592160&lt;/_date&gt;&lt;_db_provider&gt;CNKI: 期刊&lt;/_db_provider&gt;&lt;_db_updated&gt;CNKI - Reference&lt;/_db_updated&gt;&lt;_issue&gt;03&lt;/_issue&gt;&lt;_journal&gt;审计研究&lt;/_journal&gt;&lt;_keywords&gt;客户重要性;审计谈判;谈判结果&lt;/_keywords&gt;&lt;_language&gt;Chinese&lt;/_language&gt;&lt;_modified&gt;63303302&lt;/_modified&gt;&lt;_pages&gt;56-63&lt;/_pages&gt;&lt;_url&gt;http://kns.cnki.net/KCMS/detail/detail.aspx?FileName=SJYZ201103012&amp;amp;DbName=CJFQ2011&lt;/_url&gt;&lt;_translated_author&gt;Zhang, Jixun;Zhang, Lixia&lt;/_translated_author&gt;&lt;/Details&gt;&lt;Extra&gt;&lt;DBUID&gt;{E9F07991-3B72-4492-A7D8-86E559D9F8FE}&lt;/DBUID&gt;&lt;/Extra&gt;&lt;/Item&gt;&lt;/References&gt;&lt;/Group&gt;&lt;/Citation&gt;_x000a_"/>
    <w:docVar w:name="NE.Ref{3A31B06A-C933-4478-8698-ECBB126A5C1C}" w:val=" ADDIN NE.Ref.{3A31B06A-C933-4478-8698-ECBB126A5C1C}&lt;Citation SecTmpl=&quot;1&quot;&gt;&lt;Group&gt;&lt;References&gt;&lt;Item&gt;&lt;ID&gt;261&lt;/ID&gt;&lt;UID&gt;{53B3C0D2-F30A-4AEC-851F-616ED5664983}&lt;/UID&gt;&lt;Title&gt;审计收费与股价崩盘风险&lt;/Title&gt;&lt;Template&gt;Journal Article&lt;/Template&gt;&lt;Star&gt;0&lt;/Star&gt;&lt;Tag&gt;0&lt;/Tag&gt;&lt;Author&gt;万东灿&lt;/Author&gt;&lt;Year&gt;2015&lt;/Year&gt;&lt;Details&gt;&lt;_accessed&gt;63304376&lt;/_accessed&gt;&lt;_author_aff&gt;清华大学经济管理学院;&lt;/_author_aff&gt;&lt;_collection_scope&gt;CSSCI-C;PKU&lt;/_collection_scope&gt;&lt;_created&gt;63304376&lt;/_created&gt;&lt;_date&gt;60960960&lt;/_date&gt;&lt;_db_provider&gt;CNKI: 期刊&lt;/_db_provider&gt;&lt;_db_updated&gt;CNKI - Reference&lt;/_db_updated&gt;&lt;_issue&gt;06&lt;/_issue&gt;&lt;_journal&gt;审计研究&lt;/_journal&gt;&lt;_keywords&gt;审计收费;审计质量;股价崩盘风险&lt;/_keywords&gt;&lt;_language&gt;Chinese&lt;/_language&gt;&lt;_modified&gt;63304376&lt;/_modified&gt;&lt;_pages&gt;85-93&lt;/_pages&gt;&lt;_url&gt;http://kns.cnki.net/KCMS/detail/detail.aspx?FileName=SJYZ201506014&amp;amp;DbName=CJFQ2015&lt;/_url&gt;&lt;_translated_author&gt;Wan, Dongcan&lt;/_translated_author&gt;&lt;/Details&gt;&lt;Extra&gt;&lt;DBUID&gt;{E9F07991-3B72-4492-A7D8-86E559D9F8FE}&lt;/DBUID&gt;&lt;/Extra&gt;&lt;/Item&gt;&lt;/References&gt;&lt;/Group&gt;&lt;/Citation&gt;_x000a_"/>
    <w:docVar w:name="NE.Ref{3A3934B0-5E52-41AA-B619-5B413BBBA69C}" w:val=" ADDIN NE.Ref.{3A3934B0-5E52-41AA-B619-5B413BBBA69C}&lt;Citation SecTmpl=&quot;1&quot;&gt;&lt;Group&gt;&lt;References&gt;&lt;Item&gt;&lt;ID&gt;123&lt;/ID&gt;&lt;UID&gt;{A629CF7D-62D8-40D5-A69E-745C131C3427}&lt;/UID&gt;&lt;Title&gt;独立性与行业专长对客户会计稳健性的影响&lt;/Title&gt;&lt;Template&gt;Journal Article&lt;/Template&gt;&lt;Star&gt;0&lt;/Star&gt;&lt;Tag&gt;0&lt;/Tag&gt;&lt;Author&gt;梅丹; 高强&lt;/Author&gt;&lt;Year&gt;2016&lt;/Year&gt;&lt;Details&gt;&lt;_accessed&gt;62473593&lt;/_accessed&gt;&lt;_author_aff&gt;南开大学商学院;铁道第三勘察设计院集团有限公司;&lt;/_author_aff&gt;&lt;_collection_scope&gt;CSSCI;中文核心期刊;&lt;/_collection_scope&gt;&lt;_created&gt;62473593&lt;/_created&gt;&lt;_date&gt;61488000&lt;/_date&gt;&lt;_db_provider&gt;CNKI: 期刊&lt;/_db_provider&gt;&lt;_db_updated&gt;CNKI - Reference&lt;/_db_updated&gt;&lt;_issue&gt;06&lt;/_issue&gt;&lt;_journal&gt;审计研究&lt;/_journal&gt;&lt;_keywords&gt;独立性;行业专长;稳健性&lt;/_keywords&gt;&lt;_language&gt;Chinese&lt;/_language&gt;&lt;_modified&gt;62475290&lt;/_modified&gt;&lt;_pages&gt;80-88&lt;/_pages&gt;&lt;_url&gt;http://kns.cnki.net/KCMS/detail/detail.aspx?FileName=SJYZ201606013&amp;amp;DbName=CJFQ2016&lt;/_url&gt;&lt;_translated_author&gt;Mei, Dan;Gao, Qiang&lt;/_translated_author&gt;&lt;/Details&gt;&lt;Extra&gt;&lt;DBUID&gt;{2097646C-7C2F-4992-8A9B-6FF23AE7F1B7}&lt;/DBUID&gt;&lt;/Extra&gt;&lt;/Item&gt;&lt;/References&gt;&lt;/Group&gt;&lt;/Citation&gt;_x000a_"/>
    <w:docVar w:name="NE.Ref{3A3B872D-9A10-4A4E-9DE0-6E87AB86AC86}" w:val=" ADDIN NE.Ref.{3A3B872D-9A10-4A4E-9DE0-6E87AB86AC86}&lt;Citation SecTmpl=&quot;1&quot;&gt;&lt;Group&gt;&lt;References&gt;&lt;Item&gt;&lt;ID&gt;25&lt;/ID&gt;&lt;UID&gt;{078D863B-9B94-4ECB-9D90-1428D066E6C6}&lt;/UID&gt;&lt;Title&gt;公司内部人具有交易时机的选择能力吗?——来自中国上市公司内部人卖出股票的证据&lt;/Title&gt;&lt;Template&gt;Journal Article&lt;/Template&gt;&lt;Star&gt;0&lt;/Star&gt;&lt;Tag&gt;0&lt;/Tag&gt;&lt;Author&gt;曾庆生&lt;/Author&gt;&lt;Year&gt;2008&lt;/Year&gt;&lt;Details&gt;&lt;_accessed&gt;63268340&lt;/_accessed&gt;&lt;_author_aff&gt;上海交通大学安泰经济与管理学院;&lt;/_author_aff&gt;&lt;_collection_scope&gt;CSSCI-C&lt;/_collection_scope&gt;&lt;_created&gt;63267311&lt;/_created&gt;&lt;_date&gt;57178080&lt;/_date&gt;&lt;_db_provider&gt;CNKI: 期刊&lt;/_db_provider&gt;&lt;_db_updated&gt;CNKI - Reference&lt;/_db_updated&gt;&lt;_issue&gt;10&lt;/_issue&gt;&lt;_journal&gt;金融研究&lt;/_journal&gt;&lt;_keywords&gt;内部人交易;超常回报;短窗口;信息层级假说&lt;/_keywords&gt;&lt;_language&gt;Chinese&lt;/_language&gt;&lt;_modified&gt;63268340&lt;/_modified&gt;&lt;_pages&gt;117-135&lt;/_pages&gt;&lt;_url&gt;http://kns.cnki.net/KCMS/detail/detail.aspx?FileName=JRYJ200810012&amp;amp;DbName=CJFQ2008&lt;/_url&gt;&lt;_translated_author&gt;Ceng, Qingsheng&lt;/_translated_author&gt;&lt;/Details&gt;&lt;Extra&gt;&lt;DBUID&gt;{439358B4-FA18-4C63-A3A1-0E3BE4066E7A}&lt;/DBUID&gt;&lt;/Extra&gt;&lt;/Item&gt;&lt;/References&gt;&lt;/Group&gt;&lt;/Citation&gt;_x000a_"/>
    <w:docVar w:name="NE.Ref{3A3CF119-1CD1-48B6-ADD1-C7B028D36A77}" w:val=" ADDIN NE.Ref.{3A3CF119-1CD1-48B6-ADD1-C7B028D36A77}&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3AAE06FB-0107-4BD1-A5E5-08A7E031422E}" w:val=" ADDIN NE.Ref.{3AAE06FB-0107-4BD1-A5E5-08A7E031422E}&lt;Citation SecTmpl=&quot;1&quot;&gt;&lt;Group&gt;&lt;References&gt;&lt;Item&gt;&lt;ID&gt;16&lt;/ID&gt;&lt;UID&gt;{B3523654-521D-48AC-98DF-25AE58C2161D}&lt;/UID&gt;&lt;Title&gt;融券制度与内部人寻租——来自准自然实验的经验证据&lt;/Title&gt;&lt;Template&gt;Journal Article&lt;/Template&gt;&lt;Star&gt;0&lt;/Star&gt;&lt;Tag&gt;0&lt;/Tag&gt;&lt;Author&gt;张洪辉; 平帆; 章琳一&lt;/Author&gt;&lt;Year&gt;2020&lt;/Year&gt;&lt;Details&gt;&lt;_accessed&gt;63268338&lt;/_accessed&gt;&lt;_author_aff&gt;江西财经大学会计学院;中国人民大学商学院;&lt;/_author_aff&gt;&lt;_collection_scope&gt;CSSCI-C&lt;/_collection_scope&gt;&lt;_created&gt;63267310&lt;/_created&gt;&lt;_date&gt;63221760&lt;/_date&gt;&lt;_db_provider&gt;CNKI: 期刊&lt;/_db_provider&gt;&lt;_db_updated&gt;CNKI - Reference&lt;/_db_updated&gt;&lt;_issue&gt;03&lt;/_issue&gt;&lt;_journal&gt;经济管理&lt;/_journal&gt;&lt;_keywords&gt;融券制度;内部人寻租;信息效应;竞争效应;产权性质&lt;/_keywords&gt;&lt;_modified&gt;63268338&lt;/_modified&gt;&lt;_pages&gt;166-191&lt;/_pages&gt;&lt;_url&gt;http://kns.cnki.net/KCMS/detail/detail.aspx?FileName=JJGU202003011&amp;amp;DbName=CJFQTEMP&lt;/_url&gt;&lt;_volume&gt;42&lt;/_volume&gt;&lt;_translated_author&gt;Zhang, Honghui;Ping, Fan;Zhang, Linyi&lt;/_translated_author&gt;&lt;/Details&gt;&lt;Extra&gt;&lt;DBUID&gt;{439358B4-FA18-4C63-A3A1-0E3BE4066E7A}&lt;/DBUID&gt;&lt;/Extra&gt;&lt;/Item&gt;&lt;/References&gt;&lt;/Group&gt;&lt;/Citation&gt;_x000a_"/>
    <w:docVar w:name="NE.Ref{3C906CD9-83A9-42AD-A2E9-3D2AC6871332}" w:val=" ADDIN NE.Ref.{3C906CD9-83A9-42AD-A2E9-3D2AC6871332}&lt;Citation SecTmpl=&quot;1&quot;&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3D90C9F8-CAB1-4D08-8FB4-9610A243744B}" w:val=" ADDIN NE.Ref.{3D90C9F8-CAB1-4D08-8FB4-9610A243744B}&lt;Citation&gt;&lt;Group&gt;&lt;References&gt;&lt;Item&gt;&lt;ID&gt;182&lt;/ID&gt;&lt;UID&gt;{AE720F2D-C5F6-4D88-B208-D3E27176D00D}&lt;/UID&gt;&lt;Title&gt;Audit quality: Insights from the academic literature&lt;/Title&gt;&lt;Template&gt;Journal Article&lt;/Template&gt;&lt;Star&gt;0&lt;/Star&gt;&lt;Tag&gt;0&lt;/Tag&gt;&lt;Author&gt;Knechel, W Robert; Krishnan, Gopal V; Pevzner, Mikhail; Bhaskar, Lori Shefchik; Velury, Uma&lt;/Author&gt;&lt;Year&gt;2013&lt;/Year&gt;&lt;Details&gt;&lt;_alternate_title&gt;Auditing: A journal of practice &amp;amp; theory&lt;/_alternate_title&gt;&lt;_created&gt;63297266&lt;/_created&gt;&lt;_date&gt;2013-01-01&lt;/_date&gt;&lt;_date_display&gt;2013&lt;/_date_display&gt;&lt;_issue&gt;1&lt;/_issue&gt;&lt;_journal&gt;Auditing: A journal of practice &amp;amp; theory&lt;/_journal&gt;&lt;_modified&gt;63297266&lt;/_modified&gt;&lt;_volume&gt;32&lt;/_volume&gt;&lt;/Details&gt;&lt;Extra&gt;&lt;DBUID&gt;{E9F07991-3B72-4492-A7D8-86E559D9F8FE}&lt;/DBUID&gt;&lt;/Extra&gt;&lt;/Item&gt;&lt;/References&gt;&lt;/Group&gt;&lt;/Citation&gt;_x000a_"/>
    <w:docVar w:name="NE.Ref{3DA20FF7-7166-4B34-A777-16843AB32CC7}" w:val=" ADDIN NE.Ref.{3DA20FF7-7166-4B34-A777-16843AB32CC7}&lt;Citation&gt;&lt;Group&gt;&lt;References&gt;&lt;Item&gt;&lt;ID&gt;60&lt;/ID&gt;&lt;UID&gt;{E4E765AF-C15F-4D3F-9DCB-94FE30A0E528}&lt;/UID&gt;&lt;Title&gt;Insider Profits, Cost of Trading, and Market Efficiency&lt;/Title&gt;&lt;Template&gt;Journal Article&lt;/Template&gt;&lt;Star&gt;0&lt;/Star&gt;&lt;Tag&gt;0&lt;/Tag&gt;&lt;Author&gt;Seyhun, H Nejat&lt;/Author&gt;&lt;Year&gt;1986&lt;/Year&gt;&lt;Details&gt;&lt;_accessed&gt;63285815&lt;/_accessed&gt;&lt;_collection_scope&gt;SSCI&lt;/_collection_scope&gt;&lt;_created&gt;63282816&lt;/_created&gt;&lt;_date&gt;1986-01-01&lt;/_date&gt;&lt;_date_display&gt;1986&lt;/_date_display&gt;&lt;_impact_factor&gt;   4.693&lt;/_impact_factor&gt;&lt;_issue&gt;2&lt;/_issue&gt;&lt;_journal&gt;Journal of Financial Economics&lt;/_journal&gt;&lt;_modified&gt;63285733&lt;/_modified&gt;&lt;_pages&gt;189-212&lt;/_pages&gt;&lt;_volume&gt;16&lt;/_volume&gt;&lt;/Details&gt;&lt;Extra&gt;&lt;DBUID&gt;{439358B4-FA18-4C63-A3A1-0E3BE4066E7A}&lt;/DBUID&gt;&lt;/Extra&gt;&lt;/Item&gt;&lt;/References&gt;&lt;/Group&gt;&lt;Group&gt;&lt;References&gt;&lt;Item&gt;&lt;ID&gt;8&lt;/ID&gt;&lt;UID&gt;{18457393-F3A2-4B8C-BA84-7D5B328AA3F6}&lt;/UID&gt;&lt;Title&gt;Information asymmetry and cross‐sectional variation in insider trading&lt;/Title&gt;&lt;Template&gt;Journal Article&lt;/Template&gt;&lt;Star&gt;0&lt;/Star&gt;&lt;Tag&gt;0&lt;/Tag&gt;&lt;Author&gt;Huddart, Steven J; Ke, Bin&lt;/Author&gt;&lt;Year&gt;2007&lt;/Year&gt;&lt;Details&gt;&lt;_accessed&gt;63270279&lt;/_accessed&gt;&lt;_alternate_title&gt;Contemporary Accounting Research&lt;/_alternate_title&gt;&lt;_collection_scope&gt;SSCI&lt;/_collection_scope&gt;&lt;_created&gt;63267004&lt;/_created&gt;&lt;_date&gt;2007-01-01&lt;/_date&gt;&lt;_date_display&gt;2007&lt;/_date_display&gt;&lt;_impact_factor&gt;   2.261&lt;/_impact_factor&gt;&lt;_isbn&gt;0823-9150&lt;/_isbn&gt;&lt;_issue&gt;1&lt;/_issue&gt;&lt;_journal&gt;Contemporary Accounting Research&lt;/_journal&gt;&lt;_modified&gt;63270279&lt;/_modified&gt;&lt;_ori_publication&gt;Wiley Online Library&lt;/_ori_publication&gt;&lt;_pages&gt;195-232&lt;/_pages&gt;&lt;_volume&gt;24&lt;/_volume&gt;&lt;/Details&gt;&lt;Extra&gt;&lt;DBUID&gt;{439358B4-FA18-4C63-A3A1-0E3BE4066E7A}&lt;/DBUID&gt;&lt;/Extra&gt;&lt;/Item&gt;&lt;/References&gt;&lt;/Group&gt;&lt;/Citation&gt;_x000a_"/>
    <w:docVar w:name="NE.Ref{3DA2BAA7-DD0C-4576-9906-4B1FF2CD7983}" w:val=" ADDIN NE.Ref.{3DA2BAA7-DD0C-4576-9906-4B1FF2CD7983}&lt;Citation SecTmpl=&quot;1&quot;&gt;&lt;Group&gt;&lt;References&gt;&lt;Item&gt;&lt;ID&gt;34&lt;/ID&gt;&lt;UID&gt;{512975D6-B48B-4B03-90CA-091729D6C38F}&lt;/UID&gt;&lt;Title&gt;内部人交易会影响会计信息可比性吗?&lt;/Title&gt;&lt;Template&gt;Journal Article&lt;/Template&gt;&lt;Star&gt;0&lt;/Star&gt;&lt;Tag&gt;0&lt;/Tag&gt;&lt;Author&gt;周冬华; 杨小康&lt;/Author&gt;&lt;Year&gt;2018&lt;/Year&gt;&lt;Details&gt;&lt;_accessed&gt;63267311&lt;/_accessed&gt;&lt;_author_aff&gt;江西财经大学会计研究发展中心/会计学院;厦门大学财务管理与会计研究院;&lt;/_author_aff&gt;&lt;_collection_scope&gt;CSSCI-C;PKU&lt;/_collection_scope&gt;&lt;_created&gt;63267311&lt;/_created&gt;&lt;_date&gt;62167680&lt;/_date&gt;&lt;_db_provider&gt;CNKI: 期刊&lt;/_db_provider&gt;&lt;_db_updated&gt;CNKI - Reference&lt;/_db_updated&gt;&lt;_issue&gt;03&lt;/_issue&gt;&lt;_journal&gt;会计研究&lt;/_journal&gt;&lt;_keywords&gt;可比性;内部人交易;董事会成员&lt;/_keywords&gt;&lt;_language&gt;Chinese&lt;/_language&gt;&lt;_modified&gt;63267311&lt;/_modified&gt;&lt;_pages&gt;27-33&lt;/_pages&gt;&lt;_url&gt;http://kns.cnki.net/KCMS/detail/detail.aspx?FileName=KJYJ201803004&amp;amp;DbName=CJFQ2018&lt;/_url&gt;&lt;_translated_author&gt;Zhou, Donghua;Yang, Xiaokang&lt;/_translated_author&gt;&lt;/Details&gt;&lt;Extra&gt;&lt;DBUID&gt;{439358B4-FA18-4C63-A3A1-0E3BE4066E7A}&lt;/DBUID&gt;&lt;/Extra&gt;&lt;/Item&gt;&lt;/References&gt;&lt;/Group&gt;&lt;/Citation&gt;_x000a_"/>
    <w:docVar w:name="NE.Ref{3E0E3048-EDBA-433C-8437-1D68FEE7B028}" w:val=" ADDIN NE.Ref.{3E0E3048-EDBA-433C-8437-1D68FEE7B028}&lt;Citation&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Citation&gt;_x000a_"/>
    <w:docVar w:name="NE.Ref{3E1D09A1-F7B9-4AFD-A42F-EB0B594D9190}" w:val=" ADDIN NE.Ref.{3E1D09A1-F7B9-4AFD-A42F-EB0B594D9190}&lt;Citation SecTmpl=&quot;1&quot;&gt;&lt;Group&gt;&lt;References&gt;&lt;Item&gt;&lt;ID&gt;215&lt;/ID&gt;&lt;UID&gt;{52392975-B776-40FD-A6F6-DE1C145A78E4}&lt;/UID&gt;&lt;Title&gt;Large shareholder incentives and auditor choice&lt;/Title&gt;&lt;Template&gt;Journal Article&lt;/Template&gt;&lt;Star&gt;0&lt;/Star&gt;&lt;Tag&gt;0&lt;/Tag&gt;&lt;Author&gt;Zhang, Shanshan; Ye, Kangtao; Cui, Yijing; Zang, Wenjiao&lt;/Author&gt;&lt;Year&gt;2019&lt;/Year&gt;&lt;Details&gt;&lt;_alternate_title&gt;Auditing: A Journal of Practice &amp;amp; Theory&lt;/_alternate_title&gt;&lt;_created&gt;63301918&lt;/_created&gt;&lt;_date&gt;2019-01-01&lt;/_date&gt;&lt;_date_display&gt;2019&lt;/_date_display&gt;&lt;_isbn&gt;1558-7991&lt;/_isbn&gt;&lt;_issue&gt;3&lt;/_issue&gt;&lt;_journal&gt;Auditing: A Journal of Practice &amp;amp; Theory&lt;/_journal&gt;&lt;_modified&gt;63301918&lt;/_modified&gt;&lt;_ori_publication&gt;American Accounting Association&lt;/_ori_publication&gt;&lt;_pages&gt;203-222&lt;/_pages&gt;&lt;_volume&gt;38&lt;/_volume&gt;&lt;/Details&gt;&lt;Extra&gt;&lt;DBUID&gt;{E9F07991-3B72-4492-A7D8-86E559D9F8FE}&lt;/DBUID&gt;&lt;/Extra&gt;&lt;/Item&gt;&lt;/References&gt;&lt;/Group&gt;&lt;/Citation&gt;_x000a_"/>
    <w:docVar w:name="NE.Ref{3E73AFF7-95C4-4246-A0F3-7698F4DC3DF0}" w:val=" ADDIN NE.Ref.{3E73AFF7-95C4-4246-A0F3-7698F4DC3DF0}&lt;Citation SecTmpl=&quot;1&quot;&gt;&lt;Group&gt;&lt;References&gt;&lt;Item&gt;&lt;ID&gt;18&lt;/ID&gt;&lt;UID&gt;{E99C40B1-D7C5-447A-8792-262D0205BDBB}&lt;/UID&gt;&lt;Title&gt;The Effects of PCAOB Inspections on Auditor-Client Relationships&lt;/Title&gt;&lt;Template&gt;Journal Article&lt;/Template&gt;&lt;Star&gt;0&lt;/Star&gt;&lt;Tag&gt;0&lt;/Tag&gt;&lt;Author&gt;Acito, Andrew A; Hogan, Chris E; Mergenthaler, Richard D&lt;/Author&gt;&lt;Year&gt;2018&lt;/Year&gt;&lt;Details&gt;&lt;_accessed&gt;62210330&lt;/_accessed&gt;&lt;_created&gt;62210330&lt;/_created&gt;&lt;_db_updated&gt;CrossRef&lt;/_db_updated&gt;&lt;_doi&gt;10.2308/accr-51811&lt;/_doi&gt;&lt;_impact_factor&gt;   4.562&lt;/_impact_factor&gt;&lt;_isbn&gt;0001-4826&lt;/_isbn&gt;&lt;_issue&gt;2&lt;/_issue&gt;&lt;_journal&gt;The Accounting Review&lt;/_journal&gt;&lt;_modified&gt;62865259&lt;/_modified&gt;&lt;_pages&gt;1-35&lt;/_pages&gt;&lt;_tertiary_title&gt;The Accounting Review&lt;/_tertiary_title&gt;&lt;_url&gt;http://aaajournals.org/doi/10.2308/accr-51811&lt;/_url&gt;&lt;_volume&gt;93&lt;/_volume&gt;&lt;/Details&gt;&lt;Extra&gt;&lt;DBUID&gt;{D2579611-BF89-4C7B-83D9-BE1288535D97}&lt;/DBUID&gt;&lt;/Extra&gt;&lt;/Item&gt;&lt;/References&gt;&lt;/Group&gt;&lt;/Citation&gt;_x000a_"/>
    <w:docVar w:name="NE.Ref{3F5B62D1-0282-41C3-B600-CF059F4FDA60}" w:val=" ADDIN NE.Ref.{3F5B62D1-0282-41C3-B600-CF059F4FDA60}&lt;Citation SecTmpl=&quot;1&quot;&gt;&lt;Group&gt;&lt;References&gt;&lt;Item&gt;&lt;ID&gt;90&lt;/ID&gt;&lt;UID&gt;{6C8E8D32-FD2E-4F39-874E-A46863EDAAE0}&lt;/UID&gt;&lt;Title&gt;Relation between audit effort and financial report misstatements: Evidence from quarterly and annual restatements&lt;/Title&gt;&lt;Template&gt;Journal Article&lt;/Template&gt;&lt;Star&gt;0&lt;/Star&gt;&lt;Tag&gt;0&lt;/Tag&gt;&lt;Author&gt;Lobo, Gerald J; Zhao, Yuping&lt;/Author&gt;&lt;Year&gt;2013&lt;/Year&gt;&lt;Details&gt;&lt;_alternate_title&gt;The Accounting Review&lt;/_alternate_title&gt;&lt;_created&gt;63228784&lt;/_created&gt;&lt;_date&gt;2013-01-01&lt;/_date&gt;&lt;_date_display&gt;2013&lt;/_date_display&gt;&lt;_impact_factor&gt;   4.562&lt;/_impact_factor&gt;&lt;_isbn&gt;0001-4826&lt;/_isbn&gt;&lt;_issue&gt;4&lt;/_issue&gt;&lt;_journal&gt;The Accounting Review&lt;/_journal&gt;&lt;_modified&gt;63228784&lt;/_modified&gt;&lt;_ori_publication&gt;American Accounting Association&lt;/_ori_publication&gt;&lt;_pages&gt;1385-1412&lt;/_pages&gt;&lt;_volume&gt;88&lt;/_volume&gt;&lt;/Details&gt;&lt;Extra&gt;&lt;DBUID&gt;{E9F07991-3B72-4492-A7D8-86E559D9F8FE}&lt;/DBUID&gt;&lt;/Extra&gt;&lt;/Item&gt;&lt;/References&gt;&lt;/Group&gt;&lt;/Citation&gt;_x000a_"/>
    <w:docVar w:name="NE.Ref{40009B40-605F-4A1F-833C-4DE487795C97}" w:val=" ADDIN NE.Ref.{40009B40-605F-4A1F-833C-4DE487795C97}&lt;Citation SecTmpl=&quot;1&quot;&gt;&lt;Group&gt;&lt;References&gt;&lt;Item&gt;&lt;ID&gt;687&lt;/ID&gt;&lt;UID&gt;{EA87ABF3-6155-4802-B00F-D8E8C92A6FF9}&lt;/UID&gt;&lt;Title&gt;Tax aggressiveness and corporate transparency&lt;/Title&gt;&lt;Template&gt;Journal Article&lt;/Template&gt;&lt;Star&gt;0&lt;/Star&gt;&lt;Tag&gt;0&lt;/Tag&gt;&lt;Author&gt;Balakrishnan, Karthik; Blouin, Jennifer L; Guay, Wayne R&lt;/Author&gt;&lt;Year&gt;2019&lt;/Year&gt;&lt;Details&gt;&lt;_accessed&gt;63295859&lt;/_accessed&gt;&lt;_alternate_title&gt;The Accounting Review&lt;/_alternate_title&gt;&lt;_created&gt;63284683&lt;/_created&gt;&lt;_date&gt;2019-01-01&lt;/_date&gt;&lt;_date_display&gt;2019&lt;/_date_display&gt;&lt;_isbn&gt;1558-7967&lt;/_isbn&gt;&lt;_issue&gt;1&lt;/_issue&gt;&lt;_journal&gt;The Accounting Review&lt;/_journal&gt;&lt;_modified&gt;63295859&lt;/_modified&gt;&lt;_ori_publication&gt;American Accounting Association&lt;/_ori_publication&gt;&lt;_pages&gt;45-69&lt;/_pages&gt;&lt;_volume&gt;94&lt;/_volume&gt;&lt;/Details&gt;&lt;Extra&gt;&lt;DBUID&gt;{83AC290F-D6FC-4574-9771-6904EE9C30A4}&lt;/DBUID&gt;&lt;/Extra&gt;&lt;/Item&gt;&lt;/References&gt;&lt;/Group&gt;&lt;/Citation&gt;_x000a_"/>
    <w:docVar w:name="NE.Ref{402A0C79-F640-4B35-8F32-09023D9959F7}" w:val=" ADDIN NE.Ref.{402A0C79-F640-4B35-8F32-09023D9959F7}&lt;Citation SecTmpl=&quot;1&quot;&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407D765D-5BC3-410A-8AEF-10207F2D7DE7}" w:val=" ADDIN NE.Ref.{407D765D-5BC3-410A-8AEF-10207F2D7DE7}&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40CF820F-BB4F-4072-9061-EC967159A507}" w:val=" ADDIN NE.Ref.{40CF820F-BB4F-4072-9061-EC967159A507}&lt;Citation SecTmpl=&quot;1&quot;&gt;&lt;Group&gt;&lt;References&gt;&lt;Item&gt;&lt;ID&gt;81&lt;/ID&gt;&lt;UID&gt;{6D78AC12-FB5E-4317-BAB6-D16592E9D043}&lt;/UID&gt;&lt;Title&gt;税收激进行为的外溢效应——来自共同审计师的证据&lt;/Title&gt;&lt;Template&gt;Journal Article&lt;/Template&gt;&lt;Star&gt;0&lt;/Star&gt;&lt;Tag&gt;0&lt;/Tag&gt;&lt;Author&gt;曾姝; 李青原&lt;/Author&gt;&lt;Year&gt;2016&lt;/Year&gt;&lt;Details&gt;&lt;_accessed&gt;61697771&lt;/_accessed&gt;&lt;_author_adr&gt;武汉大学经济与管理学院 430072&lt;/_author_adr&gt;&lt;_author_aff&gt;武汉大学经济与管理学院 430072&lt;/_author_aff&gt;&lt;_collection_scope&gt;CSSCI;中文核心期刊;&lt;/_collection_scope&gt;&lt;_created&gt;61697771&lt;/_created&gt;&lt;_db_provider&gt;北京万方数据股份有限公司&lt;/_db_provider&gt;&lt;_db_updated&gt;Wanfangdata&lt;/_db_updated&gt;&lt;_doi&gt;10.3969/j.issn.1003-2886.2016.06.010&lt;/_doi&gt;&lt;_isbn&gt;1003-2886&lt;/_isbn&gt;&lt;_issue&gt;6&lt;/_issue&gt;&lt;_journal&gt;会计研究&lt;/_journal&gt;&lt;_keywords&gt;共同审计师; 税收激进; 外溢效应; 代理问题&lt;/_keywords&gt;&lt;_language&gt;chi&lt;/_language&gt;&lt;_modified&gt;63228170&lt;/_modified&gt;&lt;_pages&gt;70-76&lt;/_pages&gt;&lt;_tertiary_title&gt;Accounting Research&lt;/_tertiary_title&gt;&lt;_url&gt;http://d.g.wanfangdata.com.cn/Periodical_kjyj201606010.aspx&lt;/_url&gt;&lt;_translated_author&gt;Ceng, Shu;Li, Qingyuan&lt;/_translated_author&gt;&lt;/Details&gt;&lt;Extra&gt;&lt;DBUID&gt;{E9F07991-3B72-4492-A7D8-86E559D9F8FE}&lt;/DBUID&gt;&lt;/Extra&gt;&lt;/Item&gt;&lt;/References&gt;&lt;/Group&gt;&lt;/Citation&gt;_x000a_"/>
    <w:docVar w:name="NE.Ref{40E72288-0340-4CC6-B22D-97E82266362E}" w:val=" ADDIN NE.Ref.{40E72288-0340-4CC6-B22D-97E82266362E}&lt;Citation SecTmpl=&quot;1&quot;&gt;&lt;Group&gt;&lt;References&gt;&lt;Item&gt;&lt;ID&gt;322&lt;/ID&gt;&lt;UID&gt;{C86D1D1F-44CD-44F8-900C-711555C3B404}&lt;/UID&gt;&lt;Title&gt;Tax avoidance: Does tax-specific industry expertise make a difference?&lt;/Title&gt;&lt;Template&gt;Journal Article&lt;/Template&gt;&lt;Star&gt;0&lt;/Star&gt;&lt;Tag&gt;0&lt;/Tag&gt;&lt;Author&gt;McGuire, Sean T; Omer, Thomas C; Wang, Dechun&lt;/Author&gt;&lt;Year&gt;2012&lt;/Year&gt;&lt;Details&gt;&lt;_alternate_title&gt;The Accounting Review&lt;/_alternate_title&gt;&lt;_created&gt;62649249&lt;/_created&gt;&lt;_date&gt;2012-01-01&lt;/_date&gt;&lt;_date_display&gt;2012&lt;/_date_display&gt;&lt;_impact_factor&gt;   4.562&lt;/_impact_factor&gt;&lt;_isbn&gt;0001-4826&lt;/_isbn&gt;&lt;_issue&gt;3&lt;/_issue&gt;&lt;_journal&gt;The Accounting Review&lt;/_journal&gt;&lt;_modified&gt;62877170&lt;/_modified&gt;&lt;_ori_publication&gt;American Accounting Association&lt;/_ori_publication&gt;&lt;_pages&gt;975-1003&lt;/_pages&gt;&lt;_volume&gt;87&lt;/_volume&gt;&lt;/Details&gt;&lt;Extra&gt;&lt;DBUID&gt;{83AC290F-D6FC-4574-9771-6904EE9C30A4}&lt;/DBUID&gt;&lt;/Extra&gt;&lt;/Item&gt;&lt;/References&gt;&lt;/Group&gt;&lt;/Citation&gt;_x000a_"/>
    <w:docVar w:name="NE.Ref{415BB170-F528-4533-B4C3-15151AD3B37D}" w:val=" ADDIN NE.Ref.{415BB170-F528-4533-B4C3-15151AD3B37D}&lt;Citation&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429B1222-2BA6-46FE-97DE-5590542AFC69}" w:val=" ADDIN NE.Ref.{429B1222-2BA6-46FE-97DE-5590542AFC69}&lt;Citation SecTmpl=&quot;1&quot;&gt;&lt;Group&gt;&lt;References&gt;&lt;Item&gt;&lt;ID&gt;171&lt;/ID&gt;&lt;UID&gt;{393CCA84-04BC-445C-966C-9C0C25231B6D}&lt;/UID&gt;&lt;Title&gt;公司避税影响审计定价吗?&lt;/Title&gt;&lt;Template&gt;Journal Article&lt;/Template&gt;&lt;Star&gt;0&lt;/Star&gt;&lt;Tag&gt;0&lt;/Tag&gt;&lt;Author&gt;陈冬; 罗祎&lt;/Author&gt;&lt;Year&gt;2015&lt;/Year&gt;&lt;Details&gt;&lt;_accessed&gt;62053453&lt;/_accessed&gt;&lt;_author_aff&gt;武汉大学经济与管理学院;&lt;/_author_aff&gt;&lt;_collection_scope&gt;CSSCI;中文核心期刊;&lt;/_collection_scope&gt;&lt;_created&gt;61697769&lt;/_created&gt;&lt;_date&gt;60589440&lt;/_date&gt;&lt;_db_provider&gt;CNKI: 期刊&lt;/_db_provider&gt;&lt;_db_updated&gt;CNKI - Reference&lt;/_db_updated&gt;&lt;_issue&gt;03&lt;/_issue&gt;&lt;_journal&gt;经济管理&lt;/_journal&gt;&lt;_keywords&gt;公司避税;审计定价;企业性质;审计师行业专长;法律环境&lt;/_keywords&gt;&lt;_language&gt;Chinese&lt;/_language&gt;&lt;_modified&gt;63295788&lt;/_modified&gt;&lt;_pages&gt;98-109&lt;/_pages&gt;&lt;_url&gt;http://www.cnki.net/KCMS/detail/detail.aspx?FileName=JJGU201503013&amp;amp;DbName=CJFQ2015&lt;/_url&gt;&lt;_translated_author&gt;Chen, Dong;Luo, Yi&lt;/_translated_author&gt;&lt;/Details&gt;&lt;Extra&gt;&lt;DBUID&gt;{E9F07991-3B72-4492-A7D8-86E559D9F8FE}&lt;/DBUID&gt;&lt;/Extra&gt;&lt;/Item&gt;&lt;/References&gt;&lt;/Group&gt;&lt;/Citation&gt;_x000a_"/>
    <w:docVar w:name="NE.Ref{42D63F64-CCAE-485C-B780-42CFBDAFB577}" w:val=" ADDIN NE.Ref.{42D63F64-CCAE-485C-B780-42CFBDAFB577}&lt;Citation SecTmpl=&quot;1&quot;&gt;&lt;Group&gt;&lt;References&gt;&lt;Item&gt;&lt;ID&gt;5&lt;/ID&gt;&lt;UID&gt;{5D90BF9F-E8E2-4796-ABA2-F29B76902E3C}&lt;/UID&gt;&lt;Title&gt;The Quality of Accruals and Earnings: The Role of Accrual Estimation Errors&lt;/Title&gt;&lt;Template&gt;Journal Article&lt;/Template&gt;&lt;Star&gt;0&lt;/Star&gt;&lt;Tag&gt;0&lt;/Tag&gt;&lt;Author&gt;Dechow, Patricia M; Dichev, Ilia D&lt;/Author&gt;&lt;Year&gt;2002&lt;/Year&gt;&lt;Details&gt;&lt;_accessed&gt;61984045&lt;/_accessed&gt;&lt;_created&gt;61983888&lt;/_created&gt;&lt;_db_provider&gt;EconLit&lt;/_db_provider&gt;&lt;_db_updated&gt;CrossRef&lt;/_db_updated&gt;&lt;_doi&gt;10.2308/accr.2002.77.s-1.35&lt;/_doi&gt;&lt;_impact_factor&gt;   4.562&lt;/_impact_factor&gt;&lt;_isbn&gt;0001-4826&lt;/_isbn&gt;&lt;_issue&gt;s-1&lt;/_issue&gt;&lt;_journal&gt;The Accounting Review&lt;/_journal&gt;&lt;_keywords&gt;U.S; Accounting (M41); Northern America; Estimation theory; Research; Accounting; Profit; Accrual basis accounting; Usage&lt;/_keywords&gt;&lt;_language&gt;English&lt;/_language&gt;&lt;_modified&gt;62983578&lt;/_modified&gt;&lt;_pages&gt;35-59&lt;/_pages&gt;&lt;_tertiary_title&gt;The Accounting Review&lt;/_tertiary_title&gt;&lt;_url&gt;http://aaajournals.org/doi/10.2308/accr.2002.77.s-1.35_x000d__x000a_http://aaajournals.org/doi/pdf/10.2308/accr.2002.77.s-1.35&lt;/_url&gt;&lt;_volume&gt;77&lt;/_volume&gt;&lt;/Details&gt;&lt;Extra&gt;&lt;DBUID&gt;{33BA340C-9D61-4380-9AC0-75859ADA3E7E}&lt;/DBUID&gt;&lt;/Extra&gt;&lt;/Item&gt;&lt;/References&gt;&lt;/Group&gt;&lt;/Citation&gt;_x000a_"/>
    <w:docVar w:name="NE.Ref{42F96058-6E14-422B-8BF2-737677BCB4DF}" w:val=" ADDIN NE.Ref.{42F96058-6E14-422B-8BF2-737677BCB4DF}&lt;Citation SecTmpl=&quot;1&quot;&gt;&lt;Group&gt;&lt;References&gt;&lt;Item&gt;&lt;ID&gt;86&lt;/ID&gt;&lt;UID&gt;{3CD6102F-1F48-4D0E-B029-81887B709E47}&lt;/UID&gt;&lt;Title&gt;Corporate tax avoidance and high-powered incentives&lt;/Title&gt;&lt;Template&gt;Journal Article&lt;/Template&gt;&lt;Star&gt;0&lt;/Star&gt;&lt;Tag&gt;0&lt;/Tag&gt;&lt;Author&gt;Desai, Mihir A; Dharmapala, Dhammika&lt;/Author&gt;&lt;Year&gt;2006&lt;/Year&gt;&lt;Details&gt;&lt;_accessed&gt;63309299&lt;/_accessed&gt;&lt;_alternate_title&gt;Journal of Financial Economics&lt;/_alternate_title&gt;&lt;_collection_scope&gt;SSCI&lt;/_collection_scope&gt;&lt;_created&gt;63228696&lt;/_created&gt;&lt;_date&gt;2006-01-01&lt;/_date&gt;&lt;_date_display&gt;2006&lt;/_date_display&gt;&lt;_impact_factor&gt;   4.693&lt;/_impact_factor&gt;&lt;_isbn&gt;0304-405X&lt;/_isbn&gt;&lt;_issue&gt;1&lt;/_issue&gt;&lt;_journal&gt;Journal of Financial Economics&lt;/_journal&gt;&lt;_modified&gt;63309297&lt;/_modified&gt;&lt;_ori_publication&gt;Elsevier&lt;/_ori_publication&gt;&lt;_pages&gt;145-179&lt;/_pages&gt;&lt;_volume&gt;79&lt;/_volume&gt;&lt;/Details&gt;&lt;Extra&gt;&lt;DBUID&gt;{E9F07991-3B72-4492-A7D8-86E559D9F8FE}&lt;/DBUID&gt;&lt;/Extra&gt;&lt;/Item&gt;&lt;/References&gt;&lt;/Group&gt;&lt;/Citation&gt;_x000a_"/>
    <w:docVar w:name="NE.Ref{4324B2DA-65FE-4CD1-9FF8-0BA592883A07}" w:val=" ADDIN NE.Ref.{4324B2DA-65FE-4CD1-9FF8-0BA592883A07}&lt;Citation&gt;&lt;Group&gt;&lt;References&gt;&lt;Item&gt;&lt;ID&gt;45&lt;/ID&gt;&lt;UID&gt;{2E389835-BC6B-43C3-97CE-163AEACD9757}&lt;/UID&gt;&lt;Title&gt;Effective corporate tax rates the effect of size, capital intensity, leverage, and other factors&lt;/Title&gt;&lt;Template&gt;Journal Article&lt;/Template&gt;&lt;Star&gt;0&lt;/Star&gt;&lt;Tag&gt;0&lt;/Tag&gt;&lt;Author&gt;Stickney, Clyde P; McGee, Victor E&lt;/Author&gt;&lt;Year&gt;1982&lt;/Year&gt;&lt;Details&gt;&lt;_alternate_title&gt;Journal of accounting and public policy&lt;/_alternate_title&gt;&lt;_collection_scope&gt;SSCI&lt;/_collection_scope&gt;&lt;_created&gt;63224423&lt;/_created&gt;&lt;_date&gt;1982-01-01&lt;/_date&gt;&lt;_date_display&gt;1982&lt;/_date_display&gt;&lt;_impact_factor&gt;   2.269&lt;/_impact_factor&gt;&lt;_isbn&gt;0278-4254&lt;/_isbn&gt;&lt;_issue&gt;2&lt;/_issue&gt;&lt;_journal&gt;Journal of accounting and public policy&lt;/_journal&gt;&lt;_modified&gt;63224423&lt;/_modified&gt;&lt;_ori_publication&gt;Elsevier&lt;/_ori_publication&gt;&lt;_pages&gt;125-152&lt;/_pages&gt;&lt;_volume&gt;1&lt;/_volume&gt;&lt;/Details&gt;&lt;Extra&gt;&lt;DBUID&gt;{E9F07991-3B72-4492-A7D8-86E559D9F8FE}&lt;/DBUID&gt;&lt;/Extra&gt;&lt;/Item&gt;&lt;/References&gt;&lt;/Group&gt;&lt;/Citation&gt;_x000a_"/>
    <w:docVar w:name="NE.Ref{44181BED-97F1-498A-83F2-B130A8A3ADD7}" w:val=" ADDIN NE.Ref.{44181BED-97F1-498A-83F2-B130A8A3ADD7}&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44825A39-30C1-4D8A-8F15-26F90759F805}" w:val=" ADDIN NE.Ref.{44825A39-30C1-4D8A-8F15-26F90759F805}&lt;Citation SecTmpl=&quot;1&quot;&gt;&lt;Group&gt;&lt;References&gt;&lt;Item&gt;&lt;ID&gt;176&lt;/ID&gt;&lt;UID&gt;{21F9253E-BE4B-44CF-81F3-C1D8537C6DD2}&lt;/UID&gt;&lt;Title&gt;会计师事务所转制对审计质量有影响吗？&lt;/Title&gt;&lt;Template&gt;Journal Article&lt;/Template&gt;&lt;Star&gt;0&lt;/Star&gt;&lt;Tag&gt;0&lt;/Tag&gt;&lt;Author&gt;刘行健; 王开田&lt;/Author&gt;&lt;Year&gt;2014&lt;/Year&gt;&lt;Details&gt;&lt;_collection_scope&gt;CSSCI-C;PKU&lt;/_collection_scope&gt;&lt;_created&gt;62681253&lt;/_created&gt;&lt;_date&gt;2014-01-01&lt;/_date&gt;&lt;_date_display&gt;2014&lt;/_date_display&gt;&lt;_issue&gt;4&lt;/_issue&gt;&lt;_journal&gt;会计研究&lt;/_journal&gt;&lt;_modified&gt;62685515&lt;/_modified&gt;&lt;_pages&gt;88-94&lt;/_pages&gt;&lt;_translated_author&gt;Liu, Xingjian;Wang, Kaitian&lt;/_translated_author&gt;&lt;/Details&gt;&lt;Extra&gt;&lt;DBUID&gt;{2097646C-7C2F-4992-8A9B-6FF23AE7F1B7}&lt;/DBUID&gt;&lt;/Extra&gt;&lt;/Item&gt;&lt;/References&gt;&lt;/Group&gt;&lt;/Citation&gt;_x000a_"/>
    <w:docVar w:name="NE.Ref{450E26DA-9F64-46B6-AC3F-F86B73459632}" w:val=" ADDIN NE.Ref.{450E26DA-9F64-46B6-AC3F-F86B73459632}&lt;Citation SecTmpl=&quot;1&quot;&gt;&lt;Group&gt;&lt;References&gt;&lt;Item&gt;&lt;ID&gt;38&lt;/ID&gt;&lt;UID&gt;{DE5487CB-7043-4510-A48F-5C542661EA12}&lt;/UID&gt;&lt;Title&gt;Does mandatory rotation of audit partners improve audit quality?&lt;/Title&gt;&lt;Template&gt;Journal Article&lt;/Template&gt;&lt;Star&gt;0&lt;/Star&gt;&lt;Tag&gt;0&lt;/Tag&gt;&lt;Author&gt;Lennox, Clive S; Wu, Xi; Zhang, Tianyu&lt;/Author&gt;&lt;Year&gt;2014&lt;/Year&gt;&lt;Details&gt;&lt;_alternate_title&gt;The accounting review&lt;/_alternate_title&gt;&lt;_created&gt;63224357&lt;/_created&gt;&lt;_date&gt;2014-01-01&lt;/_date&gt;&lt;_date_display&gt;2014&lt;/_date_display&gt;&lt;_isbn&gt;1558-7967&lt;/_isbn&gt;&lt;_issue&gt;5&lt;/_issue&gt;&lt;_journal&gt;The accounting review&lt;/_journal&gt;&lt;_modified&gt;63224357&lt;/_modified&gt;&lt;_ori_publication&gt;American Accounting Association&lt;/_ori_publication&gt;&lt;_pages&gt;1775-1803&lt;/_pages&gt;&lt;_volume&gt;89&lt;/_volume&gt;&lt;/Details&gt;&lt;Extra&gt;&lt;DBUID&gt;{E9F07991-3B72-4492-A7D8-86E559D9F8FE}&lt;/DBUID&gt;&lt;/Extra&gt;&lt;/Item&gt;&lt;/References&gt;&lt;/Group&gt;&lt;/Citation&gt;_x000a_"/>
    <w:docVar w:name="NE.Ref{461E8670-A054-440E-AEBE-F18178E731A1}" w:val=" ADDIN NE.Ref.{461E8670-A054-440E-AEBE-F18178E731A1}&lt;Citation SecTmpl=&quot;1&quot;&gt;&lt;Group&gt;&lt;References&gt;&lt;Item&gt;&lt;ID&gt;58&lt;/ID&gt;&lt;UID&gt;{BBE49ADC-1D63-4122-9146-675A8D4C9C33}&lt;/UID&gt;&lt;Title&gt;Network ties among low-tax firms&lt;/Title&gt;&lt;Template&gt;Journal Article&lt;/Template&gt;&lt;Star&gt;0&lt;/Star&gt;&lt;Tag&gt;0&lt;/Tag&gt;&lt;Author&gt;Brown, Jennifer L; Drake, Katharine D&lt;/Author&gt;&lt;Year&gt;2014&lt;/Year&gt;&lt;Details&gt;&lt;_alternate_title&gt;The Accounting Review&lt;/_alternate_title&gt;&lt;_created&gt;63225537&lt;/_created&gt;&lt;_date&gt;2014-01-01&lt;/_date&gt;&lt;_date_display&gt;2014&lt;/_date_display&gt;&lt;_isbn&gt;1558-7967&lt;/_isbn&gt;&lt;_issue&gt;2&lt;/_issue&gt;&lt;_journal&gt;The Accounting Review&lt;/_journal&gt;&lt;_modified&gt;63225537&lt;/_modified&gt;&lt;_ori_publication&gt;American Accounting Association&lt;/_ori_publication&gt;&lt;_pages&gt;483-510&lt;/_pages&gt;&lt;_volume&gt;89&lt;/_volume&gt;&lt;/Details&gt;&lt;Extra&gt;&lt;DBUID&gt;{E9F07991-3B72-4492-A7D8-86E559D9F8FE}&lt;/DBUID&gt;&lt;/Extra&gt;&lt;/Item&gt;&lt;/References&gt;&lt;/Group&gt;&lt;/Citation&gt;_x000a_"/>
    <w:docVar w:name="NE.Ref{465F2BC1-5814-4E33-938C-00420A622C2E}" w:val=" ADDIN NE.Ref.{465F2BC1-5814-4E33-938C-00420A622C2E}&lt;Citation&gt;&lt;Group&gt;&lt;References&gt;&lt;Item&gt;&lt;ID&gt;47&lt;/ID&gt;&lt;UID&gt;{C788D399-4373-41DA-A969-410EBB2E9439}&lt;/UID&gt;&lt;Title&gt;Are family firms more tax aggressive than non-family firms?&lt;/Title&gt;&lt;Template&gt;Journal Article&lt;/Template&gt;&lt;Star&gt;0&lt;/Star&gt;&lt;Tag&gt;0&lt;/Tag&gt;&lt;Author&gt;Chen, Shuping; Chen, Xia; Cheng, Qiang; Shevlin, Terry&lt;/Author&gt;&lt;Year&gt;2010&lt;/Year&gt;&lt;Details&gt;&lt;_alternate_title&gt;Journal of Financial Economics&lt;/_alternate_title&gt;&lt;_collection_scope&gt;SSCI&lt;/_collection_scope&gt;&lt;_created&gt;63224439&lt;/_created&gt;&lt;_date&gt;2010-01-01&lt;/_date&gt;&lt;_date_display&gt;2010&lt;/_date_display&gt;&lt;_impact_factor&gt;   4.693&lt;/_impact_factor&gt;&lt;_isbn&gt;0304-405X&lt;/_isbn&gt;&lt;_issue&gt;1&lt;/_issue&gt;&lt;_journal&gt;Journal of Financial Economics&lt;/_journal&gt;&lt;_modified&gt;63224439&lt;/_modified&gt;&lt;_ori_publication&gt;Elsevier&lt;/_ori_publication&gt;&lt;_pages&gt;41-61&lt;/_pages&gt;&lt;_volume&gt;95&lt;/_volume&gt;&lt;/Details&gt;&lt;Extra&gt;&lt;DBUID&gt;{E9F07991-3B72-4492-A7D8-86E559D9F8FE}&lt;/DBUID&gt;&lt;/Extra&gt;&lt;/Item&gt;&lt;/References&gt;&lt;/Group&gt;&lt;/Citation&gt;_x000a_"/>
    <w:docVar w:name="NE.Ref{46BF82A4-E899-429F-A8A8-4AD2289D29AD}" w:val=" ADDIN NE.Ref.{46BF82A4-E899-429F-A8A8-4AD2289D29AD}&lt;Citation SecTmpl=&quot;1&quot;&gt;&lt;Group&gt;&lt;References&gt;&lt;Item&gt;&lt;ID&gt;28&lt;/ID&gt;&lt;UID&gt;{4F15A78B-CCEC-43BB-B4F6-6D3707E9DF69}&lt;/UID&gt;&lt;Title&gt;内部控制质量与内部人寻租——基于内部人交易视角的经验证据&lt;/Title&gt;&lt;Template&gt;Journal Article&lt;/Template&gt;&lt;Star&gt;0&lt;/Star&gt;&lt;Tag&gt;0&lt;/Tag&gt;&lt;Author&gt;陈作华&lt;/Author&gt;&lt;Year&gt;2015&lt;/Year&gt;&lt;Details&gt;&lt;_accessed&gt;63268336&lt;/_accessed&gt;&lt;_author_aff&gt;东北财经大学会计学院/中国内部控制研究中心;青岛农业大学经济与管理学院;&lt;/_author_aff&gt;&lt;_collection_scope&gt;CSSCI-C;PKU&lt;/_collection_scope&gt;&lt;_created&gt;63267311&lt;/_created&gt;&lt;_date&gt;60670080&lt;/_date&gt;&lt;_db_provider&gt;CNKI: 期刊&lt;/_db_provider&gt;&lt;_db_updated&gt;CNKI - Reference&lt;/_db_updated&gt;&lt;_issue&gt;05&lt;/_issue&gt;&lt;_journal&gt;证券市场导报&lt;/_journal&gt;&lt;_keywords&gt;内部控制;内部人寻租;内部人交易;信息不对称&lt;/_keywords&gt;&lt;_modified&gt;63268336&lt;/_modified&gt;&lt;_pages&gt;25-32&lt;/_pages&gt;&lt;_url&gt;http://kns.cnki.net/KCMS/detail/detail.aspx?FileName=ZQDB201505007&amp;amp;DbName=CJFQ2015&lt;/_url&gt;&lt;_translated_author&gt;Chen, Zuohua&lt;/_translated_author&gt;&lt;/Details&gt;&lt;Extra&gt;&lt;DBUID&gt;{439358B4-FA18-4C63-A3A1-0E3BE4066E7A}&lt;/DBUID&gt;&lt;/Extra&gt;&lt;/Item&gt;&lt;/References&gt;&lt;/Group&gt;&lt;/Citation&gt;_x000a_"/>
    <w:docVar w:name="NE.Ref{46CD8C41-1E61-45F0-8873-1625D93607BA}" w:val=" ADDIN NE.Ref.{46CD8C41-1E61-45F0-8873-1625D93607BA}&lt;Citation&gt;&lt;Group&gt;&lt;References&gt;&lt;Item&gt;&lt;ID&gt;16&lt;/ID&gt;&lt;UID&gt;{B3523654-521D-48AC-98DF-25AE58C2161D}&lt;/UID&gt;&lt;Title&gt;融券制度与内部人寻租——来自准自然实验的经验证据&lt;/Title&gt;&lt;Template&gt;Journal Article&lt;/Template&gt;&lt;Star&gt;0&lt;/Star&gt;&lt;Tag&gt;0&lt;/Tag&gt;&lt;Author&gt;张洪辉; 平帆; 章琳一&lt;/Author&gt;&lt;Year&gt;2020&lt;/Year&gt;&lt;Details&gt;&lt;_accessed&gt;63268338&lt;/_accessed&gt;&lt;_author_aff&gt;江西财经大学会计学院;中国人民大学商学院;&lt;/_author_aff&gt;&lt;_collection_scope&gt;CSSCI-C&lt;/_collection_scope&gt;&lt;_created&gt;63267310&lt;/_created&gt;&lt;_date&gt;63221760&lt;/_date&gt;&lt;_db_provider&gt;CNKI: 期刊&lt;/_db_provider&gt;&lt;_db_updated&gt;CNKI - Reference&lt;/_db_updated&gt;&lt;_issue&gt;03&lt;/_issue&gt;&lt;_journal&gt;经济管理&lt;/_journal&gt;&lt;_keywords&gt;融券制度;内部人寻租;信息效应;竞争效应;产权性质&lt;/_keywords&gt;&lt;_modified&gt;63268338&lt;/_modified&gt;&lt;_pages&gt;166-191&lt;/_pages&gt;&lt;_url&gt;http://kns.cnki.net/KCMS/detail/detail.aspx?FileName=JJGU202003011&amp;amp;DbName=CJFQTEMP&lt;/_url&gt;&lt;_volume&gt;42&lt;/_volume&gt;&lt;_translated_author&gt;Zhang, Honghui;Ping, Fan;Zhang, Linyi&lt;/_translated_author&gt;&lt;/Details&gt;&lt;Extra&gt;&lt;DBUID&gt;{439358B4-FA18-4C63-A3A1-0E3BE4066E7A}&lt;/DBUID&gt;&lt;/Extra&gt;&lt;/Item&gt;&lt;/References&gt;&lt;/Group&gt;&lt;Group&gt;&lt;References&gt;&lt;Item&gt;&lt;ID&gt;38&lt;/ID&gt;&lt;UID&gt;{37AF4881-5A7F-4F44-A262-B232A7DDDF8B}&lt;/UID&gt;&lt;Title&gt;影响公司高管交易行为内部差异的因素：“信息优势”还是“收入补偿动机”&lt;/Title&gt;&lt;Template&gt;Journal Article&lt;/Template&gt;&lt;Star&gt;0&lt;/Star&gt;&lt;Tag&gt;0&lt;/Tag&gt;&lt;Author&gt;曾庆生; 程博&lt;/Author&gt;&lt;Year&gt;2019&lt;/Year&gt;&lt;Details&gt;&lt;_accessed&gt;63268336&lt;/_accessed&gt;&lt;_author_aff&gt;上海财经大学会计与财务研究院;浙江农林大学暨阳学院;&lt;/_author_aff&gt;&lt;_collection_scope&gt;CSSCI-C;PKU&lt;/_collection_scope&gt;&lt;_created&gt;63267311&lt;/_created&gt;&lt;_date&gt;63079200&lt;/_date&gt;&lt;_db_provider&gt;CNKI: 期刊&lt;/_db_provider&gt;&lt;_db_updated&gt;CNKI - Reference&lt;/_db_updated&gt;&lt;_issue&gt;06&lt;/_issue&gt;&lt;_journal&gt;南开管理评论&lt;/_journal&gt;&lt;_keywords&gt;高管交易;薪酬相对水平;信息优势;收入补偿动机&lt;/_keywords&gt;&lt;_language&gt;Chinese&lt;/_language&gt;&lt;_modified&gt;63268336&lt;/_modified&gt;&lt;_pages&gt;127-139&lt;/_pages&gt;&lt;_url&gt;http://kns.cnki.net/KCMS/detail/detail.aspx?FileName=LKGP201906012&amp;amp;DbName=CJFQ2019&lt;/_url&gt;&lt;_volume&gt;22&lt;/_volume&gt;&lt;_translated_author&gt;Ceng, Qingsheng;Cheng, Bo&lt;/_translated_author&gt;&lt;/Details&gt;&lt;Extra&gt;&lt;DBUID&gt;{439358B4-FA18-4C63-A3A1-0E3BE4066E7A}&lt;/DBUID&gt;&lt;/Extra&gt;&lt;/Item&gt;&lt;/References&gt;&lt;/Group&gt;&lt;/Citation&gt;_x000a_"/>
    <w:docVar w:name="NE.Ref{474FA45D-9C31-4339-A487-DA77F1C43C51}" w:val=" ADDIN NE.Ref.{474FA45D-9C31-4339-A487-DA77F1C43C51}&lt;Citation SecTmpl=&quot;1&quot;&gt;&lt;Group&gt;&lt;References&gt;&lt;Item&gt;&lt;ID&gt;279&lt;/ID&gt;&lt;UID&gt;{EBF46A7E-2BCA-4A46-9080-B75AB5E64379}&lt;/UID&gt;&lt;Title&gt;An emerging market&amp;apos;s reaction to initial modified audit opinions: Evidence from the Shanghai Stock Exchange&lt;/Title&gt;&lt;Template&gt;Journal Article&lt;/Template&gt;&lt;Star&gt;0&lt;/Star&gt;&lt;Tag&gt;0&lt;/Tag&gt;&lt;Author&gt;Chen, Charles JP; Su, Xijia; Zhao, Ronald&lt;/Author&gt;&lt;Year&gt;2000&lt;/Year&gt;&lt;Details&gt;&lt;_alternate_title&gt;Contemporary Accounting Research&lt;/_alternate_title&gt;&lt;_collection_scope&gt;SSCI&lt;/_collection_scope&gt;&lt;_created&gt;63304753&lt;/_created&gt;&lt;_date&gt;2000-01-01&lt;/_date&gt;&lt;_date_display&gt;2000&lt;/_date_display&gt;&lt;_impact_factor&gt;   2.261&lt;/_impact_factor&gt;&lt;_isbn&gt;0823-9150&lt;/_isbn&gt;&lt;_issue&gt;3&lt;/_issue&gt;&lt;_journal&gt;Contemporary Accounting Research&lt;/_journal&gt;&lt;_modified&gt;63304753&lt;/_modified&gt;&lt;_ori_publication&gt;Wiley Online Library&lt;/_ori_publication&gt;&lt;_pages&gt;429-455&lt;/_pages&gt;&lt;_volume&gt;17&lt;/_volume&gt;&lt;/Details&gt;&lt;Extra&gt;&lt;DBUID&gt;{2097646C-7C2F-4992-8A9B-6FF23AE7F1B7}&lt;/DBUID&gt;&lt;/Extra&gt;&lt;/Item&gt;&lt;/References&gt;&lt;/Group&gt;&lt;/Citation&gt;_x000a_"/>
    <w:docVar w:name="NE.Ref{47AC7035-5E9A-49FB-802B-F61E7D6FFBD1}" w:val=" ADDIN NE.Ref.{47AC7035-5E9A-49FB-802B-F61E7D6FFBD1}&lt;Citation&gt;&lt;Group&gt;&lt;References&gt;&lt;Item&gt;&lt;ID&gt;128&lt;/ID&gt;&lt;UID&gt;{C9759D89-D911-4DDD-8D68-05772AD204D9}&lt;/UID&gt;&lt;Title&gt;公司治理与掏空&lt;/Title&gt;&lt;Template&gt;Journal Article&lt;/Template&gt;&lt;Star&gt;0&lt;/Star&gt;&lt;Tag&gt;0&lt;/Tag&gt;&lt;Author&gt;高雷; 何少华; 黄志忠&lt;/Author&gt;&lt;Year&gt;2006&lt;/Year&gt;&lt;Details&gt;&lt;_accessed&gt;63241056&lt;/_accessed&gt;&lt;_author_aff&gt;汕头大学商学院;汕头大学商学院;汕头大学商学院;&lt;/_author_aff&gt;&lt;_created&gt;63241052&lt;/_created&gt;&lt;_date&gt;56031840&lt;/_date&gt;&lt;_db_provider&gt;CNKI: 期刊&lt;/_db_provider&gt;&lt;_db_updated&gt;CNKI - Reference&lt;/_db_updated&gt;&lt;_issue&gt;03&lt;/_issue&gt;&lt;_journal&gt;经济学(季刊)&lt;/_journal&gt;&lt;_keywords&gt;公司治理;掏空;资金占用&lt;/_keywords&gt;&lt;_language&gt;Chinese&lt;/_language&gt;&lt;_modified&gt;63241056&lt;/_modified&gt;&lt;_pages&gt;1157-1178&lt;/_pages&gt;&lt;_url&gt;http://kns.cnki.net/KCMS/detail/detail.aspx?FileName=JJXU200603008&amp;amp;DbName=CJFQ2006&lt;/_url&gt;&lt;_translated_author&gt;Gao, Lei;He, Shaohua;Huang, Zhizhong&lt;/_translated_author&gt;&lt;/Details&gt;&lt;Extra&gt;&lt;DBUID&gt;{E9F07991-3B72-4492-A7D8-86E559D9F8FE}&lt;/DBUID&gt;&lt;/Extra&gt;&lt;/Item&gt;&lt;/References&gt;&lt;/Group&gt;&lt;Group&gt;&lt;References&gt;&lt;Item&gt;&lt;ID&gt;109&lt;/ID&gt;&lt;UID&gt;{F42C24EC-94F2-4B27-AD3B-5200821BEA34}&lt;/UID&gt;&lt;Title&gt;股权激励能够抑制大股东掏空吗?&lt;/Title&gt;&lt;Template&gt;Journal Article&lt;/Template&gt;&lt;Star&gt;0&lt;/Star&gt;&lt;Tag&gt;0&lt;/Tag&gt;&lt;Author&gt;丑建忠; 黄志忠; 谢军&lt;/Author&gt;&lt;Year&gt;2008&lt;/Year&gt;&lt;Details&gt;&lt;_accessed&gt;63241050&lt;/_accessed&gt;&lt;_author_aff&gt;厦门大学王亚南经济研究院;汕头大学商学院;华南师范大学经济与管理学院;&lt;/_author_aff&gt;&lt;_collection_scope&gt;CSSCI-C&lt;/_collection_scope&gt;&lt;_created&gt;63240989&lt;/_created&gt;&lt;_date&gt;57159360&lt;/_date&gt;&lt;_db_provider&gt;CNKI: 期刊&lt;/_db_provider&gt;&lt;_db_updated&gt;CNKI - Reference&lt;/_db_updated&gt;&lt;_issue&gt;17&lt;/_issue&gt;&lt;_journal&gt;经济管理&lt;/_journal&gt;&lt;_keywords&gt;所有权结构;股权激励;掏空&lt;/_keywords&gt;&lt;_language&gt;Chinese&lt;/_language&gt;&lt;_modified&gt;63241050&lt;/_modified&gt;&lt;_pages&gt;48-53&lt;/_pages&gt;&lt;_url&gt;http://kns.cnki.net/KCMS/detail/detail.aspx?FileName=JJGU200817013&amp;amp;DbName=CJFQ2008&lt;/_url&gt;&lt;_translated_author&gt;Chou, Jianzhong;Huang, Zhizhong;Xie, Jun&lt;/_translated_author&gt;&lt;/Details&gt;&lt;Extra&gt;&lt;DBUID&gt;{E9F07991-3B72-4492-A7D8-86E559D9F8FE}&lt;/DBUID&gt;&lt;/Extra&gt;&lt;/Item&gt;&lt;/References&gt;&lt;/Group&gt;&lt;/Citation&gt;_x000a_"/>
    <w:docVar w:name="NE.Ref{491DAEBD-A212-488A-A4A6-A747C240AC73}" w:val=" ADDIN NE.Ref.{491DAEBD-A212-488A-A4A6-A747C240AC73}&lt;Citation&gt;&lt;Group&gt;&lt;References&gt;&lt;Item&gt;&lt;ID&gt;66&lt;/ID&gt;&lt;UID&gt;{6DC66072-8C78-49D3-8BB3-B61DD43ADF3A}&lt;/UID&gt;&lt;Title&gt;Tax collector or tax avoider? An investigation of intergovernmental agency conflicts&lt;/Title&gt;&lt;Template&gt;Journal Article&lt;/Template&gt;&lt;Star&gt;0&lt;/Star&gt;&lt;Tag&gt;0&lt;/Tag&gt;&lt;Author&gt;Tang, Tanya; Mo, Phyllis Lai Lan; Chan, K Hung&lt;/Author&gt;&lt;Year&gt;2017&lt;/Year&gt;&lt;Details&gt;&lt;_alternate_title&gt;The Accounting Review&lt;/_alternate_title&gt;&lt;_created&gt;63226616&lt;/_created&gt;&lt;_date&gt;2017-01-01&lt;/_date&gt;&lt;_date_display&gt;2017&lt;/_date_display&gt;&lt;_isbn&gt;1558-7967&lt;/_isbn&gt;&lt;_issue&gt;2&lt;/_issue&gt;&lt;_journal&gt;The Accounting Review&lt;/_journal&gt;&lt;_modified&gt;63226616&lt;/_modified&gt;&lt;_ori_publication&gt;American Accounting Association&lt;/_ori_publication&gt;&lt;_pages&gt;247-270&lt;/_pages&gt;&lt;_volume&gt;92&lt;/_volume&gt;&lt;/Details&gt;&lt;Extra&gt;&lt;DBUID&gt;{E9F07991-3B72-4492-A7D8-86E559D9F8FE}&lt;/DBUID&gt;&lt;/Extra&gt;&lt;/Item&gt;&lt;/References&gt;&lt;/Group&gt;&lt;/Citation&gt;_x000a_"/>
    <w:docVar w:name="NE.Ref{492DDAA9-CACB-4E5A-B4A0-848A7A0A360D}" w:val=" ADDIN NE.Ref.{492DDAA9-CACB-4E5A-B4A0-848A7A0A360D}&lt;Citation SecTmpl=&quot;1&quot;&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Citation&gt;_x000a_"/>
    <w:docVar w:name="NE.Ref{498F8BAA-81C3-4BF0-ADA6-AA2AE28FCF1F}" w:val=" ADDIN NE.Ref.{498F8BAA-81C3-4BF0-ADA6-AA2AE28FCF1F}&lt;Citation&gt;&lt;Group&gt;&lt;References&gt;&lt;Item&gt;&lt;ID&gt;277&lt;/ID&gt;&lt;UID&gt;{A232C08B-807E-486E-B5B9-16CE5811D3F7}&lt;/UID&gt;&lt;Title&gt;The relationship between auditor tenure and audit quality implied by going concern opinions&lt;/Title&gt;&lt;Template&gt;Journal Article&lt;/Template&gt;&lt;Star&gt;0&lt;/Star&gt;&lt;Tag&gt;0&lt;/Tag&gt;&lt;Author&gt;Knechel, W Robert; Vanstraelen, Ann&lt;/Author&gt;&lt;Year&gt;2007&lt;/Year&gt;&lt;Details&gt;&lt;_alternate_title&gt;AUDITING: A journal of practice &amp;amp; theory&lt;/_alternate_title&gt;&lt;_created&gt;63303354&lt;/_created&gt;&lt;_date&gt;2007-01-01&lt;/_date&gt;&lt;_date_display&gt;2007&lt;/_date_display&gt;&lt;_impact_factor&gt;   2.642&lt;/_impact_factor&gt;&lt;_isbn&gt;0278-0380&lt;/_isbn&gt;&lt;_issue&gt;1&lt;/_issue&gt;&lt;_journal&gt;AUDITING: A journal of practice &amp;amp; theory&lt;/_journal&gt;&lt;_modified&gt;63303354&lt;/_modified&gt;&lt;_pages&gt;113-131&lt;/_pages&gt;&lt;_volume&gt;26&lt;/_volume&gt;&lt;/Details&gt;&lt;Extra&gt;&lt;DBUID&gt;{2097646C-7C2F-4992-8A9B-6FF23AE7F1B7}&lt;/DBUID&gt;&lt;/Extra&gt;&lt;/Item&gt;&lt;/References&gt;&lt;/Group&gt;&lt;/Citation&gt;_x000a_"/>
    <w:docVar w:name="NE.Ref{4A2B7146-E3C9-4337-B829-87F73F4CB77E}" w:val=" ADDIN NE.Ref.{4A2B7146-E3C9-4337-B829-87F73F4CB77E}&lt;Citation SecTmpl=&quot;1&quot;&gt;&lt;Group&gt;&lt;References&gt;&lt;Item&gt;&lt;ID&gt;40&lt;/ID&gt;&lt;UID&gt;{60B34034-051D-4D7D-855C-EA6914FF17E0}&lt;/UID&gt;&lt;Title&gt;审计投入的产出效应&lt;/Title&gt;&lt;Template&gt;Journal Article&lt;/Template&gt;&lt;Star&gt;0&lt;/Star&gt;&lt;Tag&gt;0&lt;/Tag&gt;&lt;Author&gt;李伟; 韩晓梅; 吴联生&lt;/Author&gt;&lt;Year&gt;2018&lt;/Year&gt;&lt;Details&gt;&lt;_accessed&gt;62469353&lt;/_accessed&gt;&lt;_author_adr&gt;北京第二外国语学院国际商学院 100026; 南京理工大学经济管理学院 210094; 北京大学光华管理学院 100871&lt;/_author_adr&gt;&lt;_author_aff&gt;北京第二外国语学院国际商学院 100026; 南京理工大学经济管理学院 210094; 北京大学光华管理学院 100871&lt;/_author_aff&gt;&lt;_collection_scope&gt;CSSCI;中文核心期刊;&lt;/_collection_scope&gt;&lt;_created&gt;62469353&lt;/_created&gt;&lt;_db_provider&gt;北京万方数据股份有限公司&lt;/_db_provider&gt;&lt;_db_updated&gt;Wanfangdata&lt;/_db_updated&gt;&lt;_isbn&gt;1003-2886&lt;/_isbn&gt;&lt;_issue&gt;3&lt;/_issue&gt;&lt;_journal&gt;会计研究&lt;/_journal&gt;&lt;_keywords&gt;审计投入; 审计质量; 审计收费&lt;/_keywords&gt;&lt;_language&gt;chi&lt;/_language&gt;&lt;_modified&gt;63224410&lt;/_modified&gt;&lt;_pages&gt;71-77&lt;/_pages&gt;&lt;_tertiary_title&gt;Accounting Research&lt;/_tertiary_title&gt;&lt;_translated_title&gt;The Input-Output Effect of Audit Services&lt;/_translated_title&gt;&lt;_url&gt;http://www.wanfangdata.com.cn/details/detail.do?_type=perio&amp;amp;id=kjyj201803010&lt;/_url&gt;&lt;_translated_author&gt;Li, Wei;Han, Xiaomei;Wu, Liansheng&lt;/_translated_author&gt;&lt;/Details&gt;&lt;Extra&gt;&lt;DBUID&gt;{E9F07991-3B72-4492-A7D8-86E559D9F8FE}&lt;/DBUID&gt;&lt;/Extra&gt;&lt;/Item&gt;&lt;/References&gt;&lt;/Group&gt;&lt;/Citation&gt;_x000a_"/>
    <w:docVar w:name="NE.Ref{4A6F459E-964C-4F7D-803F-D6CEB7BB0C3B}" w:val=" ADDIN NE.Ref.{4A6F459E-964C-4F7D-803F-D6CEB7BB0C3B}&lt;Citation SecTmpl=&quot;1&quot;&gt;&lt;Group&gt;&lt;References&gt;&lt;Item&gt;&lt;ID&gt;310&lt;/ID&gt;&lt;UID&gt;{862BB5A3-2CC9-469C-AF3E-2301A2ECADC3}&lt;/UID&gt;&lt;Title&gt;Corporate tax avoidance and stock price crash risk: Firm-level analysis&lt;/Title&gt;&lt;Template&gt;Journal Article&lt;/Template&gt;&lt;Star&gt;0&lt;/Star&gt;&lt;Tag&gt;0&lt;/Tag&gt;&lt;Author&gt;Kim, Jeong-Bon; Li, Yinghua; Zhang, Liandong&lt;/Author&gt;&lt;Year&gt;2011&lt;/Year&gt;&lt;Details&gt;&lt;_alternate_title&gt;Journal of Financial Economics&lt;/_alternate_title&gt;&lt;_collection_scope&gt;SSCI&lt;/_collection_scope&gt;&lt;_created&gt;62614802&lt;/_created&gt;&lt;_date&gt;2011-01-01&lt;/_date&gt;&lt;_date_display&gt;2011&lt;/_date_display&gt;&lt;_impact_factor&gt;   4.693&lt;/_impact_factor&gt;&lt;_isbn&gt;0304-405X&lt;/_isbn&gt;&lt;_issue&gt;3&lt;/_issue&gt;&lt;_journal&gt;Journal of Financial Economics&lt;/_journal&gt;&lt;_modified&gt;62877357&lt;/_modified&gt;&lt;_ori_publication&gt;Elsevier&lt;/_ori_publication&gt;&lt;_pages&gt;639-662&lt;/_pages&gt;&lt;_volume&gt;100&lt;/_volume&gt;&lt;/Details&gt;&lt;Extra&gt;&lt;DBUID&gt;{83AC290F-D6FC-4574-9771-6904EE9C30A4}&lt;/DBUID&gt;&lt;/Extra&gt;&lt;/Item&gt;&lt;/References&gt;&lt;/Group&gt;&lt;/Citation&gt;_x000a_"/>
    <w:docVar w:name="NE.Ref{4AAABDBA-AE18-4F8E-9318-2342C3FAB0FD}" w:val=" ADDIN NE.Ref.{4AAABDBA-AE18-4F8E-9318-2342C3FAB0FD}&lt;Citation SecTmpl=&quot;1&quot;&gt;&lt;Group&gt;&lt;References&gt;&lt;Item&gt;&lt;ID&gt;41&lt;/ID&gt;&lt;UID&gt;{4F22A9C0-FFD6-472E-B8F9-BE9FBA888ABF}&lt;/UID&gt;&lt;Title&gt;Evidence of Industry Scale Effects on Audit Hours, Billing Rates, and Pricing&lt;/Title&gt;&lt;Template&gt;Journal Article&lt;/Template&gt;&lt;Star&gt;0&lt;/Star&gt;&lt;Tag&gt;0&lt;/Tag&gt;&lt;Author&gt;Dekeyser, Simon; Gaeremynck, Ann; Willekens, Marleen&lt;/Author&gt;&lt;Year&gt;2019&lt;/Year&gt;&lt;Details&gt;&lt;_accessed&gt;62979693&lt;/_accessed&gt;&lt;_alternate_title&gt;Contemporary Accounting Research&lt;/_alternate_title&gt;&lt;_collection_scope&gt;SSCI&lt;/_collection_scope&gt;&lt;_created&gt;62937145&lt;/_created&gt;&lt;_date&gt;2019-01-01&lt;/_date&gt;&lt;_date_display&gt;2019&lt;/_date_display&gt;&lt;_impact_factor&gt;   2.261&lt;/_impact_factor&gt;&lt;_isbn&gt;0823-9150&lt;/_isbn&gt;&lt;_journal&gt;Contemporary Accounting Research&lt;/_journal&gt;&lt;_modified&gt;63224410&lt;/_modified&gt;&lt;_ori_publication&gt;Wiley Online Library&lt;/_ori_publication&gt;&lt;/Details&gt;&lt;Extra&gt;&lt;DBUID&gt;{E9F07991-3B72-4492-A7D8-86E559D9F8FE}&lt;/DBUID&gt;&lt;/Extra&gt;&lt;/Item&gt;&lt;/References&gt;&lt;/Group&gt;&lt;/Citation&gt;_x000a_"/>
    <w:docVar w:name="NE.Ref{4BB6A35A-F32F-48DE-9A3D-AA76A55EB57A}" w:val=" ADDIN NE.Ref.{4BB6A35A-F32F-48DE-9A3D-AA76A55EB57A}&lt;Citation SecTmpl=&quot;1&quot;&gt;&lt;Group&gt;&lt;References&gt;&lt;Item&gt;&lt;ID&gt;100&lt;/ID&gt;&lt;UID&gt;{7ED88C4D-F354-44E5-BF84-30C68B10D8D2}&lt;/UID&gt;&lt;Title&gt;投我以桃,报之以李:经济周期与国企避税&lt;/Title&gt;&lt;Template&gt;Journal Article&lt;/Template&gt;&lt;Star&gt;0&lt;/Star&gt;&lt;Tag&gt;0&lt;/Tag&gt;&lt;Author&gt;陈冬; 孔墨奇; 王红建&lt;/Author&gt;&lt;Year&gt;2016&lt;/Year&gt;&lt;Details&gt;&lt;_accessed&gt;61754015&lt;/_accessed&gt;&lt;_author_aff&gt;武汉大学经济与管理学院;暨南大学管理学院;&lt;/_author_aff&gt;&lt;_collection_scope&gt;CSSCI;中文核心期刊;&lt;/_collection_scope&gt;&lt;_created&gt;61754015&lt;/_created&gt;&lt;_date&gt;61204320&lt;/_date&gt;&lt;_db_provider&gt;CNKI: 期刊&lt;/_db_provider&gt;&lt;_db_updated&gt;CNKI - Reference&lt;/_db_updated&gt;&lt;_issue&gt;05&lt;/_issue&gt;&lt;_journal&gt;管理世界&lt;/_journal&gt;&lt;_keywords&gt;经济周期;避税;国有企业&lt;/_keywords&gt;&lt;_language&gt;Chinese&lt;/_language&gt;&lt;_modified&gt;61806042&lt;/_modified&gt;&lt;_pages&gt;46-63&lt;/_pages&gt;&lt;_url&gt;http://www.cnki.net/KCMS/detail/detail.aspx?FileName=GLSJ201605008&amp;amp;DbName=CJFQ2016&lt;/_url&gt;&lt;_translated_author&gt;Chen, Dong;Kong, Moqi;Wang, Hongjian&lt;/_translated_author&gt;&lt;/Details&gt;&lt;Extra&gt;&lt;DBUID&gt;{83AC290F-D6FC-4574-9771-6904EE9C30A4}&lt;/DBUID&gt;&lt;/Extra&gt;&lt;/Item&gt;&lt;/References&gt;&lt;/Group&gt;&lt;/Citation&gt;_x000a_"/>
    <w:docVar w:name="NE.Ref{4C409D46-0D93-4BBF-963B-592EC5F11121}" w:val=" ADDIN NE.Ref.{4C409D46-0D93-4BBF-963B-592EC5F11121}&lt;Citation SecTmpl=&quot;1&quot;&gt;&lt;Group&gt;&lt;References&gt;&lt;Item&gt;&lt;ID&gt;98&lt;/ID&gt;&lt;UID&gt;{0FA4E4B5-6600-40E9-9376-93BA5924054C}&lt;/UID&gt;&lt;Title&gt;关联交易、公司治理与国有股改革——来自我国资本市场的实证证据&lt;/Title&gt;&lt;Template&gt;Journal Article&lt;/Template&gt;&lt;Star&gt;0&lt;/Star&gt;&lt;Tag&gt;0&lt;/Tag&gt;&lt;Author&gt;陈晓; 王琨&lt;/Author&gt;&lt;Year&gt;2005&lt;/Year&gt;&lt;Details&gt;&lt;_accessed&gt;63240992&lt;/_accessed&gt;&lt;_author_aff&gt;清华大学经济管理学院;清华大学经济管理学院 100084_x000d__x000a__x000d__x000a__x000d__x000a__x000d__x000a__x000d__x000a__x000d__x000a__x000d__x000a__x000d__x000a_;100084&lt;/_author_aff&gt;&lt;_collection_scope&gt;CSSCI-C;PKU&lt;/_collection_scope&gt;&lt;_created&gt;63240989&lt;/_created&gt;&lt;_date&gt;55382400&lt;/_date&gt;&lt;_db_provider&gt;CNKI: 期刊&lt;/_db_provider&gt;&lt;_db_updated&gt;CNKI - Reference&lt;/_db_updated&gt;&lt;_issue&gt;04&lt;/_issue&gt;&lt;_journal&gt;经济研究&lt;/_journal&gt;&lt;_keywords&gt;公司治理;关联交易;股权结构;一股独大;多股同大&lt;/_keywords&gt;&lt;_language&gt;Chinese&lt;/_language&gt;&lt;_modified&gt;63240992&lt;/_modified&gt;&lt;_pages&gt;77-86+128&lt;/_pages&gt;&lt;_url&gt;http://kns.cnki.net/KCMS/detail/detail.aspx?FileName=JJYJ200504007&amp;amp;DbName=CJFQ2005&lt;/_url&gt;&lt;_translated_author&gt;Chen, Xiao;Wang, Kun&lt;/_translated_author&gt;&lt;/Details&gt;&lt;Extra&gt;&lt;DBUID&gt;{E9F07991-3B72-4492-A7D8-86E559D9F8FE}&lt;/DBUID&gt;&lt;/Extra&gt;&lt;/Item&gt;&lt;/References&gt;&lt;/Group&gt;&lt;/Citation&gt;_x000a_"/>
    <w:docVar w:name="NE.Ref{4C4333FA-F507-4413-921B-ACB7151D0E88}" w:val=" ADDIN NE.Ref.{4C4333FA-F507-4413-921B-ACB7151D0E88}&lt;Citation&gt;&lt;Group&gt;&lt;References&gt;&lt;Item&gt;&lt;ID&gt;191&lt;/ID&gt;&lt;UID&gt;{1E3CC470-AD95-40FA-B82E-BF2687D7D0B0}&lt;/UID&gt;&lt;Title&gt;Office size of Big 4 auditors and client restatements&lt;/Title&gt;&lt;Template&gt;Journal Article&lt;/Template&gt;&lt;Star&gt;0&lt;/Star&gt;&lt;Tag&gt;0&lt;/Tag&gt;&lt;Author&gt;Francis, Jere R; Michas, Paul N; Yu, Michael D&lt;/Author&gt;&lt;Year&gt;2013&lt;/Year&gt;&lt;Details&gt;&lt;_alternate_title&gt;Contemporary Accounting Research&lt;/_alternate_title&gt;&lt;_collection_scope&gt;SSCI&lt;/_collection_scope&gt;&lt;_created&gt;62744274&lt;/_created&gt;&lt;_date&gt;2013-01-01&lt;/_date&gt;&lt;_date_display&gt;2013&lt;/_date_display&gt;&lt;_impact_factor&gt;   2.261&lt;/_impact_factor&gt;&lt;_isbn&gt;0823-9150&lt;/_isbn&gt;&lt;_issue&gt;4&lt;/_issue&gt;&lt;_journal&gt;Contemporary Accounting Research&lt;/_journal&gt;&lt;_modified&gt;62905520&lt;/_modified&gt;&lt;_ori_publication&gt;Wiley Online Library&lt;/_ori_publication&gt;&lt;_pages&gt;1626-1661&lt;/_pages&gt;&lt;_volume&gt;30&lt;/_volume&gt;&lt;/Details&gt;&lt;Extra&gt;&lt;DBUID&gt;{2097646C-7C2F-4992-8A9B-6FF23AE7F1B7}&lt;/DBUID&gt;&lt;/Extra&gt;&lt;/Item&gt;&lt;/References&gt;&lt;/Group&gt;&lt;Group&gt;&lt;References&gt;&lt;Item&gt;&lt;ID&gt;193&lt;/ID&gt;&lt;UID&gt;{8AD5567B-4E68-4DBF-AA68-87F9637B5E23}&lt;/UID&gt;&lt;Title&gt;与客户共享审计师能降低公司的财务重述吗?——来自中国上市公司的经验证据&lt;/Title&gt;&lt;Template&gt;Journal Article&lt;/Template&gt;&lt;Star&gt;0&lt;/Star&gt;&lt;Tag&gt;0&lt;/Tag&gt;&lt;Author&gt;杨清香; 姚静怡; 张晋&lt;/Author&gt;&lt;Year&gt;2015&lt;/Year&gt;&lt;Details&gt;&lt;_accessed&gt;63300219&lt;/_accessed&gt;&lt;_author_aff&gt;华中科技大学管理学院;武汉交通建设投资有限公司;&lt;/_author_aff&gt;&lt;_collection_scope&gt;CSSCI-C;PKU&lt;/_collection_scope&gt;&lt;_created&gt;63300219&lt;/_created&gt;&lt;_date&gt;60721920&lt;/_date&gt;&lt;_db_provider&gt;CNKI: 期刊&lt;/_db_provider&gt;&lt;_db_updated&gt;CNKI - Reference&lt;/_db_updated&gt;&lt;_issue&gt;06&lt;/_issue&gt;&lt;_journal&gt;会计研究&lt;/_journal&gt;&lt;_keywords&gt;供应链共享审计师;财务重述;审计质量&lt;/_keywords&gt;&lt;_language&gt;Chinese&lt;/_language&gt;&lt;_modified&gt;63300219&lt;/_modified&gt;&lt;_pages&gt;72-79+97&lt;/_pages&gt;&lt;_url&gt;http://kns.cnki.net/KCMS/detail/detail.aspx?FileName=KJYJ201506010&amp;amp;DbName=CJFQ2015&lt;/_url&gt;&lt;_translated_author&gt;Yang, Qingxiang;Yao, Jingyi;Zhang, Jin&lt;/_translated_author&gt;&lt;/Details&gt;&lt;Extra&gt;&lt;DBUID&gt;{E9F07991-3B72-4492-A7D8-86E559D9F8FE}&lt;/DBUID&gt;&lt;/Extra&gt;&lt;/Item&gt;&lt;/References&gt;&lt;/Group&gt;&lt;Group&gt;&lt;References&gt;&lt;Item&gt;&lt;ID&gt;194&lt;/ID&gt;&lt;UID&gt;{D49A7B01-2205-48AF-A8D8-5CCC2D246E80}&lt;/UID&gt;&lt;Title&gt;整合审计下的内部控制审计水平与财务重述&lt;/Title&gt;&lt;Template&gt;Journal Article&lt;/Template&gt;&lt;Star&gt;0&lt;/Star&gt;&lt;Tag&gt;0&lt;/Tag&gt;&lt;Author&gt;郑伟; 朱晓梅; 季雨&lt;/Author&gt;&lt;Year&gt;2015&lt;/Year&gt;&lt;Details&gt;&lt;_accessed&gt;63300220&lt;/_accessed&gt;&lt;_author_aff&gt;山东财经大学会计学院;&lt;/_author_aff&gt;&lt;_collection_scope&gt;CSSCI-C;PKU&lt;/_collection_scope&gt;&lt;_created&gt;63300219&lt;/_created&gt;&lt;_date&gt;60960960&lt;/_date&gt;&lt;_db_provider&gt;CNKI: 期刊&lt;/_db_provider&gt;&lt;_db_updated&gt;CNKI - Reference&lt;/_db_updated&gt;&lt;_issue&gt;06&lt;/_issue&gt;&lt;_journal&gt;审计研究&lt;/_journal&gt;&lt;_keywords&gt;整合审计;内部控制;审计服务;审计费用;财务重述&lt;/_keywords&gt;&lt;_language&gt;Chinese&lt;/_language&gt;&lt;_modified&gt;63300220&lt;/_modified&gt;&lt;_pages&gt;70-77&lt;/_pages&gt;&lt;_url&gt;http://kns.cnki.net/KCMS/detail/detail.aspx?FileName=SJYZ201506012&amp;amp;DbName=CJFQ2015&lt;/_url&gt;&lt;_translated_author&gt;Zheng, Wei;Zhu, Xiaomei;Ji, Yu&lt;/_translated_author&gt;&lt;/Details&gt;&lt;Extra&gt;&lt;DBUID&gt;{E9F07991-3B72-4492-A7D8-86E559D9F8FE}&lt;/DBUID&gt;&lt;/Extra&gt;&lt;/Item&gt;&lt;/References&gt;&lt;/Group&gt;&lt;Group&gt;&lt;References&gt;&lt;Item&gt;&lt;ID&gt;195&lt;/ID&gt;&lt;UID&gt;{71EC63A4-3C3B-445B-9C0A-55CB58DB1755}&lt;/UID&gt;&lt;Title&gt;Auditor Independence, Non-Audit Services, and Restatements: Was the U.S. Government Right?*&lt;/Title&gt;&lt;Template&gt;Journal Article&lt;/Template&gt;&lt;Star&gt;0&lt;/Star&gt;&lt;Tag&gt;0&lt;/Tag&gt;&lt;Author&gt;Kinney, R J R William; Palmrose, Zoevonna; Scholz, Susan&lt;/Author&gt;&lt;Year&gt;2004&lt;/Year&gt;&lt;Details&gt;&lt;_alternate_title&gt;Journal of Accounting Research&lt;/_alternate_title&gt;&lt;_collection_scope&gt;SSCI&lt;/_collection_scope&gt;&lt;_created&gt;63300225&lt;/_created&gt;&lt;_date&gt;2004-01-01&lt;/_date&gt;&lt;_date_display&gt;2004&lt;/_date_display&gt;&lt;_doi&gt;10.1111/j.1475-679X.2004.t01-1-00141.x&lt;/_doi&gt;&lt;_impact_factor&gt;   4.891&lt;/_impact_factor&gt;&lt;_issue&gt;3&lt;/_issue&gt;&lt;_journal&gt;Journal of Accounting Research&lt;/_journal&gt;&lt;_modified&gt;63300225&lt;/_modified&gt;&lt;_pages&gt;561-588&lt;/_pages&gt;&lt;_volume&gt;42&lt;/_volume&gt;&lt;/Details&gt;&lt;Extra&gt;&lt;DBUID&gt;{E9F07991-3B72-4492-A7D8-86E559D9F8FE}&lt;/DBUID&gt;&lt;/Extra&gt;&lt;/Item&gt;&lt;/References&gt;&lt;/Group&gt;&lt;/Citation&gt;_x000a_"/>
    <w:docVar w:name="NE.Ref{4C7B4E90-5AC4-47D7-BF44-4AEAF0479ECA}" w:val=" ADDIN NE.Ref.{4C7B4E90-5AC4-47D7-BF44-4AEAF0479ECA}&lt;Citation&gt;&lt;Group&gt;&lt;References&gt;&lt;Item&gt;&lt;ID&gt;102&lt;/ID&gt;&lt;UID&gt;{F49C8DC9-F8A9-4ADF-9211-9CCFF0805996}&lt;/UID&gt;&lt;Title&gt;Perceived auditor quality and the earnings response coefficient&lt;/Title&gt;&lt;Template&gt;Journal Article&lt;/Template&gt;&lt;Star&gt;0&lt;/Star&gt;&lt;Tag&gt;0&lt;/Tag&gt;&lt;Author&gt;Teoh, Siew Hong; Wong, T J&lt;/Author&gt;&lt;Year&gt;1993&lt;/Year&gt;&lt;Details&gt;&lt;_accessed&gt;62744280&lt;/_accessed&gt;&lt;_alternate_title&gt;Accounting Review&lt;/_alternate_title&gt;&lt;_collection_scope&gt;SSCI;&lt;/_collection_scope&gt;&lt;_created&gt;62426084&lt;/_created&gt;&lt;_date&gt;1993-01-01&lt;/_date&gt;&lt;_date_display&gt;1993&lt;/_date_display&gt;&lt;_impact_factor&gt;   4.562&lt;/_impact_factor&gt;&lt;_isbn&gt;0001-4826&lt;/_isbn&gt;&lt;_journal&gt;Accounting Review&lt;/_journal&gt;&lt;_modified&gt;63304723&lt;/_modified&gt;&lt;_ori_publication&gt;JSTOR&lt;/_ori_publication&gt;&lt;_pages&gt;346-366&lt;/_pages&gt;&lt;/Details&gt;&lt;Extra&gt;&lt;DBUID&gt;{2097646C-7C2F-4992-8A9B-6FF23AE7F1B7}&lt;/DBUID&gt;&lt;/Extra&gt;&lt;/Item&gt;&lt;/References&gt;&lt;/Group&gt;&lt;/Citation&gt;_x000a_"/>
    <w:docVar w:name="NE.Ref{4CBDDCF1-F85E-460F-8115-AE3749DB3F1F}" w:val=" ADDIN NE.Ref.{4CBDDCF1-F85E-460F-8115-AE3749DB3F1F}&lt;Citation&gt;&lt;Group&gt;&lt;References&gt;&lt;Item&gt;&lt;ID&gt;99&lt;/ID&gt;&lt;UID&gt;{8843ADD2-F639-4AAD-AD19-494269B62A3E}&lt;/UID&gt;&lt;Title&gt;股权制衡如何影响经营性应计的可靠性——关联交易视角&lt;/Title&gt;&lt;Template&gt;Journal Article&lt;/Template&gt;&lt;Star&gt;0&lt;/Star&gt;&lt;Tag&gt;0&lt;/Tag&gt;&lt;Author&gt;洪剑峭; 薛皓&lt;/Author&gt;&lt;Year&gt;2009&lt;/Year&gt;&lt;Details&gt;&lt;_accessed&gt;63241006&lt;/_accessed&gt;&lt;_author_aff&gt;复旦大学管理学院会计系;&lt;/_author_aff&gt;&lt;_collection_scope&gt;CSSCI-C;PKU&lt;/_collection_scope&gt;&lt;_created&gt;63240989&lt;/_created&gt;&lt;_date&gt;57349440&lt;/_date&gt;&lt;_db_provider&gt;CNKI: 期刊&lt;/_db_provider&gt;&lt;_db_updated&gt;CNKI - Reference&lt;/_db_updated&gt;&lt;_issue&gt;01&lt;/_issue&gt;&lt;_journal&gt;管理世界&lt;/_journal&gt;&lt;_keywords&gt;股权制衡;关联交易;会计应计;可靠性&lt;/_keywords&gt;&lt;_language&gt;Chinese&lt;/_language&gt;&lt;_modified&gt;63241006&lt;/_modified&gt;&lt;_pages&gt;153-161&lt;/_pages&gt;&lt;_url&gt;http://kns.cnki.net/KCMS/detail/detail.aspx?FileName=GLSJ200901019&amp;amp;DbName=CJFQ2009&lt;/_url&gt;&lt;_translated_author&gt;Hong, Jianqiao;Xue, Hao&lt;/_translated_author&gt;&lt;/Details&gt;&lt;Extra&gt;&lt;DBUID&gt;{E9F07991-3B72-4492-A7D8-86E559D9F8FE}&lt;/DBUID&gt;&lt;/Extra&gt;&lt;/Item&gt;&lt;/References&gt;&lt;/Group&gt;&lt;Group&gt;&lt;References&gt;&lt;Item&gt;&lt;ID&gt;106&lt;/ID&gt;&lt;UID&gt;{1E4C98C2-75F2-4405-BE99-EFC641822AC1}&lt;/UID&gt;&lt;Title&gt;外部治理环境、内部治理结构与合谋侵占实证分析&lt;/Title&gt;&lt;Template&gt;Journal Article&lt;/Template&gt;&lt;Star&gt;0&lt;/Star&gt;&lt;Tag&gt;0&lt;/Tag&gt;&lt;Author&gt;严也舟&lt;/Author&gt;&lt;Year&gt;2012&lt;/Year&gt;&lt;Details&gt;&lt;_accessed&gt;63240996&lt;/_accessed&gt;&lt;_author_aff&gt;武汉工程大学管理学院;&lt;/_author_aff&gt;&lt;_collection_scope&gt;CSSCI-C;PKU&lt;/_collection_scope&gt;&lt;_created&gt;63240989&lt;/_created&gt;&lt;_date&gt;59071680&lt;/_date&gt;&lt;_db_provider&gt;CNKI: 期刊&lt;/_db_provider&gt;&lt;_db_updated&gt;CNKI - Reference&lt;/_db_updated&gt;&lt;_issue&gt;04&lt;/_issue&gt;&lt;_journal&gt;管理评论&lt;/_journal&gt;&lt;_keywords&gt;外部治理环境;治理结构;合谋;资金占用&lt;/_keywords&gt;&lt;_language&gt;Chinese&lt;/_language&gt;&lt;_modified&gt;63240996&lt;/_modified&gt;&lt;_pages&gt;28-35+44&lt;/_pages&gt;&lt;_url&gt;http://kns.cnki.net/KCMS/detail/detail.aspx?FileName=ZWGD201204005&amp;amp;DbName=CJFQ2012&lt;/_url&gt;&lt;_volume&gt;24&lt;/_volume&gt;&lt;_translated_author&gt;Yan, Yezhou&lt;/_translated_author&gt;&lt;/Details&gt;&lt;Extra&gt;&lt;DBUID&gt;{E9F07991-3B72-4492-A7D8-86E559D9F8FE}&lt;/DBUID&gt;&lt;/Extra&gt;&lt;/Item&gt;&lt;/References&gt;&lt;/Group&gt;&lt;/Citation&gt;_x000a_"/>
    <w:docVar w:name="NE.Ref{4D06D568-C51A-4D73-AFAA-3708A0CE6342}" w:val=" ADDIN NE.Ref.{4D06D568-C51A-4D73-AFAA-3708A0CE6342}&lt;Citation&gt;&lt;Group&gt;&lt;References&gt;&lt;Item&gt;&lt;ID&gt;689&lt;/ID&gt;&lt;UID&gt;{A165FFDE-F609-47C4-A013-824377FC71C0}&lt;/UID&gt;&lt;Title&gt;Corporate Tax Rates: Progressive, Proportional, or Regressive&lt;/Title&gt;&lt;Template&gt;Journal Article&lt;/Template&gt;&lt;Star&gt;0&lt;/Star&gt;&lt;Tag&gt;0&lt;/Tag&gt;&lt;Author&gt;Porcano, Thomas M&lt;/Author&gt;&lt;Year&gt;1986&lt;/Year&gt;&lt;Details&gt;&lt;_created&gt;63293105&lt;/_created&gt;&lt;_date&gt;1986-01-01&lt;/_date&gt;&lt;_date_display&gt;1986&lt;/_date_display&gt;&lt;_issue&gt;2&lt;/_issue&gt;&lt;_journal&gt;Journal of the American Taxation Association&lt;/_journal&gt;&lt;_modified&gt;63293105&lt;/_modified&gt;&lt;_pages&gt;17-31&lt;/_pages&gt;&lt;_volume&gt;7&lt;/_volume&gt;&lt;/Details&gt;&lt;Extra&gt;&lt;DBUID&gt;{83AC290F-D6FC-4574-9771-6904EE9C30A4}&lt;/DBUID&gt;&lt;/Extra&gt;&lt;/Item&gt;&lt;/References&gt;&lt;/Group&gt;&lt;/Citation&gt;_x000a_"/>
    <w:docVar w:name="NE.Ref{4D6EEC77-CA7B-4DCA-853F-91430F223A08}" w:val=" ADDIN NE.Ref.{4D6EEC77-CA7B-4DCA-853F-91430F223A08}&lt;Citation SecTmpl=&quot;1&quot;&gt;&lt;Group&gt;&lt;References&gt;&lt;Item&gt;&lt;ID&gt;676&lt;/ID&gt;&lt;UID&gt;{3AB35A59-1AD0-4E61-B16B-53EFB8C6F656}&lt;/UID&gt;&lt;Title&gt;Taxable income, future earnings, and equity values&lt;/Title&gt;&lt;Template&gt;Journal Article&lt;/Template&gt;&lt;Star&gt;0&lt;/Star&gt;&lt;Tag&gt;0&lt;/Tag&gt;&lt;Author&gt;Lev, Baruch; Nissim, Doron&lt;/Author&gt;&lt;Year&gt;2004&lt;/Year&gt;&lt;Details&gt;&lt;_alternate_title&gt;The accounting review&lt;/_alternate_title&gt;&lt;_created&gt;63284252&lt;/_created&gt;&lt;_date&gt;2004-01-01&lt;/_date&gt;&lt;_date_display&gt;2004&lt;/_date_display&gt;&lt;_impact_factor&gt;   4.562&lt;/_impact_factor&gt;&lt;_isbn&gt;0001-4826&lt;/_isbn&gt;&lt;_issue&gt;4&lt;/_issue&gt;&lt;_journal&gt;The accounting review&lt;/_journal&gt;&lt;_modified&gt;63284252&lt;/_modified&gt;&lt;_pages&gt;1039-1074&lt;/_pages&gt;&lt;_volume&gt;79&lt;/_volume&gt;&lt;/Details&gt;&lt;Extra&gt;&lt;DBUID&gt;{83AC290F-D6FC-4574-9771-6904EE9C30A4}&lt;/DBUID&gt;&lt;/Extra&gt;&lt;/Item&gt;&lt;/References&gt;&lt;/Group&gt;&lt;/Citation&gt;_x000a_"/>
    <w:docVar w:name="NE.Ref{4DE5481B-4CCB-47FE-AC94-C507AD1DDC88}" w:val=" ADDIN NE.Ref.{4DE5481B-4CCB-47FE-AC94-C507AD1DDC88}&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4E93AB31-ECBE-4F2A-A6FB-ED557F66E66F}" w:val=" ADDIN NE.Ref.{4E93AB31-ECBE-4F2A-A6FB-ED557F66E66F}&lt;Citation SecTmpl=&quot;1&quot;&gt;&lt;Group&gt;&lt;References&gt;&lt;Item&gt;&lt;ID&gt;320&lt;/ID&gt;&lt;UID&gt;{051CC910-277E-40D8-B9AD-B1EA475A2FAA}&lt;/UID&gt;&lt;Title&gt;The Market for “Lemons”: Quality Uncertainty and the Market Mechanism&lt;/Title&gt;&lt;Template&gt;Journal Article&lt;/Template&gt;&lt;Star&gt;0&lt;/Star&gt;&lt;Tag&gt;0&lt;/Tag&gt;&lt;Author&gt;Akerlof, George A&lt;/Author&gt;&lt;Year&gt;1970&lt;/Year&gt;&lt;Details&gt;&lt;_alternate_title&gt;Quarterly Journal of Economics&lt;/_alternate_title&gt;&lt;_collection_scope&gt;SSCI&lt;/_collection_scope&gt;&lt;_created&gt;63311678&lt;/_created&gt;&lt;_date&gt;1970-01-01&lt;/_date&gt;&lt;_date_display&gt;1970&lt;/_date_display&gt;&lt;_doi&gt;10.2307/1879431&lt;/_doi&gt;&lt;_impact_factor&gt;  11.775&lt;/_impact_factor&gt;&lt;_issue&gt;3&lt;/_issue&gt;&lt;_journal&gt;Quarterly Journal of Economics&lt;/_journal&gt;&lt;_modified&gt;63311678&lt;/_modified&gt;&lt;_pages&gt;488-500&lt;/_pages&gt;&lt;_volume&gt;84&lt;/_volume&gt;&lt;/Details&gt;&lt;Extra&gt;&lt;DBUID&gt;{E9F07991-3B72-4492-A7D8-86E559D9F8FE}&lt;/DBUID&gt;&lt;/Extra&gt;&lt;/Item&gt;&lt;/References&gt;&lt;/Group&gt;&lt;/Citation&gt;_x000a_"/>
    <w:docVar w:name="NE.Ref{4EB45F79-332D-4A60-B537-15EB0AC1B5F6}" w:val=" ADDIN NE.Ref.{4EB45F79-332D-4A60-B537-15EB0AC1B5F6}&lt;Citation SecTmpl=&quot;1&quot;&gt;&lt;Group&gt;&lt;References&gt;&lt;Item&gt;&lt;ID&gt;170&lt;/ID&gt;&lt;UID&gt;{A8E26643-3D9B-4688-A99F-3C8E79A065BA}&lt;/UID&gt;&lt;Title&gt;Does corporate tax aggressiveness influence audit pricing?&lt;/Title&gt;&lt;Template&gt;Journal Article&lt;/Template&gt;&lt;Star&gt;0&lt;/Star&gt;&lt;Tag&gt;0&lt;/Tag&gt;&lt;Author&gt;Donohoe, Michael P; Robert Knechel, W&lt;/Author&gt;&lt;Year&gt;2014&lt;/Year&gt;&lt;Details&gt;&lt;_accessed&gt;62701858&lt;/_accessed&gt;&lt;_alternate_title&gt;Contemporary Accounting Research&lt;/_alternate_title&gt;&lt;_collection_scope&gt;SSCI&lt;/_collection_scope&gt;&lt;_created&gt;62649279&lt;/_created&gt;&lt;_date&gt;2014-01-01&lt;/_date&gt;&lt;_date_display&gt;2014&lt;/_date_display&gt;&lt;_impact_factor&gt;   2.261&lt;/_impact_factor&gt;&lt;_isbn&gt;0823-9150&lt;/_isbn&gt;&lt;_issue&gt;1&lt;/_issue&gt;&lt;_journal&gt;Contemporary Accounting Research&lt;/_journal&gt;&lt;_modified&gt;63295786&lt;/_modified&gt;&lt;_ori_publication&gt;Wiley Online Library&lt;/_ori_publication&gt;&lt;_pages&gt;284-308&lt;/_pages&gt;&lt;_volume&gt;31&lt;/_volume&gt;&lt;/Details&gt;&lt;Extra&gt;&lt;DBUID&gt;{E9F07991-3B72-4492-A7D8-86E559D9F8FE}&lt;/DBUID&gt;&lt;/Extra&gt;&lt;/Item&gt;&lt;/References&gt;&lt;/Group&gt;&lt;/Citation&gt;_x000a_"/>
    <w:docVar w:name="NE.Ref{4F8BADC4-CED1-4D1C-8740-73BE3178A98F}" w:val=" ADDIN NE.Ref.{4F8BADC4-CED1-4D1C-8740-73BE3178A98F}&lt;Citation SecTmpl=&quot;1&quot;&gt;&lt;Group&gt;&lt;References&gt;&lt;Item&gt;&lt;ID&gt;183&lt;/ID&gt;&lt;UID&gt;{07016C88-0926-4AD4-B3F1-32683DABE1D1}&lt;/UID&gt;&lt;Title&gt;Does Tax Planning Affect Analysts&amp;apos; Forecast Accuracy?&lt;/Title&gt;&lt;Template&gt;Journal Article&lt;/Template&gt;&lt;Star&gt;0&lt;/Star&gt;&lt;Tag&gt;0&lt;/Tag&gt;&lt;Author&gt;Francis, Jere R; Neuman, Stevanie S; Newton, Nathan J&lt;/Author&gt;&lt;Year&gt;2019&lt;/Year&gt;&lt;Details&gt;&lt;_accessed&gt;62951554&lt;/_accessed&gt;&lt;_collection_scope&gt;SSCI&lt;/_collection_scope&gt;&lt;_created&gt;62951554&lt;/_created&gt;&lt;_date&gt;62936640&lt;/_date&gt;&lt;_db_updated&gt;CrossRef&lt;/_db_updated&gt;&lt;_doi&gt;10.1111/1911-3846.12515&lt;/_doi&gt;&lt;_impact_factor&gt;   2.261&lt;/_impact_factor&gt;&lt;_isbn&gt;0823-9150&lt;/_isbn&gt;&lt;_journal&gt;Contemporary Accounting Research&lt;/_journal&gt;&lt;_modified&gt;63297515&lt;/_modified&gt;&lt;_tertiary_title&gt;Contemp Account Res&lt;/_tertiary_title&gt;&lt;_url&gt;https://onlinelibrary.wiley.com/doi/abs/10.1111/1911-3846.12515_x000d__x000a_https://onlinelibrary.wiley.com/doi/pdf/10.1111/1911-3846.12515&lt;/_url&gt;&lt;/Details&gt;&lt;Extra&gt;&lt;DBUID&gt;{E9F07991-3B72-4492-A7D8-86E559D9F8FE}&lt;/DBUID&gt;&lt;/Extra&gt;&lt;/Item&gt;&lt;/References&gt;&lt;/Group&gt;&lt;/Citation&gt;_x000a_"/>
    <w:docVar w:name="NE.Ref{50B20970-93F7-496B-B523-AB65311610A0}" w:val=" ADDIN NE.Ref.{50B20970-93F7-496B-B523-AB65311610A0}&lt;Citation SecTmpl=&quot;1&quot;&gt;&lt;Group&gt;&lt;References&gt;&lt;Item&gt;&lt;ID&gt;149&lt;/ID&gt;&lt;UID&gt;{45404A6D-1227-4953-AD65-6AD6398C6470}&lt;/UID&gt;&lt;Title&gt;大股东资金占用与外部审计监督&lt;/Title&gt;&lt;Template&gt;Journal Article&lt;/Template&gt;&lt;Star&gt;0&lt;/Star&gt;&lt;Tag&gt;0&lt;/Tag&gt;&lt;Author&gt;周中胜; 陈汉文&lt;/Author&gt;&lt;Year&gt;2006&lt;/Year&gt;&lt;Details&gt;&lt;_accessed&gt;63258676&lt;/_accessed&gt;&lt;_author_aff&gt;厦门大学会计系;厦门大学会计系 361005;361005&lt;/_author_aff&gt;&lt;_collection_scope&gt;CSSCI-C;PKU&lt;/_collection_scope&gt;&lt;_created&gt;63258676&lt;/_created&gt;&lt;_date&gt;55962720&lt;/_date&gt;&lt;_db_provider&gt;CNKI: 期刊&lt;/_db_provider&gt;&lt;_db_updated&gt;CNKI - Reference&lt;/_db_updated&gt;&lt;_issue&gt;03&lt;/_issue&gt;&lt;_journal&gt;审计研究&lt;/_journal&gt;&lt;_keywords&gt;资金占用;审计需求;审计意见&lt;/_keywords&gt;&lt;_language&gt;Chinese&lt;/_language&gt;&lt;_modified&gt;63258676&lt;/_modified&gt;&lt;_pages&gt;73-81&lt;/_pages&gt;&lt;_url&gt;http://kns.cnki.net/KCMS/detail/detail.aspx?FileName=SJYZ200603015&amp;amp;DbName=CJFQ2006&lt;/_url&gt;&lt;_translated_author&gt;Zhou, Zhongsheng;Chen, Hanwen&lt;/_translated_author&gt;&lt;/Details&gt;&lt;Extra&gt;&lt;DBUID&gt;{E9F07991-3B72-4492-A7D8-86E559D9F8FE}&lt;/DBUID&gt;&lt;/Extra&gt;&lt;/Item&gt;&lt;/References&gt;&lt;/Group&gt;&lt;/Citation&gt;_x000a_"/>
    <w:docVar w:name="NE.Ref{50D51B25-CB26-412A-B0CF-0E345EC99A23}" w:val=" ADDIN NE.Ref.{50D51B25-CB26-412A-B0CF-0E345EC99A23}&lt;Citation SecTmpl=&quot;1&quot;&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5108DC74-8EE8-4DD2-B693-219EBE02F18D}" w:val=" ADDIN NE.Ref.{5108DC74-8EE8-4DD2-B693-219EBE02F18D}&lt;Citation SecTmpl=&quot;1&quot;&gt;&lt;Group&gt;&lt;References&gt;&lt;Item&gt;&lt;ID&gt;129&lt;/ID&gt;&lt;UID&gt;{E07C49E0-919A-4B4B-9E58-500099B8890F}&lt;/UID&gt;&lt;Title&gt;大股东资金占用与审计师选择的再检验&lt;/Title&gt;&lt;Template&gt;Journal Article&lt;/Template&gt;&lt;Star&gt;0&lt;/Star&gt;&lt;Tag&gt;0&lt;/Tag&gt;&lt;Author&gt;高强; 伍利娜&lt;/Author&gt;&lt;Year&gt;2007&lt;/Year&gt;&lt;Details&gt;&lt;_accessed&gt;63241053&lt;/_accessed&gt;&lt;_author_aff&gt;财政部人事教育司;北京大学光华管理学院;&lt;/_author_aff&gt;&lt;_collection_scope&gt;CSSCI-C;PKU&lt;/_collection_scope&gt;&lt;_created&gt;63241052&lt;/_created&gt;&lt;_date&gt;56665440&lt;/_date&gt;&lt;_db_provider&gt;CNKI: 期刊&lt;/_db_provider&gt;&lt;_db_updated&gt;CNKI - Reference&lt;/_db_updated&gt;&lt;_issue&gt;05&lt;/_issue&gt;&lt;_journal&gt;审计研究&lt;/_journal&gt;&lt;_keywords&gt;大股东资金占用;审计;代理理论&lt;/_keywords&gt;&lt;_language&gt;Chinese&lt;/_language&gt;&lt;_modified&gt;63241053&lt;/_modified&gt;&lt;_pages&gt;84-90&lt;/_pages&gt;&lt;_url&gt;http://kns.cnki.net/KCMS/detail/detail.aspx?FileName=SJYZ200705020&amp;amp;DbName=CJFQ2007&lt;/_url&gt;&lt;_translated_author&gt;Gao, Qiang;Wu, Lina&lt;/_translated_author&gt;&lt;/Details&gt;&lt;Extra&gt;&lt;DBUID&gt;{E9F07991-3B72-4492-A7D8-86E559D9F8FE}&lt;/DBUID&gt;&lt;/Extra&gt;&lt;/Item&gt;&lt;/References&gt;&lt;/Group&gt;&lt;/Citation&gt;_x000a_"/>
    <w:docVar w:name="NE.Ref{51A5AD75-05A5-441E-895D-DFF9D0DDCEBF}" w:val=" ADDIN NE.Ref.{51A5AD75-05A5-441E-895D-DFF9D0DDCEBF}&lt;Citation SecTmpl=&quot;1&quot;&gt;&lt;Group&gt;&lt;References&gt;&lt;Item&gt;&lt;ID&gt;318&lt;/ID&gt;&lt;UID&gt;{6AA1BC77-C5A2-48E3-8106-D6C9D0FAA6E5}&lt;/UID&gt;&lt;Title&gt;Long-run corporate tax avoidance&lt;/Title&gt;&lt;Template&gt;Journal Article&lt;/Template&gt;&lt;Star&gt;0&lt;/Star&gt;&lt;Tag&gt;0&lt;/Tag&gt;&lt;Author&gt;Dyreng, Scott D; Hanlon, Michelle; Maydew, Edward L&lt;/Author&gt;&lt;Year&gt;2008&lt;/Year&gt;&lt;Details&gt;&lt;_accessed&gt;63286350&lt;/_accessed&gt;&lt;_alternate_title&gt;the accounting review&lt;/_alternate_title&gt;&lt;_created&gt;63212592&lt;/_created&gt;&lt;_date&gt;2008-01-01&lt;/_date&gt;&lt;_date_display&gt;2008&lt;/_date_display&gt;&lt;_impact_factor&gt;   4.562&lt;/_impact_factor&gt;&lt;_isbn&gt;0001-4826&lt;/_isbn&gt;&lt;_issue&gt;1&lt;/_issue&gt;&lt;_journal&gt;the accounting review&lt;/_journal&gt;&lt;_modified&gt;63310305&lt;/_modified&gt;&lt;_pages&gt;61-82&lt;/_pages&gt;&lt;_volume&gt;83&lt;/_volume&gt;&lt;/Details&gt;&lt;Extra&gt;&lt;DBUID&gt;{E9F07991-3B72-4492-A7D8-86E559D9F8FE}&lt;/DBUID&gt;&lt;/Extra&gt;&lt;/Item&gt;&lt;/References&gt;&lt;/Group&gt;&lt;/Citation&gt;_x000a_"/>
    <w:docVar w:name="NE.Ref{51E2F040-6B42-4841-80E8-F30B157D5E80}" w:val=" ADDIN NE.Ref.{51E2F040-6B42-4841-80E8-F30B157D5E80}&lt;Citation SecTmpl=&quot;1&quot;&gt;&lt;Group&gt;&lt;References&gt;&lt;Item&gt;&lt;ID&gt;19&lt;/ID&gt;&lt;UID&gt;{0E7DA885-91B0-49AF-8034-91EB0409307C}&lt;/UID&gt;&lt;Title&gt;企业避税、通货膨胀预期与经营业绩&lt;/Title&gt;&lt;Template&gt;Journal Article&lt;/Template&gt;&lt;Star&gt;0&lt;/Star&gt;&lt;Tag&gt;0&lt;/Tag&gt;&lt;Author&gt;汪猛; 徐经长&lt;/Author&gt;&lt;Year&gt;2016&lt;/Year&gt;&lt;Details&gt;&lt;_accessed&gt;61697770&lt;/_accessed&gt;&lt;_author_aff&gt;中国人民大学商学院;&lt;/_author_aff&gt;&lt;_collection_scope&gt;CSSCI;中文核心期刊;&lt;/_collection_scope&gt;&lt;_created&gt;61697770&lt;/_created&gt;&lt;_date&gt;61204320&lt;/_date&gt;&lt;_db_provider&gt;CNKI: 期刊&lt;/_db_provider&gt;&lt;_db_updated&gt;CNKI - Reference&lt;/_db_updated&gt;&lt;_issue&gt;05&lt;/_issue&gt;&lt;_journal&gt;会计研究&lt;/_journal&gt;&lt;_keywords&gt;企业避税;通货膨胀;预期经营业绩&lt;/_keywords&gt;&lt;_language&gt;Chinese&lt;/_language&gt;&lt;_modified&gt;61697770&lt;/_modified&gt;&lt;_pages&gt;40-47+95&lt;/_pages&gt;&lt;_url&gt;http://www.cnki.net/KCMS/detail/detail.aspx?FileName=KJYJ201605006&amp;amp;DbName=CJFQ2016&lt;/_url&gt;&lt;_translated_author&gt;Wang, Meng;Xu, Jingzhang&lt;/_translated_author&gt;&lt;/Details&gt;&lt;Extra&gt;&lt;DBUID&gt;{83AC290F-D6FC-4574-9771-6904EE9C30A4}&lt;/DBUID&gt;&lt;/Extra&gt;&lt;/Item&gt;&lt;/References&gt;&lt;/Group&gt;&lt;/Citation&gt;_x000a_"/>
    <w:docVar w:name="NE.Ref{52A7C2A4-7420-4309-8A30-7D90FAF8A01E}" w:val=" ADDIN NE.Ref.{52A7C2A4-7420-4309-8A30-7D90FAF8A01E}&lt;Citation&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53C4C00D-A286-4B37-90D1-B964D7FED7A3}" w:val=" ADDIN NE.Ref.{53C4C00D-A286-4B37-90D1-B964D7FED7A3}&lt;Citation SecTmpl=&quot;1&quot;&gt;&lt;Group&gt;&lt;References&gt;&lt;Item&gt;&lt;ID&gt;61&lt;/ID&gt;&lt;UID&gt;{F4A335FD-7A52-4856-9617-87132B1864C0}&lt;/UID&gt;&lt;Title&gt;制度环境、审计供求与审计治理——基于我国证券市场中审计师变更问题的实证分析&lt;/Title&gt;&lt;Template&gt;Journal Article&lt;/Template&gt;&lt;Star&gt;0&lt;/Star&gt;&lt;Tag&gt;0&lt;/Tag&gt;&lt;Author&gt;张鸣; 田野; 陈全&lt;/Author&gt;&lt;Year&gt;2012&lt;/Year&gt;&lt;Details&gt;&lt;_accessed&gt;61549259&lt;/_accessed&gt;&lt;_author_aff&gt;上海财经大学会计与财务研究院;中国人民大学博士后流动站;交通银行博士后工作站;兴业证券投资银行部;&lt;/_author_aff&gt;&lt;_collection_scope&gt;CSSCI;中文核心期刊;&lt;/_collection_scope&gt;&lt;_created&gt;61549259&lt;/_created&gt;&lt;_date&gt;59100480&lt;/_date&gt;&lt;_db_provider&gt;CNKI: 期刊&lt;/_db_provider&gt;&lt;_db_updated&gt;CNKI - Reference&lt;/_db_updated&gt;&lt;_issue&gt;05&lt;/_issue&gt;&lt;_journal&gt;会计研究&lt;/_journal&gt;&lt;_keywords&gt;制度环境;审计治理;审计师变更;审计供求&lt;/_keywords&gt;&lt;_language&gt;Chinese&lt;/_language&gt;&lt;_modified&gt;61549259&lt;/_modified&gt;&lt;_pages&gt;77-85+94&lt;/_pages&gt;&lt;_url&gt;http://www.cnki.net/KCMS/detail/detail.aspx?FileName=KJYJ201205013&amp;amp;DbName=CJFQ2012&lt;/_url&gt;&lt;_translated_author&gt;Zhang, Ming;Tian, Ye;Chen, Quan&lt;/_translated_author&gt;&lt;/Details&gt;&lt;Extra&gt;&lt;DBUID&gt;{7EBDD973-FB19-4DB0-8AC1-C6FC73CA4F6A}&lt;/DBUID&gt;&lt;/Extra&gt;&lt;/Item&gt;&lt;/References&gt;&lt;/Group&gt;&lt;/Citation&gt;_x000a_"/>
    <w:docVar w:name="NE.Ref{5403E112-B8E6-4D2E-AE91-7A0DD7E3B105}" w:val=" ADDIN NE.Ref.{5403E112-B8E6-4D2E-AE91-7A0DD7E3B105}&lt;Citation SecTmpl=&quot;1&quot;&gt;&lt;Group&gt;&lt;References&gt;&lt;Item&gt;&lt;ID&gt;60&lt;/ID&gt;&lt;UID&gt;{A2E2C96B-297F-4D17-863D-BD2DBEB8EC7C}&lt;/UID&gt;&lt;Title&gt;Employee Movements from Audit Firms to Audit Clients&lt;/Title&gt;&lt;Template&gt;Journal Article&lt;/Template&gt;&lt;Star&gt;0&lt;/Star&gt;&lt;Tag&gt;0&lt;/Tag&gt;&lt;Author&gt;Finley, Andrew R; Kim, Mindy H J; Lamoreaux, Phillip T; Lennox, Clive S&lt;/Author&gt;&lt;Year&gt;2019&lt;/Year&gt;&lt;Details&gt;&lt;_accessed&gt;62963179&lt;/_accessed&gt;&lt;_collection_scope&gt;SSCI&lt;/_collection_scope&gt;&lt;_created&gt;62963179&lt;/_created&gt;&lt;_date&gt;62871840&lt;/_date&gt;&lt;_db_updated&gt;CrossRef&lt;/_db_updated&gt;&lt;_doi&gt;10.1111/1911-3846.12494&lt;/_doi&gt;&lt;_impact_factor&gt;   2.261&lt;/_impact_factor&gt;&lt;_isbn&gt;0823-9150&lt;/_isbn&gt;&lt;_journal&gt;Contemporary Accounting Research&lt;/_journal&gt;&lt;_modified&gt;62963179&lt;/_modified&gt;&lt;_tertiary_title&gt;Contemp Account Res&lt;/_tertiary_title&gt;&lt;_url&gt;https://onlinelibrary.wiley.com/doi/abs/10.1111/1911-3846.12494_x000d__x000a_https://onlinelibrary.wiley.com/doi/pdf/10.1111/1911-3846.12494&lt;/_url&gt;&lt;/Details&gt;&lt;Extra&gt;&lt;DBUID&gt;{D2579611-BF89-4C7B-83D9-BE1288535D97}&lt;/DBUID&gt;&lt;/Extra&gt;&lt;/Item&gt;&lt;/References&gt;&lt;/Group&gt;&lt;/Citation&gt;_x000a_"/>
    <w:docVar w:name="NE.Ref{54201A46-FE31-470F-9A6D-A1F5D926B163}" w:val=" ADDIN NE.Ref.{54201A46-FE31-470F-9A6D-A1F5D926B163}&lt;Citation SecTmpl=&quot;1&quot;&gt;&lt;Group&gt;&lt;References&gt;&lt;Item&gt;&lt;ID&gt;180&lt;/ID&gt;&lt;UID&gt;{190B3A92-7AFA-4568-8105-325F4566D515}&lt;/UID&gt;&lt;Title&gt;A framework for understanding and researching audit quality&lt;/Title&gt;&lt;Template&gt;Journal Article&lt;/Template&gt;&lt;Star&gt;0&lt;/Star&gt;&lt;Tag&gt;0&lt;/Tag&gt;&lt;Author&gt;Francis, Jere R&lt;/Author&gt;&lt;Year&gt;2011&lt;/Year&gt;&lt;Details&gt;&lt;_alternate_title&gt;Auditing: A journal of practice &amp;amp; theory&lt;/_alternate_title&gt;&lt;_created&gt;63296424&lt;/_created&gt;&lt;_date&gt;2011-01-01&lt;/_date&gt;&lt;_date_display&gt;2011&lt;/_date_display&gt;&lt;_impact_factor&gt;   2.642&lt;/_impact_factor&gt;&lt;_isbn&gt;0278-0380&lt;/_isbn&gt;&lt;_issue&gt;2&lt;/_issue&gt;&lt;_journal&gt;Auditing: A journal of practice &amp;amp; theory&lt;/_journal&gt;&lt;_modified&gt;63296424&lt;/_modified&gt;&lt;_ori_publication&gt;American Accounting Association&lt;/_ori_publication&gt;&lt;_pages&gt;125-152&lt;/_pages&gt;&lt;_volume&gt;30&lt;/_volume&gt;&lt;/Details&gt;&lt;Extra&gt;&lt;DBUID&gt;{E9F07991-3B72-4492-A7D8-86E559D9F8FE}&lt;/DBUID&gt;&lt;/Extra&gt;&lt;/Item&gt;&lt;/References&gt;&lt;/Group&gt;&lt;/Citation&gt;_x000a_"/>
    <w:docVar w:name="NE.Ref{5450120D-B4F5-4C1A-86CD-5DAAD48C5B07}" w:val=" ADDIN NE.Ref.{5450120D-B4F5-4C1A-86CD-5DAAD48C5B07}&lt;Citation SecTmpl=&quot;1&quot;&gt;&lt;Group&gt;&lt;References&gt;&lt;Item&gt;&lt;ID&gt;259&lt;/ID&gt;&lt;UID&gt;{61707C5E-10F3-4881-B01A-1D4AE8FE5152}&lt;/UID&gt;&lt;Title&gt;Does size matter? The influence of large clients on office-level auditor reporting decisions&lt;/Title&gt;&lt;Template&gt;Journal Article&lt;/Template&gt;&lt;Star&gt;0&lt;/Star&gt;&lt;Tag&gt;0&lt;/Tag&gt;&lt;Author&gt;Reynolds, J Kenneth; Francis, Jere R&lt;/Author&gt;&lt;Year&gt;2000&lt;/Year&gt;&lt;Details&gt;&lt;_accessed&gt;63303268&lt;/_accessed&gt;&lt;_alternate_title&gt;Journal of accounting and economics&lt;/_alternate_title&gt;&lt;_created&gt;63219544&lt;/_created&gt;&lt;_date&gt;2000-01-01&lt;/_date&gt;&lt;_date_display&gt;2000&lt;/_date_display&gt;&lt;_impact_factor&gt;   3.753&lt;/_impact_factor&gt;&lt;_isbn&gt;0165-4101&lt;/_isbn&gt;&lt;_issue&gt;3&lt;/_issue&gt;&lt;_journal&gt;Journal of accounting and economics&lt;/_journal&gt;&lt;_modified&gt;63303106&lt;/_modified&gt;&lt;_ori_publication&gt;Elsevier&lt;/_ori_publication&gt;&lt;_pages&gt;375-400&lt;/_pages&gt;&lt;_volume&gt;30&lt;/_volume&gt;&lt;/Details&gt;&lt;Extra&gt;&lt;DBUID&gt;{2097646C-7C2F-4992-8A9B-6FF23AE7F1B7}&lt;/DBUID&gt;&lt;/Extra&gt;&lt;/Item&gt;&lt;/References&gt;&lt;/Group&gt;&lt;/Citation&gt;_x000a_"/>
    <w:docVar w:name="NE.Ref{54768AEE-3A41-4BF4-A24D-28A0A821B352}" w:val=" ADDIN NE.Ref.{54768AEE-3A41-4BF4-A24D-28A0A821B352}&lt;Citation&gt;&lt;Group&gt;&lt;References&gt;&lt;Item&gt;&lt;ID&gt;124&lt;/ID&gt;&lt;UID&gt;{DD0D3594-FCF2-426D-9866-8A33613E0707}&lt;/UID&gt;&lt;Title&gt;信息披露质量、控股股东资金占用与审计师选择——来自深市A股上市公司的经验证据&lt;/Title&gt;&lt;Template&gt;Journal Article&lt;/Template&gt;&lt;Star&gt;0&lt;/Star&gt;&lt;Tag&gt;0&lt;/Tag&gt;&lt;Author&gt;洪金明; 徐玉德; 李亚茹&lt;/Author&gt;&lt;Year&gt;2011&lt;/Year&gt;&lt;Details&gt;&lt;_accessed&gt;63241056&lt;/_accessed&gt;&lt;_author_aff&gt;财政部财政科学研究所;&lt;/_author_aff&gt;&lt;_collection_scope&gt;CSSCI-C;PKU&lt;/_collection_scope&gt;&lt;_created&gt;63241052&lt;/_created&gt;&lt;_date&gt;58504320&lt;/_date&gt;&lt;_db_provider&gt;CNKI: 期刊&lt;/_db_provider&gt;&lt;_db_updated&gt;CNKI - Reference&lt;/_db_updated&gt;&lt;_issue&gt;02&lt;/_issue&gt;&lt;_journal&gt;审计研究&lt;/_journal&gt;&lt;_keywords&gt;信息披露质量;信息不对称;资金占用;审计师选择&lt;/_keywords&gt;&lt;_language&gt;Chinese&lt;/_language&gt;&lt;_modified&gt;63241056&lt;/_modified&gt;&lt;_pages&gt;107-112&lt;/_pages&gt;&lt;_url&gt;http://kns.cnki.net/KCMS/detail/detail.aspx?FileName=SJYZ201102016&amp;amp;DbName=CJFQ2011&lt;/_url&gt;&lt;_translated_author&gt;Hong, Jinming;Xu, Yude;Li, Yaru&lt;/_translated_author&gt;&lt;/Details&gt;&lt;Extra&gt;&lt;DBUID&gt;{E9F07991-3B72-4492-A7D8-86E559D9F8FE}&lt;/DBUID&gt;&lt;/Extra&gt;&lt;/Item&gt;&lt;/References&gt;&lt;/Group&gt;&lt;Group&gt;&lt;References&gt;&lt;Item&gt;&lt;ID&gt;128&lt;/ID&gt;&lt;UID&gt;{C9759D89-D911-4DDD-8D68-05772AD204D9}&lt;/UID&gt;&lt;Title&gt;公司治理与掏空&lt;/Title&gt;&lt;Template&gt;Journal Article&lt;/Template&gt;&lt;Star&gt;0&lt;/Star&gt;&lt;Tag&gt;0&lt;/Tag&gt;&lt;Author&gt;高雷; 何少华; 黄志忠&lt;/Author&gt;&lt;Year&gt;2006&lt;/Year&gt;&lt;Details&gt;&lt;_accessed&gt;63241056&lt;/_accessed&gt;&lt;_author_aff&gt;汕头大学商学院;汕头大学商学院;汕头大学商学院;&lt;/_author_aff&gt;&lt;_created&gt;63241052&lt;/_created&gt;&lt;_date&gt;56031840&lt;/_date&gt;&lt;_db_provider&gt;CNKI: 期刊&lt;/_db_provider&gt;&lt;_db_updated&gt;CNKI - Reference&lt;/_db_updated&gt;&lt;_issue&gt;03&lt;/_issue&gt;&lt;_journal&gt;经济学(季刊)&lt;/_journal&gt;&lt;_keywords&gt;公司治理;掏空;资金占用&lt;/_keywords&gt;&lt;_language&gt;Chinese&lt;/_language&gt;&lt;_modified&gt;63241056&lt;/_modified&gt;&lt;_pages&gt;1157-1178&lt;/_pages&gt;&lt;_url&gt;http://kns.cnki.net/KCMS/detail/detail.aspx?FileName=JJXU200603008&amp;amp;DbName=CJFQ2006&lt;/_url&gt;&lt;_translated_author&gt;Gao, Lei;He, Shaohua;Huang, Zhizhong&lt;/_translated_author&gt;&lt;/Details&gt;&lt;Extra&gt;&lt;DBUID&gt;{E9F07991-3B72-4492-A7D8-86E559D9F8FE}&lt;/DBUID&gt;&lt;/Extra&gt;&lt;/Item&gt;&lt;/References&gt;&lt;/Group&gt;&lt;/Citation&gt;_x000a_"/>
    <w:docVar w:name="NE.Ref{54999569-C7C0-41DA-B952-0ADA3CB4DAD7}" w:val=" ADDIN NE.Ref.{54999569-C7C0-41DA-B952-0ADA3CB4DAD7}&lt;Citation SecTmpl=&quot;1&quot;&gt;&lt;Group&gt;&lt;References&gt;&lt;Item&gt;&lt;ID&gt;653&lt;/ID&gt;&lt;UID&gt;{2B92ED09-1604-497C-8DD1-2ABC1922BA5F}&lt;/UID&gt;&lt;Title&gt;签字会计师执业经验与会计信息可比性——来自中国证券市场的经验证据&lt;/Title&gt;&lt;Template&gt;Journal Article&lt;/Template&gt;&lt;Star&gt;0&lt;/Star&gt;&lt;Tag&gt;0&lt;/Tag&gt;&lt;Author&gt;潘临; 郝莉莉; 张龙平&lt;/Author&gt;&lt;Year&gt;2019&lt;/Year&gt;&lt;Details&gt;&lt;_accessed&gt;63180634&lt;/_accessed&gt;&lt;_author_aff&gt;集美大学工商管理学院;东华大学旭日工商管理学院;中南财经政法大学会计学院;&lt;/_author_aff&gt;&lt;_collection_scope&gt;CSSCI-C;PKU&lt;/_collection_scope&gt;&lt;_created&gt;63180634&lt;/_created&gt;&lt;_date&gt;62864640&lt;/_date&gt;&lt;_db_provider&gt;CNKI: 期刊&lt;/_db_provider&gt;&lt;_db_updated&gt;CNKI - Reference&lt;/_db_updated&gt;&lt;_issue&gt;04&lt;/_issue&gt;&lt;_journal&gt;审计与经济研究&lt;/_journal&gt;&lt;_keywords&gt;签字会计师执业经验;会计信息可比性;内部控制;机构投资者;事务所规模;审计意见;审计费用;审计风险&lt;/_keywords&gt;&lt;_language&gt;Chinese&lt;/_language&gt;&lt;_modified&gt;63180634&lt;/_modified&gt;&lt;_pages&gt;44-56&lt;/_pages&gt;&lt;_url&gt;http://kns.cnki.net/KCMS/detail/detail.aspx?FileName=SJYJ201904005&amp;amp;DbName=CJFQ2019&lt;/_url&gt;&lt;_volume&gt;34&lt;/_volume&gt;&lt;_translated_author&gt;Pan, Lin;Hao, Lili;Zhang, Longping&lt;/_translated_author&gt;&lt;/Details&gt;&lt;Extra&gt;&lt;DBUID&gt;{83AC290F-D6FC-4574-9771-6904EE9C30A4}&lt;/DBUID&gt;&lt;/Extra&gt;&lt;/Item&gt;&lt;/References&gt;&lt;/Group&gt;&lt;/Citation&gt;_x000a_"/>
    <w:docVar w:name="NE.Ref{54AD8CBD-C77C-4E7C-8774-5DA9730FB557}" w:val=" ADDIN NE.Ref.{54AD8CBD-C77C-4E7C-8774-5DA9730FB557}&lt;Citation&gt;&lt;Group&gt;&lt;References&gt;&lt;Item&gt;&lt;ID&gt;88&lt;/ID&gt;&lt;UID&gt;{0065B0C3-15DF-4164-A906-B0BC2E7ED000}&lt;/UID&gt;&lt;Title&gt;Do analysts matter for governance? Evidence from natural experiments&lt;/Title&gt;&lt;Template&gt;Journal Article&lt;/Template&gt;&lt;Star&gt;0&lt;/Star&gt;&lt;Tag&gt;0&lt;/Tag&gt;&lt;Author&gt;Chen, Tao; Harford, Jarrad; Lin, Chen&lt;/Author&gt;&lt;Year&gt;2015&lt;/Year&gt;&lt;Details&gt;&lt;_alternate_title&gt;Journal of financial Economics&lt;/_alternate_title&gt;&lt;_collection_scope&gt;SSCI&lt;/_collection_scope&gt;&lt;_created&gt;63228701&lt;/_created&gt;&lt;_date&gt;2015-01-01&lt;/_date&gt;&lt;_date_display&gt;2015&lt;/_date_display&gt;&lt;_impact_factor&gt;   4.693&lt;/_impact_factor&gt;&lt;_isbn&gt;0304-405X&lt;/_isbn&gt;&lt;_issue&gt;2&lt;/_issue&gt;&lt;_journal&gt;Journal of financial Economics&lt;/_journal&gt;&lt;_modified&gt;63228701&lt;/_modified&gt;&lt;_ori_publication&gt;Elsevier&lt;/_ori_publication&gt;&lt;_pages&gt;383-410&lt;/_pages&gt;&lt;_volume&gt;115&lt;/_volume&gt;&lt;/Details&gt;&lt;Extra&gt;&lt;DBUID&gt;{E9F07991-3B72-4492-A7D8-86E559D9F8FE}&lt;/DBUID&gt;&lt;/Extra&gt;&lt;/Item&gt;&lt;/References&gt;&lt;/Group&gt;&lt;/Citation&gt;_x000a_"/>
    <w:docVar w:name="NE.Ref{54C3A5E2-9D43-45A2-90C2-69301ECB6134}" w:val=" ADDIN NE.Ref.{54C3A5E2-9D43-45A2-90C2-69301ECB6134}&lt;Citation SecTmpl=&quot;1&quot;&gt;&lt;Group&gt;&lt;References&gt;&lt;Item&gt;&lt;ID&gt;129&lt;/ID&gt;&lt;UID&gt;{E07C49E0-919A-4B4B-9E58-500099B8890F}&lt;/UID&gt;&lt;Title&gt;大股东资金占用与审计师选择的再检验&lt;/Title&gt;&lt;Template&gt;Journal Article&lt;/Template&gt;&lt;Star&gt;0&lt;/Star&gt;&lt;Tag&gt;0&lt;/Tag&gt;&lt;Author&gt;高强; 伍利娜&lt;/Author&gt;&lt;Year&gt;2007&lt;/Year&gt;&lt;Details&gt;&lt;_accessed&gt;63241053&lt;/_accessed&gt;&lt;_author_aff&gt;财政部人事教育司;北京大学光华管理学院;&lt;/_author_aff&gt;&lt;_collection_scope&gt;CSSCI-C;PKU&lt;/_collection_scope&gt;&lt;_created&gt;63241052&lt;/_created&gt;&lt;_date&gt;56665440&lt;/_date&gt;&lt;_db_provider&gt;CNKI: 期刊&lt;/_db_provider&gt;&lt;_db_updated&gt;CNKI - Reference&lt;/_db_updated&gt;&lt;_issue&gt;05&lt;/_issue&gt;&lt;_journal&gt;审计研究&lt;/_journal&gt;&lt;_keywords&gt;大股东资金占用;审计;代理理论&lt;/_keywords&gt;&lt;_language&gt;Chinese&lt;/_language&gt;&lt;_modified&gt;63241053&lt;/_modified&gt;&lt;_pages&gt;84-90&lt;/_pages&gt;&lt;_url&gt;http://kns.cnki.net/KCMS/detail/detail.aspx?FileName=SJYZ200705020&amp;amp;DbName=CJFQ2007&lt;/_url&gt;&lt;_translated_author&gt;Gao, Qiang;Wu, Lina&lt;/_translated_author&gt;&lt;/Details&gt;&lt;Extra&gt;&lt;DBUID&gt;{E9F07991-3B72-4492-A7D8-86E559D9F8FE}&lt;/DBUID&gt;&lt;/Extra&gt;&lt;/Item&gt;&lt;/References&gt;&lt;/Group&gt;&lt;/Citation&gt;_x000a_"/>
    <w:docVar w:name="NE.Ref{54CEA1BD-2E03-4CE3-8D17-1CE170FB2719}" w:val=" ADDIN NE.Ref.{54CEA1BD-2E03-4CE3-8D17-1CE170FB2719}&lt;Citation&gt;&lt;Group&gt;&lt;References&gt;&lt;Item&gt;&lt;ID&gt;693&lt;/ID&gt;&lt;UID&gt;{F21A020D-DCC0-4AD5-8B39-6BE6EAF8D2FB}&lt;/UID&gt;&lt;Title&gt;An analysis of forced auditor change: The case of former Arthur Andersen clients&lt;/Title&gt;&lt;Template&gt;Journal Article&lt;/Template&gt;&lt;Star&gt;0&lt;/Star&gt;&lt;Tag&gt;0&lt;/Tag&gt;&lt;Author&gt;Blouin, Jennifer; Grein, Barbara Murray; Rountree, Brian R&lt;/Author&gt;&lt;Year&gt;2007&lt;/Year&gt;&lt;Details&gt;&lt;_alternate_title&gt;The Accounting Review&lt;/_alternate_title&gt;&lt;_created&gt;63303598&lt;/_created&gt;&lt;_date&gt;2007-01-01&lt;/_date&gt;&lt;_date_display&gt;2007&lt;/_date_display&gt;&lt;_impact_factor&gt;   4.562&lt;/_impact_factor&gt;&lt;_isbn&gt;0001-4826&lt;/_isbn&gt;&lt;_issue&gt;3&lt;/_issue&gt;&lt;_journal&gt;The Accounting Review&lt;/_journal&gt;&lt;_modified&gt;63303598&lt;/_modified&gt;&lt;_pages&gt;621-650&lt;/_pages&gt;&lt;_volume&gt;82&lt;/_volume&gt;&lt;/Details&gt;&lt;Extra&gt;&lt;DBUID&gt;{83AC290F-D6FC-4574-9771-6904EE9C30A4}&lt;/DBUID&gt;&lt;/Extra&gt;&lt;/Item&gt;&lt;/References&gt;&lt;/Group&gt;&lt;/Citation&gt;_x000a_"/>
    <w:docVar w:name="NE.Ref{54CF7B52-1F44-46CB-B60D-1410760427AA}" w:val=" ADDIN NE.Ref.{54CF7B52-1F44-46CB-B60D-1410760427AA}&lt;Citation SecTmpl=&quot;1&quot;&gt;&lt;Group&gt;&lt;References&gt;&lt;Item&gt;&lt;ID&gt;100&lt;/ID&gt;&lt;UID&gt;{BE788795-46F8-4CCE-B3EE-B2F113545389}&lt;/UID&gt;&lt;Title&gt;家族企业关联大股东的治理角色——基于关联交易的视角&lt;/Title&gt;&lt;Template&gt;Journal Article&lt;/Template&gt;&lt;Star&gt;0&lt;/Star&gt;&lt;Tag&gt;0&lt;/Tag&gt;&lt;Author&gt;魏明海; 黄琼宇; 程敏英&lt;/Author&gt;&lt;Year&gt;2013&lt;/Year&gt;&lt;Details&gt;&lt;_accessed&gt;63241006&lt;/_accessed&gt;&lt;_author_aff&gt;中山大学管理学院;&lt;/_author_aff&gt;&lt;_collection_scope&gt;CSSCI-C;PKU&lt;/_collection_scope&gt;&lt;_created&gt;63240989&lt;/_created&gt;&lt;_date&gt;59538240&lt;/_date&gt;&lt;_db_provider&gt;CNKI: 期刊&lt;/_db_provider&gt;&lt;_db_updated&gt;CNKI - Reference&lt;/_db_updated&gt;&lt;_issue&gt;03&lt;/_issue&gt;&lt;_journal&gt;管理世界&lt;/_journal&gt;&lt;_keywords&gt;家族企业;关联大股东;公司治理;企业价值;关联交易&lt;/_keywords&gt;&lt;_language&gt;Chinese&lt;/_language&gt;&lt;_modified&gt;63241006&lt;/_modified&gt;&lt;_pages&gt;133-147+171+188&lt;/_pages&gt;&lt;_url&gt;http://kns.cnki.net/KCMS/detail/detail.aspx?FileName=GLSJ201303014&amp;amp;DbName=CJFQ2013&lt;/_url&gt;&lt;_translated_author&gt;Wei, Minghai;Huang, Qiongyu;Cheng, Minying&lt;/_translated_author&gt;&lt;/Details&gt;&lt;Extra&gt;&lt;DBUID&gt;{E9F07991-3B72-4492-A7D8-86E559D9F8FE}&lt;/DBUID&gt;&lt;/Extra&gt;&lt;/Item&gt;&lt;/References&gt;&lt;/Group&gt;&lt;/Citation&gt;_x000a_"/>
    <w:docVar w:name="NE.Ref{54FEEB2C-586B-48B1-8BB1-EE445DC8D0CD}" w:val=" ADDIN NE.Ref.{54FEEB2C-586B-48B1-8BB1-EE445DC8D0CD}&lt;Citation SecTmpl=&quot;1&quot;&gt;&lt;Group&gt;&lt;References&gt;&lt;Item&gt;&lt;ID&gt;66&lt;/ID&gt;&lt;UID&gt;{6DC66072-8C78-49D3-8BB3-B61DD43ADF3A}&lt;/UID&gt;&lt;Title&gt;Tax collector or tax avoider? An investigation of intergovernmental agency conflicts&lt;/Title&gt;&lt;Template&gt;Journal Article&lt;/Template&gt;&lt;Star&gt;0&lt;/Star&gt;&lt;Tag&gt;0&lt;/Tag&gt;&lt;Author&gt;Tang, Tanya; Mo, Phyllis Lai Lan; Chan, K Hung&lt;/Author&gt;&lt;Year&gt;2017&lt;/Year&gt;&lt;Details&gt;&lt;_alternate_title&gt;The Accounting Review&lt;/_alternate_title&gt;&lt;_created&gt;63226616&lt;/_created&gt;&lt;_date&gt;2017-01-01&lt;/_date&gt;&lt;_date_display&gt;2017&lt;/_date_display&gt;&lt;_isbn&gt;1558-7967&lt;/_isbn&gt;&lt;_issue&gt;2&lt;/_issue&gt;&lt;_journal&gt;The Accounting Review&lt;/_journal&gt;&lt;_modified&gt;63226616&lt;/_modified&gt;&lt;_ori_publication&gt;American Accounting Association&lt;/_ori_publication&gt;&lt;_pages&gt;247-270&lt;/_pages&gt;&lt;_volume&gt;92&lt;/_volume&gt;&lt;/Details&gt;&lt;Extra&gt;&lt;DBUID&gt;{E9F07991-3B72-4492-A7D8-86E559D9F8FE}&lt;/DBUID&gt;&lt;/Extra&gt;&lt;/Item&gt;&lt;/References&gt;&lt;/Group&gt;&lt;/Citation&gt;_x000a_"/>
    <w:docVar w:name="NE.Ref{56052714-1D3C-4D30-8E2B-80CCF4BC126F}" w:val=" ADDIN NE.Ref.{56052714-1D3C-4D30-8E2B-80CCF4BC126F}&lt;Citation SecTmpl=&quot;1&quot;&gt;&lt;Group&gt;&lt;References&gt;&lt;Item&gt;&lt;ID&gt;205&lt;/ID&gt;&lt;UID&gt;{0BEB80AF-E584-46CB-A5B0-6B136245C083}&lt;/UID&gt;&lt;Title&gt;Do external auditors perform a corporate governance role in emerging markets? Evidence from East Asia&lt;/Title&gt;&lt;Template&gt;Journal Article&lt;/Template&gt;&lt;Star&gt;0&lt;/Star&gt;&lt;Tag&gt;0&lt;/Tag&gt;&lt;Author&gt;Fan, Joseph PH; Wong, Tak Jun&lt;/Author&gt;&lt;Year&gt;2005&lt;/Year&gt;&lt;Details&gt;&lt;_alternate_title&gt;Journal of accounting research&lt;/_alternate_title&gt;&lt;_collection_scope&gt;SSCI&lt;/_collection_scope&gt;&lt;_created&gt;63301636&lt;/_created&gt;&lt;_date&gt;2005-01-01&lt;/_date&gt;&lt;_date_display&gt;2005&lt;/_date_display&gt;&lt;_impact_factor&gt;   4.891&lt;/_impact_factor&gt;&lt;_isbn&gt;0021-8456&lt;/_isbn&gt;&lt;_issue&gt;1&lt;/_issue&gt;&lt;_journal&gt;Journal of accounting research&lt;/_journal&gt;&lt;_modified&gt;63301636&lt;/_modified&gt;&lt;_ori_publication&gt;Wiley Online Library&lt;/_ori_publication&gt;&lt;_pages&gt;35-72&lt;/_pages&gt;&lt;_volume&gt;43&lt;/_volume&gt;&lt;/Details&gt;&lt;Extra&gt;&lt;DBUID&gt;{E9F07991-3B72-4492-A7D8-86E559D9F8FE}&lt;/DBUID&gt;&lt;/Extra&gt;&lt;/Item&gt;&lt;/References&gt;&lt;/Group&gt;&lt;/Citation&gt;_x000a_"/>
    <w:docVar w:name="NE.Ref{5634C82D-667F-474C-855B-872A56C5F018}" w:val=" ADDIN NE.Ref.{5634C82D-667F-474C-855B-872A56C5F018}&lt;Citation SecTmpl=&quot;1&quot;&gt;&lt;Group&gt;&lt;References&gt;&lt;Item&gt;&lt;ID&gt;467&lt;/ID&gt;&lt;UID&gt;{D135D7F1-A6DD-46E0-ABF3-4EC840D0B0CB}&lt;/UID&gt;&lt;Title&gt;审计风险、审计师个人的经验与审计质量&lt;/Title&gt;&lt;Template&gt;Journal Article&lt;/Template&gt;&lt;Star&gt;0&lt;/Star&gt;&lt;Tag&gt;0&lt;/Tag&gt;&lt;Author&gt;韩维芳&lt;/Author&gt;&lt;Year&gt;2017&lt;/Year&gt;&lt;Details&gt;&lt;_accessed&gt;63176307&lt;/_accessed&gt;&lt;_author_aff&gt;上海立信会计金融学院会计学院;&lt;/_author_aff&gt;&lt;_collection_scope&gt;CSSCI-C;PKU&lt;/_collection_scope&gt;&lt;_created&gt;63176307&lt;/_created&gt;&lt;_date&gt;61695360&lt;/_date&gt;&lt;_db_provider&gt;CNKI: 期刊&lt;/_db_provider&gt;&lt;_db_updated&gt;CNKI - Reference&lt;/_db_updated&gt;&lt;_issue&gt;03&lt;/_issue&gt;&lt;_journal&gt;审计与经济研究&lt;/_journal&gt;&lt;_keywords&gt;审计风险;审计师个人经验;审计质量;审计意见;审计费用;风险导向审计模式;签字审计师&lt;/_keywords&gt;&lt;_language&gt;Chinese&lt;/_language&gt;&lt;_modified&gt;63176307&lt;/_modified&gt;&lt;_pages&gt;35-45&lt;/_pages&gt;&lt;_url&gt;http://kns.cnki.net/KCMS/detail/detail.aspx?FileName=SJYJ201703004&amp;amp;DbName=CJFQ2017&lt;/_url&gt;&lt;_volume&gt;32&lt;/_volume&gt;&lt;_translated_author&gt;Han, Weifang&lt;/_translated_author&gt;&lt;/Details&gt;&lt;Extra&gt;&lt;DBUID&gt;{83AC290F-D6FC-4574-9771-6904EE9C30A4}&lt;/DBUID&gt;&lt;/Extra&gt;&lt;/Item&gt;&lt;/References&gt;&lt;/Group&gt;&lt;/Citation&gt;_x000a_"/>
    <w:docVar w:name="NE.Ref{56C2D8E9-6C2D-4E80-AFDB-2F97D5FBA198}" w:val=" ADDIN NE.Ref.{56C2D8E9-6C2D-4E80-AFDB-2F97D5FBA198}&lt;Citation&gt;&lt;Group&gt;&lt;References&gt;&lt;Item&gt;&lt;ID&gt;7&lt;/ID&gt;&lt;UID&gt;{06CFC10B-D482-4048-B7EC-CCF361BF506C}&lt;/UID&gt;&lt;Title&gt;管理层业绩预测的机会主义行为——来自高管股票交易的证据&lt;/Title&gt;&lt;Template&gt;Journal Article&lt;/Template&gt;&lt;Star&gt;0&lt;/Star&gt;&lt;Tag&gt;0&lt;/Tag&gt;&lt;Author&gt;李欢; 罗婷&lt;/Author&gt;&lt;Year&gt;2016&lt;/Year&gt;&lt;Details&gt;&lt;_accessed&gt;63098523&lt;/_accessed&gt;&lt;_author_aff&gt;国网四川省电力公司综合服务中心;&lt;/_author_aff&gt;&lt;_collection_scope&gt;CSSCI-C;PKU&lt;/_collection_scope&gt;&lt;_created&gt;63097441&lt;/_created&gt;&lt;_date&gt;61326720&lt;/_date&gt;&lt;_db_provider&gt;CNKI: 期刊&lt;/_db_provider&gt;&lt;_db_updated&gt;CNKI - Reference&lt;/_db_updated&gt;&lt;_issue&gt;04&lt;/_issue&gt;&lt;_journal&gt;南开管理评论&lt;/_journal&gt;&lt;_keywords&gt;业绩预测;高管交易;自利动机&lt;/_keywords&gt;&lt;_language&gt;Chinese&lt;/_language&gt;&lt;_modified&gt;63098523&lt;/_modified&gt;&lt;_pages&gt;63-74&lt;/_pages&gt;&lt;_url&gt;http://kns.cnki.net/KCMS/detail/detail.aspx?FileName=LKGP201604007&amp;amp;DbName=CJFQ2016&lt;/_url&gt;&lt;_volume&gt;19&lt;/_volume&gt;&lt;_translated_author&gt;Li, Huan;Luo, Ting&lt;/_translated_author&gt;&lt;/Details&gt;&lt;Extra&gt;&lt;DBUID&gt;{439358B4-FA18-4C63-A3A1-0E3BE4066E7A}&lt;/DBUID&gt;&lt;/Extra&gt;&lt;/Item&gt;&lt;/References&gt;&lt;/Group&gt;&lt;/Citation&gt;_x000a_"/>
    <w:docVar w:name="NE.Ref{56E78B44-9E23-47A1-89BD-A824964EACC0}" w:val=" ADDIN NE.Ref.{56E78B44-9E23-47A1-89BD-A824964EACC0}&lt;Citation SecTmpl=&quot;1&quot;&gt;&lt;Group&gt;&lt;References&gt;&lt;Item&gt;&lt;ID&gt;66&lt;/ID&gt;&lt;UID&gt;{6DC66072-8C78-49D3-8BB3-B61DD43ADF3A}&lt;/UID&gt;&lt;Title&gt;Tax collector or tax avoider? An investigation of intergovernmental agency conflicts&lt;/Title&gt;&lt;Template&gt;Journal Article&lt;/Template&gt;&lt;Star&gt;0&lt;/Star&gt;&lt;Tag&gt;0&lt;/Tag&gt;&lt;Author&gt;Tang, Tanya; Mo, Phyllis Lai Lan; Chan, K Hung&lt;/Author&gt;&lt;Year&gt;2017&lt;/Year&gt;&lt;Details&gt;&lt;_alternate_title&gt;The Accounting Review&lt;/_alternate_title&gt;&lt;_created&gt;63226616&lt;/_created&gt;&lt;_date&gt;2017-01-01&lt;/_date&gt;&lt;_date_display&gt;2017&lt;/_date_display&gt;&lt;_isbn&gt;1558-7967&lt;/_isbn&gt;&lt;_issue&gt;2&lt;/_issue&gt;&lt;_journal&gt;The Accounting Review&lt;/_journal&gt;&lt;_modified&gt;63226616&lt;/_modified&gt;&lt;_ori_publication&gt;American Accounting Association&lt;/_ori_publication&gt;&lt;_pages&gt;247-270&lt;/_pages&gt;&lt;_volume&gt;92&lt;/_volume&gt;&lt;/Details&gt;&lt;Extra&gt;&lt;DBUID&gt;{E9F07991-3B72-4492-A7D8-86E559D9F8FE}&lt;/DBUID&gt;&lt;/Extra&gt;&lt;/Item&gt;&lt;/References&gt;&lt;/Group&gt;&lt;/Citation&gt;_x000a_"/>
    <w:docVar w:name="NE.Ref{570E2D12-9E76-41E9-8AC5-215313D9E4CA}" w:val=" ADDIN NE.Ref.{570E2D12-9E76-41E9-8AC5-215313D9E4CA}&lt;Citation&gt;&lt;Group&gt;&lt;References&gt;&lt;Item&gt;&lt;ID&gt;274&lt;/ID&gt;&lt;UID&gt;{3C2D6D1C-FEC9-43A4-A3F2-E4EFF2289664}&lt;/UID&gt;&lt;Title&gt;Auditor tenure and audit reporting failures&lt;/Title&gt;&lt;Template&gt;Journal Article&lt;/Template&gt;&lt;Star&gt;0&lt;/Star&gt;&lt;Tag&gt;0&lt;/Tag&gt;&lt;Author&gt;Geiger, Marshall A; Raghunandan, Kannan&lt;/Author&gt;&lt;Year&gt;2002&lt;/Year&gt;&lt;Details&gt;&lt;_alternate_title&gt;Auditing: A Journal of Practice &amp;amp; Theory&lt;/_alternate_title&gt;&lt;_date_display&gt;2002&lt;/_date_display&gt;&lt;_date&gt;2002-01-01&lt;/_date&gt;&lt;_isbn&gt;0278-0380&lt;/_isbn&gt;&lt;_issue&gt;1&lt;/_issue&gt;&lt;_journal&gt;Auditing: A Journal of Practice &amp;amp; Theory&lt;/_journal&gt;&lt;_pages&gt;67-78&lt;/_pages&gt;&lt;_volume&gt;21&lt;/_volume&gt;&lt;_created&gt;63303343&lt;/_created&gt;&lt;_modified&gt;63303343&lt;/_modified&gt;&lt;_impact_factor&gt;   2.642&lt;/_impact_factor&gt;&lt;/Details&gt;&lt;Extra&gt;&lt;DBUID&gt;{2097646C-7C2F-4992-8A9B-6FF23AE7F1B7}&lt;/DBUID&gt;&lt;/Extra&gt;&lt;/Item&gt;&lt;/References&gt;&lt;/Group&gt;&lt;/Citation&gt;_x000a_"/>
    <w:docVar w:name="NE.Ref{571174C3-B0A1-47E4-BB21-829515DD43B9}" w:val=" ADDIN NE.Ref.{571174C3-B0A1-47E4-BB21-829515DD43B9}&lt;Citation SecTmpl=&quot;1&quot;&gt;&lt;Group&gt;&lt;References&gt;&lt;Item&gt;&lt;ID&gt;680&lt;/ID&gt;&lt;UID&gt;{9B904607-E9E6-4FAD-9A93-CF5EB47E1937}&lt;/UID&gt;&lt;Title&gt;Earnings management: New evidence based on deferred tax expense&lt;/Title&gt;&lt;Template&gt;Journal Article&lt;/Template&gt;&lt;Star&gt;0&lt;/Star&gt;&lt;Tag&gt;0&lt;/Tag&gt;&lt;Author&gt;Phillips, John; Pincus, Morton; Rego, Sonja Olhoft&lt;/Author&gt;&lt;Year&gt;2003&lt;/Year&gt;&lt;Details&gt;&lt;_alternate_title&gt;The Accounting Review&lt;/_alternate_title&gt;&lt;_created&gt;63284289&lt;/_created&gt;&lt;_date&gt;2003-01-01&lt;/_date&gt;&lt;_date_display&gt;2003&lt;/_date_display&gt;&lt;_impact_factor&gt;   4.562&lt;/_impact_factor&gt;&lt;_isbn&gt;0001-4826&lt;/_isbn&gt;&lt;_issue&gt;2&lt;/_issue&gt;&lt;_journal&gt;The Accounting Review&lt;/_journal&gt;&lt;_modified&gt;63284289&lt;/_modified&gt;&lt;_pages&gt;491-521&lt;/_pages&gt;&lt;_volume&gt;78&lt;/_volume&gt;&lt;/Details&gt;&lt;Extra&gt;&lt;DBUID&gt;{83AC290F-D6FC-4574-9771-6904EE9C30A4}&lt;/DBUID&gt;&lt;/Extra&gt;&lt;/Item&gt;&lt;/References&gt;&lt;/Group&gt;&lt;/Citation&gt;_x000a_"/>
    <w:docVar w:name="NE.Ref{57591F40-8929-4F86-A599-F5374422E618}" w:val=" ADDIN NE.Ref.{57591F40-8929-4F86-A599-F5374422E618}&lt;Citation&gt;&lt;Group&gt;&lt;References&gt;&lt;Item&gt;&lt;ID&gt;50&lt;/ID&gt;&lt;UID&gt;{91A387CD-D9EB-4910-A073-004C6316D962}&lt;/UID&gt;&lt;Title&gt;An empirical analysis of auditor reporting and its association with abnormal accruals&lt;/Title&gt;&lt;Template&gt;Journal Article&lt;/Template&gt;&lt;Star&gt;0&lt;/Star&gt;&lt;Tag&gt;0&lt;/Tag&gt;&lt;Author&gt;Butler, Marty; Leone, Andrew J; Willenborg, Michael&lt;/Author&gt;&lt;Year&gt;2004&lt;/Year&gt;&lt;Details&gt;&lt;_alternate_title&gt;Journal of Accounting and Economics&lt;/_alternate_title&gt;&lt;_created&gt;63224462&lt;/_created&gt;&lt;_date&gt;2004-01-01&lt;/_date&gt;&lt;_date_display&gt;2004&lt;/_date_display&gt;&lt;_impact_factor&gt;   3.753&lt;/_impact_factor&gt;&lt;_isbn&gt;0165-4101&lt;/_isbn&gt;&lt;_issue&gt;2&lt;/_issue&gt;&lt;_journal&gt;Journal of Accounting and Economics&lt;/_journal&gt;&lt;_modified&gt;63224462&lt;/_modified&gt;&lt;_ori_publication&gt;Elsevier&lt;/_ori_publication&gt;&lt;_pages&gt;139-165&lt;/_pages&gt;&lt;_volume&gt;37&lt;/_volume&gt;&lt;/Details&gt;&lt;Extra&gt;&lt;DBUID&gt;{E9F07991-3B72-4492-A7D8-86E559D9F8FE}&lt;/DBUID&gt;&lt;/Extra&gt;&lt;/Item&gt;&lt;/References&gt;&lt;/Group&gt;&lt;/Citation&gt;_x000a_"/>
    <w:docVar w:name="NE.Ref{57594026-0D74-4E22-9DFF-C143A3DBD7F7}" w:val=" ADDIN NE.Ref.{57594026-0D74-4E22-9DFF-C143A3DBD7F7}&lt;Citation&gt;&lt;Group&gt;&lt;References&gt;&lt;Item&gt;&lt;ID&gt;28&lt;/ID&gt;&lt;UID&gt;{EFCA2F63-5FD1-4C1F-98D8-9F6B4C3D4ADE}&lt;/UID&gt;&lt;Title&gt;Does a lack of choice lead to lower quality? Evidence from auditor competition and client restatements&lt;/Title&gt;&lt;Template&gt;Journal Article&lt;/Template&gt;&lt;Star&gt;0&lt;/Star&gt;&lt;Tag&gt;0&lt;/Tag&gt;&lt;Author&gt;Newton, Nathan J; Wang, Dechun; Wilkins, Michael S&lt;/Author&gt;&lt;Year&gt;2013&lt;/Year&gt;&lt;Details&gt;&lt;_alternate_title&gt;Auditing: A Journal of Practice &amp;amp; Theory&lt;/_alternate_title&gt;&lt;_created&gt;63219561&lt;/_created&gt;&lt;_date&gt;2013-01-01&lt;/_date&gt;&lt;_date_display&gt;2013&lt;/_date_display&gt;&lt;_impact_factor&gt;   2.642&lt;/_impact_factor&gt;&lt;_isbn&gt;0278-0380&lt;/_isbn&gt;&lt;_issue&gt;3&lt;/_issue&gt;&lt;_journal&gt;Auditing: A Journal of Practice &amp;amp; Theory&lt;/_journal&gt;&lt;_modified&gt;63219561&lt;/_modified&gt;&lt;_ori_publication&gt;American Accounting Assocation&lt;/_ori_publication&gt;&lt;_pages&gt;31-67&lt;/_pages&gt;&lt;_volume&gt;32&lt;/_volume&gt;&lt;/Details&gt;&lt;Extra&gt;&lt;DBUID&gt;{E9F07991-3B72-4492-A7D8-86E559D9F8FE}&lt;/DBUID&gt;&lt;/Extra&gt;&lt;/Item&gt;&lt;/References&gt;&lt;/Group&gt;&lt;Group&gt;&lt;References&gt;&lt;Item&gt;&lt;ID&gt;262&lt;/ID&gt;&lt;UID&gt;{D2F5B638-31B0-41AA-AB10-CCCCBD4ACCE0}&lt;/UID&gt;&lt;Title&gt;Audit market concentration and auditor tolerance for earnings management&lt;/Title&gt;&lt;Template&gt;Journal Article&lt;/Template&gt;&lt;Star&gt;0&lt;/Star&gt;&lt;Tag&gt;0&lt;/Tag&gt;&lt;Author&gt;Boone, Jeff P; Khurana, Inder K; Raman, K K&lt;/Author&gt;&lt;Year&gt;2012&lt;/Year&gt;&lt;Details&gt;&lt;_alternate_title&gt;Contemporary Accounting Research&lt;/_alternate_title&gt;&lt;_collection_scope&gt;SSCI&lt;/_collection_scope&gt;&lt;_created&gt;63219563&lt;/_created&gt;&lt;_date&gt;2012-01-01&lt;/_date&gt;&lt;_date_display&gt;2012&lt;/_date_display&gt;&lt;_impact_factor&gt;   2.261&lt;/_impact_factor&gt;&lt;_issue&gt;4&lt;/_issue&gt;&lt;_journal&gt;Contemporary Accounting Research&lt;/_journal&gt;&lt;_modified&gt;63219563&lt;/_modified&gt;&lt;_pages&gt;1171-1203&lt;/_pages&gt;&lt;_volume&gt;29&lt;/_volume&gt;&lt;/Details&gt;&lt;Extra&gt;&lt;DBUID&gt;{2097646C-7C2F-4992-8A9B-6FF23AE7F1B7}&lt;/DBUID&gt;&lt;/Extra&gt;&lt;/Item&gt;&lt;/References&gt;&lt;/Group&gt;&lt;Group&gt;&lt;References&gt;&lt;Item&gt;&lt;ID&gt;30&lt;/ID&gt;&lt;UID&gt;{BA1FE6B2-71AA-44C2-9E5D-B0F4C0614272}&lt;/UID&gt;&lt;Title&gt;Does audit market concentration harm the quality of audited earnings? Evidence from audit markets in 42 countries&lt;/Title&gt;&lt;Template&gt;Journal Article&lt;/Template&gt;&lt;Star&gt;0&lt;/Star&gt;&lt;Tag&gt;0&lt;/Tag&gt;&lt;Author&gt;Francis, Jere R; Michas, Paul N; Seavey, Scott E&lt;/Author&gt;&lt;Year&gt;2013&lt;/Year&gt;&lt;Details&gt;&lt;_alternate_title&gt;Contemporary Accounting Research&lt;/_alternate_title&gt;&lt;_collection_scope&gt;SSCI&lt;/_collection_scope&gt;&lt;_created&gt;63219564&lt;/_created&gt;&lt;_date&gt;2013-01-01&lt;/_date&gt;&lt;_date_display&gt;2013&lt;/_date_display&gt;&lt;_impact_factor&gt;   2.261&lt;/_impact_factor&gt;&lt;_isbn&gt;0823-9150&lt;/_isbn&gt;&lt;_issue&gt;1&lt;/_issue&gt;&lt;_journal&gt;Contemporary Accounting Research&lt;/_journal&gt;&lt;_modified&gt;63219564&lt;/_modified&gt;&lt;_ori_publication&gt;Wiley Online Library&lt;/_ori_publication&gt;&lt;_pages&gt;325-355&lt;/_pages&gt;&lt;_volume&gt;30&lt;/_volume&gt;&lt;/Details&gt;&lt;Extra&gt;&lt;DBUID&gt;{E9F07991-3B72-4492-A7D8-86E559D9F8FE}&lt;/DBUID&gt;&lt;/Extra&gt;&lt;/Item&gt;&lt;/References&gt;&lt;/Group&gt;&lt;Group&gt;&lt;References&gt;&lt;Item&gt;&lt;ID&gt;31&lt;/ID&gt;&lt;UID&gt;{9F785AB9-FB44-4FE2-ACB5-E069528B7EC1}&lt;/UID&gt;&lt;Title&gt;Competition and Big 6 brand name reputation: Evidence from the Ontario municipal audit market&lt;/Title&gt;&lt;Template&gt;Journal Article&lt;/Template&gt;&lt;Star&gt;0&lt;/Star&gt;&lt;Tag&gt;0&lt;/Tag&gt;&lt;Author&gt;Bandyopadhyay, Sati P; Kao, Jennifer L&lt;/Author&gt;&lt;Year&gt;2001&lt;/Year&gt;&lt;Details&gt;&lt;_alternate_title&gt;Contemporary Accounting Research&lt;/_alternate_title&gt;&lt;_collection_scope&gt;SSCI&lt;/_collection_scope&gt;&lt;_created&gt;63219566&lt;/_created&gt;&lt;_date&gt;2001-01-01&lt;/_date&gt;&lt;_date_display&gt;2001&lt;/_date_display&gt;&lt;_impact_factor&gt;   2.261&lt;/_impact_factor&gt;&lt;_isbn&gt;0823-9150&lt;/_isbn&gt;&lt;_issue&gt;1&lt;/_issue&gt;&lt;_journal&gt;Contemporary Accounting Research&lt;/_journal&gt;&lt;_modified&gt;63219566&lt;/_modified&gt;&lt;_ori_publication&gt;Wiley Online Library&lt;/_ori_publication&gt;&lt;_pages&gt;27-64&lt;/_pages&gt;&lt;_volume&gt;18&lt;/_volume&gt;&lt;/Details&gt;&lt;Extra&gt;&lt;DBUID&gt;{E9F07991-3B72-4492-A7D8-86E559D9F8FE}&lt;/DBUID&gt;&lt;/Extra&gt;&lt;/Item&gt;&lt;/References&gt;&lt;/Group&gt;&lt;/Citation&gt;_x000a_"/>
    <w:docVar w:name="NE.Ref{57CF8E6A-1085-4125-9FD1-19DF10A4C74C}" w:val=" ADDIN NE.Ref.{57CF8E6A-1085-4125-9FD1-19DF10A4C74C}&lt;Citation SecTmpl=&quot;1&quot;&gt;&lt;Group&gt;&lt;References&gt;&lt;Item&gt;&lt;ID&gt;161&lt;/ID&gt;&lt;UID&gt;{67D8EE23-E247-41D5-BF4F-6D7F826B7E88}&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90029&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Citation&gt;_x000a_"/>
    <w:docVar w:name="NE.Ref{58369D85-C5A3-44FA-83D2-8EBC315DC5ED}" w:val=" ADDIN NE.Ref.{58369D85-C5A3-44FA-83D2-8EBC315DC5ED}&lt;Citation SecTmpl=&quot;1&quot;&gt;&lt;Group&gt;&lt;References&gt;&lt;Item&gt;&lt;ID&gt;686&lt;/ID&gt;&lt;UID&gt;{C22BD0DA-4F63-4926-9CEB-030201B193C6}&lt;/UID&gt;&lt;Title&gt;Last‐chance earnings management: Using the tax expense to meet analysts&amp;apos; forecasts&lt;/Title&gt;&lt;Template&gt;Journal Article&lt;/Template&gt;&lt;Star&gt;0&lt;/Star&gt;&lt;Tag&gt;0&lt;/Tag&gt;&lt;Author&gt;Dhaliwal, Dan S; Gleason, Cristi A; Mills, Lillian F&lt;/Author&gt;&lt;Year&gt;2004&lt;/Year&gt;&lt;Details&gt;&lt;_alternate_title&gt;Contemporary Accounting Research&lt;/_alternate_title&gt;&lt;_collection_scope&gt;SSCI&lt;/_collection_scope&gt;&lt;_created&gt;63284347&lt;/_created&gt;&lt;_date&gt;2004-01-01&lt;/_date&gt;&lt;_date_display&gt;2004&lt;/_date_display&gt;&lt;_impact_factor&gt;   2.261&lt;/_impact_factor&gt;&lt;_isbn&gt;0823-9150&lt;/_isbn&gt;&lt;_issue&gt;2&lt;/_issue&gt;&lt;_journal&gt;Contemporary Accounting Research&lt;/_journal&gt;&lt;_modified&gt;63284347&lt;/_modified&gt;&lt;_ori_publication&gt;Wiley Online Library&lt;/_ori_publication&gt;&lt;_pages&gt;431-459&lt;/_pages&gt;&lt;_volume&gt;21&lt;/_volume&gt;&lt;/Details&gt;&lt;Extra&gt;&lt;DBUID&gt;{83AC290F-D6FC-4574-9771-6904EE9C30A4}&lt;/DBUID&gt;&lt;/Extra&gt;&lt;/Item&gt;&lt;/References&gt;&lt;/Group&gt;&lt;/Citation&gt;_x000a_"/>
    <w:docVar w:name="NE.Ref{592C9904-3F29-440F-AF9A-F7F775312D99}" w:val=" ADDIN NE.Ref.{592C9904-3F29-440F-AF9A-F7F775312D99}&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595337F2-7859-4013-9902-7005EFA53BDB}" w:val=" ADDIN NE.Ref.{595337F2-7859-4013-9902-7005EFA53BDB}&lt;Citation SecTmpl=&quot;1&quot;&gt;&lt;Group&gt;&lt;References&gt;&lt;Item&gt;&lt;ID&gt;59&lt;/ID&gt;&lt;UID&gt;{D85C9A69-770E-47F8-8737-7E9EC18B7802}&lt;/UID&gt;&lt;Title&gt;Short‐run returns around the trades of corporate insiders on the London Stock Exchange&lt;/Title&gt;&lt;Template&gt;Journal Article&lt;/Template&gt;&lt;Star&gt;0&lt;/Star&gt;&lt;Tag&gt;0&lt;/Tag&gt;&lt;Author&gt;Friederich, Sylvain; Gregory, Alan; Matatko, John; Tonks, Ian&lt;/Author&gt;&lt;Year&gt;2002&lt;/Year&gt;&lt;Details&gt;&lt;_alternate_title&gt;European Financial Management&lt;/_alternate_title&gt;&lt;_collection_scope&gt;SSCI&lt;/_collection_scope&gt;&lt;_created&gt;63277155&lt;/_created&gt;&lt;_date&gt;2002-01-01&lt;/_date&gt;&lt;_date_display&gt;2002&lt;/_date_display&gt;&lt;_impact_factor&gt;   1.292&lt;/_impact_factor&gt;&lt;_isbn&gt;1354-7798&lt;/_isbn&gt;&lt;_issue&gt;1&lt;/_issue&gt;&lt;_journal&gt;European Financial Management&lt;/_journal&gt;&lt;_modified&gt;63277155&lt;/_modified&gt;&lt;_ori_publication&gt;Wiley Online Library&lt;/_ori_publication&gt;&lt;_pages&gt;7-30&lt;/_pages&gt;&lt;_volume&gt;8&lt;/_volume&gt;&lt;/Details&gt;&lt;Extra&gt;&lt;DBUID&gt;{439358B4-FA18-4C63-A3A1-0E3BE4066E7A}&lt;/DBUID&gt;&lt;/Extra&gt;&lt;/Item&gt;&lt;/References&gt;&lt;/Group&gt;&lt;/Citation&gt;_x000a_"/>
    <w:docVar w:name="NE.Ref{59DD2CC6-9976-47EC-A47C-8D40A002D54E}" w:val=" ADDIN NE.Ref.{59DD2CC6-9976-47EC-A47C-8D40A002D54E}&lt;Citation SecTmpl=&quot;1&quot;&gt;&lt;Group&gt;&lt;References&gt;&lt;Item&gt;&lt;ID&gt;114&lt;/ID&gt;&lt;UID&gt;{F41F041B-4DD9-4D3B-A573-7A5F14F8EB10}&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1775189&lt;/_modified&gt;&lt;_pages&gt;74-83&lt;/_pages&gt;&lt;_url&gt;http://www.cnki.net/KCMS/detail/detail.aspx?FileName=SJYZ201402013&amp;amp;DbName=CJFQ2014&lt;/_url&gt;&lt;_translated_author&gt;Wei, Chunyan&lt;/_translated_author&gt;&lt;/Details&gt;&lt;Extra&gt;&lt;DBUID&gt;{83AC290F-D6FC-4574-9771-6904EE9C30A4}&lt;/DBUID&gt;&lt;/Extra&gt;&lt;/Item&gt;&lt;/References&gt;&lt;/Group&gt;&lt;/Citation&gt;_x000a_"/>
    <w:docVar w:name="NE.Ref{5AE13E03-525A-4E73-9B52-D8F4C7E2058B}" w:val=" ADDIN NE.Ref.{5AE13E03-525A-4E73-9B52-D8F4C7E2058B}&lt;Citation SecTmpl=&quot;1&quot;&gt;&lt;Group&gt;&lt;References&gt;&lt;Item&gt;&lt;ID&gt;77&lt;/ID&gt;&lt;UID&gt;{49819DF8-0A94-4B03-93FC-1BA22A5BB940}&lt;/UID&gt;&lt;Title&gt;Tax avoidance: Does tax-specific industry expertise make a difference?&lt;/Title&gt;&lt;Template&gt;Journal Article&lt;/Template&gt;&lt;Star&gt;0&lt;/Star&gt;&lt;Tag&gt;0&lt;/Tag&gt;&lt;Author&gt;McGuire, Sean T; Omer, Thomas C; Wang, Dechun&lt;/Author&gt;&lt;Year&gt;2012&lt;/Year&gt;&lt;Details&gt;&lt;_alternate_title&gt;The Accounting Review&lt;/_alternate_title&gt;&lt;_created&gt;62649249&lt;/_created&gt;&lt;_date&gt;2012-01-01&lt;/_date&gt;&lt;_date_display&gt;2012&lt;/_date_display&gt;&lt;_impact_factor&gt;   4.562&lt;/_impact_factor&gt;&lt;_isbn&gt;0001-4826&lt;/_isbn&gt;&lt;_issue&gt;3&lt;/_issue&gt;&lt;_journal&gt;The Accounting Review&lt;/_journal&gt;&lt;_modified&gt;63228126&lt;/_modified&gt;&lt;_ori_publication&gt;American Accounting Association&lt;/_ori_publication&gt;&lt;_pages&gt;975-1003&lt;/_pages&gt;&lt;_volume&gt;87&lt;/_volume&gt;&lt;/Details&gt;&lt;Extra&gt;&lt;DBUID&gt;{E9F07991-3B72-4492-A7D8-86E559D9F8FE}&lt;/DBUID&gt;&lt;/Extra&gt;&lt;/Item&gt;&lt;/References&gt;&lt;/Group&gt;&lt;/Citation&gt;_x000a_"/>
    <w:docVar w:name="NE.Ref{5AE23AE6-5A74-4D91-B0E6-76CDB2019D6C}" w:val=" ADDIN NE.Ref.{5AE23AE6-5A74-4D91-B0E6-76CDB2019D6C}&lt;Citation SecTmpl=&quot;1&quot;&gt;&lt;Group&gt;&lt;References&gt;&lt;Item&gt;&lt;ID&gt;152&lt;/ID&gt;&lt;UID&gt;{5A35155B-BB3E-4D83-ABB6-045B6B7E50F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ccessed&gt;63260255&lt;/_accessed&gt;&lt;_alternate_title&gt;Contemporary Accounting Research&lt;/_alternate_title&gt;&lt;_collection_scope&gt;SSCI&lt;/_collection_scope&gt;&lt;_created&gt;63260159&lt;/_created&gt;&lt;_date&gt;2019-01-01&lt;/_date&gt;&lt;_date_display&gt;2019&lt;/_date_display&gt;&lt;_impact_factor&gt;   2.261&lt;/_impact_factor&gt;&lt;_isbn&gt;0823-9150&lt;/_isbn&gt;&lt;_journal&gt;Contemporary Accounting Research&lt;/_journal&gt;&lt;_modified&gt;63260255&lt;/_modified&gt;&lt;_ori_publication&gt;Wiley Online Library&lt;/_ori_publication&gt;&lt;/Details&gt;&lt;Extra&gt;&lt;DBUID&gt;{E9F07991-3B72-4492-A7D8-86E559D9F8FE}&lt;/DBUID&gt;&lt;/Extra&gt;&lt;/Item&gt;&lt;/References&gt;&lt;/Group&gt;&lt;/Citation&gt;_x000a_"/>
    <w:docVar w:name="NE.Ref{5B393B69-CE71-46A6-801C-CBDDD7ED496D}" w:val=" ADDIN NE.Ref.{5B393B69-CE71-46A6-801C-CBDDD7ED496D}&lt;Citation SecTmpl=&quot;1&quot;&gt;&lt;Group&gt;&lt;References&gt;&lt;Item&gt;&lt;ID&gt;46&lt;/ID&gt;&lt;UID&gt;{F8F0E6D0-BF72-4D48-BBAE-CEAD35B61E12}&lt;/UID&gt;&lt;Title&gt;Tax reporting aggressiveness and its relation to aggressive financial reporting&lt;/Title&gt;&lt;Template&gt;Journal Article&lt;/Template&gt;&lt;Star&gt;0&lt;/Star&gt;&lt;Tag&gt;0&lt;/Tag&gt;&lt;Author&gt;Frank, Mary Margaret; Lynch, Luann J; Rego, Sonja Olhoft&lt;/Author&gt;&lt;Year&gt;2009&lt;/Year&gt;&lt;Details&gt;&lt;_alternate_title&gt;The Accounting Review&lt;/_alternate_title&gt;&lt;_created&gt;63224436&lt;/_created&gt;&lt;_date&gt;2009-01-01&lt;/_date&gt;&lt;_date_display&gt;2009&lt;/_date_display&gt;&lt;_impact_factor&gt;   4.562&lt;/_impact_factor&gt;&lt;_isbn&gt;0001-4826&lt;/_isbn&gt;&lt;_issue&gt;2&lt;/_issue&gt;&lt;_journal&gt;The Accounting Review&lt;/_journal&gt;&lt;_modified&gt;63224436&lt;/_modified&gt;&lt;_pages&gt;467-496&lt;/_pages&gt;&lt;_volume&gt;84&lt;/_volume&gt;&lt;/Details&gt;&lt;Extra&gt;&lt;DBUID&gt;{E9F07991-3B72-4492-A7D8-86E559D9F8FE}&lt;/DBUID&gt;&lt;/Extra&gt;&lt;/Item&gt;&lt;/References&gt;&lt;/Group&gt;&lt;/Citation&gt;_x000a_"/>
    <w:docVar w:name="NE.Ref{5B4B6A9B-2500-4E62-ABA8-F9A86536AF03}" w:val=" ADDIN NE.Ref.{5B4B6A9B-2500-4E62-ABA8-F9A86536AF03}&lt;Citation SecTmpl=&quot;1&quot;&gt;&lt;Group&gt;&lt;References&gt;&lt;Item&gt;&lt;ID&gt;126&lt;/ID&gt;&lt;UID&gt;{E52470E8-FBE1-4D11-8A11-6B21B994B80D}&lt;/UID&gt;&lt;Title&gt;“掏空”与所有权安排——来自我国上市公司大股东资金占用的经验证据&lt;/Title&gt;&lt;Template&gt;Journal Article&lt;/Template&gt;&lt;Star&gt;0&lt;/Star&gt;&lt;Tag&gt;0&lt;/Tag&gt;&lt;Author&gt;李增泉; 孙铮; 王志伟&lt;/Author&gt;&lt;Year&gt;2004&lt;/Year&gt;&lt;Details&gt;&lt;_accessed&gt;63241052&lt;/_accessed&gt;&lt;_author_aff&gt;上海财经大学会计与财务研究院/会计学院;上海财经大学会计与财务研究院/会计学院;上海财经大学会计与财务研究院/会计学院 200433_x000d__x000a__x000d__x000a__x000d__x000a__x000d__x000a__x000d__x000a__x000d__x000a__x000d__x000a__x000d__x000a_;200433_x000d__x000a__x000d__x000a__x000d__x000a__x000d__x000a__x000d__x000a__x000d__x000a__x000d__x000a__x000d__x000a_;200433&lt;/_author_aff&gt;&lt;_collection_scope&gt;CSSCI-C;PKU&lt;/_collection_scope&gt;&lt;_created&gt;63241052&lt;/_created&gt;&lt;_date&gt;55200960&lt;/_date&gt;&lt;_db_provider&gt;CNKI: 期刊&lt;/_db_provider&gt;&lt;_db_updated&gt;CNKI - Reference&lt;/_db_updated&gt;&lt;_issue&gt;12&lt;/_issue&gt;&lt;_journal&gt;会计研究&lt;/_journal&gt;&lt;_keywords&gt;掏空;资金占用;所有权安排&lt;/_keywords&gt;&lt;_language&gt;Chinese&lt;/_language&gt;&lt;_modified&gt;63241052&lt;/_modified&gt;&lt;_pages&gt;3-13+97&lt;/_pages&gt;&lt;_url&gt;http://kns.cnki.net/KCMS/detail/detail.aspx?FileName=KJYJ200412000&amp;amp;DbName=CJFQ2004&lt;/_url&gt;&lt;_translated_author&gt;Li, Zengquan;Sun, Zheng;Wang, Zhiwei&lt;/_translated_author&gt;&lt;/Details&gt;&lt;Extra&gt;&lt;DBUID&gt;{E9F07991-3B72-4492-A7D8-86E559D9F8FE}&lt;/DBUID&gt;&lt;/Extra&gt;&lt;/Item&gt;&lt;/References&gt;&lt;/Group&gt;&lt;/Citation&gt;_x000a_"/>
    <w:docVar w:name="NE.Ref{5BC78B01-7141-4E29-9594-2F0612CBB259}" w:val=" ADDIN NE.Ref.{5BC78B01-7141-4E29-9594-2F0612CBB259}&lt;Citation SecTmpl=&quot;1&quot;&gt;&lt;Group&gt;&lt;References&gt;&lt;Item&gt;&lt;ID&gt;118&lt;/ID&gt;&lt;UID&gt;{C386EF69-3D64-49A9-B092-B146D07635F6}&lt;/UID&gt;&lt;Title&gt;关联交易与公司避税——来自中国上市公司的经验数据&lt;/Title&gt;&lt;Template&gt;Journal Article&lt;/Template&gt;&lt;Star&gt;0&lt;/Star&gt;&lt;Tag&gt;0&lt;/Tag&gt;&lt;Author&gt;陈作华&lt;/Author&gt;&lt;Year&gt;2017&lt;/Year&gt;&lt;Details&gt;&lt;_accessed&gt;63240999&lt;/_accessed&gt;&lt;_author_aff&gt;山东财经大学会计学院;&lt;/_author_aff&gt;&lt;_collection_scope&gt;CSSCI-C;PKU&lt;/_collection_scope&gt;&lt;_created&gt;63240989&lt;/_created&gt;&lt;_date&gt;61722720&lt;/_date&gt;&lt;_db_provider&gt;CNKI: 期刊&lt;/_db_provider&gt;&lt;_db_updated&gt;CNKI - Reference&lt;/_db_updated&gt;&lt;_issue&gt;05&lt;/_issue&gt;&lt;_journal&gt;证券市场导报&lt;/_journal&gt;&lt;_keywords&gt;关联交易;异常关联交易;公司避税;掏空&lt;/_keywords&gt;&lt;_language&gt;Chinese&lt;/_language&gt;&lt;_modified&gt;63240999&lt;/_modified&gt;&lt;_pages&gt;21-31&lt;/_pages&gt;&lt;_url&gt;http://kns.cnki.net/KCMS/detail/detail.aspx?FileName=ZQDB201705005&amp;amp;DbName=CJFQ2017&lt;/_url&gt;&lt;_translated_author&gt;Chen, Zuohua&lt;/_translated_author&gt;&lt;/Details&gt;&lt;Extra&gt;&lt;DBUID&gt;{E9F07991-3B72-4492-A7D8-86E559D9F8FE}&lt;/DBUID&gt;&lt;/Extra&gt;&lt;/Item&gt;&lt;/References&gt;&lt;/Group&gt;&lt;/Citation&gt;_x000a_"/>
    <w:docVar w:name="NE.Ref{5C333220-E104-478D-8236-9F5441EAD3F1}" w:val=" ADDIN NE.Ref.{5C333220-E104-478D-8236-9F5441EAD3F1}&lt;Citation SecTmpl=&quot;1&quot;&gt;&lt;Group&gt;&lt;References&gt;&lt;Item&gt;&lt;ID&gt;53&lt;/ID&gt;&lt;UID&gt;{D08EF725-5726-4C98-9D3F-14457B697800}&lt;/UID&gt;&lt;Title&gt;Why do insiders trade? Evidence based on unique data on Swedish insiders&lt;/Title&gt;&lt;Template&gt;Journal Article&lt;/Template&gt;&lt;Star&gt;0&lt;/Star&gt;&lt;Tag&gt;0&lt;/Tag&gt;&lt;Author&gt;Kallunki, Juha-Pekka; Nilsson, Henrik; Hellström, Jörgen&lt;/Author&gt;&lt;Year&gt;2009&lt;/Year&gt;&lt;Details&gt;&lt;_accessed&gt;63269902&lt;/_accessed&gt;&lt;_alternate_title&gt;Journal of Accounting and Economics&lt;/_alternate_title&gt;&lt;_created&gt;63268440&lt;/_created&gt;&lt;_date&gt;2009-01-01&lt;/_date&gt;&lt;_date_display&gt;2009&lt;/_date_display&gt;&lt;_impact_factor&gt;   3.753&lt;/_impact_factor&gt;&lt;_isbn&gt;0165-4101&lt;/_isbn&gt;&lt;_issue&gt;1&lt;/_issue&gt;&lt;_journal&gt;Journal of Accounting and Economics&lt;/_journal&gt;&lt;_modified&gt;63269902&lt;/_modified&gt;&lt;_ori_publication&gt;Elsevier&lt;/_ori_publication&gt;&lt;_pages&gt;37-53&lt;/_pages&gt;&lt;_volume&gt;48&lt;/_volume&gt;&lt;/Details&gt;&lt;Extra&gt;&lt;DBUID&gt;{439358B4-FA18-4C63-A3A1-0E3BE4066E7A}&lt;/DBUID&gt;&lt;/Extra&gt;&lt;/Item&gt;&lt;/References&gt;&lt;/Group&gt;&lt;/Citation&gt;_x000a_"/>
    <w:docVar w:name="NE.Ref{5C609A85-BC91-4D1A-8490-84A7720D8204}" w:val=" ADDIN NE.Ref.{5C609A85-BC91-4D1A-8490-84A7720D8204}&lt;Citation SecTmpl=&quot;1&quot;&gt;&lt;Group&gt;&lt;References&gt;&lt;Item&gt;&lt;ID&gt;88&lt;/ID&gt;&lt;UID&gt;{5F2F5503-D791-4509-AA55-803FB9754E8D}&lt;/UID&gt;&lt;Title&gt;企业避税、信息不对称与管理层在职消费&lt;/Title&gt;&lt;Template&gt;Journal Article&lt;/Template&gt;&lt;Star&gt;0&lt;/Star&gt;&lt;Tag&gt;0&lt;/Tag&gt;&lt;Author&gt;廖歆欣; 刘运国&lt;/Author&gt;&lt;Year&gt;2016&lt;/Year&gt;&lt;Details&gt;&lt;_accessed&gt;62793465&lt;/_accessed&gt;&lt;_author_aff&gt;中山大学管理学院;&lt;/_author_aff&gt;&lt;_collection_scope&gt;CSSCI;中文核心期刊;&lt;/_collection_scope&gt;&lt;_created&gt;61754014&lt;/_created&gt;&lt;_date&gt;61151040&lt;/_date&gt;&lt;_db_provider&gt;CNKI: 期刊&lt;/_db_provider&gt;&lt;_db_updated&gt;CNKI - Reference&lt;/_db_updated&gt;&lt;_issue&gt;02&lt;/_issue&gt;&lt;_journal&gt;南开管理评论&lt;/_journal&gt;&lt;_keywords&gt;在职消费;信息不对称;避税程度;监管&lt;/_keywords&gt;&lt;_language&gt;Chinese&lt;/_language&gt;&lt;_modified&gt;61754014&lt;/_modified&gt;&lt;_pages&gt;87-99&lt;/_pages&gt;&lt;_url&gt;http://www.cnki.net/KCMS/detail/detail.aspx?FileName=LKGP201602009&amp;amp;DbName=CJFQ2016&lt;/_url&gt;&lt;_translated_author&gt;Liao, Xinxin;Liu, Yunguo&lt;/_translated_author&gt;&lt;/Details&gt;&lt;Extra&gt;&lt;DBUID&gt;{83AC290F-D6FC-4574-9771-6904EE9C30A4}&lt;/DBUID&gt;&lt;/Extra&gt;&lt;/Item&gt;&lt;/References&gt;&lt;/Group&gt;&lt;/Citation&gt;_x000a_"/>
    <w:docVar w:name="NE.Ref{5C94FF96-79F4-4E4F-A5F9-F972DE08CA41}" w:val=" ADDIN NE.Ref.{5C94FF96-79F4-4E4F-A5F9-F972DE08CA41}&lt;Citation&gt;&lt;Group&gt;&lt;References&gt;&lt;Item&gt;&lt;ID&gt;79&lt;/ID&gt;&lt;UID&gt;{BFA85103-C8B0-48D2-AFCF-00C84087C465}&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ccessed&gt;62649323&lt;/_accessed&gt;&lt;_created&gt;61697758&lt;/_created&gt;&lt;_isbn&gt;1558-7991&lt;/_isbn&gt;&lt;_issue&gt;4&lt;/_issue&gt;&lt;_journal&gt;Auditing: A Journal of Practice &amp;amp; Theory&lt;/_journal&gt;&lt;_modified&gt;63228148&lt;/_modified&gt;&lt;_pages&gt;105-135&lt;/_pages&gt;&lt;_volume&gt;35&lt;/_volume&gt;&lt;/Details&gt;&lt;Extra&gt;&lt;DBUID&gt;{E9F07991-3B72-4492-A7D8-86E559D9F8FE}&lt;/DBUID&gt;&lt;/Extra&gt;&lt;/Item&gt;&lt;/References&gt;&lt;/Group&gt;&lt;/Citation&gt;_x000a_"/>
    <w:docVar w:name="NE.Ref{5CA9B042-1081-4745-BCB5-1E35EE4F10D7}" w:val=" ADDIN NE.Ref.{5CA9B042-1081-4745-BCB5-1E35EE4F10D7}&lt;Citation SecTmpl=&quot;1&quot;&gt;&lt;Group&gt;&lt;References&gt;&lt;Item&gt;&lt;ID&gt;13&lt;/ID&gt;&lt;UID&gt;{A5099B35-BA8E-417D-A149-51111DDB8654}&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2751448&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3218053&lt;/_modified&gt;&lt;_pages&gt;127-158&lt;/_pages&gt;&lt;_volume&gt;85&lt;/_volume&gt;&lt;/Details&gt;&lt;Extra&gt;&lt;DBUID&gt;{E9F07991-3B72-4492-A7D8-86E559D9F8FE}&lt;/DBUID&gt;&lt;/Extra&gt;&lt;/Item&gt;&lt;/References&gt;&lt;/Group&gt;&lt;/Citation&gt;_x000a_"/>
    <w:docVar w:name="NE.Ref{5CBCAD2E-61CB-4162-AC53-A1E2FB369490}" w:val=" ADDIN NE.Ref.{5CBCAD2E-61CB-4162-AC53-A1E2FB369490}&lt;Citation&gt;&lt;Group&gt;&lt;References&gt;&lt;Item&gt;&lt;ID&gt;176&lt;/ID&gt;&lt;UID&gt;{3DDFC726-FF8E-4325-97D2-8089FD8CBF38}&lt;/UID&gt;&lt;Title&gt;Corporate tax avoidance and stock price crash risk: Firm-level analysis&lt;/Title&gt;&lt;Template&gt;Journal Article&lt;/Template&gt;&lt;Star&gt;0&lt;/Star&gt;&lt;Tag&gt;0&lt;/Tag&gt;&lt;Author&gt;Kim, Jeong-Bon; Li, Yinghua; Zhang, Liandong&lt;/Author&gt;&lt;Year&gt;2011&lt;/Year&gt;&lt;Details&gt;&lt;_alternate_title&gt;Journal of Financial Economics&lt;/_alternate_title&gt;&lt;_collection_scope&gt;SSCI&lt;/_collection_scope&gt;&lt;_created&gt;62614802&lt;/_created&gt;&lt;_date&gt;2011-01-01&lt;/_date&gt;&lt;_date_display&gt;2011&lt;/_date_display&gt;&lt;_impact_factor&gt;   4.693&lt;/_impact_factor&gt;&lt;_isbn&gt;0304-405X&lt;/_isbn&gt;&lt;_issue&gt;3&lt;/_issue&gt;&lt;_journal&gt;Journal of Financial Economics&lt;/_journal&gt;&lt;_modified&gt;63295839&lt;/_modified&gt;&lt;_ori_publication&gt;Elsevier&lt;/_ori_publication&gt;&lt;_pages&gt;639-662&lt;/_pages&gt;&lt;_volume&gt;100&lt;/_volume&gt;&lt;/Details&gt;&lt;Extra&gt;&lt;DBUID&gt;{E9F07991-3B72-4492-A7D8-86E559D9F8FE}&lt;/DBUID&gt;&lt;/Extra&gt;&lt;/Item&gt;&lt;/References&gt;&lt;/Group&gt;&lt;Group&gt;&lt;References&gt;&lt;Item&gt;&lt;ID&gt;177&lt;/ID&gt;&lt;UID&gt;{A95D2725-FB22-47E9-99BD-E21589D9B29B}&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3295867&lt;/_modified&gt;&lt;_pages&gt;230-258&lt;/_pages&gt;&lt;_tertiary_title&gt;Contemp Account Res&lt;/_tertiary_title&gt;&lt;_url&gt;http://doi.wiley.com/10.1111/1911-3846.12422_x000d__x000a_http://onlinelibrary.wiley.com/wol1/doi/10.1111/1911-3846.12422/fullpdf&lt;/_url&gt;&lt;_volume&gt;36&lt;/_volume&gt;&lt;/Details&gt;&lt;Extra&gt;&lt;DBUID&gt;{E9F07991-3B72-4492-A7D8-86E559D9F8FE}&lt;/DBUID&gt;&lt;/Extra&gt;&lt;/Item&gt;&lt;/References&gt;&lt;/Group&gt;&lt;/Citation&gt;_x000a_"/>
    <w:docVar w:name="NE.Ref{5D2FF055-EBE7-41D0-9FDD-100E1CC7CA5A}" w:val=" ADDIN NE.Ref.{5D2FF055-EBE7-41D0-9FDD-100E1CC7CA5A}&lt;Citation SecTmpl=&quot;1&quot;&gt;&lt;Group&gt;&lt;References&gt;&lt;Item&gt;&lt;ID&gt;177&lt;/ID&gt;&lt;UID&gt;{B01F526B-BFF0-4E02-9099-BF91C1A9D018}&lt;/UID&gt;&lt;Title&gt;会计师事务所特殊普通合伙转制的影响研究——合伙人层面的分析&lt;/Title&gt;&lt;Template&gt;Journal Article&lt;/Template&gt;&lt;Star&gt;0&lt;/Star&gt;&lt;Tag&gt;0&lt;/Tag&gt;&lt;Author&gt;韩维芳&lt;/Author&gt;&lt;Year&gt;2016&lt;/Year&gt;&lt;Details&gt;&lt;_accessed&gt;63180588&lt;/_accessed&gt;&lt;_collection_scope&gt;CSSCI-C;PKU&lt;/_collection_scope&gt;&lt;_created&gt;62681254&lt;/_created&gt;&lt;_date&gt;2016-01-01&lt;/_date&gt;&lt;_date_display&gt;2016&lt;/_date_display&gt;&lt;_issue&gt;2&lt;/_issue&gt;&lt;_journal&gt;审计研究&lt;/_journal&gt;&lt;_modified&gt;62681259&lt;/_modified&gt;&lt;_pages&gt;90-97&lt;/_pages&gt;&lt;_translated_author&gt;Han, Weifang&lt;/_translated_author&gt;&lt;/Details&gt;&lt;Extra&gt;&lt;DBUID&gt;{2097646C-7C2F-4992-8A9B-6FF23AE7F1B7}&lt;/DBUID&gt;&lt;/Extra&gt;&lt;/Item&gt;&lt;/References&gt;&lt;/Group&gt;&lt;/Citation&gt;_x000a_"/>
    <w:docVar w:name="NE.Ref{5D3A6062-014C-4A36-9CF2-D6DF69BEBF3C}" w:val=" ADDIN NE.Ref.{5D3A6062-014C-4A36-9CF2-D6DF69BEBF3C}&lt;Citation SecTmpl=&quot;1&quot;&gt;&lt;Group&gt;&lt;References&gt;&lt;Item&gt;&lt;ID&gt;231&lt;/ID&gt;&lt;UID&gt;{84F946F8-929B-4261-B1BF-E0A7FC3B4365}&lt;/UID&gt;&lt;Title&gt;审计项目团队行业专长类型、审计费用溢价与审计质量&lt;/Title&gt;&lt;Template&gt;Journal Article&lt;/Template&gt;&lt;Star&gt;0&lt;/Star&gt;&lt;Tag&gt;0&lt;/Tag&gt;&lt;Author&gt;宋子龙; 余玉苗&lt;/Author&gt;&lt;Year&gt;2018&lt;/Year&gt;&lt;Details&gt;&lt;_accessed&gt;62983594&lt;/_accessed&gt;&lt;_author_aff&gt;武汉大学经济与管理学院;&lt;/_author_aff&gt;&lt;_collection_scope&gt;CSSCI-C;PKU&lt;/_collection_scope&gt;&lt;_created&gt;62983594&lt;/_created&gt;&lt;_date&gt;62212320&lt;/_date&gt;&lt;_db_provider&gt;CNKI: 期刊&lt;/_db_provider&gt;&lt;_db_updated&gt;CNKI - Reference&lt;/_db_updated&gt;&lt;_issue&gt;04&lt;/_issue&gt;&lt;_journal&gt;会计研究&lt;/_journal&gt;&lt;_keywords&gt;审计项目团队;行业专长类型;审计费用溢价;审计质量&lt;/_keywords&gt;&lt;_language&gt;Chinese&lt;/_language&gt;&lt;_modified&gt;62983594&lt;/_modified&gt;&lt;_pages&gt;82-88&lt;/_pages&gt;&lt;_url&gt;http://kns.cnki.net/KCMS/detail/detail.aspx?FileName=KJYJ201804011&amp;amp;DbName=CJFQ2018&lt;/_url&gt;&lt;_translated_author&gt;Song, Zilong;Yu, Yumiao&lt;/_translated_author&gt;&lt;/Details&gt;&lt;Extra&gt;&lt;DBUID&gt;{2097646C-7C2F-4992-8A9B-6FF23AE7F1B7}&lt;/DBUID&gt;&lt;/Extra&gt;&lt;/Item&gt;&lt;/References&gt;&lt;/Group&gt;&lt;/Citation&gt;_x000a_"/>
    <w:docVar w:name="NE.Ref{5DA4517E-A5EF-4FF3-9CA2-37671F967203}" w:val=" ADDIN NE.Ref.{5DA4517E-A5EF-4FF3-9CA2-37671F967203}&lt;Citation SecTmpl=&quot;1&quot;&gt;&lt;Group&gt;&lt;References&gt;&lt;Item&gt;&lt;ID&gt;177&lt;/ID&gt;&lt;UID&gt;{A95D2725-FB22-47E9-99BD-E21589D9B29B}&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3295867&lt;/_modified&gt;&lt;_pages&gt;230-258&lt;/_pages&gt;&lt;_tertiary_title&gt;Contemp Account Res&lt;/_tertiary_title&gt;&lt;_url&gt;http://doi.wiley.com/10.1111/1911-3846.12422_x000d__x000a_http://onlinelibrary.wiley.com/wol1/doi/10.1111/1911-3846.12422/fullpdf&lt;/_url&gt;&lt;_volume&gt;36&lt;/_volume&gt;&lt;/Details&gt;&lt;Extra&gt;&lt;DBUID&gt;{E9F07991-3B72-4492-A7D8-86E559D9F8FE}&lt;/DBUID&gt;&lt;/Extra&gt;&lt;/Item&gt;&lt;/References&gt;&lt;/Group&gt;&lt;/Citation&gt;_x000a_"/>
    <w:docVar w:name="NE.Ref{5DD23CC5-E799-48C7-8AAD-7708250294B9}" w:val=" ADDIN NE.Ref.{5DD23CC5-E799-48C7-8AAD-7708250294B9}&lt;Citation SecTmpl=&quot;1&quot;&gt;&lt;Group&gt;&lt;References&gt;&lt;Item&gt;&lt;ID&gt;40&lt;/ID&gt;&lt;UID&gt;{60B34034-051D-4D7D-855C-EA6914FF17E0}&lt;/UID&gt;&lt;Title&gt;审计投入的产出效应&lt;/Title&gt;&lt;Template&gt;Journal Article&lt;/Template&gt;&lt;Star&gt;0&lt;/Star&gt;&lt;Tag&gt;0&lt;/Tag&gt;&lt;Author&gt;李伟; 韩晓梅; 吴联生&lt;/Author&gt;&lt;Year&gt;2018&lt;/Year&gt;&lt;Details&gt;&lt;_accessed&gt;62469353&lt;/_accessed&gt;&lt;_author_adr&gt;北京第二外国语学院国际商学院 100026; 南京理工大学经济管理学院 210094; 北京大学光华管理学院 100871&lt;/_author_adr&gt;&lt;_author_aff&gt;北京第二外国语学院国际商学院 100026; 南京理工大学经济管理学院 210094; 北京大学光华管理学院 100871&lt;/_author_aff&gt;&lt;_collection_scope&gt;CSSCI;中文核心期刊;&lt;/_collection_scope&gt;&lt;_created&gt;62469353&lt;/_created&gt;&lt;_db_provider&gt;北京万方数据股份有限公司&lt;/_db_provider&gt;&lt;_db_updated&gt;Wanfangdata&lt;/_db_updated&gt;&lt;_isbn&gt;1003-2886&lt;/_isbn&gt;&lt;_issue&gt;3&lt;/_issue&gt;&lt;_journal&gt;会计研究&lt;/_journal&gt;&lt;_keywords&gt;审计投入; 审计质量; 审计收费&lt;/_keywords&gt;&lt;_language&gt;chi&lt;/_language&gt;&lt;_modified&gt;63224410&lt;/_modified&gt;&lt;_pages&gt;71-77&lt;/_pages&gt;&lt;_tertiary_title&gt;Accounting Research&lt;/_tertiary_title&gt;&lt;_translated_title&gt;The Input-Output Effect of Audit Services&lt;/_translated_title&gt;&lt;_url&gt;http://www.wanfangdata.com.cn/details/detail.do?_type=perio&amp;amp;id=kjyj201803010&lt;/_url&gt;&lt;_translated_author&gt;Li, Wei;Han, Xiaomei;Wu, Liansheng&lt;/_translated_author&gt;&lt;/Details&gt;&lt;Extra&gt;&lt;DBUID&gt;{E9F07991-3B72-4492-A7D8-86E559D9F8FE}&lt;/DBUID&gt;&lt;/Extra&gt;&lt;/Item&gt;&lt;/References&gt;&lt;/Group&gt;&lt;/Citation&gt;_x000a_"/>
    <w:docVar w:name="NE.Ref{5E197D24-2AAB-4978-9D55-49C9B2195391}" w:val=" ADDIN NE.Ref.{5E197D24-2AAB-4978-9D55-49C9B2195391}&lt;Citation SecTmpl=&quot;1&quot;&gt;&lt;Group&gt;&lt;References&gt;&lt;Item&gt;&lt;ID&gt;86&lt;/ID&gt;&lt;UID&gt;{3CD6102F-1F48-4D0E-B029-81887B709E47}&lt;/UID&gt;&lt;Title&gt;Corporate tax avoidance and high-powered incentives&lt;/Title&gt;&lt;Template&gt;Journal Article&lt;/Template&gt;&lt;Star&gt;0&lt;/Star&gt;&lt;Tag&gt;0&lt;/Tag&gt;&lt;Author&gt;Desai, Mihir A; Dharmapala, Dhammika&lt;/Author&gt;&lt;Year&gt;2006&lt;/Year&gt;&lt;Details&gt;&lt;_accessed&gt;63309299&lt;/_accessed&gt;&lt;_alternate_title&gt;Journal of Financial Economics&lt;/_alternate_title&gt;&lt;_collection_scope&gt;SSCI&lt;/_collection_scope&gt;&lt;_created&gt;63228696&lt;/_created&gt;&lt;_date&gt;2006-01-01&lt;/_date&gt;&lt;_date_display&gt;2006&lt;/_date_display&gt;&lt;_impact_factor&gt;   4.693&lt;/_impact_factor&gt;&lt;_isbn&gt;0304-405X&lt;/_isbn&gt;&lt;_issue&gt;1&lt;/_issue&gt;&lt;_journal&gt;Journal of Financial Economics&lt;/_journal&gt;&lt;_modified&gt;63309297&lt;/_modified&gt;&lt;_ori_publication&gt;Elsevier&lt;/_ori_publication&gt;&lt;_pages&gt;145-179&lt;/_pages&gt;&lt;_volume&gt;79&lt;/_volume&gt;&lt;/Details&gt;&lt;Extra&gt;&lt;DBUID&gt;{E9F07991-3B72-4492-A7D8-86E559D9F8FE}&lt;/DBUID&gt;&lt;/Extra&gt;&lt;/Item&gt;&lt;/References&gt;&lt;/Group&gt;&lt;/Citation&gt;_x000a_"/>
    <w:docVar w:name="NE.Ref{5E821CA5-7684-4182-B7E0-6C6495EEF945}" w:val=" ADDIN NE.Ref.{5E821CA5-7684-4182-B7E0-6C6495EEF945}&lt;Citation SecTmpl=&quot;1&quot;&gt;&lt;Group&gt;&lt;References&gt;&lt;Item&gt;&lt;ID&gt;53&lt;/ID&gt;&lt;UID&gt;{D12C3C0C-2A93-424F-B93F-52F0F731F1D7}&lt;/UID&gt;&lt;Title&gt;The importance of the internal information environment for tax avoidance&lt;/Title&gt;&lt;Template&gt;Journal Article&lt;/Template&gt;&lt;Star&gt;0&lt;/Star&gt;&lt;Tag&gt;0&lt;/Tag&gt;&lt;Author&gt;Gallemore, John; Labro, Eva&lt;/Author&gt;&lt;Year&gt;2015&lt;/Year&gt;&lt;Details&gt;&lt;_accessed&gt;63308750&lt;/_accessed&gt;&lt;_alternate_title&gt;Journal of Accounting and Economics&lt;/_alternate_title&gt;&lt;_created&gt;63225150&lt;/_created&gt;&lt;_date&gt;2015-01-01&lt;/_date&gt;&lt;_date_display&gt;2015&lt;/_date_display&gt;&lt;_impact_factor&gt;   3.753&lt;/_impact_factor&gt;&lt;_isbn&gt;0165-4101&lt;/_isbn&gt;&lt;_issue&gt;1&lt;/_issue&gt;&lt;_journal&gt;Journal of Accounting and Economics&lt;/_journal&gt;&lt;_modified&gt;63308750&lt;/_modified&gt;&lt;_ori_publication&gt;Elsevier&lt;/_ori_publication&gt;&lt;_pages&gt;149-167&lt;/_pages&gt;&lt;_volume&gt;60&lt;/_volume&gt;&lt;/Details&gt;&lt;Extra&gt;&lt;DBUID&gt;{E9F07991-3B72-4492-A7D8-86E559D9F8FE}&lt;/DBUID&gt;&lt;/Extra&gt;&lt;/Item&gt;&lt;/References&gt;&lt;/Group&gt;&lt;/Citation&gt;_x000a_"/>
    <w:docVar w:name="NE.Ref{60ADA936-D756-42F4-B88C-90E2E5325263}" w:val=" ADDIN NE.Ref.{60ADA936-D756-42F4-B88C-90E2E5325263}&lt;Citation&gt;&lt;Group&gt;&lt;References&gt;&lt;Item&gt;&lt;ID&gt;139&lt;/ID&gt;&lt;UID&gt;{B1BC3D2C-B969-421D-B30F-325094BD98B7}&lt;/UID&gt;&lt;Title&gt;Audit Partner Tenure, Audit Firm Tenure, and Discretionary Accruals: Does Long Auditor Tenure Impair Earnings Quality?&lt;/Title&gt;&lt;Template&gt;Journal Article&lt;/Template&gt;&lt;Star&gt;0&lt;/Star&gt;&lt;Tag&gt;0&lt;/Tag&gt;&lt;Author&gt;Chen, Chih Ying; Lin, Chan Jane; Lin, Yu Chen&lt;/Author&gt;&lt;Year&gt;2010&lt;/Year&gt;&lt;Details&gt;&lt;_collection_scope&gt;SSCI;&lt;/_collection_scope&gt;&lt;_created&gt;62474006&lt;/_created&gt;&lt;_impact_factor&gt;   2.261&lt;/_impact_factor&gt;&lt;_issue&gt;2&lt;/_issue&gt;&lt;_journal&gt;Contemporary Accounting Research&lt;/_journal&gt;&lt;_keywords&gt;audit partner tenure;audit firm tenure;auditor rotation;discretionary accruals;earnings quality&lt;/_keywords&gt;&lt;_modified&gt;62865244&lt;/_modified&gt;&lt;_pages&gt;415-445&lt;/_pages&gt;&lt;_volume&gt;25&lt;/_volume&gt;&lt;/Details&gt;&lt;Extra&gt;&lt;DBUID&gt;{2097646C-7C2F-4992-8A9B-6FF23AE7F1B7}&lt;/DBUID&gt;&lt;/Extra&gt;&lt;/Item&gt;&lt;/References&gt;&lt;/Group&gt;&lt;/Citation&gt;_x000a_"/>
    <w:docVar w:name="NE.Ref{60E58664-B02F-439E-87ED-2EDD5B5D82B1}" w:val=" ADDIN NE.Ref.{60E58664-B02F-439E-87ED-2EDD5B5D82B1}&lt;Citation SecTmpl=&quot;1&quot;&gt;&lt;Group&gt;&lt;References&gt;&lt;Item&gt;&lt;ID&gt;27&lt;/ID&gt;&lt;UID&gt;{E9469419-C88E-4967-8E69-578D60278A15}&lt;/UID&gt;&lt;Title&gt;Board Gender Diversity, Auditor Fees, and Auditor Choice&lt;/Title&gt;&lt;Template&gt;Journal Article&lt;/Template&gt;&lt;Star&gt;0&lt;/Star&gt;&lt;Tag&gt;0&lt;/Tag&gt;&lt;Author&gt;Lai, Karen M Y; Srinidhi, Bin; Gul, Ferdinand A; Tsui, Judy S L&lt;/Author&gt;&lt;Year&gt;2017&lt;/Year&gt;&lt;Details&gt;&lt;_accessed&gt;62437790&lt;/_accessed&gt;&lt;_collection_scope&gt;SSCI;&lt;/_collection_scope&gt;&lt;_created&gt;62437790&lt;/_created&gt;&lt;_db_updated&gt;CrossRef&lt;/_db_updated&gt;&lt;_doi&gt;10.1111/1911-3846.12313&lt;/_doi&gt;&lt;_impact_factor&gt;   2.261&lt;/_impact_factor&gt;&lt;_issue&gt;3&lt;/_issue&gt;&lt;_journal&gt;Contemporary Accounting Research&lt;/_journal&gt;&lt;_modified&gt;62904699&lt;/_modified&gt;&lt;_pages&gt;1681-1714&lt;/_pages&gt;&lt;_tertiary_title&gt;Contemp Account Res&lt;/_tertiary_title&gt;&lt;_url&gt;http://doi.wiley.com/10.1111/1911-3846.12313_x000d__x000a_http://onlinelibrary.wiley.com/wol1/doi/10.1111/1911-3846.12313/fullpdf&lt;/_url&gt;&lt;_volume&gt;34&lt;/_volume&gt;&lt;/Details&gt;&lt;Extra&gt;&lt;DBUID&gt;{D2579611-BF89-4C7B-83D9-BE1288535D97}&lt;/DBUID&gt;&lt;/Extra&gt;&lt;/Item&gt;&lt;/References&gt;&lt;/Group&gt;&lt;/Citation&gt;_x000a_"/>
    <w:docVar w:name="NE.Ref{6119DD7A-E39D-4376-8DC7-5D73D6445D4F}" w:val=" ADDIN NE.Ref.{6119DD7A-E39D-4376-8DC7-5D73D6445D4F}&lt;Citation SecTmpl=&quot;1&quot;&gt;&lt;Group&gt;&lt;References&gt;&lt;Item&gt;&lt;ID&gt;177&lt;/ID&gt;&lt;UID&gt;{A95D2725-FB22-47E9-99BD-E21589D9B29B}&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3295867&lt;/_modified&gt;&lt;_pages&gt;230-258&lt;/_pages&gt;&lt;_tertiary_title&gt;Contemp Account Res&lt;/_tertiary_title&gt;&lt;_url&gt;http://doi.wiley.com/10.1111/1911-3846.12422_x000d__x000a_http://onlinelibrary.wiley.com/wol1/doi/10.1111/1911-3846.12422/fullpdf&lt;/_url&gt;&lt;_volume&gt;36&lt;/_volume&gt;&lt;/Details&gt;&lt;Extra&gt;&lt;DBUID&gt;{E9F07991-3B72-4492-A7D8-86E559D9F8FE}&lt;/DBUID&gt;&lt;/Extra&gt;&lt;/Item&gt;&lt;/References&gt;&lt;/Group&gt;&lt;/Citation&gt;_x000a_"/>
    <w:docVar w:name="NE.Ref{61635B86-7B1E-4420-9035-2BC3B3435082}" w:val=" ADDIN NE.Ref.{61635B86-7B1E-4420-9035-2BC3B3435082}&lt;Citation SecTmpl=&quot;1&quot;&gt;&lt;Group&gt;&lt;References&gt;&lt;Item&gt;&lt;ID&gt;177&lt;/ID&gt;&lt;UID&gt;{A95D2725-FB22-47E9-99BD-E21589D9B29B}&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3295867&lt;/_modified&gt;&lt;_pages&gt;230-258&lt;/_pages&gt;&lt;_tertiary_title&gt;Contemp Account Res&lt;/_tertiary_title&gt;&lt;_url&gt;http://doi.wiley.com/10.1111/1911-3846.12422_x000d__x000a_http://onlinelibrary.wiley.com/wol1/doi/10.1111/1911-3846.12422/fullpdf&lt;/_url&gt;&lt;_volume&gt;36&lt;/_volume&gt;&lt;/Details&gt;&lt;Extra&gt;&lt;DBUID&gt;{E9F07991-3B72-4492-A7D8-86E559D9F8FE}&lt;/DBUID&gt;&lt;/Extra&gt;&lt;/Item&gt;&lt;/References&gt;&lt;/Group&gt;&lt;/Citation&gt;_x000a_"/>
    <w:docVar w:name="NE.Ref{619C65D4-FCF1-45D2-99FA-A14CE16A5ECD}" w:val=" ADDIN NE.Ref.{619C65D4-FCF1-45D2-99FA-A14CE16A5ECD}&lt;Citation SecTmpl=&quot;1&quot;&gt;&lt;Group&gt;&lt;References&gt;&lt;Item&gt;&lt;ID&gt;223&lt;/ID&gt;&lt;UID&gt;{A86A8201-A4E2-42BD-9DC3-9F6840B69D0A}&lt;/UID&gt;&lt;Title&gt;Client importance, nonaudit services, and abnormal accruals&lt;/Title&gt;&lt;Template&gt;Journal Article&lt;/Template&gt;&lt;Star&gt;0&lt;/Star&gt;&lt;Tag&gt;0&lt;/Tag&gt;&lt;Author&gt;Chung, Hyeesoo; Kallapur, Sanjay&lt;/Author&gt;&lt;Year&gt;2003&lt;/Year&gt;&lt;Details&gt;&lt;_accessed&gt;63303284&lt;/_accessed&gt;&lt;_alternate_title&gt;The Accounting Review&lt;/_alternate_title&gt;&lt;_created&gt;62928622&lt;/_created&gt;&lt;_date&gt;2003-01-01&lt;/_date&gt;&lt;_date_display&gt;2003&lt;/_date_display&gt;&lt;_impact_factor&gt;   4.562&lt;/_impact_factor&gt;&lt;_isbn&gt;0001-4826&lt;/_isbn&gt;&lt;_issue&gt;4&lt;/_issue&gt;&lt;_journal&gt;The Accounting Review&lt;/_journal&gt;&lt;_modified&gt;63218050&lt;/_modified&gt;&lt;_pages&gt;931-955&lt;/_pages&gt;&lt;_volume&gt;78&lt;/_volume&gt;&lt;/Details&gt;&lt;Extra&gt;&lt;DBUID&gt;{2097646C-7C2F-4992-8A9B-6FF23AE7F1B7}&lt;/DBUID&gt;&lt;/Extra&gt;&lt;/Item&gt;&lt;/References&gt;&lt;/Group&gt;&lt;/Citation&gt;_x000a_"/>
    <w:docVar w:name="NE.Ref{623F4520-7289-4606-9840-695CE3B34FD9}" w:val=" ADDIN NE.Ref.{623F4520-7289-4606-9840-695CE3B34FD9}&lt;Citation&gt;&lt;Group&gt;&lt;References&gt;&lt;Item&gt;&lt;ID&gt;303&lt;/ID&gt;&lt;UID&gt;{C51D8418-16A7-4BC1-BAEE-7F4EFB2E9A06}&lt;/UID&gt;&lt;Title&gt;Corporate tax-planning effectiveness: The role of compensation-based incentives&lt;/Title&gt;&lt;Template&gt;Journal Article&lt;/Template&gt;&lt;Star&gt;0&lt;/Star&gt;&lt;Tag&gt;0&lt;/Tag&gt;&lt;Author&gt;Phillips, John D&lt;/Author&gt;&lt;Year&gt;2003&lt;/Year&gt;&lt;Details&gt;&lt;_alternate_title&gt;The Accounting Review&lt;/_alternate_title&gt;&lt;_created&gt;63309291&lt;/_created&gt;&lt;_date&gt;2003-01-01&lt;/_date&gt;&lt;_date_display&gt;2003&lt;/_date_display&gt;&lt;_impact_factor&gt;   4.562&lt;/_impact_factor&gt;&lt;_isbn&gt;0001-4826&lt;/_isbn&gt;&lt;_issue&gt;3&lt;/_issue&gt;&lt;_journal&gt;The Accounting Review&lt;/_journal&gt;&lt;_modified&gt;63309291&lt;/_modified&gt;&lt;_pages&gt;847-874&lt;/_pages&gt;&lt;_volume&gt;78&lt;/_volume&gt;&lt;/Details&gt;&lt;Extra&gt;&lt;DBUID&gt;{E9F07991-3B72-4492-A7D8-86E559D9F8FE}&lt;/DBUID&gt;&lt;/Extra&gt;&lt;/Item&gt;&lt;/References&gt;&lt;/Group&gt;&lt;/Citation&gt;_x000a_"/>
    <w:docVar w:name="NE.Ref{62F48C92-33D9-4489-8D58-909B7B5CD33C}" w:val=" ADDIN NE.Ref.{62F48C92-33D9-4489-8D58-909B7B5CD33C}&lt;Citation SecTmpl=&quot;1&quot;&gt;&lt;Group&gt;&lt;References&gt;&lt;Item&gt;&lt;ID&gt;86&lt;/ID&gt;&lt;UID&gt;{3CD6102F-1F48-4D0E-B029-81887B709E47}&lt;/UID&gt;&lt;Title&gt;Corporate tax avoidance and high-powered incentives&lt;/Title&gt;&lt;Template&gt;Journal Article&lt;/Template&gt;&lt;Star&gt;0&lt;/Star&gt;&lt;Tag&gt;0&lt;/Tag&gt;&lt;Author&gt;Desai, Mihir A; Dharmapala, Dhammika&lt;/Author&gt;&lt;Year&gt;2006&lt;/Year&gt;&lt;Details&gt;&lt;_accessed&gt;63309299&lt;/_accessed&gt;&lt;_alternate_title&gt;Journal of Financial Economics&lt;/_alternate_title&gt;&lt;_collection_scope&gt;SSCI&lt;/_collection_scope&gt;&lt;_created&gt;63228696&lt;/_created&gt;&lt;_date&gt;2006-01-01&lt;/_date&gt;&lt;_date_display&gt;2006&lt;/_date_display&gt;&lt;_impact_factor&gt;   4.693&lt;/_impact_factor&gt;&lt;_isbn&gt;0304-405X&lt;/_isbn&gt;&lt;_issue&gt;1&lt;/_issue&gt;&lt;_journal&gt;Journal of Financial Economics&lt;/_journal&gt;&lt;_modified&gt;63309297&lt;/_modified&gt;&lt;_ori_publication&gt;Elsevier&lt;/_ori_publication&gt;&lt;_pages&gt;145-179&lt;/_pages&gt;&lt;_volume&gt;79&lt;/_volume&gt;&lt;/Details&gt;&lt;Extra&gt;&lt;DBUID&gt;{E9F07991-3B72-4492-A7D8-86E559D9F8FE}&lt;/DBUID&gt;&lt;/Extra&gt;&lt;/Item&gt;&lt;/References&gt;&lt;/Group&gt;&lt;/Citation&gt;_x000a_"/>
    <w:docVar w:name="NE.Ref{632009B5-65F5-4136-9739-DFCF2898C2BC}" w:val=" ADDIN NE.Ref.{632009B5-65F5-4136-9739-DFCF2898C2BC}&lt;Citation&gt;&lt;Group&gt;&lt;References&gt;&lt;Item&gt;&lt;ID&gt;45&lt;/ID&gt;&lt;UID&gt;{2E389835-BC6B-43C3-97CE-163AEACD9757}&lt;/UID&gt;&lt;Title&gt;Effective corporate tax rates the effect of size, capital intensity, leverage, and other factors&lt;/Title&gt;&lt;Template&gt;Journal Article&lt;/Template&gt;&lt;Star&gt;0&lt;/Star&gt;&lt;Tag&gt;0&lt;/Tag&gt;&lt;Author&gt;Stickney, Clyde P; McGee, Victor E&lt;/Author&gt;&lt;Year&gt;1982&lt;/Year&gt;&lt;Details&gt;&lt;_alternate_title&gt;Journal of accounting and public policy&lt;/_alternate_title&gt;&lt;_collection_scope&gt;SSCI&lt;/_collection_scope&gt;&lt;_created&gt;63224423&lt;/_created&gt;&lt;_date&gt;1982-01-01&lt;/_date&gt;&lt;_date_display&gt;1982&lt;/_date_display&gt;&lt;_impact_factor&gt;   2.269&lt;/_impact_factor&gt;&lt;_isbn&gt;0278-4254&lt;/_isbn&gt;&lt;_issue&gt;2&lt;/_issue&gt;&lt;_journal&gt;Journal of accounting and public policy&lt;/_journal&gt;&lt;_modified&gt;63224423&lt;/_modified&gt;&lt;_ori_publication&gt;Elsevier&lt;/_ori_publication&gt;&lt;_pages&gt;125-152&lt;/_pages&gt;&lt;_volume&gt;1&lt;/_volume&gt;&lt;/Details&gt;&lt;Extra&gt;&lt;DBUID&gt;{E9F07991-3B72-4492-A7D8-86E559D9F8FE}&lt;/DBUID&gt;&lt;/Extra&gt;&lt;/Item&gt;&lt;/References&gt;&lt;/Group&gt;&lt;/Citation&gt;_x000a_"/>
    <w:docVar w:name="NE.Ref{63A285BB-625B-4AEC-B401-350A3761CA31}" w:val=" ADDIN NE.Ref.{63A285BB-625B-4AEC-B401-350A3761CA31}&lt;Citation&gt;&lt;Group&gt;&lt;References&gt;&lt;Item&gt;&lt;ID&gt;41&lt;/ID&gt;&lt;UID&gt;{4F22A9C0-FFD6-472E-B8F9-BE9FBA888ABF}&lt;/UID&gt;&lt;Title&gt;Evidence of Industry Scale Effects on Audit Hours, Billing Rates, and Pricing&lt;/Title&gt;&lt;Template&gt;Journal Article&lt;/Template&gt;&lt;Star&gt;0&lt;/Star&gt;&lt;Tag&gt;0&lt;/Tag&gt;&lt;Author&gt;Dekeyser, Simon; Gaeremynck, Ann; Willekens, Marleen&lt;/Author&gt;&lt;Year&gt;2019&lt;/Year&gt;&lt;Details&gt;&lt;_accessed&gt;62979693&lt;/_accessed&gt;&lt;_alternate_title&gt;Contemporary Accounting Research&lt;/_alternate_title&gt;&lt;_collection_scope&gt;SSCI&lt;/_collection_scope&gt;&lt;_created&gt;62937145&lt;/_created&gt;&lt;_date&gt;2019-01-01&lt;/_date&gt;&lt;_date_display&gt;2019&lt;/_date_display&gt;&lt;_impact_factor&gt;   2.261&lt;/_impact_factor&gt;&lt;_isbn&gt;0823-9150&lt;/_isbn&gt;&lt;_journal&gt;Contemporary Accounting Research&lt;/_journal&gt;&lt;_modified&gt;63224410&lt;/_modified&gt;&lt;_ori_publication&gt;Wiley Online Library&lt;/_ori_publication&gt;&lt;/Details&gt;&lt;Extra&gt;&lt;DBUID&gt;{E9F07991-3B72-4492-A7D8-86E559D9F8FE}&lt;/DBUID&gt;&lt;/Extra&gt;&lt;/Item&gt;&lt;/References&gt;&lt;/Group&gt;&lt;/Citation&gt;_x000a_"/>
    <w:docVar w:name="NE.Ref{63B5C54F-A755-4D43-855C-039EF3CF3A32}" w:val=" ADDIN NE.Ref.{63B5C54F-A755-4D43-855C-039EF3CF3A32}&lt;Citation SecTmpl=&quot;1&quot;&gt;&lt;Group&gt;&lt;References&gt;&lt;Item&gt;&lt;ID&gt;309&lt;/ID&gt;&lt;UID&gt;{CFEB43D6-7C39-40C8-9B4B-F2D50616E3A9}&lt;/UID&gt;&lt;Title&gt;Are female CFOs less tax aggressive? Evidence from tax aggressiveness&lt;/Title&gt;&lt;Template&gt;Journal Article&lt;/Template&gt;&lt;Star&gt;0&lt;/Star&gt;&lt;Tag&gt;0&lt;/Tag&gt;&lt;Author&gt;Francis, Bill B; Hasan, Iftekhar; Wu, Qiang; Yan, Meng&lt;/Author&gt;&lt;Year&gt;2014&lt;/Year&gt;&lt;Details&gt;&lt;_alternate_title&gt;The Journal of the American Taxation Association&lt;/_alternate_title&gt;&lt;_created&gt;63309395&lt;/_created&gt;&lt;_date&gt;2014-01-01&lt;/_date&gt;&lt;_date_display&gt;2014&lt;/_date_display&gt;&lt;_isbn&gt;0198-9073&lt;/_isbn&gt;&lt;_issue&gt;2&lt;/_issue&gt;&lt;_journal&gt;The Journal of the American Taxation Association&lt;/_journal&gt;&lt;_modified&gt;63309395&lt;/_modified&gt;&lt;_ori_publication&gt;American Accounting Assocation&lt;/_ori_publication&gt;&lt;_pages&gt;171-202&lt;/_pages&gt;&lt;_volume&gt;36&lt;/_volume&gt;&lt;/Details&gt;&lt;Extra&gt;&lt;DBUID&gt;{E9F07991-3B72-4492-A7D8-86E559D9F8FE}&lt;/DBUID&gt;&lt;/Extra&gt;&lt;/Item&gt;&lt;/References&gt;&lt;/Group&gt;&lt;/Citation&gt;_x000a_"/>
    <w:docVar w:name="NE.Ref{64AA0F94-7B83-413A-B355-961EA819361F}" w:val=" ADDIN NE.Ref.{64AA0F94-7B83-413A-B355-961EA819361F}&lt;Citation SecTmpl=&quot;1&quot;&gt;&lt;Group&gt;&lt;References&gt;&lt;Item&gt;&lt;ID&gt;90&lt;/ID&gt;&lt;UID&gt;{6C8E8D32-FD2E-4F39-874E-A46863EDAAE0}&lt;/UID&gt;&lt;Title&gt;Relation between audit effort and financial report misstatements: Evidence from quarterly and annual restatements&lt;/Title&gt;&lt;Template&gt;Journal Article&lt;/Template&gt;&lt;Star&gt;0&lt;/Star&gt;&lt;Tag&gt;0&lt;/Tag&gt;&lt;Author&gt;Lobo, Gerald J; Zhao, Yuping&lt;/Author&gt;&lt;Year&gt;2013&lt;/Year&gt;&lt;Details&gt;&lt;_alternate_title&gt;The Accounting Review&lt;/_alternate_title&gt;&lt;_created&gt;63228784&lt;/_created&gt;&lt;_date&gt;2013-01-01&lt;/_date&gt;&lt;_date_display&gt;2013&lt;/_date_display&gt;&lt;_impact_factor&gt;   4.562&lt;/_impact_factor&gt;&lt;_isbn&gt;0001-4826&lt;/_isbn&gt;&lt;_issue&gt;4&lt;/_issue&gt;&lt;_journal&gt;The Accounting Review&lt;/_journal&gt;&lt;_modified&gt;63228784&lt;/_modified&gt;&lt;_ori_publication&gt;American Accounting Association&lt;/_ori_publication&gt;&lt;_pages&gt;1385-1412&lt;/_pages&gt;&lt;_volume&gt;88&lt;/_volume&gt;&lt;/Details&gt;&lt;Extra&gt;&lt;DBUID&gt;{E9F07991-3B72-4492-A7D8-86E559D9F8FE}&lt;/DBUID&gt;&lt;/Extra&gt;&lt;/Item&gt;&lt;/References&gt;&lt;/Group&gt;&lt;/Citation&gt;_x000a_"/>
    <w:docVar w:name="NE.Ref{64CA3FA2-B6C5-4973-8237-61A922D091CC}" w:val=" ADDIN NE.Ref.{64CA3FA2-B6C5-4973-8237-61A922D091CC}&lt;Citation SecTmpl=&quot;1&quot;&gt;&lt;Group&gt;&lt;References&gt;&lt;Item&gt;&lt;ID&gt;170&lt;/ID&gt;&lt;UID&gt;{A8E26643-3D9B-4688-A99F-3C8E79A065BA}&lt;/UID&gt;&lt;Title&gt;Does corporate tax aggressiveness influence audit pricing?&lt;/Title&gt;&lt;Template&gt;Journal Article&lt;/Template&gt;&lt;Star&gt;0&lt;/Star&gt;&lt;Tag&gt;0&lt;/Tag&gt;&lt;Author&gt;Donohoe, Michael P; Robert Knechel, W&lt;/Author&gt;&lt;Year&gt;2014&lt;/Year&gt;&lt;Details&gt;&lt;_accessed&gt;62701858&lt;/_accessed&gt;&lt;_alternate_title&gt;Contemporary Accounting Research&lt;/_alternate_title&gt;&lt;_collection_scope&gt;SSCI&lt;/_collection_scope&gt;&lt;_created&gt;62649279&lt;/_created&gt;&lt;_date&gt;2014-01-01&lt;/_date&gt;&lt;_date_display&gt;2014&lt;/_date_display&gt;&lt;_impact_factor&gt;   2.261&lt;/_impact_factor&gt;&lt;_isbn&gt;0823-9150&lt;/_isbn&gt;&lt;_issue&gt;1&lt;/_issue&gt;&lt;_journal&gt;Contemporary Accounting Research&lt;/_journal&gt;&lt;_modified&gt;63295786&lt;/_modified&gt;&lt;_ori_publication&gt;Wiley Online Library&lt;/_ori_publication&gt;&lt;_pages&gt;284-308&lt;/_pages&gt;&lt;_volume&gt;31&lt;/_volume&gt;&lt;/Details&gt;&lt;Extra&gt;&lt;DBUID&gt;{E9F07991-3B72-4492-A7D8-86E559D9F8FE}&lt;/DBUID&gt;&lt;/Extra&gt;&lt;/Item&gt;&lt;/References&gt;&lt;/Group&gt;&lt;/Citation&gt;_x000a_"/>
    <w:docVar w:name="NE.Ref{655FE69D-42AD-45D3-AA9A-05BDD2E3412F}" w:val=" ADDIN NE.Ref.{655FE69D-42AD-45D3-AA9A-05BDD2E3412F}&lt;Citation&gt;&lt;Group&gt;&lt;References&gt;&lt;Item&gt;&lt;ID&gt;58&lt;/ID&gt;&lt;UID&gt;{BBE49ADC-1D63-4122-9146-675A8D4C9C33}&lt;/UID&gt;&lt;Title&gt;Network ties among low-tax firms&lt;/Title&gt;&lt;Template&gt;Journal Article&lt;/Template&gt;&lt;Star&gt;0&lt;/Star&gt;&lt;Tag&gt;0&lt;/Tag&gt;&lt;Author&gt;Brown, Jennifer L; Drake, Katharine D&lt;/Author&gt;&lt;Year&gt;2014&lt;/Year&gt;&lt;Details&gt;&lt;_alternate_title&gt;The Accounting Review&lt;/_alternate_title&gt;&lt;_created&gt;63225537&lt;/_created&gt;&lt;_date&gt;2014-01-01&lt;/_date&gt;&lt;_date_display&gt;2014&lt;/_date_display&gt;&lt;_isbn&gt;1558-7967&lt;/_isbn&gt;&lt;_issue&gt;2&lt;/_issue&gt;&lt;_journal&gt;The Accounting Review&lt;/_journal&gt;&lt;_modified&gt;63225537&lt;/_modified&gt;&lt;_ori_publication&gt;American Accounting Association&lt;/_ori_publication&gt;&lt;_pages&gt;483-510&lt;/_pages&gt;&lt;_volume&gt;89&lt;/_volume&gt;&lt;/Details&gt;&lt;Extra&gt;&lt;DBUID&gt;{E9F07991-3B72-4492-A7D8-86E559D9F8FE}&lt;/DBUID&gt;&lt;/Extra&gt;&lt;/Item&gt;&lt;/References&gt;&lt;/Group&gt;&lt;/Citation&gt;_x000a_"/>
    <w:docVar w:name="NE.Ref{659DD4E0-0B2F-494F-AFDB-40D49F97C8D2}" w:val=" ADDIN NE.Ref.{659DD4E0-0B2F-494F-AFDB-40D49F97C8D2}&lt;Citation&gt;&lt;Group&gt;&lt;References&gt;&lt;Item&gt;&lt;ID&gt;76&lt;/ID&gt;&lt;UID&gt;{625120E1-7D7E-456D-8339-7FCD5A52A784}&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28096&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Group&gt;&lt;References&gt;&lt;Item&gt;&lt;ID&gt;77&lt;/ID&gt;&lt;UID&gt;{49819DF8-0A94-4B03-93FC-1BA22A5BB940}&lt;/UID&gt;&lt;Title&gt;Tax avoidance: Does tax-specific industry expertise make a difference?&lt;/Title&gt;&lt;Template&gt;Journal Article&lt;/Template&gt;&lt;Star&gt;0&lt;/Star&gt;&lt;Tag&gt;0&lt;/Tag&gt;&lt;Author&gt;McGuire, Sean T; Omer, Thomas C; Wang, Dechun&lt;/Author&gt;&lt;Year&gt;2012&lt;/Year&gt;&lt;Details&gt;&lt;_alternate_title&gt;The Accounting Review&lt;/_alternate_title&gt;&lt;_created&gt;62649249&lt;/_created&gt;&lt;_date&gt;2012-01-01&lt;/_date&gt;&lt;_date_display&gt;2012&lt;/_date_display&gt;&lt;_impact_factor&gt;   4.562&lt;/_impact_factor&gt;&lt;_isbn&gt;0001-4826&lt;/_isbn&gt;&lt;_issue&gt;3&lt;/_issue&gt;&lt;_journal&gt;The Accounting Review&lt;/_journal&gt;&lt;_modified&gt;63228126&lt;/_modified&gt;&lt;_ori_publication&gt;American Accounting Association&lt;/_ori_publication&gt;&lt;_pages&gt;975-1003&lt;/_pages&gt;&lt;_volume&gt;87&lt;/_volume&gt;&lt;/Details&gt;&lt;Extra&gt;&lt;DBUID&gt;{E9F07991-3B72-4492-A7D8-86E559D9F8FE}&lt;/DBUID&gt;&lt;/Extra&gt;&lt;/Item&gt;&lt;/References&gt;&lt;/Group&gt;&lt;/Citation&gt;_x000a_"/>
    <w:docVar w:name="NE.Ref{668637EF-50FB-4EF1-84CF-3EFDDDA4305A}" w:val=" ADDIN NE.Ref.{668637EF-50FB-4EF1-84CF-3EFDDDA4305A}&lt;Citation SecTmpl=&quot;1&quot;&gt;&lt;Group&gt;&lt;References&gt;&lt;Item&gt;&lt;ID&gt;41&lt;/ID&gt;&lt;UID&gt;{B8AC2AAB-445E-4138-A94B-6C8FA93D4004}&lt;/UID&gt;&lt;Title&gt;Insider trading, litigation concerns, and auditor going-concern opinions&lt;/Title&gt;&lt;Template&gt;Journal Article&lt;/Template&gt;&lt;Star&gt;0&lt;/Star&gt;&lt;Tag&gt;0&lt;/Tag&gt;&lt;Author&gt;Chen, Chen; Martin, Xiumin; Wang, Xin&lt;/Author&gt;&lt;Year&gt;2013&lt;/Year&gt;&lt;Details&gt;&lt;_alternate_title&gt;The Accounting Review&lt;/_alternate_title&gt;&lt;_created&gt;63267321&lt;/_created&gt;&lt;_date&gt;2013-01-01&lt;/_date&gt;&lt;_date_display&gt;2013&lt;/_date_display&gt;&lt;_impact_factor&gt;   4.562&lt;/_impact_factor&gt;&lt;_isbn&gt;0001-4826&lt;/_isbn&gt;&lt;_issue&gt;2&lt;/_issue&gt;&lt;_journal&gt;The Accounting Review&lt;/_journal&gt;&lt;_modified&gt;63267321&lt;/_modified&gt;&lt;_ori_publication&gt;American Accounting Association&lt;/_ori_publication&gt;&lt;_pages&gt;365-393&lt;/_pages&gt;&lt;_volume&gt;88&lt;/_volume&gt;&lt;/Details&gt;&lt;Extra&gt;&lt;DBUID&gt;{439358B4-FA18-4C63-A3A1-0E3BE4066E7A}&lt;/DBUID&gt;&lt;/Extra&gt;&lt;/Item&gt;&lt;/References&gt;&lt;/Group&gt;&lt;/Citation&gt;_x000a_"/>
    <w:docVar w:name="NE.Ref{66DCDBC8-BB1C-4B2B-A872-89A37050CD14}" w:val=" ADDIN NE.Ref.{66DCDBC8-BB1C-4B2B-A872-89A37050CD14}&lt;Citation SecTmpl=&quot;1&quot;&gt;&lt;Group&gt;&lt;References&gt;&lt;Item&gt;&lt;ID&gt;245&lt;/ID&gt;&lt;UID&gt;{F158E676-F1B6-4E2C-A6B9-E58400E92377}&lt;/UID&gt;&lt;Title&gt;CPA职业声誉损害经济后果性研究——来自银广夏事件的初步发现和启示&lt;/Title&gt;&lt;Template&gt;Journal Article&lt;/Template&gt;&lt;Star&gt;0&lt;/Star&gt;&lt;Tag&gt;0&lt;/Tag&gt;&lt;Author&gt;方军雄; 许平; 洪剑峭&lt;/Author&gt;&lt;Year&gt;2006&lt;/Year&gt;&lt;Details&gt;&lt;_accessed&gt;63097160&lt;/_accessed&gt;&lt;_author_aff&gt;复旦大学管理学院会计系;复旦大学管理学院会计系;复旦大学管理学院会计系 上海200433;上海200433;上海200433&lt;/_author_aff&gt;&lt;_collection_scope&gt;CSSCI-C;PKU&lt;/_collection_scope&gt;&lt;_created&gt;63097160&lt;/_created&gt;&lt;_date&gt;55988640&lt;/_date&gt;&lt;_db_provider&gt;CNKI: 期刊&lt;/_db_provider&gt;&lt;_db_updated&gt;CNKI - Reference&lt;/_db_updated&gt;&lt;_issue&gt;06&lt;/_issue&gt;&lt;_journal&gt;南方经济&lt;/_journal&gt;&lt;_keywords&gt;审计质量;职业声誉;市场反应&lt;/_keywords&gt;&lt;_language&gt;Chinese&lt;/_language&gt;&lt;_modified&gt;63097160&lt;/_modified&gt;&lt;_pages&gt;90-101&lt;/_pages&gt;&lt;_url&gt;http://kns.cnki.net/KCMS/detail/detail.aspx?FileName=NFJJ200606008&amp;amp;DbName=CJFQ2006&lt;/_url&gt;&lt;_translated_author&gt;Fang, Junxiong;Xu, Ping;Hong, Jianqiao&lt;/_translated_author&gt;&lt;/Details&gt;&lt;Extra&gt;&lt;DBUID&gt;{2097646C-7C2F-4992-8A9B-6FF23AE7F1B7}&lt;/DBUID&gt;&lt;/Extra&gt;&lt;/Item&gt;&lt;/References&gt;&lt;/Group&gt;&lt;/Citation&gt;_x000a_"/>
    <w:docVar w:name="NE.Ref{67297A11-387A-4CE5-969E-FFD9C0E6DB93}" w:val=" ADDIN NE.Ref.{67297A11-387A-4CE5-969E-FFD9C0E6DB93}&lt;Citation SecTmpl=&quot;1&quot;&gt;&lt;Group&gt;&lt;References&gt;&lt;Item&gt;&lt;ID&gt;87&lt;/ID&gt;&lt;UID&gt;{3C0BA038-8A77-41FD-8D6A-C5EAD214A0BF}&lt;/UID&gt;&lt;Title&gt;On the Benefits of Audit Market Consolidation: Evidence from Merged Audit Firms&lt;/Title&gt;&lt;Template&gt;Journal Article&lt;/Template&gt;&lt;Star&gt;0&lt;/Star&gt;&lt;Tag&gt;0&lt;/Tag&gt;&lt;Author&gt;Gong, Qihui; Li, Oliver Zhen; Lin, Yupeng; Wu, Liansheng&lt;/Author&gt;&lt;Year&gt;2015&lt;/Year&gt;&lt;Details&gt;&lt;_accessed&gt;62452318&lt;/_accessed&gt;&lt;_created&gt;61742092&lt;/_created&gt;&lt;_isbn&gt;1558-7967&lt;/_isbn&gt;&lt;_issue&gt;2&lt;/_issue&gt;&lt;_journal&gt;The Accounting Review&lt;/_journal&gt;&lt;_modified&gt;61745274&lt;/_modified&gt;&lt;_pages&gt;463-488&lt;/_pages&gt;&lt;_volume&gt;91&lt;/_volume&gt;&lt;/Details&gt;&lt;Extra&gt;&lt;DBUID&gt;{83AC290F-D6FC-4574-9771-6904EE9C30A4}&lt;/DBUID&gt;&lt;/Extra&gt;&lt;/Item&gt;&lt;/References&gt;&lt;/Group&gt;&lt;/Citation&gt;_x000a_"/>
    <w:docVar w:name="NE.Ref{673420FA-EC0B-4076-A8BB-A055B1DA4671}" w:val=" ADDIN NE.Ref.{673420FA-EC0B-4076-A8BB-A055B1DA4671}&lt;Citation SecTmpl=&quot;1&quot;&gt;&lt;Group&gt;&lt;References&gt;&lt;Item&gt;&lt;ID&gt;155&lt;/ID&gt;&lt;UID&gt;{C2FD933C-97FA-4B5C-9F69-31A7CCBECADF}&lt;/UID&gt;&lt;Title&gt;Crime and punishment: An economic approach&lt;/Title&gt;&lt;Template&gt;Book Section&lt;/Template&gt;&lt;Star&gt;0&lt;/Star&gt;&lt;Tag&gt;0&lt;/Tag&gt;&lt;Author&gt;Becker, Gary S&lt;/Author&gt;&lt;Year&gt;1968&lt;/Year&gt;&lt;Details&gt;&lt;_created&gt;63261290&lt;/_created&gt;&lt;_modified&gt;63261290&lt;/_modified&gt;&lt;_ori_publication&gt;Springer&lt;/_ori_publication&gt;&lt;_pages&gt;13-68&lt;/_pages&gt;&lt;_publisher&gt;Springer&lt;/_publisher&gt;&lt;_short_title&gt;The economic dimensions of crime&lt;/_short_title&gt;&lt;/Details&gt;&lt;Extra&gt;&lt;DBUID&gt;{E9F07991-3B72-4492-A7D8-86E559D9F8FE}&lt;/DBUID&gt;&lt;/Extra&gt;&lt;/Item&gt;&lt;/References&gt;&lt;/Group&gt;&lt;/Citation&gt;_x000a_"/>
    <w:docVar w:name="NE.Ref{67C03CEE-36B3-4015-A881-41D17DB076F1}" w:val=" ADDIN NE.Ref.{67C03CEE-36B3-4015-A881-41D17DB076F1}&lt;Citation SecTmpl=&quot;1&quot;&gt;&lt;Group&gt;&lt;References&gt;&lt;Item&gt;&lt;ID&gt;59&lt;/ID&gt;&lt;UID&gt;{12FDA269-FB31-4A4F-A67D-AB8AA7C5B457}&lt;/UID&gt;&lt;Title&gt;腐败对企业逃避税行为的影响——来自中国工业企业数据的证据&lt;/Title&gt;&lt;Template&gt;Journal Article&lt;/Template&gt;&lt;Star&gt;0&lt;/Star&gt;&lt;Tag&gt;0&lt;/Tag&gt;&lt;Author&gt;吕炜; 陈海宇&lt;/Author&gt;&lt;Year&gt;2017&lt;/Year&gt;&lt;Details&gt;&lt;_accessed&gt;61701692&lt;/_accessed&gt;&lt;_author_aff&gt;东北财经大学经济与社会发展研究院;&lt;/_author_aff&gt;&lt;_collection_scope&gt;CSSCI;中文核心期刊;&lt;/_collection_scope&gt;&lt;_created&gt;61701692&lt;/_created&gt;&lt;_date&gt;61575840&lt;/_date&gt;&lt;_db_provider&gt;CNKI: 期刊&lt;/_db_provider&gt;&lt;_db_updated&gt;CNKI - Reference&lt;/_db_updated&gt;&lt;_issue&gt;01&lt;/_issue&gt;&lt;_journal&gt;审计研究&lt;/_journal&gt;&lt;_keywords&gt;腐败;企业逃避税;税收执法;财政压力&lt;/_keywords&gt;&lt;_language&gt;Chinese&lt;/_language&gt;&lt;_modified&gt;61701692&lt;/_modified&gt;&lt;_pages&gt;105-112&lt;/_pages&gt;&lt;_url&gt;http://www.cnki.net/KCMS/detail/detail.aspx?FileName=SJYZ201701015&amp;amp;DbName=CJFQPREP&lt;/_url&gt;&lt;_translated_author&gt;Lu, Wei;Chen, Haiyu&lt;/_translated_author&gt;&lt;/Details&gt;&lt;Extra&gt;&lt;DBUID&gt;{83AC290F-D6FC-4574-9771-6904EE9C30A4}&lt;/DBUID&gt;&lt;/Extra&gt;&lt;/Item&gt;&lt;/References&gt;&lt;/Group&gt;&lt;/Citation&gt;_x000a_"/>
    <w:docVar w:name="NE.Ref{67CCB0FC-E8F1-4027-B520-323560E2CFEE}" w:val=" ADDIN NE.Ref.{67CCB0FC-E8F1-4027-B520-323560E2CFEE}&lt;Citation SecTmpl=&quot;1&quot;&gt;&lt;Group&gt;&lt;References&gt;&lt;Item&gt;&lt;ID&gt;313&lt;/ID&gt;&lt;UID&gt;{1A98EEB9-CDC0-43FC-8BAE-45F712CBF6C9}&lt;/UID&gt;&lt;Title&gt;Institutional shareholders&amp;apos; investment horizons and tax avoidance&lt;/Title&gt;&lt;Template&gt;Journal Article&lt;/Template&gt;&lt;Star&gt;0&lt;/Star&gt;&lt;Tag&gt;0&lt;/Tag&gt;&lt;Author&gt;Khurana, Inder K; Moser, William J&lt;/Author&gt;&lt;Year&gt;2013&lt;/Year&gt;&lt;Details&gt;&lt;_alternate_title&gt;The Journal of the American Taxation Association&lt;/_alternate_title&gt;&lt;_created&gt;63310171&lt;/_created&gt;&lt;_date&gt;2013-01-01&lt;/_date&gt;&lt;_date_display&gt;2013&lt;/_date_display&gt;&lt;_isbn&gt;0198-9073&lt;/_isbn&gt;&lt;_issue&gt;1&lt;/_issue&gt;&lt;_journal&gt;The Journal of the American Taxation Association&lt;/_journal&gt;&lt;_modified&gt;63310171&lt;/_modified&gt;&lt;_ori_publication&gt;American Accounting Assocation&lt;/_ori_publication&gt;&lt;_pages&gt;111-134&lt;/_pages&gt;&lt;_volume&gt;35&lt;/_volume&gt;&lt;/Details&gt;&lt;Extra&gt;&lt;DBUID&gt;{E9F07991-3B72-4492-A7D8-86E559D9F8FE}&lt;/DBUID&gt;&lt;/Extra&gt;&lt;/Item&gt;&lt;/References&gt;&lt;/Group&gt;&lt;/Citation&gt;_x000a_"/>
    <w:docVar w:name="NE.Ref{683C5847-72B3-4986-8092-D790F2FB3C72}" w:val=" ADDIN NE.Ref.{683C5847-72B3-4986-8092-D790F2FB3C72}&lt;Citation&gt;&lt;Group&gt;&lt;References&gt;&lt;Item&gt;&lt;ID&gt;126&lt;/ID&gt;&lt;UID&gt;{E52470E8-FBE1-4D11-8A11-6B21B994B80D}&lt;/UID&gt;&lt;Title&gt;“掏空”与所有权安排——来自我国上市公司大股东资金占用的经验证据&lt;/Title&gt;&lt;Template&gt;Journal Article&lt;/Template&gt;&lt;Star&gt;0&lt;/Star&gt;&lt;Tag&gt;0&lt;/Tag&gt;&lt;Author&gt;李增泉; 孙铮; 王志伟&lt;/Author&gt;&lt;Year&gt;2004&lt;/Year&gt;&lt;Details&gt;&lt;_accessed&gt;63241052&lt;/_accessed&gt;&lt;_author_aff&gt;上海财经大学会计与财务研究院/会计学院;上海财经大学会计与财务研究院/会计学院;上海财经大学会计与财务研究院/会计学院 200433_x000d__x000a__x000d__x000a__x000d__x000a__x000d__x000a__x000d__x000a__x000d__x000a__x000d__x000a__x000d__x000a_;200433_x000d__x000a__x000d__x000a__x000d__x000a__x000d__x000a__x000d__x000a__x000d__x000a__x000d__x000a__x000d__x000a_;200433&lt;/_author_aff&gt;&lt;_collection_scope&gt;CSSCI-C;PKU&lt;/_collection_scope&gt;&lt;_created&gt;63241052&lt;/_created&gt;&lt;_date&gt;55200960&lt;/_date&gt;&lt;_db_provider&gt;CNKI: 期刊&lt;/_db_provider&gt;&lt;_db_updated&gt;CNKI - Reference&lt;/_db_updated&gt;&lt;_issue&gt;12&lt;/_issue&gt;&lt;_journal&gt;会计研究&lt;/_journal&gt;&lt;_keywords&gt;掏空;资金占用;所有权安排&lt;/_keywords&gt;&lt;_language&gt;Chinese&lt;/_language&gt;&lt;_modified&gt;63241052&lt;/_modified&gt;&lt;_pages&gt;3-13+97&lt;/_pages&gt;&lt;_url&gt;http://kns.cnki.net/KCMS/detail/detail.aspx?FileName=KJYJ200412000&amp;amp;DbName=CJFQ2004&lt;/_url&gt;&lt;_translated_author&gt;Li, Zengquan;Sun, Zheng;Wang, Zhiwei&lt;/_translated_author&gt;&lt;/Details&gt;&lt;Extra&gt;&lt;DBUID&gt;{E9F07991-3B72-4492-A7D8-86E559D9F8FE}&lt;/DBUID&gt;&lt;/Extra&gt;&lt;/Item&gt;&lt;/References&gt;&lt;/Group&gt;&lt;/Citation&gt;_x000a_"/>
    <w:docVar w:name="NE.Ref{6898001D-C3BB-49D2-A7F2-67BF99EFB2D6}" w:val=" ADDIN NE.Ref.{6898001D-C3BB-49D2-A7F2-67BF99EFB2D6}&lt;Citation SecTmpl=&quot;1&quot;&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68A99BFE-0924-4E47-BE7F-1831E8BE9AD9}" w:val=" ADDIN NE.Ref.{68A99BFE-0924-4E47-BE7F-1831E8BE9AD9}&lt;Citation SecTmpl=&quot;1&quot;&gt;&lt;Group&gt;&lt;References&gt;&lt;Item&gt;&lt;ID&gt;333&lt;/ID&gt;&lt;UID&gt;{DEFBF465-A30D-497A-8B33-403FDFAA9CC9}&lt;/UID&gt;&lt;Title&gt;Agency costs and tax planning when the government is a major Shareholder&lt;/Title&gt;&lt;Template&gt;Journal Article&lt;/Template&gt;&lt;Star&gt;0&lt;/Star&gt;&lt;Tag&gt;0&lt;/Tag&gt;&lt;Author&gt;Bradshaw, Mark; Liao, Guanmin; Ma, Mark Shuai&lt;/Author&gt;&lt;Year&gt;2018&lt;/Year&gt;&lt;Details&gt;&lt;_accessed&gt;63309112&lt;/_accessed&gt;&lt;_alternate_title&gt;Journal of Accounting and Economics&lt;/_alternate_title&gt;&lt;_created&gt;62677059&lt;/_created&gt;&lt;_date&gt;2018-01-01&lt;/_date&gt;&lt;_date_display&gt;2018&lt;/_date_display&gt;&lt;_impact_factor&gt;   3.753&lt;/_impact_factor&gt;&lt;_isbn&gt;0165-4101&lt;/_isbn&gt;&lt;_journal&gt;Journal of Accounting and Economics&lt;/_journal&gt;&lt;_modified&gt;62846915&lt;/_modified&gt;&lt;_ori_publication&gt;Elsevier&lt;/_ori_publication&gt;&lt;/Details&gt;&lt;Extra&gt;&lt;DBUID&gt;{83AC290F-D6FC-4574-9771-6904EE9C30A4}&lt;/DBUID&gt;&lt;/Extra&gt;&lt;/Item&gt;&lt;/References&gt;&lt;/Group&gt;&lt;/Citation&gt;_x000a_"/>
    <w:docVar w:name="NE.Ref{68CCC112-6CD9-4D51-9C44-FEE4EC5CE31F}" w:val=" ADDIN NE.Ref.{68CCC112-6CD9-4D51-9C44-FEE4EC5CE31F}&lt;Citation SecTmpl=&quot;1&quot;&gt;&lt;Group&gt;&lt;References&gt;&lt;Item&gt;&lt;ID&gt;204&lt;/ID&gt;&lt;UID&gt;{BAB4115E-A1F3-4456-A2A8-FD82AD6AA6B1}&lt;/UID&gt;&lt;Title&gt;The association between changes in client firm agency costs and auditor switching&lt;/Title&gt;&lt;Template&gt;Journal Article&lt;/Template&gt;&lt;Star&gt;0&lt;/Star&gt;&lt;Tag&gt;0&lt;/Tag&gt;&lt;Author&gt;DeFond, Mark L&lt;/Author&gt;&lt;Year&gt;1992&lt;/Year&gt;&lt;Details&gt;&lt;_alternate_title&gt;Auditing&lt;/_alternate_title&gt;&lt;_created&gt;63301625&lt;/_created&gt;&lt;_date&gt;1992-01-01&lt;/_date&gt;&lt;_date_display&gt;1992&lt;/_date_display&gt;&lt;_impact_factor&gt;   2.642&lt;/_impact_factor&gt;&lt;_isbn&gt;0278-0380&lt;/_isbn&gt;&lt;_issue&gt;1&lt;/_issue&gt;&lt;_journal&gt;Auditing&lt;/_journal&gt;&lt;_modified&gt;63301625&lt;/_modified&gt;&lt;_ori_publication&gt;American Accounting Association&lt;/_ori_publication&gt;&lt;_pages&gt;16&lt;/_pages&gt;&lt;_volume&gt;11&lt;/_volume&gt;&lt;/Details&gt;&lt;Extra&gt;&lt;DBUID&gt;{E9F07991-3B72-4492-A7D8-86E559D9F8FE}&lt;/DBUID&gt;&lt;/Extra&gt;&lt;/Item&gt;&lt;/References&gt;&lt;/Group&gt;&lt;/Citation&gt;_x000a_"/>
    <w:docVar w:name="NE.Ref{68F0738F-BE67-40B0-86A7-227D56016098}" w:val=" ADDIN NE.Ref.{68F0738F-BE67-40B0-86A7-227D56016098}&lt;Citation SecTmpl=&quot;1&quot;&gt;&lt;Group&gt;&lt;References&gt;&lt;Item&gt;&lt;ID&gt;53&lt;/ID&gt;&lt;UID&gt;{D12C3C0C-2A93-424F-B93F-52F0F731F1D7}&lt;/UID&gt;&lt;Title&gt;The importance of the internal information environment for tax avoidance&lt;/Title&gt;&lt;Template&gt;Journal Article&lt;/Template&gt;&lt;Star&gt;0&lt;/Star&gt;&lt;Tag&gt;0&lt;/Tag&gt;&lt;Author&gt;Gallemore, John; Labro, Eva&lt;/Author&gt;&lt;Year&gt;2015&lt;/Year&gt;&lt;Details&gt;&lt;_accessed&gt;63308750&lt;/_accessed&gt;&lt;_alternate_title&gt;Journal of Accounting and Economics&lt;/_alternate_title&gt;&lt;_created&gt;63225150&lt;/_created&gt;&lt;_date&gt;2015-01-01&lt;/_date&gt;&lt;_date_display&gt;2015&lt;/_date_display&gt;&lt;_impact_factor&gt;   3.753&lt;/_impact_factor&gt;&lt;_isbn&gt;0165-4101&lt;/_isbn&gt;&lt;_issue&gt;1&lt;/_issue&gt;&lt;_journal&gt;Journal of Accounting and Economics&lt;/_journal&gt;&lt;_modified&gt;63308750&lt;/_modified&gt;&lt;_ori_publication&gt;Elsevier&lt;/_ori_publication&gt;&lt;_pages&gt;149-167&lt;/_pages&gt;&lt;_volume&gt;60&lt;/_volume&gt;&lt;/Details&gt;&lt;Extra&gt;&lt;DBUID&gt;{E9F07991-3B72-4492-A7D8-86E559D9F8FE}&lt;/DBUID&gt;&lt;/Extra&gt;&lt;/Item&gt;&lt;/References&gt;&lt;/Group&gt;&lt;/Citation&gt;_x000a_"/>
    <w:docVar w:name="NE.Ref{699D40EA-5271-4EEA-9ADF-5B75C141F4F8}" w:val=" ADDIN NE.Ref.{699D40EA-5271-4EEA-9ADF-5B75C141F4F8}&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6AE5424F-C14C-4F94-86B3-6FF61B2DE42E}" w:val=" ADDIN NE.Ref.{6AE5424F-C14C-4F94-86B3-6FF61B2DE42E}&lt;Citation&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6C04EA80-45C3-4F79-9871-859AEED68F47}" w:val=" ADDIN NE.Ref.{6C04EA80-45C3-4F79-9871-859AEED68F47}&lt;Citation SecTmpl=&quot;1&quot;&gt;&lt;Group&gt;&lt;References&gt;&lt;Item&gt;&lt;ID&gt;40&lt;/ID&gt;&lt;UID&gt;{60B34034-051D-4D7D-855C-EA6914FF17E0}&lt;/UID&gt;&lt;Title&gt;审计投入的产出效应&lt;/Title&gt;&lt;Template&gt;Journal Article&lt;/Template&gt;&lt;Star&gt;0&lt;/Star&gt;&lt;Tag&gt;0&lt;/Tag&gt;&lt;Author&gt;李伟; 韩晓梅; 吴联生&lt;/Author&gt;&lt;Year&gt;2018&lt;/Year&gt;&lt;Details&gt;&lt;_accessed&gt;62469353&lt;/_accessed&gt;&lt;_author_adr&gt;北京第二外国语学院国际商学院 100026; 南京理工大学经济管理学院 210094; 北京大学光华管理学院 100871&lt;/_author_adr&gt;&lt;_author_aff&gt;北京第二外国语学院国际商学院 100026; 南京理工大学经济管理学院 210094; 北京大学光华管理学院 100871&lt;/_author_aff&gt;&lt;_collection_scope&gt;CSSCI;中文核心期刊;&lt;/_collection_scope&gt;&lt;_created&gt;62469353&lt;/_created&gt;&lt;_db_provider&gt;北京万方数据股份有限公司&lt;/_db_provider&gt;&lt;_db_updated&gt;Wanfangdata&lt;/_db_updated&gt;&lt;_isbn&gt;1003-2886&lt;/_isbn&gt;&lt;_issue&gt;3&lt;/_issue&gt;&lt;_journal&gt;会计研究&lt;/_journal&gt;&lt;_keywords&gt;审计投入; 审计质量; 审计收费&lt;/_keywords&gt;&lt;_language&gt;chi&lt;/_language&gt;&lt;_modified&gt;63224410&lt;/_modified&gt;&lt;_pages&gt;71-77&lt;/_pages&gt;&lt;_tertiary_title&gt;Accounting Research&lt;/_tertiary_title&gt;&lt;_translated_title&gt;The Input-Output Effect of Audit Services&lt;/_translated_title&gt;&lt;_url&gt;http://www.wanfangdata.com.cn/details/detail.do?_type=perio&amp;amp;id=kjyj201803010&lt;/_url&gt;&lt;_translated_author&gt;Li, Wei;Han, Xiaomei;Wu, Liansheng&lt;/_translated_author&gt;&lt;/Details&gt;&lt;Extra&gt;&lt;DBUID&gt;{E9F07991-3B72-4492-A7D8-86E559D9F8FE}&lt;/DBUID&gt;&lt;/Extra&gt;&lt;/Item&gt;&lt;/References&gt;&lt;/Group&gt;&lt;/Citation&gt;_x000a_"/>
    <w:docVar w:name="NE.Ref{6C1331D1-C9B7-4B24-B681-4D1A8317C1B5}" w:val=" ADDIN NE.Ref.{6C1331D1-C9B7-4B24-B681-4D1A8317C1B5}&lt;Citation&gt;&lt;Group&gt;&lt;References&gt;&lt;Item&gt;&lt;ID&gt;7&lt;/ID&gt;&lt;UID&gt;{0F7C2C1B-B265-400E-A10A-38B0EC06A68F}&lt;/UID&gt;&lt;Title&gt;Big N auditors and audit quality: New evidence from quasi-experiments&lt;/Title&gt;&lt;Template&gt;Journal Article&lt;/Template&gt;&lt;Star&gt;0&lt;/Star&gt;&lt;Tag&gt;0&lt;/Tag&gt;&lt;Author&gt;Jiang, John X; Wang, Isabel Y; Wang, K Philip&lt;/Author&gt;&lt;Year&gt;2018&lt;/Year&gt;&lt;Details&gt;&lt;_alternate_title&gt;The Accounting Review&lt;/_alternate_title&gt;&lt;_created&gt;63130184&lt;/_created&gt;&lt;_date&gt;2018-01-01&lt;/_date&gt;&lt;_date_display&gt;2018&lt;/_date_display&gt;&lt;_impact_factor&gt;   4.562&lt;/_impact_factor&gt;&lt;_isbn&gt;0001-4826&lt;/_isbn&gt;&lt;_journal&gt;The Accounting Review&lt;/_journal&gt;&lt;_modified&gt;63130184&lt;/_modified&gt;&lt;/Details&gt;&lt;Extra&gt;&lt;DBUID&gt;{E9F07991-3B72-4492-A7D8-86E559D9F8FE}&lt;/DBUID&gt;&lt;/Extra&gt;&lt;/Item&gt;&lt;/References&gt;&lt;/Group&gt;&lt;/Citation&gt;_x000a_"/>
    <w:docVar w:name="NE.Ref{6D093699-9DC4-4446-97EF-034460FABCED}" w:val=" ADDIN NE.Ref.{6D093699-9DC4-4446-97EF-034460FABCED}&lt;Citation SecTmpl=&quot;1&quot;&gt;&lt;Group&gt;&lt;References&gt;&lt;Item&gt;&lt;ID&gt;308&lt;/ID&gt;&lt;UID&gt;{23E7847D-B75F-41C1-9A26-0CC584AEC662}&lt;/UID&gt;&lt;Title&gt;Abnormal audit fees and audit quality: The importance of considering managerial incentives in tests of earnings management&lt;/Title&gt;&lt;Template&gt;Journal Article&lt;/Template&gt;&lt;Star&gt;0&lt;/Star&gt;&lt;Tag&gt;0&lt;/Tag&gt;&lt;Author&gt;Eshleman, John Daniel; Guo, Peng&lt;/Author&gt;&lt;Year&gt;2013&lt;/Year&gt;&lt;Details&gt;&lt;_accessed&gt;63297920&lt;/_accessed&gt;&lt;_alternate_title&gt;Auditing: A Journal of Practice &amp;amp; Theory&lt;/_alternate_title&gt;&lt;_created&gt;62570452&lt;/_created&gt;&lt;_date&gt;2013-01-01&lt;/_date&gt;&lt;_date_display&gt;2013&lt;/_date_display&gt;&lt;_isbn&gt;1558-7991&lt;/_isbn&gt;&lt;_issue&gt;1&lt;/_issue&gt;&lt;_journal&gt;Auditing: A Journal of Practice &amp;amp; Theory&lt;/_journal&gt;&lt;_modified&gt;62615267&lt;/_modified&gt;&lt;_ori_publication&gt;American Accounting Assocation&lt;/_ori_publication&gt;&lt;_pages&gt;117-138&lt;/_pages&gt;&lt;_volume&gt;33&lt;/_volume&gt;&lt;/Details&gt;&lt;Extra&gt;&lt;DBUID&gt;{83AC290F-D6FC-4574-9771-6904EE9C30A4}&lt;/DBUID&gt;&lt;/Extra&gt;&lt;/Item&gt;&lt;/References&gt;&lt;/Group&gt;&lt;/Citation&gt;_x000a_"/>
    <w:docVar w:name="NE.Ref{6E0C85D6-61DC-43E2-BC9E-FF6B89F554DC}" w:val=" ADDIN NE.Ref.{6E0C85D6-61DC-43E2-BC9E-FF6B89F554DC}&lt;Citation&gt;&lt;Group&gt;&lt;References&gt;&lt;Item&gt;&lt;ID&gt;678&lt;/ID&gt;&lt;UID&gt;{FE8299C8-7332-46B3-9244-E41AD0C2A193}&lt;/UID&gt;&lt;Title&gt;Financial reporting and analysis&lt;/Title&gt;&lt;Template&gt;Book&lt;/Template&gt;&lt;Star&gt;0&lt;/Star&gt;&lt;Tag&gt;0&lt;/Tag&gt;&lt;Author&gt;Revsine, Lawrence; Collins, Daniel W; Johnson, W Bruce&lt;/Author&gt;&lt;Year&gt;2005&lt;/Year&gt;&lt;Details&gt;&lt;_created&gt;63284265&lt;/_created&gt;&lt;_isbn&gt;0131430211&lt;/_isbn&gt;&lt;_modified&gt;63284265&lt;/_modified&gt;&lt;_publisher&gt;Prentice Hall&lt;/_publisher&gt;&lt;/Details&gt;&lt;Extra&gt;&lt;DBUID&gt;{83AC290F-D6FC-4574-9771-6904EE9C30A4}&lt;/DBUID&gt;&lt;/Extra&gt;&lt;/Item&gt;&lt;/References&gt;&lt;/Group&gt;&lt;/Citation&gt;_x000a_"/>
    <w:docVar w:name="NE.Ref{6E7EEFF8-F717-4138-8EF0-489301DD9143}" w:val=" ADDIN NE.Ref.{6E7EEFF8-F717-4138-8EF0-489301DD9143}&lt;Citation&gt;&lt;Group&gt;&lt;References&gt;&lt;Item&gt;&lt;ID&gt;102&lt;/ID&gt;&lt;UID&gt;{70BADCEE-4A0B-4D7A-80F2-DB3D940D6344}&lt;/UID&gt;&lt;Title&gt;问询函监管与大股东“掏空”——来自沪深交易所年报问询的证据&lt;/Title&gt;&lt;Template&gt;Journal Article&lt;/Template&gt;&lt;Star&gt;0&lt;/Star&gt;&lt;Tag&gt;0&lt;/Tag&gt;&lt;Author&gt;聂萍; 潘再珍&lt;/Author&gt;&lt;Year&gt;2019&lt;/Year&gt;&lt;Details&gt;&lt;_accessed&gt;63240995&lt;/_accessed&gt;&lt;_author_aff&gt;湖南大学工商管理学院;&lt;/_author_aff&gt;&lt;_collection_scope&gt;CSSCI-C;PKU&lt;/_collection_scope&gt;&lt;_created&gt;63240989&lt;/_created&gt;&lt;_date&gt;62824320&lt;/_date&gt;&lt;_db_provider&gt;CNKI: 期刊&lt;/_db_provider&gt;&lt;_db_updated&gt;CNKI - Reference&lt;/_db_updated&gt;&lt;_issue&gt;03&lt;/_issue&gt;&lt;_journal&gt;审计与经济研究&lt;/_journal&gt;&lt;_keywords&gt;问询函监管;大股东掏空;内部控制;法治环境;问询监管机制;保护中小投资者利益;公司治理&lt;/_keywords&gt;&lt;_language&gt;Chinese&lt;/_language&gt;&lt;_modified&gt;63240995&lt;/_modified&gt;&lt;_pages&gt;91-103&lt;/_pages&gt;&lt;_url&gt;http://kns.cnki.net/KCMS/detail/detail.aspx?FileName=SJYJ201903010&amp;amp;DbName=CJFQ2019&lt;/_url&gt;&lt;_volume&gt;34&lt;/_volume&gt;&lt;_translated_author&gt;Nie, Ping;Pan, Zaizhen&lt;/_translated_author&gt;&lt;/Details&gt;&lt;Extra&gt;&lt;DBUID&gt;{E9F07991-3B72-4492-A7D8-86E559D9F8FE}&lt;/DBUID&gt;&lt;/Extra&gt;&lt;/Item&gt;&lt;/References&gt;&lt;/Group&gt;&lt;/Citation&gt;_x000a_"/>
    <w:docVar w:name="NE.Ref{6EB241A7-ECCD-4BB1-920A-CAD47169E8CC}" w:val=" ADDIN NE.Ref.{6EB241A7-ECCD-4BB1-920A-CAD47169E8CC}&lt;Citation SecTmpl=&quot;1&quot;&gt;&lt;Group&gt;&lt;References&gt;&lt;Item&gt;&lt;ID&gt;302&lt;/ID&gt;&lt;UID&gt;{DB3A6DC8-66BD-4F6E-90C2-F090B5C4C39E}&lt;/UID&gt;&lt;Title&gt;投资者理解公司会计利润和应税利润的差异信息吗?&lt;/Title&gt;&lt;Template&gt;Journal Article&lt;/Template&gt;&lt;Star&gt;0&lt;/Star&gt;&lt;Tag&gt;0&lt;/Tag&gt;&lt;Author&gt;伍利娜; 李蕙伶&lt;/Author&gt;&lt;Year&gt;2007&lt;/Year&gt;&lt;Details&gt;&lt;_accessed&gt;63284628&lt;/_accessed&gt;&lt;_collection_scope&gt;CSSCI;中文核心期刊;&lt;/_collection_scope&gt;&lt;_created&gt;62505474&lt;/_created&gt;&lt;_date&gt;2007-01-01&lt;/_date&gt;&lt;_date_display&gt;2007&lt;/_date_display&gt;&lt;_issue&gt;10&lt;/_issue&gt;&lt;_journal&gt;管理世界&lt;/_journal&gt;&lt;_modified&gt;63284628&lt;/_modified&gt;&lt;_pages&gt;114-121&lt;/_pages&gt;&lt;_translated_author&gt;Wu, Lina;Li, Huiling&lt;/_translated_author&gt;&lt;/Details&gt;&lt;Extra&gt;&lt;DBUID&gt;{83AC290F-D6FC-4574-9771-6904EE9C30A4}&lt;/DBUID&gt;&lt;/Extra&gt;&lt;/Item&gt;&lt;/References&gt;&lt;/Group&gt;&lt;/Citation&gt;_x000a_"/>
    <w:docVar w:name="NE.Ref{6EC2E2E3-D0B6-4D68-BB16-92CBC645EE24}" w:val=" ADDIN NE.Ref.{6EC2E2E3-D0B6-4D68-BB16-92CBC645EE24}&lt;Citation SecTmpl=&quot;1&quot;&gt;&lt;Group&gt;&lt;References&gt;&lt;Item&gt;&lt;ID&gt;152&lt;/ID&gt;&lt;UID&gt;{5A35155B-BB3E-4D83-ABB6-045B6B7E50F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ccessed&gt;63260255&lt;/_accessed&gt;&lt;_alternate_title&gt;Contemporary Accounting Research&lt;/_alternate_title&gt;&lt;_collection_scope&gt;SSCI&lt;/_collection_scope&gt;&lt;_created&gt;63260159&lt;/_created&gt;&lt;_date&gt;2019-01-01&lt;/_date&gt;&lt;_date_display&gt;2019&lt;/_date_display&gt;&lt;_impact_factor&gt;   2.261&lt;/_impact_factor&gt;&lt;_isbn&gt;0823-9150&lt;/_isbn&gt;&lt;_journal&gt;Contemporary Accounting Research&lt;/_journal&gt;&lt;_modified&gt;63260255&lt;/_modified&gt;&lt;_ori_publication&gt;Wiley Online Library&lt;/_ori_publication&gt;&lt;/Details&gt;&lt;Extra&gt;&lt;DBUID&gt;{E9F07991-3B72-4492-A7D8-86E559D9F8FE}&lt;/DBUID&gt;&lt;/Extra&gt;&lt;/Item&gt;&lt;/References&gt;&lt;/Group&gt;&lt;/Citation&gt;_x000a_"/>
    <w:docVar w:name="NE.Ref{6F2EFB0B-F732-4328-ADFD-D4012F26FB2A}" w:val=" ADDIN NE.Ref.{6F2EFB0B-F732-4328-ADFD-D4012F26FB2A}&lt;Citation SecTmpl=&quot;1&quot;&gt;&lt;Group&gt;&lt;References&gt;&lt;Item&gt;&lt;ID&gt;183&lt;/ID&gt;&lt;UID&gt;{8C851692-70CA-440C-8D44-2DE78F8EC097}&lt;/UID&gt;&lt;Title&gt;行业自律监管能改进审计质量吗?——基于中注协约谈的证据&lt;/Title&gt;&lt;Template&gt;Journal Article&lt;/Template&gt;&lt;Star&gt;0&lt;/Star&gt;&lt;Tag&gt;0&lt;/Tag&gt;&lt;Author&gt;黄益雄; 李长爱&lt;/Author&gt;&lt;Year&gt;2016&lt;/Year&gt;&lt;Details&gt;&lt;_accessed&gt;63303076&lt;/_accessed&gt;&lt;_collection_scope&gt;CSSCI-C;PKU&lt;/_collection_scope&gt;&lt;_created&gt;62681269&lt;/_created&gt;&lt;_date&gt;2016-01-01&lt;/_date&gt;&lt;_date_display&gt;2016&lt;/_date_display&gt;&lt;_issue&gt;11&lt;/_issue&gt;&lt;_journal&gt;会计研究&lt;/_journal&gt;&lt;_modified&gt;63303076&lt;/_modified&gt;&lt;_pages&gt;84-91&lt;/_pages&gt;&lt;_translated_author&gt;Huang, Yixiong;Li, Zhang&amp;apos;ai&lt;/_translated_author&gt;&lt;/Details&gt;&lt;Extra&gt;&lt;DBUID&gt;{2097646C-7C2F-4992-8A9B-6FF23AE7F1B7}&lt;/DBUID&gt;&lt;/Extra&gt;&lt;/Item&gt;&lt;/References&gt;&lt;/Group&gt;&lt;/Citation&gt;_x000a_"/>
    <w:docVar w:name="NE.Ref{6F90187D-D9CC-47F4-A7FE-83B7CD1AEAF6}" w:val=" ADDIN NE.Ref.{6F90187D-D9CC-47F4-A7FE-83B7CD1AEAF6}&lt;Citation SecTmpl=&quot;1&quot;&gt;&lt;Group&gt;&lt;References&gt;&lt;Item&gt;&lt;ID&gt;149&lt;/ID&gt;&lt;UID&gt;{1BC81CD2-D59C-4B7F-9C70-88E19B8FC1C4}&lt;/UID&gt;&lt;Title&gt;Error detection by industry‐specialized teams during sequential audit review&lt;/Title&gt;&lt;Template&gt;Journal Article&lt;/Template&gt;&lt;Star&gt;0&lt;/Star&gt;&lt;Tag&gt;0&lt;/Tag&gt;&lt;Author&gt;Owhoso, Vincent E; Messier, Jr William F; Lynch, Jr John G&lt;/Author&gt;&lt;Year&gt;2002&lt;/Year&gt;&lt;Details&gt;&lt;_accessed&gt;63304404&lt;/_accessed&gt;&lt;_alternate_title&gt;Journal of Accounting Research&lt;/_alternate_title&gt;&lt;_collection_scope&gt;SSCI;&lt;/_collection_scope&gt;&lt;_created&gt;62475297&lt;/_created&gt;&lt;_date&gt;2002-01-01&lt;/_date&gt;&lt;_date_display&gt;2002&lt;/_date_display&gt;&lt;_impact_factor&gt;   4.891&lt;/_impact_factor&gt;&lt;_isbn&gt;0021-8456&lt;/_isbn&gt;&lt;_issue&gt;3&lt;/_issue&gt;&lt;_journal&gt;Journal of Accounting Research&lt;/_journal&gt;&lt;_modified&gt;62871029&lt;/_modified&gt;&lt;_ori_publication&gt;Wiley Online Library&lt;/_ori_publication&gt;&lt;_pages&gt;883-900&lt;/_pages&gt;&lt;_volume&gt;40&lt;/_volume&gt;&lt;/Details&gt;&lt;Extra&gt;&lt;DBUID&gt;{2097646C-7C2F-4992-8A9B-6FF23AE7F1B7}&lt;/DBUID&gt;&lt;/Extra&gt;&lt;/Item&gt;&lt;/References&gt;&lt;/Group&gt;&lt;/Citation&gt;_x000a_"/>
    <w:docVar w:name="NE.Ref{6FD6040F-E9D3-439F-AC67-8D814FBE0890}" w:val=" ADDIN NE.Ref.{6FD6040F-E9D3-439F-AC67-8D814FBE0890}&lt;Citation&gt;&lt;Group&gt;&lt;References&gt;&lt;Item&gt;&lt;ID&gt;143&lt;/ID&gt;&lt;UID&gt;{17238A06-B3B3-4599-8C3E-2D2D5024EC25}&lt;/UID&gt;&lt;Title&gt;市场化程度、内部人侵占与审计监督&lt;/Title&gt;&lt;Template&gt;Journal Article&lt;/Template&gt;&lt;Star&gt;0&lt;/Star&gt;&lt;Tag&gt;0&lt;/Tag&gt;&lt;Author&gt;雷光勇; 范蕾&lt;/Author&gt;&lt;Year&gt;2009&lt;/Year&gt;&lt;Details&gt;&lt;_accessed&gt;63257331&lt;/_accessed&gt;&lt;_author_aff&gt;对外经贸大学商学院;对外经济贸易大学商学院;普华永道国际会计公司;&lt;/_author_aff&gt;&lt;_collection_scope&gt;CSSCI-C;PKU&lt;/_collection_scope&gt;&lt;_created&gt;63257331&lt;/_created&gt;&lt;_date&gt;57515040&lt;/_date&gt;&lt;_db_provider&gt;CNKI: 期刊&lt;/_db_provider&gt;&lt;_db_updated&gt;CNKI - Reference&lt;/_db_updated&gt;&lt;_issue&gt;05&lt;/_issue&gt;&lt;_journal&gt;财贸经济&lt;/_journal&gt;&lt;_keywords&gt;市场化进程;内部人侵占;审计质量;审计监督&lt;/_keywords&gt;&lt;_language&gt;Chinese&lt;/_language&gt;&lt;_modified&gt;63257331&lt;/_modified&gt;&lt;_pages&gt;61-67&lt;/_pages&gt;&lt;_url&gt;http://kns.cnki.net/KCMS/detail/detail.aspx?FileName=CMJJ200905015&amp;amp;DbName=CJFQ2009&lt;/_url&gt;&lt;_translated_author&gt;Lei, Guangyong;Fan, Lei&lt;/_translated_author&gt;&lt;/Details&gt;&lt;Extra&gt;&lt;DBUID&gt;{E9F07991-3B72-4492-A7D8-86E559D9F8FE}&lt;/DBUID&gt;&lt;/Extra&gt;&lt;/Item&gt;&lt;/References&gt;&lt;/Group&gt;&lt;/Citation&gt;_x000a_"/>
    <w:docVar w:name="NE.Ref{706A0F95-6A58-4C50-9FA2-00687F19CE15}" w:val=" ADDIN NE.Ref.{706A0F95-6A58-4C50-9FA2-00687F19CE15}&lt;Citation SecTmpl=&quot;1&quot;&gt;&lt;Group&gt;&lt;References&gt;&lt;Item&gt;&lt;ID&gt;55&lt;/ID&gt;&lt;UID&gt;{E458AB47-9FDD-4B47-8574-F6D4AA49E9FC}&lt;/UID&gt;&lt;Title&gt;Auditor choice and its implications for group‐affiliated firms&lt;/Title&gt;&lt;Template&gt;Journal Article&lt;/Template&gt;&lt;Star&gt;0&lt;/Star&gt;&lt;Tag&gt;0&lt;/Tag&gt;&lt;Author&gt;Fang, Junxiong; Pittman, Jeffrey; Zhang, Yinqi; Zhao, Yuping&lt;/Author&gt;&lt;Year&gt;2017&lt;/Year&gt;&lt;Details&gt;&lt;_alternate_title&gt;Contemporary Accounting Research&lt;/_alternate_title&gt;&lt;_collection_scope&gt;SSCI&lt;/_collection_scope&gt;&lt;_created&gt;63225156&lt;/_created&gt;&lt;_date&gt;2017-01-01&lt;/_date&gt;&lt;_date_display&gt;2017&lt;/_date_display&gt;&lt;_impact_factor&gt;   2.261&lt;/_impact_factor&gt;&lt;_isbn&gt;0823-9150&lt;/_isbn&gt;&lt;_issue&gt;1&lt;/_issue&gt;&lt;_journal&gt;Contemporary Accounting Research&lt;/_journal&gt;&lt;_modified&gt;63225156&lt;/_modified&gt;&lt;_ori_publication&gt;Wiley Online Library&lt;/_ori_publication&gt;&lt;_pages&gt;39-82&lt;/_pages&gt;&lt;_volume&gt;34&lt;/_volume&gt;&lt;/Details&gt;&lt;Extra&gt;&lt;DBUID&gt;{E9F07991-3B72-4492-A7D8-86E559D9F8FE}&lt;/DBUID&gt;&lt;/Extra&gt;&lt;/Item&gt;&lt;/References&gt;&lt;/Group&gt;&lt;/Citation&gt;_x000a_"/>
    <w:docVar w:name="NE.Ref{70DEEC83-2B26-475D-97B7-077620F3D850}" w:val=" ADDIN NE.Ref.{70DEEC83-2B26-475D-97B7-077620F3D850}&lt;Citation&gt;&lt;Group&gt;&lt;References&gt;&lt;Item&gt;&lt;ID&gt;696&lt;/ID&gt;&lt;UID&gt;{3FCF8FD9-A6AE-4C75-BD98-B504A9E2DD88}&lt;/UID&gt;&lt;Title&gt;Client following former audit partners and audit quality: Evidence from unforced audit firm changes in China&lt;/Title&gt;&lt;Template&gt;Journal Article&lt;/Template&gt;&lt;Star&gt;0&lt;/Star&gt;&lt;Tag&gt;0&lt;/Tag&gt;&lt;Author&gt;Su, Xijia; Wu, Xi&lt;/Author&gt;&lt;Year&gt;2016&lt;/Year&gt;&lt;Details&gt;&lt;_alternate_title&gt;The International Journal of Accounting&lt;/_alternate_title&gt;&lt;_created&gt;63303609&lt;/_created&gt;&lt;_date&gt;2016-01-01&lt;/_date&gt;&lt;_date_display&gt;2016&lt;/_date_display&gt;&lt;_isbn&gt;0020-7063&lt;/_isbn&gt;&lt;_issue&gt;1&lt;/_issue&gt;&lt;_journal&gt;The International Journal of Accounting&lt;/_journal&gt;&lt;_modified&gt;63303609&lt;/_modified&gt;&lt;_ori_publication&gt;Elsevier&lt;/_ori_publication&gt;&lt;_pages&gt;1-22&lt;/_pages&gt;&lt;_volume&gt;51&lt;/_volume&gt;&lt;/Details&gt;&lt;Extra&gt;&lt;DBUID&gt;{83AC290F-D6FC-4574-9771-6904EE9C30A4}&lt;/DBUID&gt;&lt;/Extra&gt;&lt;/Item&gt;&lt;/References&gt;&lt;/Group&gt;&lt;/Citation&gt;_x000a_"/>
    <w:docVar w:name="NE.Ref{72A97EA1-4AEC-4EDE-97D0-7D5FD8171ED6}" w:val=" ADDIN NE.Ref.{72A97EA1-4AEC-4EDE-97D0-7D5FD8171ED6}&lt;Citation SecTmpl=&quot;1&quot;&gt;&lt;Group&gt;&lt;References&gt;&lt;Item&gt;&lt;ID&gt;251&lt;/ID&gt;&lt;UID&gt;{59962BAD-A073-41F3-B395-790C40BDD1DB}&lt;/UID&gt;&lt;Title&gt;客户重要性与审计谈判&lt;/Title&gt;&lt;Template&gt;Journal Article&lt;/Template&gt;&lt;Star&gt;0&lt;/Star&gt;&lt;Tag&gt;0&lt;/Tag&gt;&lt;Author&gt;张继勋; 张丽霞&lt;/Author&gt;&lt;Year&gt;2011&lt;/Year&gt;&lt;Details&gt;&lt;_accessed&gt;63218055&lt;/_accessed&gt;&lt;_author_aff&gt;南开大学商学院;&lt;/_author_aff&gt;&lt;_collection_scope&gt;CSSCI-C;PKU&lt;/_collection_scope&gt;&lt;_created&gt;63218055&lt;/_created&gt;&lt;_date&gt;58592160&lt;/_date&gt;&lt;_db_provider&gt;CNKI: 期刊&lt;/_db_provider&gt;&lt;_db_updated&gt;CNKI - Reference&lt;/_db_updated&gt;&lt;_issue&gt;03&lt;/_issue&gt;&lt;_journal&gt;审计研究&lt;/_journal&gt;&lt;_keywords&gt;客户重要性;审计谈判;谈判结果&lt;/_keywords&gt;&lt;_language&gt;Chinese&lt;/_language&gt;&lt;_modified&gt;63218056&lt;/_modified&gt;&lt;_pages&gt;56-63&lt;/_pages&gt;&lt;_url&gt;http://kns.cnki.net/KCMS/detail/detail.aspx?FileName=SJYZ201103012&amp;amp;DbName=CJFQ2011&lt;/_url&gt;&lt;_translated_author&gt;Zhang, Jixun;Zhang, Lixia&lt;/_translated_author&gt;&lt;/Details&gt;&lt;Extra&gt;&lt;DBUID&gt;{2097646C-7C2F-4992-8A9B-6FF23AE7F1B7}&lt;/DBUID&gt;&lt;/Extra&gt;&lt;/Item&gt;&lt;/References&gt;&lt;/Group&gt;&lt;/Citation&gt;_x000a_"/>
    <w:docVar w:name="NE.Ref{72FB94BD-856B-4401-8A69-4BB45072288F}" w:val=" ADDIN NE.Ref.{72FB94BD-856B-4401-8A69-4BB45072288F}&lt;Citation SecTmpl=&quot;1&quot;&gt;&lt;Group&gt;&lt;References&gt;&lt;Item&gt;&lt;ID&gt;307&lt;/ID&gt;&lt;UID&gt;{48BE3D97-E01A-4DBD-9C65-7B0372856B6E}&lt;/UID&gt;&lt;Title&gt;Top management conservatism and corporate risk strategies: Evidence from managers&amp;apos; personal political orientation and corporate tax avoidance&lt;/Title&gt;&lt;Template&gt;Journal Article&lt;/Template&gt;&lt;Star&gt;0&lt;/Star&gt;&lt;Tag&gt;0&lt;/Tag&gt;&lt;Author&gt;Christensen, Dane M; Dhaliwal, Dan S; Boivie, Steven; Graffin, Scott D&lt;/Author&gt;&lt;Year&gt;2015&lt;/Year&gt;&lt;Details&gt;&lt;_alternate_title&gt;Strategic Management Journal&lt;/_alternate_title&gt;&lt;_collection_scope&gt;SSCI;EI&lt;/_collection_scope&gt;&lt;_created&gt;63309377&lt;/_created&gt;&lt;_date&gt;2015-01-01&lt;/_date&gt;&lt;_date_display&gt;2015&lt;/_date_display&gt;&lt;_impact_factor&gt;   5.572&lt;/_impact_factor&gt;&lt;_isbn&gt;0143-2095&lt;/_isbn&gt;&lt;_issue&gt;12&lt;/_issue&gt;&lt;_journal&gt;Strategic Management Journal&lt;/_journal&gt;&lt;_modified&gt;63309377&lt;/_modified&gt;&lt;_ori_publication&gt;Wiley Online Library&lt;/_ori_publication&gt;&lt;_pages&gt;1918-1938&lt;/_pages&gt;&lt;_volume&gt;36&lt;/_volume&gt;&lt;/Details&gt;&lt;Extra&gt;&lt;DBUID&gt;{E9F07991-3B72-4492-A7D8-86E559D9F8FE}&lt;/DBUID&gt;&lt;/Extra&gt;&lt;/Item&gt;&lt;/References&gt;&lt;/Group&gt;&lt;/Citation&gt;_x000a_"/>
    <w:docVar w:name="NE.Ref{73DFA4B5-2180-4267-9C9F-D492C357A922}" w:val=" ADDIN NE.Ref.{73DFA4B5-2180-4267-9C9F-D492C357A922}&lt;Citation SecTmpl=&quot;1&quot;&gt;&lt;Group&gt;&lt;References&gt;&lt;Item&gt;&lt;ID&gt;16&lt;/ID&gt;&lt;UID&gt;{B3523654-521D-48AC-98DF-25AE58C2161D}&lt;/UID&gt;&lt;Title&gt;融券制度与内部人寻租——来自准自然实验的经验证据&lt;/Title&gt;&lt;Template&gt;Journal Article&lt;/Template&gt;&lt;Star&gt;0&lt;/Star&gt;&lt;Tag&gt;0&lt;/Tag&gt;&lt;Author&gt;张洪辉; 平帆; 章琳一&lt;/Author&gt;&lt;Year&gt;2020&lt;/Year&gt;&lt;Details&gt;&lt;_accessed&gt;63268338&lt;/_accessed&gt;&lt;_author_aff&gt;江西财经大学会计学院;中国人民大学商学院;&lt;/_author_aff&gt;&lt;_collection_scope&gt;CSSCI-C&lt;/_collection_scope&gt;&lt;_created&gt;63267310&lt;/_created&gt;&lt;_date&gt;63221760&lt;/_date&gt;&lt;_db_provider&gt;CNKI: 期刊&lt;/_db_provider&gt;&lt;_db_updated&gt;CNKI - Reference&lt;/_db_updated&gt;&lt;_issue&gt;03&lt;/_issue&gt;&lt;_journal&gt;经济管理&lt;/_journal&gt;&lt;_keywords&gt;融券制度;内部人寻租;信息效应;竞争效应;产权性质&lt;/_keywords&gt;&lt;_modified&gt;63268338&lt;/_modified&gt;&lt;_pages&gt;166-191&lt;/_pages&gt;&lt;_url&gt;http://kns.cnki.net/KCMS/detail/detail.aspx?FileName=JJGU202003011&amp;amp;DbName=CJFQTEMP&lt;/_url&gt;&lt;_volume&gt;42&lt;/_volume&gt;&lt;_translated_author&gt;Zhang, Honghui;Ping, Fan;Zhang, Linyi&lt;/_translated_author&gt;&lt;/Details&gt;&lt;Extra&gt;&lt;DBUID&gt;{439358B4-FA18-4C63-A3A1-0E3BE4066E7A}&lt;/DBUID&gt;&lt;/Extra&gt;&lt;/Item&gt;&lt;/References&gt;&lt;/Group&gt;&lt;/Citation&gt;_x000a_"/>
    <w:docVar w:name="NE.Ref{751F6E9E-D24D-4626-B572-CED7DFF97970}" w:val=" ADDIN NE.Ref.{751F6E9E-D24D-4626-B572-CED7DFF97970}&lt;Citation SecTmpl=&quot;1&quot;&gt;&lt;Group&gt;&lt;References&gt;&lt;Item&gt;&lt;ID&gt;77&lt;/ID&gt;&lt;UID&gt;{49819DF8-0A94-4B03-93FC-1BA22A5BB940}&lt;/UID&gt;&lt;Title&gt;Tax avoidance: Does tax-specific industry expertise make a difference?&lt;/Title&gt;&lt;Template&gt;Journal Article&lt;/Template&gt;&lt;Star&gt;0&lt;/Star&gt;&lt;Tag&gt;0&lt;/Tag&gt;&lt;Author&gt;McGuire, Sean T; Omer, Thomas C; Wang, Dechun&lt;/Author&gt;&lt;Year&gt;2012&lt;/Year&gt;&lt;Details&gt;&lt;_alternate_title&gt;The Accounting Review&lt;/_alternate_title&gt;&lt;_created&gt;62649249&lt;/_created&gt;&lt;_date&gt;2012-01-01&lt;/_date&gt;&lt;_date_display&gt;2012&lt;/_date_display&gt;&lt;_impact_factor&gt;   4.562&lt;/_impact_factor&gt;&lt;_isbn&gt;0001-4826&lt;/_isbn&gt;&lt;_issue&gt;3&lt;/_issue&gt;&lt;_journal&gt;The Accounting Review&lt;/_journal&gt;&lt;_modified&gt;63228126&lt;/_modified&gt;&lt;_ori_publication&gt;American Accounting Association&lt;/_ori_publication&gt;&lt;_pages&gt;975-1003&lt;/_pages&gt;&lt;_volume&gt;87&lt;/_volume&gt;&lt;/Details&gt;&lt;Extra&gt;&lt;DBUID&gt;{E9F07991-3B72-4492-A7D8-86E559D9F8FE}&lt;/DBUID&gt;&lt;/Extra&gt;&lt;/Item&gt;&lt;/References&gt;&lt;/Group&gt;&lt;/Citation&gt;_x000a_"/>
    <w:docVar w:name="NE.Ref{7532BF76-F48B-43C9-BD80-262FAC660F2A}" w:val=" ADDIN NE.Ref.{7532BF76-F48B-43C9-BD80-262FAC660F2A}&lt;Citation&gt;&lt;Group&gt;&lt;References&gt;&lt;Item&gt;&lt;ID&gt;86&lt;/ID&gt;&lt;UID&gt;{3CD6102F-1F48-4D0E-B029-81887B709E47}&lt;/UID&gt;&lt;Title&gt;Corporate tax avoidance and high-powered incentives&lt;/Title&gt;&lt;Template&gt;Journal Article&lt;/Template&gt;&lt;Star&gt;0&lt;/Star&gt;&lt;Tag&gt;0&lt;/Tag&gt;&lt;Author&gt;Desai, Mihir A; Dharmapala, Dhammika&lt;/Author&gt;&lt;Year&gt;2006&lt;/Year&gt;&lt;Details&gt;&lt;_alternate_title&gt;Journal of Financial Economics&lt;/_alternate_title&gt;&lt;_collection_scope&gt;SSCI&lt;/_collection_scope&gt;&lt;_created&gt;63228696&lt;/_created&gt;&lt;_date&gt;2006-01-01&lt;/_date&gt;&lt;_date_display&gt;2006&lt;/_date_display&gt;&lt;_impact_factor&gt;   4.693&lt;/_impact_factor&gt;&lt;_isbn&gt;0304-405X&lt;/_isbn&gt;&lt;_issue&gt;1&lt;/_issue&gt;&lt;_journal&gt;Journal of Financial Economics&lt;/_journal&gt;&lt;_modified&gt;63228696&lt;/_modified&gt;&lt;_ori_publication&gt;Elsevier&lt;/_ori_publication&gt;&lt;_pages&gt;145-179&lt;/_pages&gt;&lt;_volume&gt;79&lt;/_volume&gt;&lt;/Details&gt;&lt;Extra&gt;&lt;DBUID&gt;{E9F07991-3B72-4492-A7D8-86E559D9F8FE}&lt;/DBUID&gt;&lt;/Extra&gt;&lt;/Item&gt;&lt;/References&gt;&lt;/Group&gt;&lt;/Citation&gt;_x000a_"/>
    <w:docVar w:name="NE.Ref{755D5302-C861-4ECB-BDC3-4D9924AFA5DC}" w:val=" ADDIN NE.Ref.{755D5302-C861-4ECB-BDC3-4D9924AFA5DC}&lt;Citation SecTmpl=&quot;1&quot;&gt;&lt;Group&gt;&lt;References&gt;&lt;Item&gt;&lt;ID&gt;38&lt;/ID&gt;&lt;UID&gt;{DE5487CB-7043-4510-A48F-5C542661EA12}&lt;/UID&gt;&lt;Title&gt;Does mandatory rotation of audit partners improve audit quality?&lt;/Title&gt;&lt;Template&gt;Journal Article&lt;/Template&gt;&lt;Star&gt;0&lt;/Star&gt;&lt;Tag&gt;0&lt;/Tag&gt;&lt;Author&gt;Lennox, Clive S; Wu, Xi; Zhang, Tianyu&lt;/Author&gt;&lt;Year&gt;2014&lt;/Year&gt;&lt;Details&gt;&lt;_alternate_title&gt;The accounting review&lt;/_alternate_title&gt;&lt;_created&gt;63224357&lt;/_created&gt;&lt;_date&gt;2014-01-01&lt;/_date&gt;&lt;_date_display&gt;2014&lt;/_date_display&gt;&lt;_isbn&gt;1558-7967&lt;/_isbn&gt;&lt;_issue&gt;5&lt;/_issue&gt;&lt;_journal&gt;The accounting review&lt;/_journal&gt;&lt;_modified&gt;63224357&lt;/_modified&gt;&lt;_ori_publication&gt;American Accounting Association&lt;/_ori_publication&gt;&lt;_pages&gt;1775-1803&lt;/_pages&gt;&lt;_volume&gt;89&lt;/_volume&gt;&lt;/Details&gt;&lt;Extra&gt;&lt;DBUID&gt;{E9F07991-3B72-4492-A7D8-86E559D9F8FE}&lt;/DBUID&gt;&lt;/Extra&gt;&lt;/Item&gt;&lt;/References&gt;&lt;/Group&gt;&lt;/Citation&gt;_x000a_"/>
    <w:docVar w:name="NE.Ref{7593F962-F464-4C07-9F99-E93FB97F37F9}" w:val=" ADDIN NE.Ref.{7593F962-F464-4C07-9F99-E93FB97F37F9}&lt;Citation&gt;&lt;Group&gt;&lt;References&gt;&lt;Item&gt;&lt;ID&gt;85&lt;/ID&gt;&lt;UID&gt;{C325AB56-6C49-4B35-BCEA-F2F21DD79E10}&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ccessed&gt;63295873&lt;/_accessed&gt;&lt;_collection_scope&gt;SSCI&lt;/_collection_scope&gt;&lt;_created&gt;63097440&lt;/_created&gt;&lt;_date&gt;62948160&lt;/_date&gt;&lt;_db_updated&gt;CrossRef&lt;/_db_updated&gt;&lt;_doi&gt;10.1111/1911-3846.12563&lt;/_doi&gt;&lt;_impact_factor&gt;   2.261&lt;/_impact_factor&gt;&lt;_journal&gt;Contemporary Accounting Research&lt;/_journal&gt;&lt;_modified&gt;63115988&lt;/_modified&gt;&lt;_tertiary_title&gt;Contemp Account Res&lt;/_tertiary_title&gt;&lt;_url&gt;http://doi.wiley.com/10.1111/1911-3846.12563_x000d__x000a_http://onlinelibrary.wiley.com/wol1/doi/10.1111/1911-3846.12563/fullpdf&lt;/_url&gt;&lt;/Details&gt;&lt;Extra&gt;&lt;DBUID&gt;{3537AC57-1DBB-4905-8F48-92A348A9E004}&lt;/DBUID&gt;&lt;/Extra&gt;&lt;/Item&gt;&lt;/References&gt;&lt;/Group&gt;&lt;/Citation&gt;_x000a_"/>
    <w:docVar w:name="NE.Ref{769715FD-2FDF-47AC-BE23-32EB59F7F5D6}" w:val=" ADDIN NE.Ref.{769715FD-2FDF-47AC-BE23-32EB59F7F5D6}&lt;Citation&gt;&lt;Group&gt;&lt;References&gt;&lt;Item&gt;&lt;ID&gt;60&lt;/ID&gt;&lt;UID&gt;{E4E765AF-C15F-4D3F-9DCB-94FE30A0E528}&lt;/UID&gt;&lt;Title&gt;Insider Profits, Cost of Trading, and Market Efficiency&lt;/Title&gt;&lt;Template&gt;Journal Article&lt;/Template&gt;&lt;Star&gt;0&lt;/Star&gt;&lt;Tag&gt;0&lt;/Tag&gt;&lt;Author&gt;Seyhun, H Nejat&lt;/Author&gt;&lt;Year&gt;1986&lt;/Year&gt;&lt;Details&gt;&lt;_accessed&gt;63285815&lt;/_accessed&gt;&lt;_collection_scope&gt;SSCI&lt;/_collection_scope&gt;&lt;_created&gt;63282816&lt;/_created&gt;&lt;_date&gt;1986-01-01&lt;/_date&gt;&lt;_date_display&gt;1986&lt;/_date_display&gt;&lt;_impact_factor&gt;   4.693&lt;/_impact_factor&gt;&lt;_issue&gt;2&lt;/_issue&gt;&lt;_journal&gt;Journal of Financial Economics&lt;/_journal&gt;&lt;_modified&gt;63285733&lt;/_modified&gt;&lt;_pages&gt;189-212&lt;/_pages&gt;&lt;_volume&gt;16&lt;/_volume&gt;&lt;/Details&gt;&lt;Extra&gt;&lt;DBUID&gt;{439358B4-FA18-4C63-A3A1-0E3BE4066E7A}&lt;/DBUID&gt;&lt;/Extra&gt;&lt;/Item&gt;&lt;/References&gt;&lt;/Group&gt;&lt;/Citation&gt;_x000a_"/>
    <w:docVar w:name="NE.Ref{769A7F9C-5422-44A3-AFF5-67B9D60048B4}" w:val=" ADDIN NE.Ref.{769A7F9C-5422-44A3-AFF5-67B9D60048B4}&lt;Citation SecTmpl=&quot;1&quot;&gt;&lt;Group&gt;&lt;References&gt;&lt;Item&gt;&lt;ID&gt;312&lt;/ID&gt;&lt;UID&gt;{0DBB21C3-866A-42FE-8EAA-AD542B4D9A11}&lt;/UID&gt;&lt;Title&gt;Labor unions and tax aggressiveness&lt;/Title&gt;&lt;Template&gt;Journal Article&lt;/Template&gt;&lt;Star&gt;0&lt;/Star&gt;&lt;Tag&gt;0&lt;/Tag&gt;&lt;Author&gt;Chyz, James A; Leung, Winnie Siu Ching; Li, Oliver Zhen; Rui, Oliver Meng&lt;/Author&gt;&lt;Year&gt;2013&lt;/Year&gt;&lt;Details&gt;&lt;_alternate_title&gt;Journal of Financial Economics&lt;/_alternate_title&gt;&lt;_collection_scope&gt;SSCI&lt;/_collection_scope&gt;&lt;_created&gt;63310162&lt;/_created&gt;&lt;_date&gt;2013-01-01&lt;/_date&gt;&lt;_date_display&gt;2013&lt;/_date_display&gt;&lt;_impact_factor&gt;   4.693&lt;/_impact_factor&gt;&lt;_isbn&gt;0304-405X&lt;/_isbn&gt;&lt;_issue&gt;3&lt;/_issue&gt;&lt;_journal&gt;Journal of Financial Economics&lt;/_journal&gt;&lt;_modified&gt;63310162&lt;/_modified&gt;&lt;_ori_publication&gt;Elsevier&lt;/_ori_publication&gt;&lt;_pages&gt;675-698&lt;/_pages&gt;&lt;_volume&gt;108&lt;/_volume&gt;&lt;/Details&gt;&lt;Extra&gt;&lt;DBUID&gt;{E9F07991-3B72-4492-A7D8-86E559D9F8FE}&lt;/DBUID&gt;&lt;/Extra&gt;&lt;/Item&gt;&lt;/References&gt;&lt;/Group&gt;&lt;/Citation&gt;_x000a_"/>
    <w:docVar w:name="NE.Ref{76F448C3-384F-4C05-85D4-ADB198D7C383}" w:val=" ADDIN NE.Ref.{76F448C3-384F-4C05-85D4-ADB198D7C383}&lt;Citation&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128816&lt;/_modified&gt;&lt;_ori_publication&gt;Elsevier&lt;/_ori_publication&gt;&lt;_pages&gt;21-40&lt;/_pages&gt;&lt;_volume&gt;65&lt;/_volume&gt;&lt;/Details&gt;&lt;Extra&gt;&lt;DBUID&gt;{E9F07991-3B72-4492-A7D8-86E559D9F8FE}&lt;/DBUID&gt;&lt;/Extra&gt;&lt;/Item&gt;&lt;/References&gt;&lt;/Group&gt;&lt;/Citation&gt;_x000a_"/>
    <w:docVar w:name="NE.Ref{775F292D-D9D9-4A44-BCE8-ED1DA8ADBC54}" w:val=" ADDIN NE.Ref.{775F292D-D9D9-4A44-BCE8-ED1DA8ADBC54}&lt;Citation&gt;&lt;Group&gt;&lt;References&gt;&lt;Item&gt;&lt;ID&gt;59&lt;/ID&gt;&lt;UID&gt;{A7CB6A54-C476-4355-A7DA-B8E1BB125B46}&lt;/UID&gt;&lt;Title&gt;The modern industrial revolution, exit, and the failure of internal control systems&lt;/Title&gt;&lt;Template&gt;Journal Article&lt;/Template&gt;&lt;Star&gt;0&lt;/Star&gt;&lt;Tag&gt;0&lt;/Tag&gt;&lt;Author&gt;Jensen, Michael C&lt;/Author&gt;&lt;Year&gt;1993&lt;/Year&gt;&lt;Details&gt;&lt;_alternate_title&gt;the Journal of Finance&lt;/_alternate_title&gt;&lt;_created&gt;63225542&lt;/_created&gt;&lt;_date&gt;1993-01-01&lt;/_date&gt;&lt;_date_display&gt;1993&lt;/_date_display&gt;&lt;_impact_factor&gt;   6.201&lt;/_impact_factor&gt;&lt;_isbn&gt;0022-1082&lt;/_isbn&gt;&lt;_issue&gt;3&lt;/_issue&gt;&lt;_journal&gt;the Journal of Finance&lt;/_journal&gt;&lt;_modified&gt;63225542&lt;/_modified&gt;&lt;_ori_publication&gt;Wiley Online Library&lt;/_ori_publication&gt;&lt;_pages&gt;831-880&lt;/_pages&gt;&lt;_volume&gt;48&lt;/_volume&gt;&lt;/Details&gt;&lt;Extra&gt;&lt;DBUID&gt;{E9F07991-3B72-4492-A7D8-86E559D9F8FE}&lt;/DBUID&gt;&lt;/Extra&gt;&lt;/Item&gt;&lt;/References&gt;&lt;/Group&gt;&lt;/Citation&gt;_x000a_"/>
    <w:docVar w:name="NE.Ref{77AFCB0E-087F-495E-B88D-CD1509813D71}" w:val=" ADDIN NE.Ref.{77AFCB0E-087F-495E-B88D-CD1509813D71}&lt;Citation&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Group&gt;&lt;References&gt;&lt;Item&gt;&lt;ID&gt;40&lt;/ID&gt;&lt;UID&gt;{60B34034-051D-4D7D-855C-EA6914FF17E0}&lt;/UID&gt;&lt;Title&gt;审计投入的产出效应&lt;/Title&gt;&lt;Template&gt;Journal Article&lt;/Template&gt;&lt;Star&gt;0&lt;/Star&gt;&lt;Tag&gt;0&lt;/Tag&gt;&lt;Author&gt;李伟; 韩晓梅; 吴联生&lt;/Author&gt;&lt;Year&gt;2018&lt;/Year&gt;&lt;Details&gt;&lt;_accessed&gt;62469353&lt;/_accessed&gt;&lt;_author_adr&gt;北京第二外国语学院国际商学院 100026; 南京理工大学经济管理学院 210094; 北京大学光华管理学院 100871&lt;/_author_adr&gt;&lt;_author_aff&gt;北京第二外国语学院国际商学院 100026; 南京理工大学经济管理学院 210094; 北京大学光华管理学院 100871&lt;/_author_aff&gt;&lt;_collection_scope&gt;CSSCI;中文核心期刊;&lt;/_collection_scope&gt;&lt;_created&gt;62469353&lt;/_created&gt;&lt;_db_provider&gt;北京万方数据股份有限公司&lt;/_db_provider&gt;&lt;_db_updated&gt;Wanfangdata&lt;/_db_updated&gt;&lt;_isbn&gt;1003-2886&lt;/_isbn&gt;&lt;_issue&gt;3&lt;/_issue&gt;&lt;_journal&gt;会计研究&lt;/_journal&gt;&lt;_keywords&gt;审计投入; 审计质量; 审计收费&lt;/_keywords&gt;&lt;_language&gt;chi&lt;/_language&gt;&lt;_modified&gt;63224410&lt;/_modified&gt;&lt;_pages&gt;71-77&lt;/_pages&gt;&lt;_tertiary_title&gt;Accounting Research&lt;/_tertiary_title&gt;&lt;_translated_title&gt;The Input-Output Effect of Audit Services&lt;/_translated_title&gt;&lt;_url&gt;http://www.wanfangdata.com.cn/details/detail.do?_type=perio&amp;amp;id=kjyj201803010&lt;/_url&gt;&lt;_translated_author&gt;Li, Wei;Han, Xiaomei;Wu, Liansheng&lt;/_translated_author&gt;&lt;/Details&gt;&lt;Extra&gt;&lt;DBUID&gt;{E9F07991-3B72-4492-A7D8-86E559D9F8FE}&lt;/DBUID&gt;&lt;/Extra&gt;&lt;/Item&gt;&lt;/References&gt;&lt;/Group&gt;&lt;Group&gt;&lt;References&gt;&lt;Item&gt;&lt;ID&gt;41&lt;/ID&gt;&lt;UID&gt;{4F22A9C0-FFD6-472E-B8F9-BE9FBA888ABF}&lt;/UID&gt;&lt;Title&gt;Evidence of Industry Scale Effects on Audit Hours, Billing Rates, and Pricing&lt;/Title&gt;&lt;Template&gt;Journal Article&lt;/Template&gt;&lt;Star&gt;0&lt;/Star&gt;&lt;Tag&gt;0&lt;/Tag&gt;&lt;Author&gt;Dekeyser, Simon; Gaeremynck, Ann; Willekens, Marleen&lt;/Author&gt;&lt;Year&gt;2019&lt;/Year&gt;&lt;Details&gt;&lt;_accessed&gt;62979693&lt;/_accessed&gt;&lt;_alternate_title&gt;Contemporary Accounting Research&lt;/_alternate_title&gt;&lt;_collection_scope&gt;SSCI&lt;/_collection_scope&gt;&lt;_created&gt;62937145&lt;/_created&gt;&lt;_date&gt;2019-01-01&lt;/_date&gt;&lt;_date_display&gt;2019&lt;/_date_display&gt;&lt;_impact_factor&gt;   2.261&lt;/_impact_factor&gt;&lt;_isbn&gt;0823-9150&lt;/_isbn&gt;&lt;_journal&gt;Contemporary Accounting Research&lt;/_journal&gt;&lt;_modified&gt;63224410&lt;/_modified&gt;&lt;_ori_publication&gt;Wiley Online Library&lt;/_ori_publication&gt;&lt;/Details&gt;&lt;Extra&gt;&lt;DBUID&gt;{E9F07991-3B72-4492-A7D8-86E559D9F8FE}&lt;/DBUID&gt;&lt;/Extra&gt;&lt;/Item&gt;&lt;/References&gt;&lt;/Group&gt;&lt;/Citation&gt;_x000a_"/>
    <w:docVar w:name="NE.Ref{77EDB1E2-12AF-4668-B7C0-28F9BD7F93CD}" w:val=" ADDIN NE.Ref.{77EDB1E2-12AF-4668-B7C0-28F9BD7F93CD}&lt;Citation SecTmpl=&quot;1&quot;&gt;&lt;Group&gt;&lt;References&gt;&lt;Item&gt;&lt;ID&gt;171&lt;/ID&gt;&lt;UID&gt;{393CCA84-04BC-445C-966C-9C0C25231B6D}&lt;/UID&gt;&lt;Title&gt;公司避税影响审计定价吗?&lt;/Title&gt;&lt;Template&gt;Journal Article&lt;/Template&gt;&lt;Star&gt;0&lt;/Star&gt;&lt;Tag&gt;0&lt;/Tag&gt;&lt;Author&gt;陈冬; 罗祎&lt;/Author&gt;&lt;Year&gt;2015&lt;/Year&gt;&lt;Details&gt;&lt;_accessed&gt;62053453&lt;/_accessed&gt;&lt;_author_aff&gt;武汉大学经济与管理学院;&lt;/_author_aff&gt;&lt;_collection_scope&gt;CSSCI;中文核心期刊;&lt;/_collection_scope&gt;&lt;_created&gt;61697769&lt;/_created&gt;&lt;_date&gt;60589440&lt;/_date&gt;&lt;_db_provider&gt;CNKI: 期刊&lt;/_db_provider&gt;&lt;_db_updated&gt;CNKI - Reference&lt;/_db_updated&gt;&lt;_issue&gt;03&lt;/_issue&gt;&lt;_journal&gt;经济管理&lt;/_journal&gt;&lt;_keywords&gt;公司避税;审计定价;企业性质;审计师行业专长;法律环境&lt;/_keywords&gt;&lt;_language&gt;Chinese&lt;/_language&gt;&lt;_modified&gt;63295788&lt;/_modified&gt;&lt;_pages&gt;98-109&lt;/_pages&gt;&lt;_url&gt;http://www.cnki.net/KCMS/detail/detail.aspx?FileName=JJGU201503013&amp;amp;DbName=CJFQ2015&lt;/_url&gt;&lt;_translated_author&gt;Chen, Dong;Luo, Yi&lt;/_translated_author&gt;&lt;/Details&gt;&lt;Extra&gt;&lt;DBUID&gt;{E9F07991-3B72-4492-A7D8-86E559D9F8FE}&lt;/DBUID&gt;&lt;/Extra&gt;&lt;/Item&gt;&lt;/References&gt;&lt;/Group&gt;&lt;/Citation&gt;_x000a_"/>
    <w:docVar w:name="NE.Ref{7862C287-7AC3-466D-A978-0CF5512F4416}" w:val=" ADDIN NE.Ref.{7862C287-7AC3-466D-A978-0CF5512F4416}&lt;Citation SecTmpl=&quot;1&quot;&gt;&lt;Group&gt;&lt;References&gt;&lt;Item&gt;&lt;ID&gt;286&lt;/ID&gt;&lt;UID&gt;{C9A5794E-E61E-4D6E-B4F0-36E11F92F0AF}&lt;/UID&gt;&lt;Title&gt;Corporate tax avoidance and firm value&lt;/Title&gt;&lt;Template&gt;Journal Article&lt;/Template&gt;&lt;Star&gt;0&lt;/Star&gt;&lt;Tag&gt;0&lt;/Tag&gt;&lt;Author&gt;Desai, Mihir A; Dharmapala, Dhammika&lt;/Author&gt;&lt;Year&gt;2009&lt;/Year&gt;&lt;Details&gt;&lt;_accessed&gt;63309308&lt;/_accessed&gt;&lt;_alternate_title&gt;The review of Economics and Statistics&lt;/_alternate_title&gt;&lt;_created&gt;63307372&lt;/_created&gt;&lt;_date&gt;2009-01-01&lt;/_date&gt;&lt;_date_display&gt;2009&lt;/_date_display&gt;&lt;_impact_factor&gt;   3.636&lt;/_impact_factor&gt;&lt;_isbn&gt;0034-6535&lt;/_isbn&gt;&lt;_issue&gt;3&lt;/_issue&gt;&lt;_journal&gt;The review of Economics and Statistics&lt;/_journal&gt;&lt;_modified&gt;63309308&lt;/_modified&gt;&lt;_ori_publication&gt;MIT Press&lt;/_ori_publication&gt;&lt;_pages&gt;537-546&lt;/_pages&gt;&lt;_volume&gt;91&lt;/_volume&gt;&lt;/Details&gt;&lt;Extra&gt;&lt;DBUID&gt;{E9F07991-3B72-4492-A7D8-86E559D9F8FE}&lt;/DBUID&gt;&lt;/Extra&gt;&lt;/Item&gt;&lt;/References&gt;&lt;/Group&gt;&lt;/Citation&gt;_x000a_"/>
    <w:docVar w:name="NE.Ref{794A8659-8172-457F-8B14-2C039CF31434}" w:val=" ADDIN NE.Ref.{794A8659-8172-457F-8B14-2C039CF31434}&lt;Citation SecTmpl=&quot;1&quot;&gt;&lt;Group&gt;&lt;References&gt;&lt;Item&gt;&lt;ID&gt;3&lt;/ID&gt;&lt;UID&gt;{C3914F4D-9389-440B-BD3F-29EF2F47AA29}&lt;/UID&gt;&lt;Title&gt;分析师跟踪、股权结构与内部人交易收益&lt;/Title&gt;&lt;Template&gt;Journal Article&lt;/Template&gt;&lt;Star&gt;0&lt;/Star&gt;&lt;Tag&gt;0&lt;/Tag&gt;&lt;Author&gt;李琳; 张敦力&lt;/Author&gt;&lt;Year&gt;2017&lt;/Year&gt;&lt;Details&gt;&lt;_accessed&gt;63098524&lt;/_accessed&gt;&lt;_author_aff&gt;中南财经政法大学财税学院;中南财经政法大学会计学院;&lt;/_author_aff&gt;&lt;_collection_scope&gt;CSSCI-C;PKU&lt;/_collection_scope&gt;&lt;_created&gt;63097439&lt;/_created&gt;&lt;_date&gt;61557120&lt;/_date&gt;&lt;_db_provider&gt;CNKI: 期刊&lt;/_db_provider&gt;&lt;_db_updated&gt;CNKI - Reference&lt;/_db_updated&gt;&lt;_issue&gt;01&lt;/_issue&gt;&lt;_journal&gt;会计研究&lt;/_journal&gt;&lt;_keywords&gt;内部人交易;分析师跟踪;国有控股;机构投资者&lt;/_keywords&gt;&lt;_language&gt;Chinese&lt;/_language&gt;&lt;_modified&gt;63098524&lt;/_modified&gt;&lt;_pages&gt;53-60+96&lt;/_pages&gt;&lt;_url&gt;http://kns.cnki.net/KCMS/detail/detail.aspx?FileName=KJYJ201701008&amp;amp;DbName=CJFQ2017&lt;/_url&gt;&lt;_translated_author&gt;Li, Lin;Zhang, Dunli&lt;/_translated_author&gt;&lt;/Details&gt;&lt;Extra&gt;&lt;DBUID&gt;{439358B4-FA18-4C63-A3A1-0E3BE4066E7A}&lt;/DBUID&gt;&lt;/Extra&gt;&lt;/Item&gt;&lt;/References&gt;&lt;/Group&gt;&lt;/Citation&gt;_x000a_"/>
    <w:docVar w:name="NE.Ref{795E7000-ACAF-4937-8F68-F99ADB39E5C1}" w:val=" ADDIN NE.Ref.{795E7000-ACAF-4937-8F68-F99ADB39E5C1}&lt;Citation SecTmpl=&quot;1&quot;&gt;&lt;Group&gt;&lt;References&gt;&lt;Item&gt;&lt;ID&gt;56&lt;/ID&gt;&lt;UID&gt;{3D17E27D-9B13-483A-8ACB-6A5C0827D44F}&lt;/UID&gt;&lt;Title&gt;Internal control over financial reporting and managerial rent extraction: Evidence from the profitability of insider trading&lt;/Title&gt;&lt;Template&gt;Journal Article&lt;/Template&gt;&lt;Star&gt;0&lt;/Star&gt;&lt;Tag&gt;0&lt;/Tag&gt;&lt;Author&gt;Skaife, Hollis A; Veenman, David; Wangerin, Daniel&lt;/Author&gt;&lt;Year&gt;2013&lt;/Year&gt;&lt;Details&gt;&lt;_accessed&gt;63272859&lt;/_accessed&gt;&lt;_created&gt;63272859&lt;/_created&gt;&lt;_db_updated&gt;CrossRef&lt;/_db_updated&gt;&lt;_doi&gt;10.1016/j.jacceco.2012.07.005&lt;/_doi&gt;&lt;_impact_factor&gt;   3.753&lt;/_impact_factor&gt;&lt;_isbn&gt;01654101&lt;/_isbn&gt;&lt;_issue&gt;1&lt;/_issue&gt;&lt;_journal&gt;Journal of Accounting and Economics&lt;/_journal&gt;&lt;_modified&gt;63272859&lt;/_modified&gt;&lt;_pages&gt;91-110&lt;/_pages&gt;&lt;_tertiary_title&gt;Journal of Accounting and Economics&lt;/_tertiary_title&gt;&lt;_url&gt;https://linkinghub.elsevier.com/retrieve/pii/S0165410112000584_x000d__x000a_https://api.elsevier.com/content/article/PII:S0165410112000584?httpAccept=text/xml&lt;/_url&gt;&lt;_volume&gt;55&lt;/_volume&gt;&lt;/Details&gt;&lt;Extra&gt;&lt;DBUID&gt;{439358B4-FA18-4C63-A3A1-0E3BE4066E7A}&lt;/DBUID&gt;&lt;/Extra&gt;&lt;/Item&gt;&lt;/References&gt;&lt;/Group&gt;&lt;/Citation&gt;_x000a_"/>
    <w:docVar w:name="NE.Ref{7A342D2A-6039-4F32-A12A-004BC6F9A88B}" w:val=" ADDIN NE.Ref.{7A342D2A-6039-4F32-A12A-004BC6F9A88B}&lt;Citation SecTmpl=&quot;1&quot;&gt;&lt;Group&gt;&lt;References&gt;&lt;Item&gt;&lt;ID&gt;117&lt;/ID&gt;&lt;UID&gt;{628A2991-91D8-40F4-A85D-1829C08336C6}&lt;/UID&gt;&lt;Title&gt;独立董事与审计师出自同门是&amp;quot;祸&amp;quot;还是&amp;quot;福&amp;quot;?——独立性与竞争—合作关系之公司治理效应研究&lt;/Title&gt;&lt;Template&gt;Journal Article&lt;/Template&gt;&lt;Star&gt;0&lt;/Star&gt;&lt;Tag&gt;0&lt;/Tag&gt;&lt;Author&gt;吴溪; 王春飞; 陆正飞&lt;/Author&gt;&lt;Year&gt;2015&lt;/Year&gt;&lt;Details&gt;&lt;_collection_scope&gt;CSSCI;中文核心期刊;&lt;/_collection_scope&gt;&lt;_created&gt;62286447&lt;/_created&gt;&lt;_issue&gt;9&lt;/_issue&gt;&lt;_journal&gt;管理世界&lt;/_journal&gt;&lt;_modified&gt;62531134&lt;/_modified&gt;&lt;_pages&gt;137-146&lt;/_pages&gt;&lt;_translated_author&gt;Wu, Xi;Wang, Chunfei;Lu, Zhengfei&lt;/_translated_author&gt;&lt;/Details&gt;&lt;Extra&gt;&lt;DBUID&gt;{F39B7CD6-A564-402D-BAB5-A18B512BF6EE}&lt;/DBUID&gt;&lt;/Extra&gt;&lt;/Item&gt;&lt;/References&gt;&lt;/Group&gt;&lt;/Citation&gt;_x000a_"/>
    <w:docVar w:name="NE.Ref{7C817D1C-F56F-4079-86A1-ECDFA3C5A3F6}" w:val=" ADDIN NE.Ref.{7C817D1C-F56F-4079-86A1-ECDFA3C5A3F6}&lt;Citation&gt;&lt;Group&gt;&lt;References&gt;&lt;Item&gt;&lt;ID&gt;56&lt;/ID&gt;&lt;UID&gt;{B3755D7A-FEE3-4576-B7DC-DD00123D78FF}&lt;/UID&gt;&lt;Title&gt;Multiple regression: Testing and interpreting interactions&lt;/Title&gt;&lt;Template&gt;Book&lt;/Template&gt;&lt;Star&gt;0&lt;/Star&gt;&lt;Tag&gt;0&lt;/Tag&gt;&lt;Author&gt;Aiken, Leona S; West, Stephen G; Reno, Raymond R&lt;/Author&gt;&lt;Year&gt;1991&lt;/Year&gt;&lt;Details&gt;&lt;_created&gt;63225224&lt;/_created&gt;&lt;_isbn&gt;0761907122&lt;/_isbn&gt;&lt;_modified&gt;63225224&lt;/_modified&gt;&lt;_publisher&gt;Sage&lt;/_publisher&gt;&lt;/Details&gt;&lt;Extra&gt;&lt;DBUID&gt;{E9F07991-3B72-4492-A7D8-86E559D9F8FE}&lt;/DBUID&gt;&lt;/Extra&gt;&lt;/Item&gt;&lt;/References&gt;&lt;/Group&gt;&lt;/Citation&gt;_x000a_"/>
    <w:docVar w:name="NE.Ref{7CA1E713-7C5C-4ACC-AEE6-7C26524E5799}" w:val=" ADDIN NE.Ref.{7CA1E713-7C5C-4ACC-AEE6-7C26524E5799}&lt;Citation SecTmpl=&quot;1&quot;&gt;&lt;Group&gt;&lt;References&gt;&lt;Item&gt;&lt;ID&gt;33&lt;/ID&gt;&lt;UID&gt;{A424B895-0CA1-444A-9C4E-3ECAAC57D6AA}&lt;/UID&gt;&lt;Title&gt;Big Five audits and accounting fraud&lt;/Title&gt;&lt;Template&gt;Journal Article&lt;/Template&gt;&lt;Star&gt;0&lt;/Star&gt;&lt;Tag&gt;0&lt;/Tag&gt;&lt;Author&gt;Lennox, Clive; Pittman, Jeffrey A&lt;/Author&gt;&lt;Year&gt;2010&lt;/Year&gt;&lt;Details&gt;&lt;_alternate_title&gt;Contemporary Accounting Research&lt;/_alternate_title&gt;&lt;_collection_scope&gt;SSCI&lt;/_collection_scope&gt;&lt;_created&gt;63219583&lt;/_created&gt;&lt;_date&gt;2010-01-01&lt;/_date&gt;&lt;_date_display&gt;2010&lt;/_date_display&gt;&lt;_impact_factor&gt;   2.261&lt;/_impact_factor&gt;&lt;_isbn&gt;0823-9150&lt;/_isbn&gt;&lt;_issue&gt;1&lt;/_issue&gt;&lt;_journal&gt;Contemporary Accounting Research&lt;/_journal&gt;&lt;_modified&gt;63219583&lt;/_modified&gt;&lt;_ori_publication&gt;Wiley Online Library&lt;/_ori_publication&gt;&lt;_pages&gt;209-247&lt;/_pages&gt;&lt;_volume&gt;27&lt;/_volume&gt;&lt;/Details&gt;&lt;Extra&gt;&lt;DBUID&gt;{E9F07991-3B72-4492-A7D8-86E559D9F8FE}&lt;/DBUID&gt;&lt;/Extra&gt;&lt;/Item&gt;&lt;/References&gt;&lt;/Group&gt;&lt;/Citation&gt;_x000a_"/>
    <w:docVar w:name="NE.Ref{7CCA8B20-D531-40DA-BE9C-0A85398AFCFF}" w:val=" ADDIN NE.Ref.{7CCA8B20-D531-40DA-BE9C-0A85398AFCFF}&lt;Citation SecTmpl=&quot;1&quot;&gt;&lt;Group&gt;&lt;References&gt;&lt;Item&gt;&lt;ID&gt;84&lt;/ID&gt;&lt;UID&gt;{D41E5799-874B-4E3F-972B-0B62BF789694}&lt;/UID&gt;&lt;Title&gt;Do practitioner assessments agree with academic proxies for audit quality? Evidence from PCAOB and internal inspections&lt;/Title&gt;&lt;Template&gt;Journal Article&lt;/Template&gt;&lt;Star&gt;0&lt;/Star&gt;&lt;Tag&gt;0&lt;/Tag&gt;&lt;Author&gt;Aobdia, Daniel&lt;/Author&gt;&lt;Year&gt;2019&lt;/Year&gt;&lt;Details&gt;&lt;_accessed&gt;63300802&lt;/_accessed&gt;&lt;_created&gt;63300802&lt;/_created&gt;&lt;_db_updated&gt;CrossRef&lt;/_db_updated&gt;&lt;_doi&gt;10.1016/j.jacceco.2018.09.001&lt;/_doi&gt;&lt;_impact_factor&gt;   3.753&lt;/_impact_factor&gt;&lt;_isbn&gt;01654101&lt;/_isbn&gt;&lt;_issue&gt;1&lt;/_issue&gt;&lt;_journal&gt;Journal of Accounting and Economics&lt;/_journal&gt;&lt;_modified&gt;63300802&lt;/_modified&gt;&lt;_pages&gt;144-174&lt;/_pages&gt;&lt;_tertiary_title&gt;Journal of Accounting and Economics&lt;/_tertiary_title&gt;&lt;_url&gt;https://linkinghub.elsevier.com/retrieve/pii/S016541011830106X_x000d__x000a_https://api.elsevier.com/content/article/PII:S016541011830106X?httpAccept=text/xml&lt;/_url&gt;&lt;_volume&gt;67&lt;/_volume&gt;&lt;/Details&gt;&lt;Extra&gt;&lt;DBUID&gt;{D2579611-BF89-4C7B-83D9-BE1288535D97}&lt;/DBUID&gt;&lt;/Extra&gt;&lt;/Item&gt;&lt;/References&gt;&lt;/Group&gt;&lt;/Citation&gt;_x000a_"/>
    <w:docVar w:name="NE.Ref{7CFB4EB6-A7FC-4680-8DE2-35A1C63A0F6F}" w:val=" ADDIN NE.Ref.{7CFB4EB6-A7FC-4680-8DE2-35A1C63A0F6F}&lt;Citation SecTmpl=&quot;1&quot;&gt;&lt;Group&gt;&lt;References&gt;&lt;Item&gt;&lt;ID&gt;80&lt;/ID&gt;&lt;UID&gt;{5C9767C4-EDE7-4C7F-99C1-11350DAD7A91}&lt;/UID&gt;&lt;Title&gt;The role of auditors, non-auditors, and internal tax departments in corporate tax aggressiveness&lt;/Title&gt;&lt;Template&gt;Journal Article&lt;/Template&gt;&lt;Star&gt;0&lt;/Star&gt;&lt;Tag&gt;0&lt;/Tag&gt;&lt;Author&gt;Klassen, Kenneth J; Lisowsky, Petro; Mescall, Devan&lt;/Author&gt;&lt;Year&gt;2015&lt;/Year&gt;&lt;Details&gt;&lt;_alternate_title&gt;The Accounting Review&lt;/_alternate_title&gt;&lt;_created&gt;62649258&lt;/_created&gt;&lt;_date&gt;2015-01-01&lt;/_date&gt;&lt;_date_display&gt;2015&lt;/_date_display&gt;&lt;_isbn&gt;1558-7967&lt;/_isbn&gt;&lt;_issue&gt;1&lt;/_issue&gt;&lt;_journal&gt;The Accounting Review&lt;/_journal&gt;&lt;_modified&gt;63228167&lt;/_modified&gt;&lt;_ori_publication&gt;American Accounting Association&lt;/_ori_publication&gt;&lt;_pages&gt;179-205&lt;/_pages&gt;&lt;_volume&gt;91&lt;/_volume&gt;&lt;/Details&gt;&lt;Extra&gt;&lt;DBUID&gt;{E9F07991-3B72-4492-A7D8-86E559D9F8FE}&lt;/DBUID&gt;&lt;/Extra&gt;&lt;/Item&gt;&lt;/References&gt;&lt;/Group&gt;&lt;/Citation&gt;_x000a_"/>
    <w:docVar w:name="NE.Ref{7D82DA55-1610-40C6-8729-BAB898BF4946}" w:val=" ADDIN NE.Ref.{7D82DA55-1610-40C6-8729-BAB898BF4946}&lt;Citation SecTmpl=&quot;1&quot;&gt;&lt;Group&gt;&lt;References&gt;&lt;Item&gt;&lt;ID&gt;23&lt;/ID&gt;&lt;UID&gt;{4F4E1E94-A5E7-464D-AD29-49D6DE7DA601}&lt;/UID&gt;&lt;Title&gt;上市公司高管违规短线交易行为研究&lt;/Title&gt;&lt;Template&gt;Journal Article&lt;/Template&gt;&lt;Star&gt;0&lt;/Star&gt;&lt;Tag&gt;0&lt;/Tag&gt;&lt;Author&gt;曾亚敏; 张俊生&lt;/Author&gt;&lt;Year&gt;2009&lt;/Year&gt;&lt;Details&gt;&lt;_accessed&gt;63267311&lt;/_accessed&gt;&lt;_author_aff&gt;南开大学商学院会计系;中央财经大学会计学院;&lt;/_author_aff&gt;&lt;_collection_scope&gt;CSSCI-C&lt;/_collection_scope&gt;&lt;_created&gt;63267311&lt;/_created&gt;&lt;_date&gt;57801600&lt;/_date&gt;&lt;_db_provider&gt;CNKI: 期刊&lt;/_db_provider&gt;&lt;_db_updated&gt;CNKI - Reference&lt;/_db_updated&gt;&lt;_issue&gt;11&lt;/_issue&gt;&lt;_journal&gt;金融研究&lt;/_journal&gt;&lt;_keywords&gt;内部人交易;短线交易;择时&lt;/_keywords&gt;&lt;_language&gt;Chinese&lt;/_language&gt;&lt;_modified&gt;63267311&lt;/_modified&gt;&lt;_pages&gt;143-157&lt;/_pages&gt;&lt;_url&gt;http://kns.cnki.net/KCMS/detail/detail.aspx?FileName=JRYJ200911012&amp;amp;DbName=CJFQ2009&lt;/_url&gt;&lt;_translated_author&gt;Ceng, Yamin;Zhang, Junsheng&lt;/_translated_author&gt;&lt;/Details&gt;&lt;Extra&gt;&lt;DBUID&gt;{439358B4-FA18-4C63-A3A1-0E3BE4066E7A}&lt;/DBUID&gt;&lt;/Extra&gt;&lt;/Item&gt;&lt;/References&gt;&lt;/Group&gt;&lt;/Citation&gt;_x000a_"/>
    <w:docVar w:name="NE.Ref{7DB3E908-5CAB-4D7F-8A21-7912A09FC5AE}" w:val=" ADDIN NE.Ref.{7DB3E908-5CAB-4D7F-8A21-7912A09FC5AE}&lt;Citation SecTmpl=&quot;1&quot;&gt;&lt;Group&gt;&lt;References&gt;&lt;Item&gt;&lt;ID&gt;129&lt;/ID&gt;&lt;UID&gt;{E07C49E0-919A-4B4B-9E58-500099B8890F}&lt;/UID&gt;&lt;Title&gt;大股东资金占用与审计师选择的再检验&lt;/Title&gt;&lt;Template&gt;Journal Article&lt;/Template&gt;&lt;Star&gt;0&lt;/Star&gt;&lt;Tag&gt;0&lt;/Tag&gt;&lt;Author&gt;高强; 伍利娜&lt;/Author&gt;&lt;Year&gt;2007&lt;/Year&gt;&lt;Details&gt;&lt;_accessed&gt;63241053&lt;/_accessed&gt;&lt;_author_aff&gt;财政部人事教育司;北京大学光华管理学院;&lt;/_author_aff&gt;&lt;_collection_scope&gt;CSSCI-C;PKU&lt;/_collection_scope&gt;&lt;_created&gt;63241052&lt;/_created&gt;&lt;_date&gt;56665440&lt;/_date&gt;&lt;_db_provider&gt;CNKI: 期刊&lt;/_db_provider&gt;&lt;_db_updated&gt;CNKI - Reference&lt;/_db_updated&gt;&lt;_issue&gt;05&lt;/_issue&gt;&lt;_journal&gt;审计研究&lt;/_journal&gt;&lt;_keywords&gt;大股东资金占用;审计;代理理论&lt;/_keywords&gt;&lt;_language&gt;Chinese&lt;/_language&gt;&lt;_modified&gt;63241053&lt;/_modified&gt;&lt;_pages&gt;84-90&lt;/_pages&gt;&lt;_url&gt;http://kns.cnki.net/KCMS/detail/detail.aspx?FileName=SJYZ200705020&amp;amp;DbName=CJFQ2007&lt;/_url&gt;&lt;_translated_author&gt;Gao, Qiang;Wu, Lina&lt;/_translated_author&gt;&lt;/Details&gt;&lt;Extra&gt;&lt;DBUID&gt;{E9F07991-3B72-4492-A7D8-86E559D9F8FE}&lt;/DBUID&gt;&lt;/Extra&gt;&lt;/Item&gt;&lt;/References&gt;&lt;/Group&gt;&lt;/Citation&gt;_x000a_"/>
    <w:docVar w:name="NE.Ref{7E8539F1-CB7E-4FFD-9A50-6A3252E8BBAC}" w:val=" ADDIN NE.Ref.{7E8539F1-CB7E-4FFD-9A50-6A3252E8BBAC}&lt;Citation SecTmpl=&quot;1&quot;&gt;&lt;Group&gt;&lt;References&gt;&lt;Item&gt;&lt;ID&gt;81&lt;/ID&gt;&lt;UID&gt;{6D78AC12-FB5E-4317-BAB6-D16592E9D043}&lt;/UID&gt;&lt;Title&gt;税收激进行为的外溢效应——来自共同审计师的证据&lt;/Title&gt;&lt;Template&gt;Journal Article&lt;/Template&gt;&lt;Star&gt;0&lt;/Star&gt;&lt;Tag&gt;0&lt;/Tag&gt;&lt;Author&gt;曾姝; 李青原&lt;/Author&gt;&lt;Year&gt;2016&lt;/Year&gt;&lt;Details&gt;&lt;_accessed&gt;61697771&lt;/_accessed&gt;&lt;_author_adr&gt;武汉大学经济与管理学院 430072&lt;/_author_adr&gt;&lt;_author_aff&gt;武汉大学经济与管理学院 430072&lt;/_author_aff&gt;&lt;_collection_scope&gt;CSSCI;中文核心期刊;&lt;/_collection_scope&gt;&lt;_created&gt;61697771&lt;/_created&gt;&lt;_db_provider&gt;北京万方数据股份有限公司&lt;/_db_provider&gt;&lt;_db_updated&gt;Wanfangdata&lt;/_db_updated&gt;&lt;_doi&gt;10.3969/j.issn.1003-2886.2016.06.010&lt;/_doi&gt;&lt;_isbn&gt;1003-2886&lt;/_isbn&gt;&lt;_issue&gt;6&lt;/_issue&gt;&lt;_journal&gt;会计研究&lt;/_journal&gt;&lt;_keywords&gt;共同审计师; 税收激进; 外溢效应; 代理问题&lt;/_keywords&gt;&lt;_language&gt;chi&lt;/_language&gt;&lt;_modified&gt;63228170&lt;/_modified&gt;&lt;_pages&gt;70-76&lt;/_pages&gt;&lt;_tertiary_title&gt;Accounting Research&lt;/_tertiary_title&gt;&lt;_url&gt;http://d.g.wanfangdata.com.cn/Periodical_kjyj201606010.aspx&lt;/_url&gt;&lt;_translated_author&gt;Ceng, Shu;Li, Qingyuan&lt;/_translated_author&gt;&lt;/Details&gt;&lt;Extra&gt;&lt;DBUID&gt;{E9F07991-3B72-4492-A7D8-86E559D9F8FE}&lt;/DBUID&gt;&lt;/Extra&gt;&lt;/Item&gt;&lt;/References&gt;&lt;/Group&gt;&lt;/Citation&gt;_x000a_"/>
    <w:docVar w:name="NE.Ref{7EA286BF-EFCE-4093-BD48-189A63D9B50A}" w:val=" ADDIN NE.Ref.{7EA286BF-EFCE-4093-BD48-189A63D9B50A}&lt;Citation SecTmpl=&quot;1&quot;&gt;&lt;Group&gt;&lt;References&gt;&lt;Item&gt;&lt;ID&gt;68&lt;/ID&gt;&lt;UID&gt;{E528221B-0A33-426A-B120-48BE03C617FB}&lt;/UID&gt;&lt;Title&gt;Do insider trading laws matter? Some preliminary comparative evidence&lt;/Title&gt;&lt;Template&gt;Journal Article&lt;/Template&gt;&lt;Star&gt;0&lt;/Star&gt;&lt;Tag&gt;0&lt;/Tag&gt;&lt;Author&gt;Beny, Laura Nyantung&lt;/Author&gt;&lt;Year&gt;2005&lt;/Year&gt;&lt;Details&gt;&lt;_alternate_title&gt;American Law and Economics Review&lt;/_alternate_title&gt;&lt;_collection_scope&gt;SSCI&lt;/_collection_scope&gt;&lt;_created&gt;63285830&lt;/_created&gt;&lt;_date&gt;2005-01-01&lt;/_date&gt;&lt;_date_display&gt;2005&lt;/_date_display&gt;&lt;_impact_factor&gt;   0.828&lt;/_impact_factor&gt;&lt;_isbn&gt;1465-7260&lt;/_isbn&gt;&lt;_issue&gt;1&lt;/_issue&gt;&lt;_journal&gt;American Law and Economics Review&lt;/_journal&gt;&lt;_modified&gt;63285830&lt;/_modified&gt;&lt;_ori_publication&gt;Oxford University Press&lt;/_ori_publication&gt;&lt;_pages&gt;144-183&lt;/_pages&gt;&lt;_volume&gt;7&lt;/_volume&gt;&lt;/Details&gt;&lt;Extra&gt;&lt;DBUID&gt;{439358B4-FA18-4C63-A3A1-0E3BE4066E7A}&lt;/DBUID&gt;&lt;/Extra&gt;&lt;/Item&gt;&lt;/References&gt;&lt;/Group&gt;&lt;/Citation&gt;_x000a_"/>
    <w:docVar w:name="NE.Ref{7F2588F0-F370-4C30-B99F-5287299A27C8}" w:val=" ADDIN NE.Ref.{7F2588F0-F370-4C30-B99F-5287299A27C8}&lt;Citation&gt;&lt;Group&gt;&lt;References&gt;&lt;Item&gt;&lt;ID&gt;51&lt;/ID&gt;&lt;UID&gt;{10BB70B6-845D-416E-A753-F4895B7799AA}&lt;/UID&gt;&lt;Title&gt;The deterrent effect of employee whistleblowing on firms&amp;apos; financial misreporting and tax aggressiveness&lt;/Title&gt;&lt;Template&gt;Journal Article&lt;/Template&gt;&lt;Star&gt;0&lt;/Star&gt;&lt;Tag&gt;0&lt;/Tag&gt;&lt;Author&gt;Wilde, Jaron H&lt;/Author&gt;&lt;Year&gt;2017&lt;/Year&gt;&lt;Details&gt;&lt;_alternate_title&gt;The Accounting Review&lt;/_alternate_title&gt;&lt;_created&gt;63224463&lt;/_created&gt;&lt;_date&gt;2017-01-01&lt;/_date&gt;&lt;_date_display&gt;2017&lt;/_date_display&gt;&lt;_isbn&gt;1558-7967&lt;/_isbn&gt;&lt;_issue&gt;5&lt;/_issue&gt;&lt;_journal&gt;The Accounting Review&lt;/_journal&gt;&lt;_modified&gt;63224463&lt;/_modified&gt;&lt;_ori_publication&gt;American Accounting Association&lt;/_ori_publication&gt;&lt;_pages&gt;247-280&lt;/_pages&gt;&lt;_volume&gt;92&lt;/_volume&gt;&lt;/Details&gt;&lt;Extra&gt;&lt;DBUID&gt;{E9F07991-3B72-4492-A7D8-86E559D9F8FE}&lt;/DBUID&gt;&lt;/Extra&gt;&lt;/Item&gt;&lt;/References&gt;&lt;/Group&gt;&lt;/Citation&gt;_x000a_"/>
    <w:docVar w:name="NE.Ref{7F2D46FD-1EC6-4657-AA1A-9A6A6D3F52FB}" w:val=" ADDIN NE.Ref.{7F2D46FD-1EC6-4657-AA1A-9A6A6D3F52FB}&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7FBB3024-8CF9-4B8D-A858-A6A9E2D57425}" w:val=" ADDIN NE.Ref.{7FBB3024-8CF9-4B8D-A858-A6A9E2D57425}&lt;Citation SecTmpl=&quot;1&quot;&gt;&lt;Group&gt;&lt;References&gt;&lt;Item&gt;&lt;ID&gt;33&lt;/ID&gt;&lt;UID&gt;{297CB1B6-86FB-434F-9B5F-656FECDB2C98}&lt;/UID&gt;&lt;Title&gt;Discussion of the Quality of Accruals and Earnings: The Role of Accrual Estimation Errors&lt;/Title&gt;&lt;Template&gt;Journal Article&lt;/Template&gt;&lt;Star&gt;0&lt;/Star&gt;&lt;Tag&gt;0&lt;/Tag&gt;&lt;Author&gt;McNichols, Maureen F&lt;/Author&gt;&lt;Year&gt;2002&lt;/Year&gt;&lt;Details&gt;&lt;_accessed&gt;62055930&lt;/_accessed&gt;&lt;_collection_scope&gt;SSCI;&lt;/_collection_scope&gt;&lt;_created&gt;61988599&lt;/_created&gt;&lt;_impact_factor&gt;   4.562&lt;/_impact_factor&gt;&lt;_issue&gt;s-1&lt;/_issue&gt;&lt;_journal&gt;Accounting Review&lt;/_journal&gt;&lt;_modified&gt;62983578&lt;/_modified&gt;&lt;_pages&gt;61-69&lt;/_pages&gt;&lt;_volume&gt;77&lt;/_volume&gt;&lt;/Details&gt;&lt;Extra&gt;&lt;DBUID&gt;{33BA340C-9D61-4380-9AC0-75859ADA3E7E}&lt;/DBUID&gt;&lt;/Extra&gt;&lt;/Item&gt;&lt;/References&gt;&lt;/Group&gt;&lt;/Citation&gt;_x000a_"/>
    <w:docVar w:name="NE.Ref{7FEAA34A-E740-4ED3-A47B-0B2B8FB13373}" w:val=" ADDIN NE.Ref.{7FEAA34A-E740-4ED3-A47B-0B2B8FB13373}&lt;Citation SecTmpl=&quot;1&quot;&gt;&lt;Group&gt;&lt;References&gt;&lt;Item&gt;&lt;ID&gt;76&lt;/ID&gt;&lt;UID&gt;{625120E1-7D7E-456D-8339-7FCD5A52A784}&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28096&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Citation&gt;_x000a_"/>
    <w:docVar w:name="NE.Ref{7FFF7762-9708-4B88-9642-82EC6A8AF316}" w:val=" ADDIN NE.Ref.{7FFF7762-9708-4B88-9642-82EC6A8AF316}&lt;Citation SecTmpl=&quot;1&quot;&gt;&lt;Group&gt;&lt;References&gt;&lt;Item&gt;&lt;ID&gt;40&lt;/ID&gt;&lt;UID&gt;{F9C0E591-BB82-488D-819E-BDF103908FD2}&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2846551&lt;/_modified&gt;&lt;_pages&gt;230-258&lt;/_pages&gt;&lt;_tertiary_title&gt;Contemp Account Res&lt;/_tertiary_title&gt;&lt;_url&gt;http://doi.wiley.com/10.1111/1911-3846.12422_x000d__x000a_http://onlinelibrary.wiley.com/wol1/doi/10.1111/1911-3846.12422/fullpdf&lt;/_url&gt;&lt;_volume&gt;36&lt;/_volume&gt;&lt;/Details&gt;&lt;Extra&gt;&lt;DBUID&gt;{D2579611-BF89-4C7B-83D9-BE1288535D97}&lt;/DBUID&gt;&lt;/Extra&gt;&lt;/Item&gt;&lt;/References&gt;&lt;/Group&gt;&lt;/Citation&gt;_x000a_"/>
    <w:docVar w:name="NE.Ref{80A030EC-E7B0-4535-9DB4-B0163B3A610A}" w:val=" ADDIN NE.Ref.{80A030EC-E7B0-4535-9DB4-B0163B3A610A}&lt;Citation SecTmpl=&quot;1&quot;&gt;&lt;Group&gt;&lt;References&gt;&lt;Item&gt;&lt;ID&gt;320&lt;/ID&gt;&lt;UID&gt;{051CC910-277E-40D8-B9AD-B1EA475A2FAA}&lt;/UID&gt;&lt;Title&gt;The Market for “Lemons”: Quality Uncertainty and the Market Mechanism&lt;/Title&gt;&lt;Template&gt;Journal Article&lt;/Template&gt;&lt;Star&gt;0&lt;/Star&gt;&lt;Tag&gt;0&lt;/Tag&gt;&lt;Author&gt;Akerlof, George A&lt;/Author&gt;&lt;Year&gt;1970&lt;/Year&gt;&lt;Details&gt;&lt;_alternate_title&gt;Quarterly Journal of Economics&lt;/_alternate_title&gt;&lt;_collection_scope&gt;SSCI&lt;/_collection_scope&gt;&lt;_created&gt;63311678&lt;/_created&gt;&lt;_date&gt;1970-01-01&lt;/_date&gt;&lt;_date_display&gt;1970&lt;/_date_display&gt;&lt;_doi&gt;10.2307/1879431&lt;/_doi&gt;&lt;_impact_factor&gt;  11.775&lt;/_impact_factor&gt;&lt;_issue&gt;3&lt;/_issue&gt;&lt;_journal&gt;Quarterly Journal of Economics&lt;/_journal&gt;&lt;_modified&gt;63311678&lt;/_modified&gt;&lt;_pages&gt;488-500&lt;/_pages&gt;&lt;_volume&gt;84&lt;/_volume&gt;&lt;/Details&gt;&lt;Extra&gt;&lt;DBUID&gt;{E9F07991-3B72-4492-A7D8-86E559D9F8FE}&lt;/DBUID&gt;&lt;/Extra&gt;&lt;/Item&gt;&lt;/References&gt;&lt;/Group&gt;&lt;/Citation&gt;_x000a_"/>
    <w:docVar w:name="NE.Ref{80E6370B-DA71-4CF6-AD53-25813EF999AE}" w:val=" ADDIN NE.Ref.{80E6370B-DA71-4CF6-AD53-25813EF999AE}&lt;Citation SecTmpl=&quot;1&quot;&gt;&lt;Group&gt;&lt;References&gt;&lt;Item&gt;&lt;ID&gt;296&lt;/ID&gt;&lt;UID&gt;{996C44BC-7353-4ACB-A59A-A92CE2F94812}&lt;/UID&gt;&lt;Title&gt;Long-Term Impact of Economic Conditions on Auditors&amp;apos; Judgment&lt;/Title&gt;&lt;Template&gt;Journal Article&lt;/Template&gt;&lt;Star&gt;0&lt;/Star&gt;&lt;Tag&gt;0&lt;/Tag&gt;&lt;Author&gt;He, Xianjie; Kothari, S P; Xiao, Tusheng; Zuo, Luo&lt;/Author&gt;&lt;Year&gt;2018&lt;/Year&gt;&lt;Details&gt;&lt;_accessed&gt;63294347&lt;/_accessed&gt;&lt;_created&gt;62492946&lt;/_created&gt;&lt;_date&gt;62062560&lt;/_date&gt;&lt;_date_display&gt;2018&lt;/_date_display&gt;&lt;_db_updated&gt;PKU Search&lt;/_db_updated&gt;&lt;_doi&gt;10.2308/accr-52009&lt;/_doi&gt;&lt;_impact_factor&gt;   4.562&lt;/_impact_factor&gt;&lt;_isbn&gt;0001-4826_x000d__x000a_&lt;/_isbn&gt;&lt;_journal&gt;The Accounting Review&lt;/_journal&gt;&lt;_modified&gt;62862644&lt;/_modified&gt;&lt;_number&gt;1&lt;/_number&gt;&lt;_url&gt;http://pku.summon.serialssolutions.com/2.0.0/link/0/eLvHCXMwtV3fS8MwED7cBPFFdCr-JuCDIGR21W3tgw8qG2NWENaBb6Vrs7mJ7ajr_-9d0zR1vtQHX0p7JGnaL1xyl_suAA2zafA1nUBs6BfLeTX7vfZQH8qpZf8KLMoQWiLK_gHcolEU4D1CjFcEGa-VYHbiaMZdVK-U5zfnOyqyMdH5wnke6kZuDXyIkyxsYpiGsyLmZaFHTOnwiJ-7BoPM8fmGg2kxL8bCM8LsS6r6qFkQxbBQ5n910693kU-M5JpOM6mTxmVPQ4uC3LgkOBfaE-1Ny8xTV-cKs23xri2P1FhXx2jeEMXAD4KEZ-md9KSjNtrX5qIiQhBtE6rtUV1P1qVc6J_hPFjdi4iPRzXYJJovhXH2HsclLqw6JVH2VaakpbZudD9Ki5DSasLdhZ3cDGAPEtA92BBRA7YUC2EfNK5M4sriKVO4Mo0riyOmcL1iCtUDuO733KcBV6_3ljKpiPf7g28PoR7FkTgChstQU_hTqzOxOqhx7UnLsg1h3gV21wi7xvQYLis0eFKp1Clsa_DPoL5KUnEOteVHepH96W8L7DMi&lt;/_url&gt;&lt;/Details&gt;&lt;Extra&gt;&lt;DBUID&gt;{83AC290F-D6FC-4574-9771-6904EE9C30A4}&lt;/DBUID&gt;&lt;/Extra&gt;&lt;/Item&gt;&lt;/References&gt;&lt;/Group&gt;&lt;/Citation&gt;_x000a_"/>
    <w:docVar w:name="NE.Ref{815A7D81-65AA-4929-869B-46BA96ED2F15}" w:val=" ADDIN NE.Ref.{815A7D81-65AA-4929-869B-46BA96ED2F15}&lt;Citation SecTmpl=&quot;1&quot;&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81A9E71B-B5D4-4739-9A40-1DB57CEBE44F}" w:val=" ADDIN NE.Ref.{81A9E71B-B5D4-4739-9A40-1DB57CEBE44F}&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825E2CD7-22BA-458E-B3FC-E2253832B3A2}" w:val=" ADDIN NE.Ref.{825E2CD7-22BA-458E-B3FC-E2253832B3A2}&lt;Citation&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Group&gt;&lt;References&gt;&lt;Item&gt;&lt;ID&gt;73&lt;/ID&gt;&lt;UID&gt;{E8769188-1BE4-4D70-865B-879436B96ABF}&lt;/UID&gt;&lt;Title&gt;审计监督、最终控制人性质与税收激进度&lt;/Title&gt;&lt;Template&gt;Journal Article&lt;/Template&gt;&lt;Star&gt;0&lt;/Star&gt;&lt;Tag&gt;0&lt;/Tag&gt;&lt;Author&gt;金鑫; 雷光勇&lt;/Author&gt;&lt;Year&gt;2011&lt;/Year&gt;&lt;Details&gt;&lt;_accessed&gt;61697770&lt;/_accessed&gt;&lt;_author_aff&gt;对外经济贸易大学;&lt;/_author_aff&gt;&lt;_collection_scope&gt;CSSCI;中文核心期刊;&lt;/_collection_scope&gt;&lt;_created&gt;61697770&lt;/_created&gt;&lt;_date&gt;58769280&lt;/_date&gt;&lt;_db_provider&gt;CNKI: 期刊&lt;/_db_provider&gt;&lt;_db_updated&gt;CNKI - Reference&lt;/_db_updated&gt;&lt;_issue&gt;05&lt;/_issue&gt;&lt;_journal&gt;审计研究&lt;/_journal&gt;&lt;_keywords&gt;审计监督;最终控制人性质;税收激进度;制度环境&lt;/_keywords&gt;&lt;_language&gt;Chinese&lt;/_language&gt;&lt;_modified&gt;63228070&lt;/_modified&gt;&lt;_pages&gt;98-106&lt;/_pages&gt;&lt;_url&gt;http://www.cnki.net/KCMS/detail/detail.aspx?FileName=SJYZ201105015&amp;amp;DbName=CJFQ2011&lt;/_url&gt;&lt;_translated_author&gt;Jin, Xin;Lei, Guangyong&lt;/_translated_author&gt;&lt;/Details&gt;&lt;Extra&gt;&lt;DBUID&gt;{E9F07991-3B72-4492-A7D8-86E559D9F8FE}&lt;/DBUID&gt;&lt;/Extra&gt;&lt;/Item&gt;&lt;/References&gt;&lt;/Group&gt;&lt;/Citation&gt;_x000a_"/>
    <w:docVar w:name="NE.Ref{82B6EF86-7C02-43B1-9195-828070027136}" w:val=" ADDIN NE.Ref.{82B6EF86-7C02-43B1-9195-828070027136}&lt;Citation SecTmpl=&quot;1&quot;&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Citation&gt;_x000a_"/>
    <w:docVar w:name="NE.Ref{82CAD127-639E-4BCE-87FC-59F71ABACCF7}" w:val=" ADDIN NE.Ref.{82CAD127-639E-4BCE-87FC-59F71ABACCF7}&lt;Citation SecTmpl=&quot;1&quot;&gt;&lt;Group&gt;&lt;References&gt;&lt;Item&gt;&lt;ID&gt;114&lt;/ID&gt;&lt;UID&gt;{0E4F9C58-C345-46D1-A2FF-01C47173376B}&lt;/UID&gt;&lt;Title&gt;大股东资金占用、外部审计与公司治理&lt;/Title&gt;&lt;Template&gt;Journal Article&lt;/Template&gt;&lt;Star&gt;0&lt;/Star&gt;&lt;Tag&gt;0&lt;/Tag&gt;&lt;Author&gt;杜兴强; 郭剑花; 雷宇&lt;/Author&gt;&lt;Year&gt;2010&lt;/Year&gt;&lt;Details&gt;&lt;_accessed&gt;63241051&lt;/_accessed&gt;&lt;_author_aff&gt;厦门大学管理学院;&lt;/_author_aff&gt;&lt;_collection_scope&gt;CSSCI-C&lt;/_collection_scope&gt;&lt;_created&gt;63240989&lt;/_created&gt;&lt;_date&gt;57860640&lt;/_date&gt;&lt;_db_provider&gt;CNKI: 期刊&lt;/_db_provider&gt;&lt;_db_updated&gt;CNKI - Reference&lt;/_db_updated&gt;&lt;_issue&gt;01&lt;/_issue&gt;&lt;_journal&gt;经济管理&lt;/_journal&gt;&lt;_keywords&gt;大股东资金占用;掏空;外部审计;公司治理&lt;/_keywords&gt;&lt;_language&gt;Chinese&lt;/_language&gt;&lt;_modified&gt;63241051&lt;/_modified&gt;&lt;_pages&gt;111-117&lt;/_pages&gt;&lt;_url&gt;http://kns.cnki.net/KCMS/detail/detail.aspx?FileName=JJGU201001020&amp;amp;DbName=CJFQ2010&lt;/_url&gt;&lt;_volume&gt;32&lt;/_volume&gt;&lt;_translated_author&gt;Du, Xingqiang;Guo, Jianhua;Lei, Yu&lt;/_translated_author&gt;&lt;/Details&gt;&lt;Extra&gt;&lt;DBUID&gt;{E9F07991-3B72-4492-A7D8-86E559D9F8FE}&lt;/DBUID&gt;&lt;/Extra&gt;&lt;/Item&gt;&lt;/References&gt;&lt;/Group&gt;&lt;/Citation&gt;_x000a_"/>
    <w:docVar w:name="NE.Ref{82DACC61-2FE0-44A1-9BBC-93348E69A513}" w:val=" ADDIN NE.Ref.{82DACC61-2FE0-44A1-9BBC-93348E69A513}&lt;Citation&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Group&gt;&lt;References&gt;&lt;Item&gt;&lt;ID&gt;10&lt;/ID&gt;&lt;UID&gt;{17857BD8-1B5C-4B7F-8D8E-3FF16059C426}&lt;/UID&gt;&lt;Title&gt;Aggregate quasi rents and auditor independence: Evidence from audit firm mergers in China&lt;/Title&gt;&lt;Template&gt;Journal Article&lt;/Template&gt;&lt;Star&gt;0&lt;/Star&gt;&lt;Tag&gt;0&lt;/Tag&gt;&lt;Author&gt;Hung Chan, K; Wu, Donghui&lt;/Author&gt;&lt;Year&gt;2011&lt;/Year&gt;&lt;Details&gt;&lt;_accessed&gt;62757196&lt;/_accessed&gt;&lt;_alternate_title&gt;Contemporary Accounting Research&lt;/_alternate_title&gt;&lt;_collection_scope&gt;SSCI;&lt;/_collection_scope&gt;&lt;_created&gt;62547340&lt;/_created&gt;&lt;_date&gt;2011-01-01&lt;/_date&gt;&lt;_date_display&gt;2011&lt;/_date_display&gt;&lt;_impact_factor&gt;   2.261&lt;/_impact_factor&gt;&lt;_isbn&gt;0823-9150&lt;/_isbn&gt;&lt;_issue&gt;1&lt;/_issue&gt;&lt;_journal&gt;Contemporary Accounting Research&lt;/_journal&gt;&lt;_modified&gt;62893315&lt;/_modified&gt;&lt;_ori_publication&gt;Wiley Online Library&lt;/_ori_publication&gt;&lt;_pages&gt;175-213&lt;/_pages&gt;&lt;_volume&gt;28&lt;/_volume&gt;&lt;/Details&gt;&lt;Extra&gt;&lt;DBUID&gt;{3537AC57-1DBB-4905-8F48-92A348A9E004}&lt;/DBUID&gt;&lt;/Extra&gt;&lt;/Item&gt;&lt;/References&gt;&lt;/Group&gt;&lt;Group&gt;&lt;References&gt;&lt;Item&gt;&lt;ID&gt;179&lt;/ID&gt;&lt;UID&gt;{1AF75C1A-9C92-43B3-8E70-7E090E9CD293}&lt;/UID&gt;&lt;Title&gt;会计师事务所合并对审计质量的影响&lt;/Title&gt;&lt;Template&gt;Journal Article&lt;/Template&gt;&lt;Star&gt;0&lt;/Star&gt;&lt;Tag&gt;0&lt;/Tag&gt;&lt;Author&gt;曾亚敏; 张俊生&lt;/Author&gt;&lt;Year&gt;2010&lt;/Year&gt;&lt;Details&gt;&lt;_accessed&gt;63105675&lt;/_accessed&gt;&lt;_collection_scope&gt;CSSCI-C;PKU&lt;/_collection_scope&gt;&lt;_created&gt;62681263&lt;/_created&gt;&lt;_date&gt;2010-01-01&lt;/_date&gt;&lt;_date_display&gt;2010&lt;/_date_display&gt;&lt;_issue&gt;5&lt;/_issue&gt;&lt;_journal&gt;审计研究&lt;/_journal&gt;&lt;_keywords&gt;事务所合并;审计质量;可控性应计;盈余响应系数&lt;/_keywords&gt;&lt;_modified&gt;62681263&lt;/_modified&gt;&lt;_pages&gt;53-60&lt;/_pages&gt;&lt;_translated_author&gt;Ceng, Yamin;Zhang, Junsheng&lt;/_translated_author&gt;&lt;/Details&gt;&lt;Extra&gt;&lt;DBUID&gt;{2097646C-7C2F-4992-8A9B-6FF23AE7F1B7}&lt;/DBUID&gt;&lt;/Extra&gt;&lt;/Item&gt;&lt;/References&gt;&lt;/Group&gt;&lt;/Citation&gt;_x000a_"/>
    <w:docVar w:name="NE.Ref{82E6FC90-678F-48A1-A171-BC23991E5FBA}" w:val=" ADDIN NE.Ref.{82E6FC90-678F-48A1-A171-BC23991E5FBA}&lt;Citation SecTmpl=&quot;1&quot;&gt;&lt;Group&gt;&lt;References&gt;&lt;Item&gt;&lt;ID&gt;161&lt;/ID&gt;&lt;UID&gt;{67D8EE23-E247-41D5-BF4F-6D7F826B7E88}&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90029&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Citation&gt;_x000a_"/>
    <w:docVar w:name="NE.Ref{82EF2574-CFBE-416A-BB13-DC74A2D1D424}" w:val=" ADDIN NE.Ref.{82EF2574-CFBE-416A-BB13-DC74A2D1D424}&lt;Citation SecTmpl=&quot;1&quot;&gt;&lt;Group&gt;&lt;References&gt;&lt;Item&gt;&lt;ID&gt;250&lt;/ID&gt;&lt;UID&gt;{B6F5F9BA-E277-479F-9A8C-011DED1C28C7}&lt;/UID&gt;&lt;Title&gt;The Deterrent Effect of Employee Whistleblowing on Firms&amp;apos; Financial Misreporting and Tax Aggressiveness&lt;/Title&gt;&lt;Template&gt;Journal Article&lt;/Template&gt;&lt;Star&gt;0&lt;/Star&gt;&lt;Tag&gt;0&lt;/Tag&gt;&lt;Author&gt;Wilde, Jaron H&lt;/Author&gt;&lt;Year&gt;2017&lt;/Year&gt;&lt;Details&gt;&lt;_accessed&gt;62671154&lt;/_accessed&gt;&lt;_created&gt;61975759&lt;/_created&gt;&lt;_db_updated&gt;CrossRef&lt;/_db_updated&gt;&lt;_doi&gt;10.2308/accr-51661&lt;/_doi&gt;&lt;_impact_factor&gt;   4.562&lt;/_impact_factor&gt;&lt;_isbn&gt;0001-4826&lt;/_isbn&gt;&lt;_issue&gt;5&lt;/_issue&gt;&lt;_journal&gt;The Accounting Review&lt;/_journal&gt;&lt;_modified&gt;62866936&lt;/_modified&gt;&lt;_pages&gt;247-280&lt;/_pages&gt;&lt;_tertiary_title&gt;The Accounting Review&lt;/_tertiary_title&gt;&lt;_url&gt;http://aaajournals.org/doi/10.2308/accr-51661_x000d__x000a_http://aaajournals.org/doi/pdf/10.2308/accr-51661&lt;/_url&gt;&lt;_volume&gt;92&lt;/_volume&gt;&lt;/Details&gt;&lt;Extra&gt;&lt;DBUID&gt;{83AC290F-D6FC-4574-9771-6904EE9C30A4}&lt;/DBUID&gt;&lt;/Extra&gt;&lt;/Item&gt;&lt;/References&gt;&lt;/Group&gt;&lt;/Citation&gt;_x000a_"/>
    <w:docVar w:name="NE.Ref{839344FC-DC4E-4879-8B61-CCF7B196E916}" w:val=" ADDIN NE.Ref.{839344FC-DC4E-4879-8B61-CCF7B196E916}&lt;Citation SecTmpl=&quot;1&quot;&gt;&lt;Group&gt;&lt;References&gt;&lt;Item&gt;&lt;ID&gt;182&lt;/ID&gt;&lt;UID&gt;{AE720F2D-C5F6-4D88-B208-D3E27176D00D}&lt;/UID&gt;&lt;Title&gt;Audit quality: Insights from the academic literature&lt;/Title&gt;&lt;Template&gt;Journal Article&lt;/Template&gt;&lt;Star&gt;0&lt;/Star&gt;&lt;Tag&gt;0&lt;/Tag&gt;&lt;Author&gt;Knechel, W Robert; Krishnan, Gopal V; Pevzner, Mikhail; Bhaskar, Lori Shefchik; Velury, Uma&lt;/Author&gt;&lt;Year&gt;2013&lt;/Year&gt;&lt;Details&gt;&lt;_alternate_title&gt;Auditing: A journal of practice &amp;amp; theory&lt;/_alternate_title&gt;&lt;_created&gt;63297266&lt;/_created&gt;&lt;_date&gt;2013-01-01&lt;/_date&gt;&lt;_date_display&gt;2013&lt;/_date_display&gt;&lt;_issue&gt;1&lt;/_issue&gt;&lt;_journal&gt;Auditing: A journal of practice &amp;amp; theory&lt;/_journal&gt;&lt;_modified&gt;63297266&lt;/_modified&gt;&lt;_volume&gt;32&lt;/_volume&gt;&lt;/Details&gt;&lt;Extra&gt;&lt;DBUID&gt;{E9F07991-3B72-4492-A7D8-86E559D9F8FE}&lt;/DBUID&gt;&lt;/Extra&gt;&lt;/Item&gt;&lt;/References&gt;&lt;/Group&gt;&lt;/Citation&gt;_x000a_"/>
    <w:docVar w:name="NE.Ref{839C7C70-7731-4E9E-A2D4-E55314F95059}" w:val=" ADDIN NE.Ref.{839C7C70-7731-4E9E-A2D4-E55314F95059}&lt;Citation SecTmpl=&quot;1&quot;&gt;&lt;Group&gt;&lt;References&gt;&lt;Item&gt;&lt;ID&gt;129&lt;/ID&gt;&lt;UID&gt;{D5AC012D-C170-43C4-AD32-F204EDE99084}&lt;/UID&gt;&lt;Title&gt;Audit Firm Industry Specialization and Client Disclosure Quality&lt;/Title&gt;&lt;Template&gt;Journal Article&lt;/Template&gt;&lt;Star&gt;0&lt;/Star&gt;&lt;Tag&gt;0&lt;/Tag&gt;&lt;Author&gt;Dunn, Kimberly A; Mayhew, Brian W&lt;/Author&gt;&lt;Year&gt;2004&lt;/Year&gt;&lt;Details&gt;&lt;_accessed&gt;62979642&lt;/_accessed&gt;&lt;_collection_scope&gt;SSCI;&lt;/_collection_scope&gt;&lt;_created&gt;62473943&lt;/_created&gt;&lt;_impact_factor&gt;   2.108&lt;/_impact_factor&gt;&lt;_issue&gt;1&lt;/_issue&gt;&lt;_journal&gt;Review of Accounting Studies&lt;/_journal&gt;&lt;_keywords&gt;auditor industry specialization;disclosure quality;regulated industries&lt;/_keywords&gt;&lt;_modified&gt;62871031&lt;/_modified&gt;&lt;_pages&gt;35-58&lt;/_pages&gt;&lt;_volume&gt;9&lt;/_volume&gt;&lt;/Details&gt;&lt;Extra&gt;&lt;DBUID&gt;{2097646C-7C2F-4992-8A9B-6FF23AE7F1B7}&lt;/DBUID&gt;&lt;/Extra&gt;&lt;/Item&gt;&lt;/References&gt;&lt;/Group&gt;&lt;/Citation&gt;_x000a_"/>
    <w:docVar w:name="NE.Ref{83A75719-1416-4712-96ED-CD96B55B2489}" w:val=" ADDIN NE.Ref.{83A75719-1416-4712-96ED-CD96B55B2489}&lt;Citation SecTmpl=&quot;1&quot;&gt;&lt;Group&gt;&lt;References&gt;&lt;Item&gt;&lt;ID&gt;35&lt;/ID&gt;&lt;UID&gt;{2B578CB7-8141-4180-8F0D-47A6B8894BCB}&lt;/UID&gt;&lt;Title&gt;Corporate Ownership Around the World&lt;/Title&gt;&lt;Template&gt;Journal Article&lt;/Template&gt;&lt;Star&gt;0&lt;/Star&gt;&lt;Tag&gt;0&lt;/Tag&gt;&lt;Author&gt;La Porta, Rafael; Lopezdesilanes, Florencio; Shleifer, Andrei&lt;/Author&gt;&lt;Year&gt;1999&lt;/Year&gt;&lt;Details&gt;&lt;_alternate_title&gt;Journal of Finance&lt;/_alternate_title&gt;&lt;_collection_scope&gt;SSCI&lt;/_collection_scope&gt;&lt;_created&gt;63311590&lt;/_created&gt;&lt;_date&gt;1999-01-01&lt;/_date&gt;&lt;_date_display&gt;1999&lt;/_date_display&gt;&lt;_doi&gt;10.1111/0022-1082.00115&lt;/_doi&gt;&lt;_impact_factor&gt;   6.201&lt;/_impact_factor&gt;&lt;_issue&gt;2&lt;/_issue&gt;&lt;_journal&gt;Journal of Finance&lt;/_journal&gt;&lt;_modified&gt;63311590&lt;/_modified&gt;&lt;_pages&gt;471-517&lt;/_pages&gt;&lt;_volume&gt;54&lt;/_volume&gt;&lt;/Details&gt;&lt;Extra&gt;&lt;DBUID&gt;{FC3926E0-C699-4036-83FB-4E6D351501C6}&lt;/DBUID&gt;&lt;/Extra&gt;&lt;/Item&gt;&lt;/References&gt;&lt;/Group&gt;&lt;/Citation&gt;_x000a_"/>
    <w:docVar w:name="NE.Ref{83B7F165-A3C8-4585-A668-0A5A8C3E7696}" w:val=" ADDIN NE.Ref.{83B7F165-A3C8-4585-A668-0A5A8C3E7696}&lt;Citation&gt;&lt;Group&gt;&lt;References&gt;&lt;Item&gt;&lt;ID&gt;62&lt;/ID&gt;&lt;UID&gt;{CC944755-299A-4C57-977B-76E72A103A8F}&lt;/UID&gt;&lt;Title&gt;The differential effects of auditors&amp;apos; nonaudit and audit fees on accrual quality&lt;/Title&gt;&lt;Template&gt;Journal Article&lt;/Template&gt;&lt;Star&gt;0&lt;/Star&gt;&lt;Tag&gt;0&lt;/Tag&gt;&lt;Author&gt;Srinidhi, Bin N; Gul, Ferdinand A&lt;/Author&gt;&lt;Year&gt;2007&lt;/Year&gt;&lt;Details&gt;&lt;_alternate_title&gt;Contemporary Accounting Research&lt;/_alternate_title&gt;&lt;_collection_scope&gt;SSCI&lt;/_collection_scope&gt;&lt;_created&gt;63225892&lt;/_created&gt;&lt;_date&gt;2007-01-01&lt;/_date&gt;&lt;_date_display&gt;2007&lt;/_date_display&gt;&lt;_impact_factor&gt;   2.261&lt;/_impact_factor&gt;&lt;_isbn&gt;0823-9150&lt;/_isbn&gt;&lt;_issue&gt;2&lt;/_issue&gt;&lt;_journal&gt;Contemporary Accounting Research&lt;/_journal&gt;&lt;_modified&gt;63225892&lt;/_modified&gt;&lt;_ori_publication&gt;Wiley Online Library&lt;/_ori_publication&gt;&lt;_pages&gt;595-629&lt;/_pages&gt;&lt;_volume&gt;24&lt;/_volume&gt;&lt;/Details&gt;&lt;Extra&gt;&lt;DBUID&gt;{E9F07991-3B72-4492-A7D8-86E559D9F8FE}&lt;/DBUID&gt;&lt;/Extra&gt;&lt;/Item&gt;&lt;/References&gt;&lt;/Group&gt;&lt;/Citation&gt;_x000a_"/>
    <w:docVar w:name="NE.Ref{8414E06D-3A15-4851-98BE-2D00C851DF6A}" w:val=" ADDIN NE.Ref.{8414E06D-3A15-4851-98BE-2D00C851DF6A}&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84E1C54B-3487-4E80-A2F8-7CDD84EDCF20}" w:val=" ADDIN NE.Ref.{84E1C54B-3487-4E80-A2F8-7CDD84EDCF20}&lt;Citation SecTmpl=&quot;1&quot;&gt;&lt;Group&gt;&lt;References&gt;&lt;Item&gt;&lt;ID&gt;152&lt;/ID&gt;&lt;UID&gt;{5A35155B-BB3E-4D83-ABB6-045B6B7E50F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lternate_title&gt;Contemporary Accounting Research&lt;/_alternate_title&gt;&lt;_date_display&gt;2019&lt;/_date_display&gt;&lt;_date&gt;2019-01-01&lt;/_date&gt;&lt;_isbn&gt;0823-9150&lt;/_isbn&gt;&lt;_journal&gt;Contemporary Accounting Research&lt;/_journal&gt;&lt;_ori_publication&gt;Wiley Online Library&lt;/_ori_publication&gt;&lt;_created&gt;63260159&lt;/_created&gt;&lt;_modified&gt;63260159&lt;/_modified&gt;&lt;_impact_factor&gt;   2.261&lt;/_impact_factor&gt;&lt;_collection_scope&gt;SSCI&lt;/_collection_scope&gt;&lt;/Details&gt;&lt;Extra&gt;&lt;DBUID&gt;{E9F07991-3B72-4492-A7D8-86E559D9F8FE}&lt;/DBUID&gt;&lt;/Extra&gt;&lt;/Item&gt;&lt;/References&gt;&lt;/Group&gt;&lt;/Citation&gt;_x000a_"/>
    <w:docVar w:name="NE.Ref{85A3E63D-FB95-4EB1-ACBE-001222CFF28D}" w:val=" ADDIN NE.Ref.{85A3E63D-FB95-4EB1-ACBE-001222CFF28D}&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862BF67D-2BC0-488D-AFDC-AEEA861BC71F}" w:val=" ADDIN NE.Ref.{862BF67D-2BC0-488D-AFDC-AEEA861BC71F}&lt;Citation&gt;&lt;Group&gt;&lt;References&gt;&lt;Item&gt;&lt;ID&gt;131&lt;/ID&gt;&lt;UID&gt;{AAADB7A3-0DE8-4DDD-B5A3-F44B10B01F3F}&lt;/UID&gt;&lt;Title&gt;Propping through related party transactions&lt;/Title&gt;&lt;Template&gt;Journal Article&lt;/Template&gt;&lt;Star&gt;0&lt;/Star&gt;&lt;Tag&gt;0&lt;/Tag&gt;&lt;Author&gt;Jian, Ming; Wong, Tak Jun&lt;/Author&gt;&lt;Year&gt;2010&lt;/Year&gt;&lt;Details&gt;&lt;_accessed&gt;62757336&lt;/_accessed&gt;&lt;_alternate_title&gt;Review of Accounting Studies&lt;/_alternate_title&gt;&lt;_collection_scope&gt;SSCI;&lt;/_collection_scope&gt;&lt;_created&gt;62525533&lt;/_created&gt;&lt;_date&gt;2010-01-01&lt;/_date&gt;&lt;_date_display&gt;2010&lt;/_date_display&gt;&lt;_impact_factor&gt;   2.108&lt;/_impact_factor&gt;&lt;_isbn&gt;1380-6653&lt;/_isbn&gt;&lt;_issue&gt;1&lt;/_issue&gt;&lt;_journal&gt;Review of Accounting Studies&lt;/_journal&gt;&lt;_modified&gt;63241424&lt;/_modified&gt;&lt;_ori_publication&gt;Springer&lt;/_ori_publication&gt;&lt;_pages&gt;70-105&lt;/_pages&gt;&lt;_volume&gt;15&lt;/_volume&gt;&lt;/Details&gt;&lt;Extra&gt;&lt;DBUID&gt;{E9F07991-3B72-4492-A7D8-86E559D9F8FE}&lt;/DBUID&gt;&lt;/Extra&gt;&lt;/Item&gt;&lt;/References&gt;&lt;/Group&gt;&lt;Group&gt;&lt;References&gt;&lt;Item&gt;&lt;ID&gt;132&lt;/ID&gt;&lt;UID&gt;{1DE74949-86A7-45AB-9CB4-3A4F8D8C340D}&lt;/UID&gt;&lt;Title&gt;Coinsurance within business groups: Evidence from related party transactions in an emerging market&lt;/Title&gt;&lt;Template&gt;Journal Article&lt;/Template&gt;&lt;Star&gt;0&lt;/Star&gt;&lt;Tag&gt;0&lt;/Tag&gt;&lt;Author&gt;Jia, Nan; Shi, Jing; Wang, Yongxiang&lt;/Author&gt;&lt;Year&gt;2013&lt;/Year&gt;&lt;Details&gt;&lt;_alternate_title&gt;Management Science&lt;/_alternate_title&gt;&lt;_collection_scope&gt;SCIE;SSCI;EI&lt;/_collection_scope&gt;&lt;_created&gt;62806571&lt;/_created&gt;&lt;_date&gt;2013-01-01&lt;/_date&gt;&lt;_date_display&gt;2013&lt;/_date_display&gt;&lt;_impact_factor&gt;   4.219&lt;/_impact_factor&gt;&lt;_isbn&gt;0025-1909&lt;/_isbn&gt;&lt;_issue&gt;10&lt;/_issue&gt;&lt;_journal&gt;Management Science&lt;/_journal&gt;&lt;_modified&gt;63241425&lt;/_modified&gt;&lt;_ori_publication&gt;INFORMS&lt;/_ori_publication&gt;&lt;_pages&gt;2295-2313&lt;/_pages&gt;&lt;_volume&gt;59&lt;/_volume&gt;&lt;/Details&gt;&lt;Extra&gt;&lt;DBUID&gt;{E9F07991-3B72-4492-A7D8-86E559D9F8FE}&lt;/DBUID&gt;&lt;/Extra&gt;&lt;/Item&gt;&lt;/References&gt;&lt;/Group&gt;&lt;/Citation&gt;_x000a_"/>
    <w:docVar w:name="NE.Ref{86780F5A-6AC8-481B-A625-7C6BC6AE6B3D}" w:val=" ADDIN NE.Ref.{86780F5A-6AC8-481B-A625-7C6BC6AE6B3D}&lt;Citation&gt;&lt;Group&gt;&lt;References&gt;&lt;Item&gt;&lt;ID&gt;126&lt;/ID&gt;&lt;UID&gt;{E52470E8-FBE1-4D11-8A11-6B21B994B80D}&lt;/UID&gt;&lt;Title&gt;“掏空”与所有权安排——来自我国上市公司大股东资金占用的经验证据&lt;/Title&gt;&lt;Template&gt;Journal Article&lt;/Template&gt;&lt;Star&gt;0&lt;/Star&gt;&lt;Tag&gt;0&lt;/Tag&gt;&lt;Author&gt;李增泉; 孙铮; 王志伟&lt;/Author&gt;&lt;Year&gt;2004&lt;/Year&gt;&lt;Details&gt;&lt;_accessed&gt;63241052&lt;/_accessed&gt;&lt;_author_aff&gt;上海财经大学会计与财务研究院/会计学院;上海财经大学会计与财务研究院/会计学院;上海财经大学会计与财务研究院/会计学院 200433_x000d__x000a__x000d__x000a__x000d__x000a__x000d__x000a__x000d__x000a__x000d__x000a__x000d__x000a__x000d__x000a_;200433_x000d__x000a__x000d__x000a__x000d__x000a__x000d__x000a__x000d__x000a__x000d__x000a__x000d__x000a__x000d__x000a_;200433&lt;/_author_aff&gt;&lt;_collection_scope&gt;CSSCI-C;PKU&lt;/_collection_scope&gt;&lt;_created&gt;63241052&lt;/_created&gt;&lt;_date&gt;55200960&lt;/_date&gt;&lt;_db_provider&gt;CNKI: 期刊&lt;/_db_provider&gt;&lt;_db_updated&gt;CNKI - Reference&lt;/_db_updated&gt;&lt;_issue&gt;12&lt;/_issue&gt;&lt;_journal&gt;会计研究&lt;/_journal&gt;&lt;_keywords&gt;掏空;资金占用;所有权安排&lt;/_keywords&gt;&lt;_language&gt;Chinese&lt;/_language&gt;&lt;_modified&gt;63241052&lt;/_modified&gt;&lt;_pages&gt;3-13+97&lt;/_pages&gt;&lt;_url&gt;http://kns.cnki.net/KCMS/detail/detail.aspx?FileName=KJYJ200412000&amp;amp;DbName=CJFQ2004&lt;/_url&gt;&lt;_translated_author&gt;Li, Zengquan;Sun, Zheng;Wang, Zhiwei&lt;/_translated_author&gt;&lt;/Details&gt;&lt;Extra&gt;&lt;DBUID&gt;{E9F07991-3B72-4492-A7D8-86E559D9F8FE}&lt;/DBUID&gt;&lt;/Extra&gt;&lt;/Item&gt;&lt;/References&gt;&lt;/Group&gt;&lt;/Citation&gt;_x000a_"/>
    <w:docVar w:name="NE.Ref{86990724-4603-47BD-951C-B254432D0678}" w:val=" ADDIN NE.Ref.{86990724-4603-47BD-951C-B254432D0678}&lt;Citation SecTmpl=&quot;1&quot;&gt;&lt;Group&gt;&lt;References&gt;&lt;Item&gt;&lt;ID&gt;212&lt;/ID&gt;&lt;UID&gt;{67119124-E5D8-419E-BF58-4FF2A1721B0B}&lt;/UID&gt;&lt;Title&gt;The effect of corporate governance on auditor-client realignments&lt;/Title&gt;&lt;Template&gt;Journal Article&lt;/Template&gt;&lt;Star&gt;0&lt;/Star&gt;&lt;Tag&gt;0&lt;/Tag&gt;&lt;Author&gt;Cassell, Cory A; Giroux, Gary A; Myers, Linda A; Omer, Thomas C&lt;/Author&gt;&lt;Year&gt;2012&lt;/Year&gt;&lt;Details&gt;&lt;_alternate_title&gt;Auditing: A Journal of Practice &amp;amp; Theory&lt;/_alternate_title&gt;&lt;_created&gt;63301886&lt;/_created&gt;&lt;_date&gt;2012-01-01&lt;/_date&gt;&lt;_date_display&gt;2012&lt;/_date_display&gt;&lt;_impact_factor&gt;   2.642&lt;/_impact_factor&gt;&lt;_isbn&gt;0278-0380&lt;/_isbn&gt;&lt;_issue&gt;2&lt;/_issue&gt;&lt;_journal&gt;Auditing: A Journal of Practice &amp;amp; Theory&lt;/_journal&gt;&lt;_modified&gt;63301886&lt;/_modified&gt;&lt;_ori_publication&gt;American Accounting Assocation&lt;/_ori_publication&gt;&lt;_pages&gt;167-188&lt;/_pages&gt;&lt;_volume&gt;31&lt;/_volume&gt;&lt;/Details&gt;&lt;Extra&gt;&lt;DBUID&gt;{E9F07991-3B72-4492-A7D8-86E559D9F8FE}&lt;/DBUID&gt;&lt;/Extra&gt;&lt;/Item&gt;&lt;/References&gt;&lt;/Group&gt;&lt;/Citation&gt;_x000a_"/>
    <w:docVar w:name="NE.Ref{87DCC075-4CEE-4A86-9E3D-B9243A33053C}" w:val=" ADDIN NE.Ref.{87DCC075-4CEE-4A86-9E3D-B9243A33053C}&lt;Citation SecTmpl=&quot;1&quot;&gt;&lt;Group&gt;&lt;References&gt;&lt;Item&gt;&lt;ID&gt;22&lt;/ID&gt;&lt;UID&gt;{17B215C8-9F87-42DF-927F-88EF569AB740}&lt;/UID&gt;&lt;Title&gt;Crash Risk and the Auditor-Client Relationship&lt;/Title&gt;&lt;Template&gt;Journal Article&lt;/Template&gt;&lt;Star&gt;0&lt;/Star&gt;&lt;Tag&gt;0&lt;/Tag&gt;&lt;Author&gt;Callen, Jeffrey L; Fang, Xiaohua&lt;/Author&gt;&lt;Year&gt;2017&lt;/Year&gt;&lt;Details&gt;&lt;_accessed&gt;62259333&lt;/_accessed&gt;&lt;_collection_scope&gt;SSCI;&lt;/_collection_scope&gt;&lt;_created&gt;62259333&lt;/_created&gt;&lt;_db_updated&gt;CrossRef&lt;/_db_updated&gt;&lt;_doi&gt;10.1111/1911-3846.12311&lt;/_doi&gt;&lt;_impact_factor&gt;   2.261&lt;/_impact_factor&gt;&lt;_issue&gt;3&lt;/_issue&gt;&lt;_journal&gt;Contemporary Accounting Research&lt;/_journal&gt;&lt;_modified&gt;62995262&lt;/_modified&gt;&lt;_pages&gt;1715-1750&lt;/_pages&gt;&lt;_tertiary_title&gt;Contemp Account Res&lt;/_tertiary_title&gt;&lt;_url&gt;http://doi.wiley.com/10.1111/1911-3846.12311_x000d__x000a_http://onlinelibrary.wiley.com/wol1/doi/10.1111/1911-3846.12311/fullpdf&lt;/_url&gt;&lt;_volume&gt;34&lt;/_volume&gt;&lt;/Details&gt;&lt;Extra&gt;&lt;DBUID&gt;{D2579611-BF89-4C7B-83D9-BE1288535D97}&lt;/DBUID&gt;&lt;/Extra&gt;&lt;/Item&gt;&lt;/References&gt;&lt;/Group&gt;&lt;/Citation&gt;_x000a_"/>
    <w:docVar w:name="NE.Ref{888D04A1-C678-4AFF-A9AC-2ECE53C9AC5D}" w:val=" ADDIN NE.Ref.{888D04A1-C678-4AFF-A9AC-2ECE53C9AC5D}&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88C869B6-4D6D-4044-A72C-6C69711BF7F1}" w:val=" ADDIN NE.Ref.{88C869B6-4D6D-4044-A72C-6C69711BF7F1}&lt;Citation SecTmpl=&quot;1&quot;&gt;&lt;Group&gt;&lt;References&gt;&lt;Item&gt;&lt;ID&gt;4&lt;/ID&gt;&lt;UID&gt;{CA24409A-37FE-458E-87F9-0841934B9824}&lt;/UID&gt;&lt;Title&gt;内部人交易与持续经营审计意见——来自财务困境类上市公司的经验证据&lt;/Title&gt;&lt;Template&gt;Journal Article&lt;/Template&gt;&lt;Star&gt;0&lt;/Star&gt;&lt;Tag&gt;0&lt;/Tag&gt;&lt;Author&gt;周冬华; 康华; 赵玉洁&lt;/Author&gt;&lt;Year&gt;2015&lt;/Year&gt;&lt;Details&gt;&lt;_accessed&gt;63098524&lt;/_accessed&gt;&lt;_author_aff&gt;江西财经大学会计学院;&lt;/_author_aff&gt;&lt;_collection_scope&gt;CSSCI-C;PKU&lt;/_collection_scope&gt;&lt;_created&gt;63097439&lt;/_created&gt;&lt;_date&gt;60608160&lt;/_date&gt;&lt;_db_provider&gt;CNKI: 期刊&lt;/_db_provider&gt;&lt;_db_updated&gt;CNKI - Reference&lt;/_db_updated&gt;&lt;_issue&gt;02&lt;/_issue&gt;&lt;_journal&gt;审计研究&lt;/_journal&gt;&lt;_keywords&gt;内部人交易;持续经营;财务困境&lt;/_keywords&gt;&lt;_language&gt;Chinese&lt;/_language&gt;&lt;_modified&gt;63098524&lt;/_modified&gt;&lt;_pages&gt;97-105&lt;/_pages&gt;&lt;_url&gt;http://kns.cnki.net/KCMS/detail/detail.aspx?FileName=SJYZ201502017&amp;amp;DbName=CJFQ2015&lt;/_url&gt;&lt;_translated_author&gt;Zhou, Donghua;Kang, Hua;Zhao, Yujie&lt;/_translated_author&gt;&lt;/Details&gt;&lt;Extra&gt;&lt;DBUID&gt;{439358B4-FA18-4C63-A3A1-0E3BE4066E7A}&lt;/DBUID&gt;&lt;/Extra&gt;&lt;/Item&gt;&lt;/References&gt;&lt;/Group&gt;&lt;/Citation&gt;_x000a_"/>
    <w:docVar w:name="NE.Ref{89DAD4A5-B3EB-4A59-A23D-C736CCDEFF40}" w:val=" ADDIN NE.Ref.{89DAD4A5-B3EB-4A59-A23D-C736CCDEFF40}&lt;Citation&gt;&lt;Group&gt;&lt;References&gt;&lt;Item&gt;&lt;ID&gt;179&lt;/ID&gt;&lt;UID&gt;{1AF75C1A-9C92-43B3-8E70-7E090E9CD293}&lt;/UID&gt;&lt;Title&gt;会计师事务所合并对审计质量的影响&lt;/Title&gt;&lt;Template&gt;Journal Article&lt;/Template&gt;&lt;Star&gt;0&lt;/Star&gt;&lt;Tag&gt;0&lt;/Tag&gt;&lt;Author&gt;曾亚敏; 张俊生&lt;/Author&gt;&lt;Year&gt;2010&lt;/Year&gt;&lt;Details&gt;&lt;_accessed&gt;63105675&lt;/_accessed&gt;&lt;_collection_scope&gt;CSSCI-C;PKU&lt;/_collection_scope&gt;&lt;_created&gt;62681263&lt;/_created&gt;&lt;_date&gt;2010-01-01&lt;/_date&gt;&lt;_date_display&gt;2010&lt;/_date_display&gt;&lt;_issue&gt;5&lt;/_issue&gt;&lt;_journal&gt;审计研究&lt;/_journal&gt;&lt;_keywords&gt;事务所合并;审计质量;可控性应计;盈余响应系数&lt;/_keywords&gt;&lt;_modified&gt;62681263&lt;/_modified&gt;&lt;_pages&gt;53-60&lt;/_pages&gt;&lt;_translated_author&gt;Ceng, Yamin;Zhang, Junsheng&lt;/_translated_author&gt;&lt;/Details&gt;&lt;Extra&gt;&lt;DBUID&gt;{2097646C-7C2F-4992-8A9B-6FF23AE7F1B7}&lt;/DBUID&gt;&lt;/Extra&gt;&lt;/Item&gt;&lt;/References&gt;&lt;/Group&gt;&lt;/Citation&gt;_x000a_"/>
    <w:docVar w:name="NE.Ref{8A0AD678-B3F4-4B8B-8843-37F18D7FB09F}" w:val=" ADDIN NE.Ref.{8A0AD678-B3F4-4B8B-8843-37F18D7FB09F}&lt;Citation SecTmpl=&quot;1&quot;&gt;&lt;Group&gt;&lt;References&gt;&lt;Item&gt;&lt;ID&gt;186&lt;/ID&gt;&lt;UID&gt;{E95280EA-7BF6-44F1-BDD8-8EF243D89023}&lt;/UID&gt;&lt;Title&gt;Audit Quality and Specialist Tenure&lt;/Title&gt;&lt;Template&gt;Journal Article&lt;/Template&gt;&lt;Star&gt;0&lt;/Star&gt;&lt;Tag&gt;0&lt;/Tag&gt;&lt;Author&gt;Gaver, Jennifer J; Utke, Steven&lt;/Author&gt;&lt;Year&gt;2019&lt;/Year&gt;&lt;Details&gt;&lt;_accessed&gt;62851484&lt;/_accessed&gt;&lt;_created&gt;62851484&lt;/_created&gt;&lt;_db_updated&gt;CrossRef&lt;/_db_updated&gt;&lt;_doi&gt;10.2308/accr-52206&lt;/_doi&gt;&lt;_impact_factor&gt;   4.562&lt;/_impact_factor&gt;&lt;_isbn&gt;0001-4826&lt;/_isbn&gt;&lt;_issue&gt;3&lt;/_issue&gt;&lt;_journal&gt;The Accounting Review&lt;/_journal&gt;&lt;_modified&gt;63297783&lt;/_modified&gt;&lt;_pages&gt;113-147&lt;/_pages&gt;&lt;_tertiary_title&gt;The Accounting Review&lt;/_tertiary_title&gt;&lt;_url&gt;http://aaajournals.org/doi/10.2308/accr-52206&lt;/_url&gt;&lt;_volume&gt;94&lt;/_volume&gt;&lt;/Details&gt;&lt;Extra&gt;&lt;DBUID&gt;{E9F07991-3B72-4492-A7D8-86E559D9F8FE}&lt;/DBUID&gt;&lt;/Extra&gt;&lt;/Item&gt;&lt;/References&gt;&lt;/Group&gt;&lt;/Citation&gt;_x000a_"/>
    <w:docVar w:name="NE.Ref{8B8AC8A0-9453-40A2-8F78-198FD851F93C}" w:val=" ADDIN NE.Ref.{8B8AC8A0-9453-40A2-8F78-198FD851F93C}&lt;Citation&gt;&lt;Group&gt;&lt;References&gt;&lt;Item&gt;&lt;ID&gt;154&lt;/ID&gt;&lt;UID&gt;{60D82039-0183-465F-A5E0-C3FB50F0A90B}&lt;/UID&gt;&lt;Title&gt;Do changes in audit actions and attitudes consistent with increased auditor scepticism deter aggressive earnings management? An experimental investigation&lt;/Title&gt;&lt;Template&gt;Journal Article&lt;/Template&gt;&lt;Star&gt;0&lt;/Star&gt;&lt;Tag&gt;0&lt;/Tag&gt;&lt;Author&gt;Chen, Qiu; Kelly, Khim; Salterio, Steven E&lt;/Author&gt;&lt;Year&gt;2012&lt;/Year&gt;&lt;Details&gt;&lt;_alternate_title&gt;Accounting, Organizations and Society&lt;/_alternate_title&gt;&lt;_created&gt;63261237&lt;/_created&gt;&lt;_date&gt;2012-01-01&lt;/_date&gt;&lt;_date_display&gt;2012&lt;/_date_display&gt;&lt;_impact_factor&gt;   3.147&lt;/_impact_factor&gt;&lt;_isbn&gt;0361-3682&lt;/_isbn&gt;&lt;_issue&gt;2&lt;/_issue&gt;&lt;_journal&gt;Accounting, Organizations and Society&lt;/_journal&gt;&lt;_modified&gt;63261237&lt;/_modified&gt;&lt;_ori_publication&gt;Elsevier&lt;/_ori_publication&gt;&lt;_pages&gt;95-115&lt;/_pages&gt;&lt;_volume&gt;37&lt;/_volume&gt;&lt;/Details&gt;&lt;Extra&gt;&lt;DBUID&gt;{E9F07991-3B72-4492-A7D8-86E559D9F8FE}&lt;/DBUID&gt;&lt;/Extra&gt;&lt;/Item&gt;&lt;/References&gt;&lt;/Group&gt;&lt;Group&gt;&lt;References&gt;&lt;Item&gt;&lt;ID&gt;153&lt;/ID&gt;&lt;UID&gt;{05B76FD6-9394-4B89-83A4-BC032BC4902D}&lt;/UID&gt;&lt;Title&gt;A test of audit deterrent to financial reporting irregularities using the randomized response technique&lt;/Title&gt;&lt;Template&gt;Journal Article&lt;/Template&gt;&lt;Star&gt;0&lt;/Star&gt;&lt;Tag&gt;0&lt;/Tag&gt;&lt;Author&gt;Schneider, Arnold; Wilner, Neil&lt;/Author&gt;&lt;Year&gt;1990&lt;/Year&gt;&lt;Details&gt;&lt;_alternate_title&gt;Accounting Review&lt;/_alternate_title&gt;&lt;_collection_scope&gt;SSCI&lt;/_collection_scope&gt;&lt;_created&gt;63261200&lt;/_created&gt;&lt;_date&gt;1990-01-01&lt;/_date&gt;&lt;_date_display&gt;1990&lt;/_date_display&gt;&lt;_impact_factor&gt;   4.562&lt;/_impact_factor&gt;&lt;_isbn&gt;0001-4826&lt;/_isbn&gt;&lt;_journal&gt;Accounting Review&lt;/_journal&gt;&lt;_modified&gt;63261200&lt;/_modified&gt;&lt;_ori_publication&gt;JSTOR&lt;/_ori_publication&gt;&lt;_pages&gt;668-681&lt;/_pages&gt;&lt;/Details&gt;&lt;Extra&gt;&lt;DBUID&gt;{E9F07991-3B72-4492-A7D8-86E559D9F8FE}&lt;/DBUID&gt;&lt;/Extra&gt;&lt;/Item&gt;&lt;/References&gt;&lt;/Group&gt;&lt;/Citation&gt;_x000a_"/>
    <w:docVar w:name="NE.Ref{8B95615C-ACA4-4267-813D-8E58D8BE7F32}" w:val=" ADDIN NE.Ref.{8B95615C-ACA4-4267-813D-8E58D8BE7F32}&lt;Citation&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8C223BDA-9023-40B1-8D57-99A64FCAE2DE}" w:val=" ADDIN NE.Ref.{8C223BDA-9023-40B1-8D57-99A64FCAE2DE}&lt;Citation&gt;&lt;Group&gt;&lt;References&gt;&lt;Item&gt;&lt;ID&gt;156&lt;/ID&gt;&lt;UID&gt;{34D9F878-3BC5-46F1-82C7-BCC3CB650AD6}&lt;/UID&gt;&lt;Title&gt;审计师变更方向、盈余管理与市场反应——基于公司在内资审计师之间变更的研究&lt;/Title&gt;&lt;Template&gt;Journal Article&lt;/Template&gt;&lt;Star&gt;0&lt;/Star&gt;&lt;Tag&gt;0&lt;/Tag&gt;&lt;Author&gt;邓川&lt;/Author&gt;&lt;Year&gt;2011&lt;/Year&gt;&lt;Details&gt;&lt;_accessed&gt;63261602&lt;/_accessed&gt;&lt;_author_aff&gt;浙江财经学院会计学院;&lt;/_author_aff&gt;&lt;_collection_scope&gt;CSSCI-C;PKU&lt;/_collection_scope&gt;&lt;_created&gt;63261602&lt;/_created&gt;&lt;_date&gt;58841280&lt;/_date&gt;&lt;_db_provider&gt;CNKI: 期刊&lt;/_db_provider&gt;&lt;_db_updated&gt;CNKI - Reference&lt;/_db_updated&gt;&lt;_issue&gt;11&lt;/_issue&gt;&lt;_journal&gt;中国工业经济&lt;/_journal&gt;&lt;_keywords&gt;审计师变更;变更方向;盈余管理;市场反应&lt;/_keywords&gt;&lt;_language&gt;Chinese&lt;/_language&gt;&lt;_modified&gt;63261602&lt;/_modified&gt;&lt;_pages&gt;119-128&lt;/_pages&gt;&lt;_url&gt;http://kns.cnki.net/KCMS/detail/detail.aspx?FileName=GGYY201111013&amp;amp;DbName=CJFQ2011&lt;/_url&gt;&lt;_translated_author&gt;Deng, Chuan&lt;/_translated_author&gt;&lt;/Details&gt;&lt;Extra&gt;&lt;DBUID&gt;{E9F07991-3B72-4492-A7D8-86E559D9F8FE}&lt;/DBUID&gt;&lt;/Extra&gt;&lt;/Item&gt;&lt;/References&gt;&lt;/Group&gt;&lt;/Citation&gt;_x000a_"/>
    <w:docVar w:name="NE.Ref{8D549B11-0D92-46C4-BD3B-44594476CD85}" w:val=" ADDIN NE.Ref.{8D549B11-0D92-46C4-BD3B-44594476CD85}&lt;Citation SecTmpl=&quot;1&quot;&gt;&lt;Group&gt;&lt;References&gt;&lt;Item&gt;&lt;ID&gt;211&lt;/ID&gt;&lt;UID&gt;{EBFA31A0-4AB1-47DA-B9AB-5C345D8A819F}&lt;/UID&gt;&lt;Title&gt;Board independence and audit-firm type&lt;/Title&gt;&lt;Template&gt;Journal Article&lt;/Template&gt;&lt;Star&gt;0&lt;/Star&gt;&lt;Tag&gt;0&lt;/Tag&gt;&lt;Author&gt;Beasley, Mark S; Petroni, Kathy R&lt;/Author&gt;&lt;Year&gt;2001&lt;/Year&gt;&lt;Details&gt;&lt;_alternate_title&gt;Auditing: A journal of practice &amp;amp; theory&lt;/_alternate_title&gt;&lt;_created&gt;63301878&lt;/_created&gt;&lt;_date&gt;2001-01-01&lt;/_date&gt;&lt;_date_display&gt;2001&lt;/_date_display&gt;&lt;_impact_factor&gt;   2.642&lt;/_impact_factor&gt;&lt;_isbn&gt;0278-0380&lt;/_isbn&gt;&lt;_issue&gt;1&lt;/_issue&gt;&lt;_journal&gt;Auditing: A journal of practice &amp;amp; theory&lt;/_journal&gt;&lt;_modified&gt;63301878&lt;/_modified&gt;&lt;_pages&gt;97-114&lt;/_pages&gt;&lt;_volume&gt;20&lt;/_volume&gt;&lt;/Details&gt;&lt;Extra&gt;&lt;DBUID&gt;{E9F07991-3B72-4492-A7D8-86E559D9F8FE}&lt;/DBUID&gt;&lt;/Extra&gt;&lt;/Item&gt;&lt;/References&gt;&lt;/Group&gt;&lt;/Citation&gt;_x000a_"/>
    <w:docVar w:name="NE.Ref{8D95FBB6-8EC0-44A8-856E-7E65E8D0DA76}" w:val=" ADDIN NE.Ref.{8D95FBB6-8EC0-44A8-856E-7E65E8D0DA76}&lt;Citation&gt;&lt;Group&gt;&lt;References&gt;&lt;Item&gt;&lt;ID&gt;112&lt;/ID&gt;&lt;UID&gt;{1419DF3A-347E-4132-9CDE-F661C840830F}&lt;/UID&gt;&lt;Title&gt;私募股权投资对控股股东“掏空”的抑制效应&lt;/Title&gt;&lt;Template&gt;Journal Article&lt;/Template&gt;&lt;Star&gt;0&lt;/Star&gt;&lt;Tag&gt;0&lt;/Tag&gt;&lt;Author&gt;冯慧群&lt;/Author&gt;&lt;Year&gt;2016&lt;/Year&gt;&lt;Details&gt;&lt;_accessed&gt;63241051&lt;/_accessed&gt;&lt;_author_aff&gt;北京大学光华管理学院;&lt;/_author_aff&gt;&lt;_collection_scope&gt;CSSCI-C&lt;/_collection_scope&gt;&lt;_created&gt;63240989&lt;/_created&gt;&lt;_date&gt;61248960&lt;/_date&gt;&lt;_db_provider&gt;CNKI: 期刊&lt;/_db_provider&gt;&lt;_db_updated&gt;CNKI - Reference&lt;/_db_updated&gt;&lt;_issue&gt;06&lt;/_issue&gt;&lt;_journal&gt;经济管理&lt;/_journal&gt;&lt;_keywords&gt;私募股权投资(PE);控股股东“掏空”;公司治理&lt;/_keywords&gt;&lt;_language&gt;Chinese&lt;/_language&gt;&lt;_modified&gt;63241051&lt;/_modified&gt;&lt;_pages&gt;41-58&lt;/_pages&gt;&lt;_url&gt;http://kns.cnki.net/KCMS/detail/detail.aspx?FileName=JJGU201606005&amp;amp;DbName=CJFQ2016&lt;/_url&gt;&lt;_volume&gt;38&lt;/_volume&gt;&lt;_translated_author&gt;Feng, Huiqun&lt;/_translated_author&gt;&lt;/Details&gt;&lt;Extra&gt;&lt;DBUID&gt;{E9F07991-3B72-4492-A7D8-86E559D9F8FE}&lt;/DBUID&gt;&lt;/Extra&gt;&lt;/Item&gt;&lt;/References&gt;&lt;/Group&gt;&lt;Group&gt;&lt;References&gt;&lt;Item&gt;&lt;ID&gt;130&lt;/ID&gt;&lt;UID&gt;{42C63340-6B54-43C0-9C30-75A208220544}&lt;/UID&gt;&lt;Title&gt;放松卖空管制与大股东“掏空”&lt;/Title&gt;&lt;Template&gt;Journal Article&lt;/Template&gt;&lt;Star&gt;0&lt;/Star&gt;&lt;Tag&gt;0&lt;/Tag&gt;&lt;Author&gt;侯青川; 靳庆鲁; 苏玲; 于潇潇&lt;/Author&gt;&lt;Year&gt;2017&lt;/Year&gt;&lt;Details&gt;&lt;_accessed&gt;62704518&lt;/_accessed&gt;&lt;_author_aff&gt;上海财经大学会计与财务研究院;新疆财经大学会计学院;上海财经大学会计学院;&lt;/_author_aff&gt;&lt;_created&gt;62704518&lt;/_created&gt;&lt;_date&gt;61686720&lt;/_date&gt;&lt;_db_provider&gt;CNKI: 期刊&lt;/_db_provider&gt;&lt;_db_updated&gt;CNKI - Reference&lt;/_db_updated&gt;&lt;_issue&gt;03&lt;/_issue&gt;&lt;_journal&gt;经济学(季刊)&lt;/_journal&gt;&lt;_keywords&gt;放松卖空管制;掏空;外部监督&lt;/_keywords&gt;&lt;_language&gt;Chinese&lt;/_language&gt;&lt;_modified&gt;63241057&lt;/_modified&gt;&lt;_pages&gt;1143-1172&lt;/_pages&gt;&lt;_url&gt;http://kns.cnki.net/KCMS/detail/detail.aspx?FileName=JJXU201703015&amp;amp;DbName=CJFQ2017&lt;/_url&gt;&lt;_volume&gt;16&lt;/_volume&gt;&lt;_translated_author&gt;Hou, Qingchuan;Jin, Qinglu;Su, Ling;Yu, Xiaoxiao&lt;/_translated_author&gt;&lt;/Details&gt;&lt;Extra&gt;&lt;DBUID&gt;{E9F07991-3B72-4492-A7D8-86E559D9F8FE}&lt;/DBUID&gt;&lt;/Extra&gt;&lt;/Item&gt;&lt;/References&gt;&lt;/Group&gt;&lt;/Citation&gt;_x000a_"/>
    <w:docVar w:name="NE.Ref{8E1F0CB7-6199-49DD-A037-8A5E1031E00B}" w:val=" ADDIN NE.Ref.{8E1F0CB7-6199-49DD-A037-8A5E1031E00B}&lt;Citation&gt;&lt;Group&gt;&lt;References&gt;&lt;Item&gt;&lt;ID&gt;87&lt;/ID&gt;&lt;UID&gt;{719053DD-9806-4708-8B19-6CA6ED13FCE4}&lt;/UID&gt;&lt;Title&gt;Corporate tax avoidance and high-powered incentives&lt;/Title&gt;&lt;Template&gt;Journal Article&lt;/Template&gt;&lt;Star&gt;0&lt;/Star&gt;&lt;Tag&gt;0&lt;/Tag&gt;&lt;Author&gt;Desai, Mihir A; Dharmapala, Dhammika&lt;/Author&gt;&lt;Year&gt;2006&lt;/Year&gt;&lt;Details&gt;&lt;_alternate_title&gt;Journal of Financial Economics&lt;/_alternate_title&gt;&lt;_collection_scope&gt;SSCI&lt;/_collection_scope&gt;&lt;_created&gt;63228699&lt;/_created&gt;&lt;_date&gt;2006-01-01&lt;/_date&gt;&lt;_date_display&gt;2006&lt;/_date_display&gt;&lt;_impact_factor&gt;   4.693&lt;/_impact_factor&gt;&lt;_isbn&gt;0304-405X&lt;/_isbn&gt;&lt;_issue&gt;1&lt;/_issue&gt;&lt;_journal&gt;Journal of Financial Economics&lt;/_journal&gt;&lt;_modified&gt;63228699&lt;/_modified&gt;&lt;_ori_publication&gt;Elsevier&lt;/_ori_publication&gt;&lt;_pages&gt;145-179&lt;/_pages&gt;&lt;_volume&gt;79&lt;/_volume&gt;&lt;/Details&gt;&lt;Extra&gt;&lt;DBUID&gt;{E9F07991-3B72-4492-A7D8-86E559D9F8FE}&lt;/DBUID&gt;&lt;/Extra&gt;&lt;/Item&gt;&lt;/References&gt;&lt;/Group&gt;&lt;/Citation&gt;_x000a_"/>
    <w:docVar w:name="NE.Ref{8EA4DEB1-7B1D-4BB3-A911-314AE79E9AE4}" w:val=" ADDIN NE.Ref.{8EA4DEB1-7B1D-4BB3-A911-314AE79E9AE4}&lt;Citation SecTmpl=&quot;1&quot;&gt;&lt;Group&gt;&lt;References&gt;&lt;Item&gt;&lt;ID&gt;18&lt;/ID&gt;&lt;UID&gt;{E99C40B1-D7C5-447A-8792-262D0205BDBB}&lt;/UID&gt;&lt;Title&gt;The Effects of PCAOB Inspections on Auditor-Client Relationships&lt;/Title&gt;&lt;Template&gt;Journal Article&lt;/Template&gt;&lt;Star&gt;0&lt;/Star&gt;&lt;Tag&gt;0&lt;/Tag&gt;&lt;Author&gt;Acito, Andrew A; Hogan, Chris E; Mergenthaler, Richard D&lt;/Author&gt;&lt;Year&gt;2018&lt;/Year&gt;&lt;Details&gt;&lt;_accessed&gt;62210330&lt;/_accessed&gt;&lt;_created&gt;62210330&lt;/_created&gt;&lt;_db_updated&gt;CrossRef&lt;/_db_updated&gt;&lt;_doi&gt;10.2308/accr-51811&lt;/_doi&gt;&lt;_impact_factor&gt;   4.562&lt;/_impact_factor&gt;&lt;_isbn&gt;0001-4826&lt;/_isbn&gt;&lt;_issue&gt;2&lt;/_issue&gt;&lt;_journal&gt;The Accounting Review&lt;/_journal&gt;&lt;_modified&gt;62865259&lt;/_modified&gt;&lt;_pages&gt;1-35&lt;/_pages&gt;&lt;_tertiary_title&gt;The Accounting Review&lt;/_tertiary_title&gt;&lt;_url&gt;http://aaajournals.org/doi/10.2308/accr-51811&lt;/_url&gt;&lt;_volume&gt;93&lt;/_volume&gt;&lt;/Details&gt;&lt;Extra&gt;&lt;DBUID&gt;{D2579611-BF89-4C7B-83D9-BE1288535D97}&lt;/DBUID&gt;&lt;/Extra&gt;&lt;/Item&gt;&lt;/References&gt;&lt;/Group&gt;&lt;/Citation&gt;_x000a_"/>
    <w:docVar w:name="NE.Ref{8F5A763B-CE4F-41AD-AEA1-C757C03603EF}" w:val=" ADDIN NE.Ref.{8F5A763B-CE4F-41AD-AEA1-C757C03603EF}&lt;Citation SecTmpl=&quot;1&quot;&gt;&lt;Group&gt;&lt;References&gt;&lt;Item&gt;&lt;ID&gt;67&lt;/ID&gt;&lt;UID&gt;{8923FA62-B16D-4204-89AA-52E003E31B7F}&lt;/UID&gt;&lt;Title&gt;The world price of insider trading&lt;/Title&gt;&lt;Template&gt;Journal Article&lt;/Template&gt;&lt;Star&gt;0&lt;/Star&gt;&lt;Tag&gt;0&lt;/Tag&gt;&lt;Author&gt;Bhattacharya, Utpal; Daouk, Hazem&lt;/Author&gt;&lt;Year&gt;2002&lt;/Year&gt;&lt;Details&gt;&lt;_alternate_title&gt;The Journal of Finance&lt;/_alternate_title&gt;&lt;_created&gt;63285821&lt;/_created&gt;&lt;_date&gt;2002-01-01&lt;/_date&gt;&lt;_date_display&gt;2002&lt;/_date_display&gt;&lt;_impact_factor&gt;   6.201&lt;/_impact_factor&gt;&lt;_isbn&gt;0022-1082&lt;/_isbn&gt;&lt;_issue&gt;1&lt;/_issue&gt;&lt;_journal&gt;The Journal of Finance&lt;/_journal&gt;&lt;_modified&gt;63285821&lt;/_modified&gt;&lt;_ori_publication&gt;Wiley Online Library&lt;/_ori_publication&gt;&lt;_pages&gt;75-108&lt;/_pages&gt;&lt;_volume&gt;57&lt;/_volume&gt;&lt;/Details&gt;&lt;Extra&gt;&lt;DBUID&gt;{439358B4-FA18-4C63-A3A1-0E3BE4066E7A}&lt;/DBUID&gt;&lt;/Extra&gt;&lt;/Item&gt;&lt;/References&gt;&lt;/Group&gt;&lt;/Citation&gt;_x000a_"/>
    <w:docVar w:name="NE.Ref{8FB02C1B-4BEF-4A6E-890F-CA3C07A735B7}" w:val=" ADDIN NE.Ref.{8FB02C1B-4BEF-4A6E-890F-CA3C07A735B7}&lt;Citation SecTmpl=&quot;1&quot;&gt;&lt;Group&gt;&lt;References&gt;&lt;Item&gt;&lt;ID&gt;159&lt;/ID&gt;&lt;UID&gt;{6305DD91-4DC0-44D6-A7EA-75DE5BB44CB2}&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2649323&lt;/_created&gt;&lt;_date&gt;2016-01-01&lt;/_date&gt;&lt;_date_display&gt;2016&lt;/_date_display&gt;&lt;_isbn&gt;1558-7991&lt;/_isbn&gt;&lt;_issue&gt;4&lt;/_issue&gt;&lt;_journal&gt;Auditing: A Journal of Practice &amp;amp; Theory&lt;/_journal&gt;&lt;_modified&gt;63290028&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91B6EA41-FC7F-4626-B9AA-7A0D475DBB44}" w:val=" ADDIN NE.Ref.{91B6EA41-FC7F-4626-B9AA-7A0D475DBB44}&lt;Citation SecTmpl=&quot;1&quot;&gt;&lt;Group&gt;&lt;References&gt;&lt;Item&gt;&lt;ID&gt;85&lt;/ID&gt;&lt;UID&gt;{A0945756-66E2-4DDC-B74A-E134E0C70B4B}&lt;/UID&gt;&lt;Title&gt;Can paying “too much” or “too little” tax contribute to forced CEO turnover?&lt;/Title&gt;&lt;Template&gt;Journal Article&lt;/Template&gt;&lt;Star&gt;0&lt;/Star&gt;&lt;Tag&gt;0&lt;/Tag&gt;&lt;Author&gt;Chyz, James A; Gaertner, Fabio B&lt;/Author&gt;&lt;Year&gt;2018&lt;/Year&gt;&lt;Details&gt;&lt;_alternate_title&gt;The Accounting Review&lt;/_alternate_title&gt;&lt;_created&gt;63310295&lt;/_created&gt;&lt;_date&gt;2018-01-01&lt;/_date&gt;&lt;_date_display&gt;2018&lt;/_date_display&gt;&lt;_isbn&gt;1558-7967&lt;/_isbn&gt;&lt;_issue&gt;1&lt;/_issue&gt;&lt;_journal&gt;The Accounting Review&lt;/_journal&gt;&lt;_modified&gt;63310295&lt;/_modified&gt;&lt;_ori_publication&gt;American Accounting Association&lt;/_ori_publication&gt;&lt;_pages&gt;103-130&lt;/_pages&gt;&lt;_volume&gt;93&lt;/_volume&gt;&lt;/Details&gt;&lt;Extra&gt;&lt;DBUID&gt;{D2579611-BF89-4C7B-83D9-BE1288535D97}&lt;/DBUID&gt;&lt;/Extra&gt;&lt;/Item&gt;&lt;/References&gt;&lt;/Group&gt;&lt;/Citation&gt;_x000a_"/>
    <w:docVar w:name="NE.Ref{91E584BB-7480-4A29-986F-EC1FC2CA5D5F}" w:val=" ADDIN NE.Ref.{91E584BB-7480-4A29-986F-EC1FC2CA5D5F}&lt;Citation SecTmpl=&quot;1&quot;&gt;&lt;Group&gt;&lt;References&gt;&lt;Item&gt;&lt;ID&gt;113&lt;/ID&gt;&lt;UID&gt;{40FEFA10-4BF3-4FF9-B588-C8F62E5FFEDD}&lt;/UID&gt;&lt;Title&gt;政策不确定性、税收征管强度与企业税收规避&lt;/Title&gt;&lt;Template&gt;Journal Article&lt;/Template&gt;&lt;Star&gt;0&lt;/Star&gt;&lt;Tag&gt;0&lt;/Tag&gt;&lt;Author&gt;陈德球; 陈运森; 董志勇&lt;/Author&gt;&lt;Year&gt;2016&lt;/Year&gt;&lt;Details&gt;&lt;_accessed&gt;61775189&lt;/_accessed&gt;&lt;_author_aff&gt;对外经济贸易大学国际商学院;中央财经大学会计学院;北京大学经济学院;&lt;/_author_aff&gt;&lt;_collection_scope&gt;CSSCI;中文核心期刊;&lt;/_collection_scope&gt;&lt;_created&gt;61775188&lt;/_created&gt;&lt;_date&gt;61204320&lt;/_date&gt;&lt;_db_provider&gt;CNKI: 期刊&lt;/_db_provider&gt;&lt;_db_updated&gt;CNKI - Reference&lt;/_db_updated&gt;&lt;_issue&gt;05&lt;/_issue&gt;&lt;_journal&gt;管理世界&lt;/_journal&gt;&lt;_keywords&gt;政策不确定性;官员变更;税收规避;税收激进&lt;/_keywords&gt;&lt;_language&gt;Chinese&lt;/_language&gt;&lt;_modified&gt;61775189&lt;/_modified&gt;&lt;_pages&gt;151-163&lt;/_pages&gt;&lt;_url&gt;http://www.cnki.net/KCMS/detail/detail.aspx?FileName=GLSJ201605016&amp;amp;DbName=CJFQ2016&lt;/_url&gt;&lt;_translated_author&gt;Chen, Deqiu;Chen, Yunsen;Dong, Zhiyong&lt;/_translated_author&gt;&lt;/Details&gt;&lt;Extra&gt;&lt;DBUID&gt;{83AC290F-D6FC-4574-9771-6904EE9C30A4}&lt;/DBUID&gt;&lt;/Extra&gt;&lt;/Item&gt;&lt;/References&gt;&lt;/Group&gt;&lt;/Citation&gt;_x000a_"/>
    <w:docVar w:name="NE.Ref{91EE4187-B447-4838-8E39-23F549600D2E}" w:val=" ADDIN NE.Ref.{91EE4187-B447-4838-8E39-23F549600D2E}&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9235E67C-8248-428B-996A-FF4F593D0AAF}" w:val=" ADDIN NE.Ref.{9235E67C-8248-428B-996A-FF4F593D0AAF}&lt;Citation SecTmpl=&quot;1&quot;&gt;&lt;Group&gt;&lt;References&gt;&lt;Item&gt;&lt;ID&gt;73&lt;/ID&gt;&lt;UID&gt;{E8769188-1BE4-4D70-865B-879436B96ABF}&lt;/UID&gt;&lt;Title&gt;审计监督、最终控制人性质与税收激进度&lt;/Title&gt;&lt;Template&gt;Journal Article&lt;/Template&gt;&lt;Star&gt;0&lt;/Star&gt;&lt;Tag&gt;0&lt;/Tag&gt;&lt;Author&gt;金鑫; 雷光勇&lt;/Author&gt;&lt;Year&gt;2011&lt;/Year&gt;&lt;Details&gt;&lt;_accessed&gt;61697770&lt;/_accessed&gt;&lt;_author_aff&gt;对外经济贸易大学;&lt;/_author_aff&gt;&lt;_collection_scope&gt;CSSCI;中文核心期刊;&lt;/_collection_scope&gt;&lt;_created&gt;61697770&lt;/_created&gt;&lt;_date&gt;58769280&lt;/_date&gt;&lt;_db_provider&gt;CNKI: 期刊&lt;/_db_provider&gt;&lt;_db_updated&gt;CNKI - Reference&lt;/_db_updated&gt;&lt;_issue&gt;05&lt;/_issue&gt;&lt;_journal&gt;审计研究&lt;/_journal&gt;&lt;_keywords&gt;审计监督;最终控制人性质;税收激进度;制度环境&lt;/_keywords&gt;&lt;_language&gt;Chinese&lt;/_language&gt;&lt;_modified&gt;63228070&lt;/_modified&gt;&lt;_pages&gt;98-106&lt;/_pages&gt;&lt;_url&gt;http://www.cnki.net/KCMS/detail/detail.aspx?FileName=SJYZ201105015&amp;amp;DbName=CJFQ2011&lt;/_url&gt;&lt;_translated_author&gt;Jin, Xin;Lei, Guangyong&lt;/_translated_author&gt;&lt;/Details&gt;&lt;Extra&gt;&lt;DBUID&gt;{E9F07991-3B72-4492-A7D8-86E559D9F8FE}&lt;/DBUID&gt;&lt;/Extra&gt;&lt;/Item&gt;&lt;/References&gt;&lt;/Group&gt;&lt;/Citation&gt;_x000a_"/>
    <w:docVar w:name="NE.Ref{92832203-28D7-4F13-A623-3B7D260BE244}" w:val=" ADDIN NE.Ref.{92832203-28D7-4F13-A623-3B7D260BE244}&lt;Citation SecTmpl=&quot;1&quot;&gt;&lt;Group&gt;&lt;References&gt;&lt;Item&gt;&lt;ID&gt;91&lt;/ID&gt;&lt;UID&gt;{231D06BD-B721-4429-BB44-6B2F636F6901}&lt;/UID&gt;&lt;Title&gt;政治联系与审计师选择&lt;/Title&gt;&lt;Template&gt;Journal Article&lt;/Template&gt;&lt;Star&gt;0&lt;/Star&gt;&lt;Tag&gt;0&lt;/Tag&gt;&lt;Author&gt;杜兴强; 周泽将&lt;/Author&gt;&lt;Year&gt;2010&lt;/Year&gt;&lt;Details&gt;&lt;_accessed&gt;61605634&lt;/_accessed&gt;&lt;_author_adr&gt;厦门大学管理学院会计系,361005&lt;/_author_adr&gt;&lt;_author_aff&gt;厦门大学管理学院会计系,361005&lt;/_author_aff&gt;&lt;_collection_scope&gt;CSSCI;中文核心期刊;&lt;/_collection_scope&gt;&lt;_created&gt;61605634&lt;/_created&gt;&lt;_db_provider&gt;北京万方数据股份有限公司&lt;/_db_provider&gt;&lt;_db_updated&gt;Wanfangdata&lt;/_db_updated&gt;&lt;_isbn&gt;1002-4239&lt;/_isbn&gt;&lt;_issue&gt;2&lt;/_issue&gt;&lt;_journal&gt;审计研究&lt;/_journal&gt;&lt;_keywords&gt;政治联系; 政府官员类政治联系; 代表委员类政治联系; 审计师选择&lt;/_keywords&gt;&lt;_language&gt;chi&lt;/_language&gt;&lt;_modified&gt;61605634&lt;/_modified&gt;&lt;_pages&gt;47-53&lt;/_pages&gt;&lt;_tertiary_title&gt;AUDITING RESEARCH&lt;/_tertiary_title&gt;&lt;_translated_author&gt;&amp;quot;Du Xingqiang&amp;quot;; Zejiang, Zhou&lt;/_translated_author&gt;&lt;_translated_title&gt;Auditor Rotation and Audit Quality:A Theoretical Analysis&lt;/_translated_title&gt;&lt;_url&gt;http://d.g.wanfangdata.com.cn/Periodical_sjyj201002010.aspx&lt;/_url&gt;&lt;/Details&gt;&lt;Extra&gt;&lt;DBUID&gt;{7EBDD973-FB19-4DB0-8AC1-C6FC73CA4F6A}&lt;/DBUID&gt;&lt;/Extra&gt;&lt;/Item&gt;&lt;/References&gt;&lt;/Group&gt;&lt;/Citation&gt;_x000a_"/>
    <w:docVar w:name="NE.Ref{932D8D7E-E1D4-4483-975D-C755B3A39144}" w:val=" ADDIN NE.Ref.{932D8D7E-E1D4-4483-975D-C755B3A39144}&lt;Citation SecTmpl=&quot;1&quot;&gt;&lt;Group&gt;&lt;References&gt;&lt;Item&gt;&lt;ID&gt;129&lt;/ID&gt;&lt;UID&gt;{E07C49E0-919A-4B4B-9E58-500099B8890F}&lt;/UID&gt;&lt;Title&gt;大股东资金占用与审计师选择的再检验&lt;/Title&gt;&lt;Template&gt;Journal Article&lt;/Template&gt;&lt;Star&gt;0&lt;/Star&gt;&lt;Tag&gt;0&lt;/Tag&gt;&lt;Author&gt;高强; 伍利娜&lt;/Author&gt;&lt;Year&gt;2007&lt;/Year&gt;&lt;Details&gt;&lt;_accessed&gt;63241053&lt;/_accessed&gt;&lt;_author_aff&gt;财政部人事教育司;北京大学光华管理学院;&lt;/_author_aff&gt;&lt;_collection_scope&gt;CSSCI-C;PKU&lt;/_collection_scope&gt;&lt;_created&gt;63241052&lt;/_created&gt;&lt;_date&gt;56665440&lt;/_date&gt;&lt;_db_provider&gt;CNKI: 期刊&lt;/_db_provider&gt;&lt;_db_updated&gt;CNKI - Reference&lt;/_db_updated&gt;&lt;_issue&gt;05&lt;/_issue&gt;&lt;_journal&gt;审计研究&lt;/_journal&gt;&lt;_keywords&gt;大股东资金占用;审计;代理理论&lt;/_keywords&gt;&lt;_language&gt;Chinese&lt;/_language&gt;&lt;_modified&gt;63241053&lt;/_modified&gt;&lt;_pages&gt;84-90&lt;/_pages&gt;&lt;_url&gt;http://kns.cnki.net/KCMS/detail/detail.aspx?FileName=SJYZ200705020&amp;amp;DbName=CJFQ2007&lt;/_url&gt;&lt;_translated_author&gt;Gao, Qiang;Wu, Lina&lt;/_translated_author&gt;&lt;/Details&gt;&lt;Extra&gt;&lt;DBUID&gt;{E9F07991-3B72-4492-A7D8-86E559D9F8FE}&lt;/DBUID&gt;&lt;/Extra&gt;&lt;/Item&gt;&lt;/References&gt;&lt;/Group&gt;&lt;/Citation&gt;_x000a_"/>
    <w:docVar w:name="NE.Ref{9365BB74-2D18-4CD7-B056-323F67671F41}" w:val=" ADDIN NE.Ref.{9365BB74-2D18-4CD7-B056-323F67671F41}&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937A3D47-08F3-44AF-ADF8-C50DF065380C}" w:val=" ADDIN NE.Ref.{937A3D47-08F3-44AF-ADF8-C50DF065380C}&lt;Citation&gt;&lt;Group&gt;&lt;References&gt;&lt;Item&gt;&lt;ID&gt;131&lt;/ID&gt;&lt;UID&gt;{AAADB7A3-0DE8-4DDD-B5A3-F44B10B01F3F}&lt;/UID&gt;&lt;Title&gt;Propping through related party transactions&lt;/Title&gt;&lt;Template&gt;Journal Article&lt;/Template&gt;&lt;Star&gt;0&lt;/Star&gt;&lt;Tag&gt;0&lt;/Tag&gt;&lt;Author&gt;Jian, Ming; Wong, Tak Jun&lt;/Author&gt;&lt;Year&gt;2010&lt;/Year&gt;&lt;Details&gt;&lt;_accessed&gt;62757336&lt;/_accessed&gt;&lt;_alternate_title&gt;Review of Accounting Studies&lt;/_alternate_title&gt;&lt;_collection_scope&gt;SSCI;&lt;/_collection_scope&gt;&lt;_created&gt;62525533&lt;/_created&gt;&lt;_date&gt;2010-01-01&lt;/_date&gt;&lt;_date_display&gt;2010&lt;/_date_display&gt;&lt;_impact_factor&gt;   2.108&lt;/_impact_factor&gt;&lt;_isbn&gt;1380-6653&lt;/_isbn&gt;&lt;_issue&gt;1&lt;/_issue&gt;&lt;_journal&gt;Review of Accounting Studies&lt;/_journal&gt;&lt;_modified&gt;63241424&lt;/_modified&gt;&lt;_ori_publication&gt;Springer&lt;/_ori_publication&gt;&lt;_pages&gt;70-105&lt;/_pages&gt;&lt;_volume&gt;15&lt;/_volume&gt;&lt;/Details&gt;&lt;Extra&gt;&lt;DBUID&gt;{E9F07991-3B72-4492-A7D8-86E559D9F8FE}&lt;/DBUID&gt;&lt;/Extra&gt;&lt;/Item&gt;&lt;/References&gt;&lt;/Group&gt;&lt;Group&gt;&lt;References&gt;&lt;Item&gt;&lt;ID&gt;132&lt;/ID&gt;&lt;UID&gt;{1DE74949-86A7-45AB-9CB4-3A4F8D8C340D}&lt;/UID&gt;&lt;Title&gt;Coinsurance within business groups: Evidence from related party transactions in an emerging market&lt;/Title&gt;&lt;Template&gt;Journal Article&lt;/Template&gt;&lt;Star&gt;0&lt;/Star&gt;&lt;Tag&gt;0&lt;/Tag&gt;&lt;Author&gt;Jia, Nan; Shi, Jing; Wang, Yongxiang&lt;/Author&gt;&lt;Year&gt;2013&lt;/Year&gt;&lt;Details&gt;&lt;_alternate_title&gt;Management Science&lt;/_alternate_title&gt;&lt;_collection_scope&gt;SCIE;SSCI;EI&lt;/_collection_scope&gt;&lt;_created&gt;62806571&lt;/_created&gt;&lt;_date&gt;2013-01-01&lt;/_date&gt;&lt;_date_display&gt;2013&lt;/_date_display&gt;&lt;_impact_factor&gt;   4.219&lt;/_impact_factor&gt;&lt;_isbn&gt;0025-1909&lt;/_isbn&gt;&lt;_issue&gt;10&lt;/_issue&gt;&lt;_journal&gt;Management Science&lt;/_journal&gt;&lt;_modified&gt;63241425&lt;/_modified&gt;&lt;_ori_publication&gt;INFORMS&lt;/_ori_publication&gt;&lt;_pages&gt;2295-2313&lt;/_pages&gt;&lt;_volume&gt;59&lt;/_volume&gt;&lt;/Details&gt;&lt;Extra&gt;&lt;DBUID&gt;{E9F07991-3B72-4492-A7D8-86E559D9F8FE}&lt;/DBUID&gt;&lt;/Extra&gt;&lt;/Item&gt;&lt;/References&gt;&lt;/Group&gt;&lt;/Citation&gt;_x000a_"/>
    <w:docVar w:name="NE.Ref{93A944FB-908F-46B0-94AA-38F7BE2D8CE4}" w:val=" ADDIN NE.Ref.{93A944FB-908F-46B0-94AA-38F7BE2D8CE4}&lt;Citation SecTmpl=&quot;1&quot;&gt;&lt;Group&gt;&lt;References&gt;&lt;Item&gt;&lt;ID&gt;128&lt;/ID&gt;&lt;UID&gt;{C9759D89-D911-4DDD-8D68-05772AD204D9}&lt;/UID&gt;&lt;Title&gt;公司治理与掏空&lt;/Title&gt;&lt;Template&gt;Journal Article&lt;/Template&gt;&lt;Star&gt;0&lt;/Star&gt;&lt;Tag&gt;0&lt;/Tag&gt;&lt;Author&gt;高雷; 何少华; 黄志忠&lt;/Author&gt;&lt;Year&gt;2006&lt;/Year&gt;&lt;Details&gt;&lt;_accessed&gt;63241056&lt;/_accessed&gt;&lt;_author_aff&gt;汕头大学商学院;汕头大学商学院;汕头大学商学院;&lt;/_author_aff&gt;&lt;_created&gt;63241052&lt;/_created&gt;&lt;_date&gt;56031840&lt;/_date&gt;&lt;_db_provider&gt;CNKI: 期刊&lt;/_db_provider&gt;&lt;_db_updated&gt;CNKI - Reference&lt;/_db_updated&gt;&lt;_issue&gt;03&lt;/_issue&gt;&lt;_journal&gt;经济学(季刊)&lt;/_journal&gt;&lt;_keywords&gt;公司治理;掏空;资金占用&lt;/_keywords&gt;&lt;_language&gt;Chinese&lt;/_language&gt;&lt;_modified&gt;63241056&lt;/_modified&gt;&lt;_pages&gt;1157-1178&lt;/_pages&gt;&lt;_url&gt;http://kns.cnki.net/KCMS/detail/detail.aspx?FileName=JJXU200603008&amp;amp;DbName=CJFQ2006&lt;/_url&gt;&lt;_translated_author&gt;Gao, Lei;He, Shaohua;Huang, Zhizhong&lt;/_translated_author&gt;&lt;/Details&gt;&lt;Extra&gt;&lt;DBUID&gt;{E9F07991-3B72-4492-A7D8-86E559D9F8FE}&lt;/DBUID&gt;&lt;/Extra&gt;&lt;/Item&gt;&lt;/References&gt;&lt;/Group&gt;&lt;/Citation&gt;_x000a_"/>
    <w:docVar w:name="NE.Ref{94195334-3FDC-4ECE-AB39-ED13437A1EE1}" w:val=" ADDIN NE.Ref.{94195334-3FDC-4ECE-AB39-ED13437A1EE1}&lt;Citation SecTmpl=&quot;1&quot;&gt;&lt;Group&gt;&lt;References&gt;&lt;Item&gt;&lt;ID&gt;47&lt;/ID&gt;&lt;UID&gt;{C788D399-4373-41DA-A969-410EBB2E9439}&lt;/UID&gt;&lt;Title&gt;Are family firms more tax aggressive than non-family firms?&lt;/Title&gt;&lt;Template&gt;Journal Article&lt;/Template&gt;&lt;Star&gt;0&lt;/Star&gt;&lt;Tag&gt;0&lt;/Tag&gt;&lt;Author&gt;Chen, Shuping; Chen, Xia; Cheng, Qiang; Shevlin, Terry&lt;/Author&gt;&lt;Year&gt;2010&lt;/Year&gt;&lt;Details&gt;&lt;_alternate_title&gt;Journal of Financial Economics&lt;/_alternate_title&gt;&lt;_collection_scope&gt;SSCI&lt;/_collection_scope&gt;&lt;_created&gt;63224439&lt;/_created&gt;&lt;_date&gt;2010-01-01&lt;/_date&gt;&lt;_date_display&gt;2010&lt;/_date_display&gt;&lt;_impact_factor&gt;   4.693&lt;/_impact_factor&gt;&lt;_isbn&gt;0304-405X&lt;/_isbn&gt;&lt;_issue&gt;1&lt;/_issue&gt;&lt;_journal&gt;Journal of Financial Economics&lt;/_journal&gt;&lt;_modified&gt;63224439&lt;/_modified&gt;&lt;_ori_publication&gt;Elsevier&lt;/_ori_publication&gt;&lt;_pages&gt;41-61&lt;/_pages&gt;&lt;_volume&gt;95&lt;/_volume&gt;&lt;/Details&gt;&lt;Extra&gt;&lt;DBUID&gt;{E9F07991-3B72-4492-A7D8-86E559D9F8FE}&lt;/DBUID&gt;&lt;/Extra&gt;&lt;/Item&gt;&lt;/References&gt;&lt;/Group&gt;&lt;/Citation&gt;_x000a_"/>
    <w:docVar w:name="NE.Ref{950D4F07-F00F-43B6-A707-FDF6EC95BFE2}" w:val=" ADDIN NE.Ref.{950D4F07-F00F-43B6-A707-FDF6EC95BFE2}&lt;Citation SecTmpl=&quot;1&quot;&gt;&lt;Group&gt;&lt;References&gt;&lt;Item&gt;&lt;ID&gt;289&lt;/ID&gt;&lt;UID&gt;{982AF872-D5ED-4A7D-9B3C-544728AA1568}&lt;/UID&gt;&lt;Title&gt;Is tax avoidance related to firm risk?&lt;/Title&gt;&lt;Template&gt;Journal Article&lt;/Template&gt;&lt;Star&gt;0&lt;/Star&gt;&lt;Tag&gt;0&lt;/Tag&gt;&lt;Author&gt;Guenther, David A; Matsunaga, Steven R; Williams, Brian M&lt;/Author&gt;&lt;Year&gt;2017&lt;/Year&gt;&lt;Details&gt;&lt;_alternate_title&gt;The Accounting Review&lt;/_alternate_title&gt;&lt;_created&gt;63307418&lt;/_created&gt;&lt;_date&gt;2017-01-01&lt;/_date&gt;&lt;_date_display&gt;2017&lt;/_date_display&gt;&lt;_isbn&gt;1558-7967&lt;/_isbn&gt;&lt;_issue&gt;1&lt;/_issue&gt;&lt;_journal&gt;The Accounting Review&lt;/_journal&gt;&lt;_modified&gt;63307419&lt;/_modified&gt;&lt;_ori_publication&gt;American Accounting Association&lt;/_ori_publication&gt;&lt;_pages&gt;115-136&lt;/_pages&gt;&lt;_volume&gt;92&lt;/_volume&gt;&lt;/Details&gt;&lt;Extra&gt;&lt;DBUID&gt;{E9F07991-3B72-4492-A7D8-86E559D9F8FE}&lt;/DBUID&gt;&lt;/Extra&gt;&lt;/Item&gt;&lt;/References&gt;&lt;/Group&gt;&lt;/Citation&gt;_x000a_"/>
    <w:docVar w:name="NE.Ref{963074EC-B400-41FB-985A-BBE8A764761C}" w:val=" ADDIN NE.Ref.{963074EC-B400-41FB-985A-BBE8A764761C}&lt;Citation SecTmpl=&quot;1&quot;&gt;&lt;Group&gt;&lt;References&gt;&lt;Item&gt;&lt;ID&gt;639&lt;/ID&gt;&lt;UID&gt;{DA928F23-3689-4636-9377-9349DEE4B787}&lt;/UID&gt;&lt;Title&gt;Reducing restatements with increased industry expertise&lt;/Title&gt;&lt;Template&gt;Journal Article&lt;/Template&gt;&lt;Star&gt;0&lt;/Star&gt;&lt;Tag&gt;0&lt;/Tag&gt;&lt;Author&gt;Chin, Chen Lung; Chi, Hsin Yi&lt;/Author&gt;&lt;Year&gt;2009&lt;/Year&gt;&lt;Details&gt;&lt;_alternate_title&gt;Contemporary Accounting Research&lt;/_alternate_title&gt;&lt;_collection_scope&gt;SSCI&lt;/_collection_scope&gt;&lt;_created&gt;63179541&lt;/_created&gt;&lt;_date&gt;2009-01-01&lt;/_date&gt;&lt;_date_display&gt;2009&lt;/_date_display&gt;&lt;_impact_factor&gt;   2.261&lt;/_impact_factor&gt;&lt;_isbn&gt;0823-9150&lt;/_isbn&gt;&lt;_issue&gt;3&lt;/_issue&gt;&lt;_journal&gt;Contemporary Accounting Research&lt;/_journal&gt;&lt;_modified&gt;63179541&lt;/_modified&gt;&lt;_ori_publication&gt;Wiley Online Library&lt;/_ori_publication&gt;&lt;_pages&gt;729-765&lt;/_pages&gt;&lt;_volume&gt;26&lt;/_volume&gt;&lt;/Details&gt;&lt;Extra&gt;&lt;DBUID&gt;{83AC290F-D6FC-4574-9771-6904EE9C30A4}&lt;/DBUID&gt;&lt;/Extra&gt;&lt;/Item&gt;&lt;/References&gt;&lt;/Group&gt;&lt;/Citation&gt;_x000a_"/>
    <w:docVar w:name="NE.Ref{963B4697-E275-4F6E-875B-15EC7C7DC9AC}" w:val=" ADDIN NE.Ref.{963B4697-E275-4F6E-875B-15EC7C7DC9AC}&lt;Citation SecTmpl=&quot;1&quot;&gt;&lt;Group&gt;&lt;References&gt;&lt;Item&gt;&lt;ID&gt;180&lt;/ID&gt;&lt;UID&gt;{190B3A92-7AFA-4568-8105-325F4566D515}&lt;/UID&gt;&lt;Title&gt;A framework for understanding and researching audit quality&lt;/Title&gt;&lt;Template&gt;Journal Article&lt;/Template&gt;&lt;Star&gt;0&lt;/Star&gt;&lt;Tag&gt;0&lt;/Tag&gt;&lt;Author&gt;Francis, Jere R&lt;/Author&gt;&lt;Year&gt;2011&lt;/Year&gt;&lt;Details&gt;&lt;_alternate_title&gt;Auditing: A journal of practice &amp;amp; theory&lt;/_alternate_title&gt;&lt;_created&gt;63296424&lt;/_created&gt;&lt;_date&gt;2011-01-01&lt;/_date&gt;&lt;_date_display&gt;2011&lt;/_date_display&gt;&lt;_impact_factor&gt;   2.642&lt;/_impact_factor&gt;&lt;_isbn&gt;0278-0380&lt;/_isbn&gt;&lt;_issue&gt;2&lt;/_issue&gt;&lt;_journal&gt;Auditing: A journal of practice &amp;amp; theory&lt;/_journal&gt;&lt;_modified&gt;63296424&lt;/_modified&gt;&lt;_ori_publication&gt;American Accounting Association&lt;/_ori_publication&gt;&lt;_pages&gt;125-152&lt;/_pages&gt;&lt;_volume&gt;30&lt;/_volume&gt;&lt;/Details&gt;&lt;Extra&gt;&lt;DBUID&gt;{E9F07991-3B72-4492-A7D8-86E559D9F8FE}&lt;/DBUID&gt;&lt;/Extra&gt;&lt;/Item&gt;&lt;/References&gt;&lt;/Group&gt;&lt;/Citation&gt;_x000a_"/>
    <w:docVar w:name="NE.Ref{96A9BA1B-B5C7-42EA-8902-C6D8689AE07D}" w:val=" ADDIN NE.Ref.{96A9BA1B-B5C7-42EA-8902-C6D8689AE07D}&lt;Citation&gt;&lt;Group&gt;&lt;References&gt;&lt;Item&gt;&lt;ID&gt;54&lt;/ID&gt;&lt;UID&gt;{7946F31C-3ADD-4E76-A161-833F96DB74D5}&lt;/UID&gt;&lt;Title&gt;The impact of improved auditor independence on audit market concentration in China&lt;/Title&gt;&lt;Template&gt;Journal Article&lt;/Template&gt;&lt;Star&gt;0&lt;/Star&gt;&lt;Tag&gt;0&lt;/Tag&gt;&lt;Author&gt;DeFond, Mark L; Wong, Tak-Jun; Li, Shuhua&lt;/Author&gt;&lt;Year&gt;1999&lt;/Year&gt;&lt;Details&gt;&lt;_alternate_title&gt;Journal of Accounting and Economics&lt;/_alternate_title&gt;&lt;_created&gt;63225155&lt;/_created&gt;&lt;_date&gt;1999-01-01&lt;/_date&gt;&lt;_date_display&gt;1999&lt;/_date_display&gt;&lt;_impact_factor&gt;   3.753&lt;/_impact_factor&gt;&lt;_isbn&gt;0165-4101&lt;/_isbn&gt;&lt;_issue&gt;3&lt;/_issue&gt;&lt;_journal&gt;Journal of Accounting and Economics&lt;/_journal&gt;&lt;_modified&gt;63225155&lt;/_modified&gt;&lt;_ori_publication&gt;Elsevier&lt;/_ori_publication&gt;&lt;_pages&gt;269-305&lt;/_pages&gt;&lt;_volume&gt;28&lt;/_volume&gt;&lt;/Details&gt;&lt;Extra&gt;&lt;DBUID&gt;{E9F07991-3B72-4492-A7D8-86E559D9F8FE}&lt;/DBUID&gt;&lt;/Extra&gt;&lt;/Item&gt;&lt;/References&gt;&lt;/Group&gt;&lt;Group&gt;&lt;References&gt;&lt;Item&gt;&lt;ID&gt;55&lt;/ID&gt;&lt;UID&gt;{E458AB47-9FDD-4B47-8574-F6D4AA49E9FC}&lt;/UID&gt;&lt;Title&gt;Auditor choice and its implications for group‐affiliated firms&lt;/Title&gt;&lt;Template&gt;Journal Article&lt;/Template&gt;&lt;Star&gt;0&lt;/Star&gt;&lt;Tag&gt;0&lt;/Tag&gt;&lt;Author&gt;Fang, Junxiong; Pittman, Jeffrey; Zhang, Yinqi; Zhao, Yuping&lt;/Author&gt;&lt;Year&gt;2017&lt;/Year&gt;&lt;Details&gt;&lt;_alternate_title&gt;Contemporary Accounting Research&lt;/_alternate_title&gt;&lt;_collection_scope&gt;SSCI&lt;/_collection_scope&gt;&lt;_created&gt;63225156&lt;/_created&gt;&lt;_date&gt;2017-01-01&lt;/_date&gt;&lt;_date_display&gt;2017&lt;/_date_display&gt;&lt;_impact_factor&gt;   2.261&lt;/_impact_factor&gt;&lt;_isbn&gt;0823-9150&lt;/_isbn&gt;&lt;_issue&gt;1&lt;/_issue&gt;&lt;_journal&gt;Contemporary Accounting Research&lt;/_journal&gt;&lt;_modified&gt;63225156&lt;/_modified&gt;&lt;_ori_publication&gt;Wiley Online Library&lt;/_ori_publication&gt;&lt;_pages&gt;39-82&lt;/_pages&gt;&lt;_volume&gt;34&lt;/_volume&gt;&lt;/Details&gt;&lt;Extra&gt;&lt;DBUID&gt;{E9F07991-3B72-4492-A7D8-86E559D9F8FE}&lt;/DBUID&gt;&lt;/Extra&gt;&lt;/Item&gt;&lt;/References&gt;&lt;/Group&gt;&lt;Group&gt;&lt;References&gt;&lt;Item&gt;&lt;ID&gt;39&lt;/ID&gt;&lt;UID&gt;{67F897D7-9DD1-48AD-A965-08657EC8A70D}&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lternate_title&gt;Journal of accounting and economics&lt;/_alternate_title&gt;&lt;_created&gt;63224357&lt;/_created&gt;&lt;_date&gt;2018-01-01&lt;/_date&gt;&lt;_date_display&gt;2018&lt;/_date_display&gt;&lt;_impact_factor&gt;   3.753&lt;/_impact_factor&gt;&lt;_isbn&gt;0165-4101&lt;/_isbn&gt;&lt;_issue&gt;1&lt;/_issue&gt;&lt;_journal&gt;Journal of accounting and economics&lt;/_journal&gt;&lt;_modified&gt;63224357&lt;/_modified&gt;&lt;_ori_publication&gt;Elsevier&lt;/_ori_publication&gt;&lt;_pages&gt;21-40&lt;/_pages&gt;&lt;_volume&gt;65&lt;/_volume&gt;&lt;/Details&gt;&lt;Extra&gt;&lt;DBUID&gt;{E9F07991-3B72-4492-A7D8-86E559D9F8FE}&lt;/DBUID&gt;&lt;/Extra&gt;&lt;/Item&gt;&lt;/References&gt;&lt;/Group&gt;&lt;/Citation&gt;_x000a_"/>
    <w:docVar w:name="NE.Ref{9747B047-7861-4BF2-A42C-7F4D760838DC}" w:val=" ADDIN NE.Ref.{9747B047-7861-4BF2-A42C-7F4D760838DC}&lt;Citation SecTmpl=&quot;1&quot;&gt;&lt;Group&gt;&lt;References&gt;&lt;Item&gt;&lt;ID&gt;128&lt;/ID&gt;&lt;UID&gt;{C9759D89-D911-4DDD-8D68-05772AD204D9}&lt;/UID&gt;&lt;Title&gt;公司治理与掏空&lt;/Title&gt;&lt;Template&gt;Journal Article&lt;/Template&gt;&lt;Star&gt;0&lt;/Star&gt;&lt;Tag&gt;0&lt;/Tag&gt;&lt;Author&gt;高雷; 何少华; 黄志忠&lt;/Author&gt;&lt;Year&gt;2006&lt;/Year&gt;&lt;Details&gt;&lt;_accessed&gt;63241056&lt;/_accessed&gt;&lt;_author_aff&gt;汕头大学商学院;汕头大学商学院;汕头大学商学院;&lt;/_author_aff&gt;&lt;_created&gt;63241052&lt;/_created&gt;&lt;_date&gt;56031840&lt;/_date&gt;&lt;_db_provider&gt;CNKI: 期刊&lt;/_db_provider&gt;&lt;_db_updated&gt;CNKI - Reference&lt;/_db_updated&gt;&lt;_issue&gt;03&lt;/_issue&gt;&lt;_journal&gt;经济学(季刊)&lt;/_journal&gt;&lt;_keywords&gt;公司治理;掏空;资金占用&lt;/_keywords&gt;&lt;_language&gt;Chinese&lt;/_language&gt;&lt;_modified&gt;63241056&lt;/_modified&gt;&lt;_pages&gt;1157-1178&lt;/_pages&gt;&lt;_url&gt;http://kns.cnki.net/KCMS/detail/detail.aspx?FileName=JJXU200603008&amp;amp;DbName=CJFQ2006&lt;/_url&gt;&lt;_translated_author&gt;Gao, Lei;He, Shaohua;Huang, Zhizhong&lt;/_translated_author&gt;&lt;/Details&gt;&lt;Extra&gt;&lt;DBUID&gt;{E9F07991-3B72-4492-A7D8-86E559D9F8FE}&lt;/DBUID&gt;&lt;/Extra&gt;&lt;/Item&gt;&lt;/References&gt;&lt;/Group&gt;&lt;/Citation&gt;_x000a_"/>
    <w:docVar w:name="NE.Ref{9751E064-CE71-4C5A-B131-77FA63DDFAD6}" w:val=" ADDIN NE.Ref.{9751E064-CE71-4C5A-B131-77FA63DDFAD6}&lt;Citation SecTmpl=&quot;1&quot;&gt;&lt;Group&gt;&lt;References&gt;&lt;Item&gt;&lt;ID&gt;185&lt;/ID&gt;&lt;UID&gt;{6274A8A4-9843-46DF-BDA3-9B912F4F0458}&lt;/UID&gt;&lt;Title&gt;Can Big 4 versus Non-Big 4 Differences in Audit-Quality Proxies Be Attributed to Client Characteristics?&lt;/Title&gt;&lt;Template&gt;Journal Article&lt;/Template&gt;&lt;Star&gt;0&lt;/Star&gt;&lt;Tag&gt;0&lt;/Tag&gt;&lt;Author&gt;Lawrence, Alastair; Minutti-Meza, Miguel; Zhang, Ping&lt;/Author&gt;&lt;Year&gt;2011&lt;/Year&gt;&lt;Details&gt;&lt;_accessed&gt;62888249&lt;/_accessed&gt;&lt;_created&gt;62888249&lt;/_created&gt;&lt;_db_updated&gt;CrossRef&lt;/_db_updated&gt;&lt;_doi&gt;10.2308/accr.00000009&lt;/_doi&gt;&lt;_impact_factor&gt;   4.562&lt;/_impact_factor&gt;&lt;_isbn&gt;0001-4826&lt;/_isbn&gt;&lt;_issue&gt;1&lt;/_issue&gt;&lt;_journal&gt;The Accounting Review&lt;/_journal&gt;&lt;_modified&gt;63297776&lt;/_modified&gt;&lt;_pages&gt;259-286&lt;/_pages&gt;&lt;_tertiary_title&gt;The Accounting Review&lt;/_tertiary_title&gt;&lt;_url&gt;http://aaajournals.org/doi/10.2308/accr.00000009_x000d__x000a_http://aaajournals.org/doi/pdf/10.2308/accr.00000009&lt;/_url&gt;&lt;_volume&gt;86&lt;/_volume&gt;&lt;/Details&gt;&lt;Extra&gt;&lt;DBUID&gt;{E9F07991-3B72-4492-A7D8-86E559D9F8FE}&lt;/DBUID&gt;&lt;/Extra&gt;&lt;/Item&gt;&lt;/References&gt;&lt;/Group&gt;&lt;/Citation&gt;_x000a_"/>
    <w:docVar w:name="NE.Ref{976D2734-12CD-4C2C-8D02-07824FFA30A6}" w:val=" ADDIN NE.Ref.{976D2734-12CD-4C2C-8D02-07824FFA30A6}&lt;Citation&gt;&lt;Group&gt;&lt;References&gt;&lt;Item&gt;&lt;ID&gt;43&lt;/ID&gt;&lt;UID&gt;{06B8BEDA-413C-43A2-B219-3F3BC3A42A82}&lt;/UID&gt;&lt;Title&gt;Towards a positive theory of the determination of accounting standards&lt;/Title&gt;&lt;Template&gt;Journal Article&lt;/Template&gt;&lt;Star&gt;0&lt;/Star&gt;&lt;Tag&gt;0&lt;/Tag&gt;&lt;Author&gt;Watts, Ross L; Zimmerman, Jerold L&lt;/Author&gt;&lt;Year&gt;1978&lt;/Year&gt;&lt;Details&gt;&lt;_alternate_title&gt;Accounting review&lt;/_alternate_title&gt;&lt;_collection_scope&gt;SSCI&lt;/_collection_scope&gt;&lt;_created&gt;63224419&lt;/_created&gt;&lt;_date&gt;1978-01-01&lt;/_date&gt;&lt;_date_display&gt;1978&lt;/_date_display&gt;&lt;_impact_factor&gt;   4.562&lt;/_impact_factor&gt;&lt;_isbn&gt;0001-4826&lt;/_isbn&gt;&lt;_journal&gt;Accounting review&lt;/_journal&gt;&lt;_modified&gt;63224419&lt;/_modified&gt;&lt;_ori_publication&gt;JSTOR&lt;/_ori_publication&gt;&lt;_pages&gt;112-134&lt;/_pages&gt;&lt;/Details&gt;&lt;Extra&gt;&lt;DBUID&gt;{E9F07991-3B72-4492-A7D8-86E559D9F8FE}&lt;/DBUID&gt;&lt;/Extra&gt;&lt;/Item&gt;&lt;/References&gt;&lt;/Group&gt;&lt;/Citation&gt;_x000a_"/>
    <w:docVar w:name="NE.Ref{980E70AF-8B83-4B10-A127-198D22857CF4}" w:val=" ADDIN NE.Ref.{980E70AF-8B83-4B10-A127-198D22857CF4}&lt;Citation&gt;&lt;Group&gt;&lt;References&gt;&lt;Item&gt;&lt;ID&gt;173&lt;/ID&gt;&lt;UID&gt;{186980E2-5E74-4A66-8EE4-911A82BA80E5}&lt;/UID&gt;&lt;Title&gt;Research in accounting for income taxes&lt;/Title&gt;&lt;Template&gt;Journal Article&lt;/Template&gt;&lt;Star&gt;0&lt;/Star&gt;&lt;Tag&gt;0&lt;/Tag&gt;&lt;Author&gt;Graham, John R; Raedy, Jana S; Shackelford, Douglas A&lt;/Author&gt;&lt;Year&gt;2012&lt;/Year&gt;&lt;Details&gt;&lt;_alternate_title&gt;Journal of Accounting and Economics&lt;/_alternate_title&gt;&lt;_created&gt;63295810&lt;/_created&gt;&lt;_date&gt;2012-01-01&lt;/_date&gt;&lt;_date_display&gt;2012&lt;/_date_display&gt;&lt;_impact_factor&gt;   3.753&lt;/_impact_factor&gt;&lt;_isbn&gt;0165-4101&lt;/_isbn&gt;&lt;_issue&gt;1-2&lt;/_issue&gt;&lt;_journal&gt;Journal of Accounting and Economics&lt;/_journal&gt;&lt;_modified&gt;63295810&lt;/_modified&gt;&lt;_ori_publication&gt;Elsevier&lt;/_ori_publication&gt;&lt;_pages&gt;412-434&lt;/_pages&gt;&lt;_volume&gt;53&lt;/_volume&gt;&lt;/Details&gt;&lt;Extra&gt;&lt;DBUID&gt;{E9F07991-3B72-4492-A7D8-86E559D9F8FE}&lt;/DBUID&gt;&lt;/Extra&gt;&lt;/Item&gt;&lt;/References&gt;&lt;/Group&gt;&lt;/Citation&gt;_x000a_"/>
    <w:docVar w:name="NE.Ref{98175024-0A21-4AC1-BF52-14A20F9A4FFD}" w:val=" ADDIN NE.Ref.{98175024-0A21-4AC1-BF52-14A20F9A4FFD}&lt;Citation SecTmpl=&quot;1&quot;&gt;&lt;Group&gt;&lt;References&gt;&lt;Item&gt;&lt;ID&gt;17&lt;/ID&gt;&lt;UID&gt;{D09B5202-E911-4999-987C-52E40F2E01F9}&lt;/UID&gt;&lt;Title&gt;内部人交易与企业盈余管理行为&lt;/Title&gt;&lt;Template&gt;Journal Article&lt;/Template&gt;&lt;Star&gt;0&lt;/Star&gt;&lt;Tag&gt;0&lt;/Tag&gt;&lt;Author&gt;武聪; 张俊生&lt;/Author&gt;&lt;Year&gt;2009&lt;/Year&gt;&lt;Details&gt;&lt;_accessed&gt;63267310&lt;/_accessed&gt;&lt;_author_aff&gt;中央财经大学会计学院;&lt;/_author_aff&gt;&lt;_collection_scope&gt;CSSCI-C&lt;/_collection_scope&gt;&lt;_created&gt;63267310&lt;/_created&gt;&lt;_date&gt;57640320&lt;/_date&gt;&lt;_db_provider&gt;CNKI: 期刊&lt;/_db_provider&gt;&lt;_db_updated&gt;CNKI - Reference&lt;/_db_updated&gt;&lt;_issue&gt;08&lt;/_issue&gt;&lt;_journal&gt;经济管理&lt;/_journal&gt;&lt;_keywords&gt;内部人交易;盈余管理;经济盈余管理&lt;/_keywords&gt;&lt;_language&gt;Chinese&lt;/_language&gt;&lt;_modified&gt;63267310&lt;/_modified&gt;&lt;_pages&gt;113-118&lt;/_pages&gt;&lt;_url&gt;http://kns.cnki.net/KCMS/detail/detail.aspx?FileName=JJGU200908023&amp;amp;DbName=CJFQ2009&lt;/_url&gt;&lt;_volume&gt;31&lt;/_volume&gt;&lt;_translated_author&gt;Wu, Cong;Zhang, Junsheng&lt;/_translated_author&gt;&lt;/Details&gt;&lt;Extra&gt;&lt;DBUID&gt;{439358B4-FA18-4C63-A3A1-0E3BE4066E7A}&lt;/DBUID&gt;&lt;/Extra&gt;&lt;/Item&gt;&lt;/References&gt;&lt;/Group&gt;&lt;/Citation&gt;_x000a_"/>
    <w:docVar w:name="NE.Ref{988D0177-DA52-4F8B-A185-35C4C8AB74B2}" w:val=" ADDIN NE.Ref.{988D0177-DA52-4F8B-A185-35C4C8AB74B2}&lt;Citation SecTmpl=&quot;1&quot;&gt;&lt;Group&gt;&lt;References&gt;&lt;Item&gt;&lt;ID&gt;170&lt;/ID&gt;&lt;UID&gt;{A8E26643-3D9B-4688-A99F-3C8E79A065BA}&lt;/UID&gt;&lt;Title&gt;Does corporate tax aggressiveness influence audit pricing?&lt;/Title&gt;&lt;Template&gt;Journal Article&lt;/Template&gt;&lt;Star&gt;0&lt;/Star&gt;&lt;Tag&gt;0&lt;/Tag&gt;&lt;Author&gt;Donohoe, Michael P; Robert Knechel, W&lt;/Author&gt;&lt;Year&gt;2014&lt;/Year&gt;&lt;Details&gt;&lt;_accessed&gt;62701858&lt;/_accessed&gt;&lt;_alternate_title&gt;Contemporary Accounting Research&lt;/_alternate_title&gt;&lt;_collection_scope&gt;SSCI&lt;/_collection_scope&gt;&lt;_created&gt;62649279&lt;/_created&gt;&lt;_date&gt;2014-01-01&lt;/_date&gt;&lt;_date_display&gt;2014&lt;/_date_display&gt;&lt;_impact_factor&gt;   2.261&lt;/_impact_factor&gt;&lt;_isbn&gt;0823-9150&lt;/_isbn&gt;&lt;_issue&gt;1&lt;/_issue&gt;&lt;_journal&gt;Contemporary Accounting Research&lt;/_journal&gt;&lt;_modified&gt;63295786&lt;/_modified&gt;&lt;_ori_publication&gt;Wiley Online Library&lt;/_ori_publication&gt;&lt;_pages&gt;284-308&lt;/_pages&gt;&lt;_volume&gt;31&lt;/_volume&gt;&lt;/Details&gt;&lt;Extra&gt;&lt;DBUID&gt;{E9F07991-3B72-4492-A7D8-86E559D9F8FE}&lt;/DBUID&gt;&lt;/Extra&gt;&lt;/Item&gt;&lt;/References&gt;&lt;/Group&gt;&lt;/Citation&gt;_x000a_"/>
    <w:docVar w:name="NE.Ref{9892A294-09E0-44DB-921A-CE8D92DD875C}" w:val=" ADDIN NE.Ref.{9892A294-09E0-44DB-921A-CE8D92DD875C}&lt;Citation&gt;&lt;Group&gt;&lt;References&gt;&lt;Item&gt;&lt;ID&gt;15&lt;/ID&gt;&lt;UID&gt;{E929BB2F-8CD6-48D3-98F6-D4A48FA1FEDE}&lt;/UID&gt;&lt;Title&gt;客户重要性、风险性质与审计质量——基于财务重述视角的经验证据&lt;/Title&gt;&lt;Template&gt;Journal Article&lt;/Template&gt;&lt;Star&gt;0&lt;/Star&gt;&lt;Tag&gt;0&lt;/Tag&gt;&lt;Author&gt;曹强; 胡南薇; 王良成&lt;/Author&gt;&lt;Year&gt;2012&lt;/Year&gt;&lt;Details&gt;&lt;_accessed&gt;63218058&lt;/_accessed&gt;&lt;_author_aff&gt;中央财经大学会计学院;中国矿业大学(北京)管理学院;四川大学工商管理学院;&lt;/_author_aff&gt;&lt;_collection_scope&gt;CSSCI-C;PKU&lt;/_collection_scope&gt;&lt;_created&gt;63218058&lt;/_created&gt;&lt;_date&gt;59384160&lt;/_date&gt;&lt;_db_provider&gt;CNKI: 期刊&lt;/_db_provider&gt;&lt;_db_updated&gt;CNKI - Reference&lt;/_db_updated&gt;&lt;_issue&gt;06&lt;/_issue&gt;&lt;_journal&gt;审计研究&lt;/_journal&gt;&lt;_keywords&gt;客户重要性;财务重述;审计意见;风险性质&lt;/_keywords&gt;&lt;_language&gt;Chinese&lt;/_language&gt;&lt;_modified&gt;63218058&lt;/_modified&gt;&lt;_pages&gt;60-70&lt;/_pages&gt;&lt;_url&gt;http://kns.cnki.net/KCMS/detail/detail.aspx?FileName=SJYZ201206010&amp;amp;DbName=CJFQ2012&lt;/_url&gt;&lt;_translated_author&gt;Cao, Qiang;Hu, Nanwei;Wang, Liangcheng&lt;/_translated_author&gt;&lt;/Details&gt;&lt;Extra&gt;&lt;DBUID&gt;{E9F07991-3B72-4492-A7D8-86E559D9F8FE}&lt;/DBUID&gt;&lt;/Extra&gt;&lt;/Item&gt;&lt;/References&gt;&lt;/Group&gt;&lt;Group&gt;&lt;References&gt;&lt;Item&gt;&lt;ID&gt;14&lt;/ID&gt;&lt;UID&gt;{D8541BD4-6C7D-406C-98BD-74686723A23F}&lt;/UID&gt;&lt;Title&gt;客户重要性与审计谈判&lt;/Title&gt;&lt;Template&gt;Journal Article&lt;/Template&gt;&lt;Star&gt;0&lt;/Star&gt;&lt;Tag&gt;0&lt;/Tag&gt;&lt;Author&gt;张继勋; 张丽霞&lt;/Author&gt;&lt;Year&gt;2011&lt;/Year&gt;&lt;Details&gt;&lt;_accessed&gt;63218055&lt;/_accessed&gt;&lt;_author_aff&gt;南开大学商学院;&lt;/_author_aff&gt;&lt;_collection_scope&gt;CSSCI-C;PKU&lt;/_collection_scope&gt;&lt;_created&gt;63218055&lt;/_created&gt;&lt;_date&gt;58592160&lt;/_date&gt;&lt;_db_provider&gt;CNKI: 期刊&lt;/_db_provider&gt;&lt;_db_updated&gt;CNKI - Reference&lt;/_db_updated&gt;&lt;_issue&gt;03&lt;/_issue&gt;&lt;_journal&gt;审计研究&lt;/_journal&gt;&lt;_keywords&gt;客户重要性;审计谈判;谈判结果&lt;/_keywords&gt;&lt;_language&gt;Chinese&lt;/_language&gt;&lt;_modified&gt;63218055&lt;/_modified&gt;&lt;_pages&gt;56-63&lt;/_pages&gt;&lt;_url&gt;http://kns.cnki.net/KCMS/detail/detail.aspx?FileName=SJYZ201103012&amp;amp;DbName=CJFQ2011&lt;/_url&gt;&lt;_translated_author&gt;Zhang, Jixun;Zhang, Lixia&lt;/_translated_author&gt;&lt;/Details&gt;&lt;Extra&gt;&lt;DBUID&gt;{E9F07991-3B72-4492-A7D8-86E559D9F8FE}&lt;/DBUID&gt;&lt;/Extra&gt;&lt;/Item&gt;&lt;/References&gt;&lt;/Group&gt;&lt;Group&gt;&lt;References&gt;&lt;Item&gt;&lt;ID&gt;13&lt;/ID&gt;&lt;UID&gt;{A5099B35-BA8E-417D-A149-51111DDB8654}&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2751448&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3218053&lt;/_modified&gt;&lt;_pages&gt;127-158&lt;/_pages&gt;&lt;_volume&gt;85&lt;/_volume&gt;&lt;/Details&gt;&lt;Extra&gt;&lt;DBUID&gt;{E9F07991-3B72-4492-A7D8-86E559D9F8FE}&lt;/DBUID&gt;&lt;/Extra&gt;&lt;/Item&gt;&lt;/References&gt;&lt;/Group&gt;&lt;Group&gt;&lt;References&gt;&lt;Item&gt;&lt;ID&gt;16&lt;/ID&gt;&lt;UID&gt;{2C9B42CE-940C-4ECB-954D-D01878BA713B}&lt;/UID&gt;&lt;Title&gt;Audit and non-audit fees and capital market perceptions of auditor independence&lt;/Title&gt;&lt;Template&gt;Journal Article&lt;/Template&gt;&lt;Star&gt;0&lt;/Star&gt;&lt;Tag&gt;0&lt;/Tag&gt;&lt;Author&gt;Ghosh, Aloke Al; Kallapur, Sanjay; Moon, Doocheol&lt;/Author&gt;&lt;Year&gt;2009&lt;/Year&gt;&lt;Details&gt;&lt;_alternate_title&gt;Journal of Accounting and Public Policy&lt;/_alternate_title&gt;&lt;_collection_scope&gt;SSCI&lt;/_collection_scope&gt;&lt;_created&gt;63218070&lt;/_created&gt;&lt;_date&gt;2009-01-01&lt;/_date&gt;&lt;_date_display&gt;2009&lt;/_date_display&gt;&lt;_impact_factor&gt;   2.269&lt;/_impact_factor&gt;&lt;_isbn&gt;0278-4254&lt;/_isbn&gt;&lt;_issue&gt;5&lt;/_issue&gt;&lt;_journal&gt;Journal of Accounting and Public Policy&lt;/_journal&gt;&lt;_modified&gt;63218070&lt;/_modified&gt;&lt;_ori_publication&gt;Elsevier&lt;/_ori_publication&gt;&lt;_pages&gt;369-385&lt;/_pages&gt;&lt;_volume&gt;28&lt;/_volume&gt;&lt;/Details&gt;&lt;Extra&gt;&lt;DBUID&gt;{E9F07991-3B72-4492-A7D8-86E559D9F8FE}&lt;/DBUID&gt;&lt;/Extra&gt;&lt;/Item&gt;&lt;/References&gt;&lt;/Group&gt;&lt;/Citation&gt;_x000a_"/>
    <w:docVar w:name="NE.Ref{98D5D077-F364-45BD-A965-827B5B91D04E}" w:val=" ADDIN NE.Ref.{98D5D077-F364-45BD-A965-827B5B91D04E}&lt;Citation&gt;&lt;Group&gt;&lt;References&gt;&lt;Item&gt;&lt;ID&gt;54&lt;/ID&gt;&lt;UID&gt;{7946F31C-3ADD-4E76-A161-833F96DB74D5}&lt;/UID&gt;&lt;Title&gt;The impact of improved auditor independence on audit market concentration in China&lt;/Title&gt;&lt;Template&gt;Journal Article&lt;/Template&gt;&lt;Star&gt;0&lt;/Star&gt;&lt;Tag&gt;0&lt;/Tag&gt;&lt;Author&gt;DeFond, Mark L; Wong, Tak-Jun; Li, Shuhua&lt;/Author&gt;&lt;Year&gt;1999&lt;/Year&gt;&lt;Details&gt;&lt;_alternate_title&gt;Journal of Accounting and Economics&lt;/_alternate_title&gt;&lt;_created&gt;63225155&lt;/_created&gt;&lt;_date&gt;1999-01-01&lt;/_date&gt;&lt;_date_display&gt;1999&lt;/_date_display&gt;&lt;_impact_factor&gt;   3.753&lt;/_impact_factor&gt;&lt;_isbn&gt;0165-4101&lt;/_isbn&gt;&lt;_issue&gt;3&lt;/_issue&gt;&lt;_journal&gt;Journal of Accounting and Economics&lt;/_journal&gt;&lt;_modified&gt;63225155&lt;/_modified&gt;&lt;_ori_publication&gt;Elsevier&lt;/_ori_publication&gt;&lt;_pages&gt;269-305&lt;/_pages&gt;&lt;_volume&gt;28&lt;/_volume&gt;&lt;/Details&gt;&lt;Extra&gt;&lt;DBUID&gt;{E9F07991-3B72-4492-A7D8-86E559D9F8FE}&lt;/DBUID&gt;&lt;/Extra&gt;&lt;/Item&gt;&lt;/References&gt;&lt;/Group&gt;&lt;Group&gt;&lt;References&gt;&lt;Item&gt;&lt;ID&gt;55&lt;/ID&gt;&lt;UID&gt;{E458AB47-9FDD-4B47-8574-F6D4AA49E9FC}&lt;/UID&gt;&lt;Title&gt;Auditor choice and its implications for group‐affiliated firms&lt;/Title&gt;&lt;Template&gt;Journal Article&lt;/Template&gt;&lt;Star&gt;0&lt;/Star&gt;&lt;Tag&gt;0&lt;/Tag&gt;&lt;Author&gt;Fang, Junxiong; Pittman, Jeffrey; Zhang, Yinqi; Zhao, Yuping&lt;/Author&gt;&lt;Year&gt;2017&lt;/Year&gt;&lt;Details&gt;&lt;_alternate_title&gt;Contemporary Accounting Research&lt;/_alternate_title&gt;&lt;_collection_scope&gt;SSCI&lt;/_collection_scope&gt;&lt;_created&gt;63225156&lt;/_created&gt;&lt;_date&gt;2017-01-01&lt;/_date&gt;&lt;_date_display&gt;2017&lt;/_date_display&gt;&lt;_impact_factor&gt;   2.261&lt;/_impact_factor&gt;&lt;_isbn&gt;0823-9150&lt;/_isbn&gt;&lt;_issue&gt;1&lt;/_issue&gt;&lt;_journal&gt;Contemporary Accounting Research&lt;/_journal&gt;&lt;_modified&gt;63225156&lt;/_modified&gt;&lt;_ori_publication&gt;Wiley Online Library&lt;/_ori_publication&gt;&lt;_pages&gt;39-82&lt;/_pages&gt;&lt;_volume&gt;34&lt;/_volume&gt;&lt;/Details&gt;&lt;Extra&gt;&lt;DBUID&gt;{E9F07991-3B72-4492-A7D8-86E559D9F8FE}&lt;/DBUID&gt;&lt;/Extra&gt;&lt;/Item&gt;&lt;/References&gt;&lt;/Group&gt;&lt;Group&gt;&lt;References&gt;&lt;Item&gt;&lt;ID&gt;39&lt;/ID&gt;&lt;UID&gt;{67F897D7-9DD1-48AD-A965-08657EC8A70D}&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lternate_title&gt;Journal of accounting and economics&lt;/_alternate_title&gt;&lt;_created&gt;63224357&lt;/_created&gt;&lt;_date&gt;2018-01-01&lt;/_date&gt;&lt;_date_display&gt;2018&lt;/_date_display&gt;&lt;_impact_factor&gt;   3.753&lt;/_impact_factor&gt;&lt;_isbn&gt;0165-4101&lt;/_isbn&gt;&lt;_issue&gt;1&lt;/_issue&gt;&lt;_journal&gt;Journal of accounting and economics&lt;/_journal&gt;&lt;_modified&gt;63224357&lt;/_modified&gt;&lt;_ori_publication&gt;Elsevier&lt;/_ori_publication&gt;&lt;_pages&gt;21-40&lt;/_pages&gt;&lt;_volume&gt;65&lt;/_volume&gt;&lt;/Details&gt;&lt;Extra&gt;&lt;DBUID&gt;{E9F07991-3B72-4492-A7D8-86E559D9F8FE}&lt;/DBUID&gt;&lt;/Extra&gt;&lt;/Item&gt;&lt;/References&gt;&lt;/Group&gt;&lt;/Citation&gt;_x000a_"/>
    <w:docVar w:name="NE.Ref{98DA1594-033E-4AC3-93E2-56AFA5CFD4DE}" w:val=" ADDIN NE.Ref.{98DA1594-033E-4AC3-93E2-56AFA5CFD4DE}&lt;Citation SecTmpl=&quot;1&quot;&gt;&lt;Group&gt;&lt;References&gt;&lt;Item&gt;&lt;ID&gt;102&lt;/ID&gt;&lt;UID&gt;{8DE12318-5016-4CD1-A44F-EA9A52CD2576}&lt;/UID&gt;&lt;Title&gt;公司避税活动与内部代理成本&lt;/Title&gt;&lt;Template&gt;Journal Article&lt;/Template&gt;&lt;Star&gt;0&lt;/Star&gt;&lt;Tag&gt;0&lt;/Tag&gt;&lt;Author&gt;叶康涛; 刘行&lt;/Author&gt;&lt;Year&gt;2014&lt;/Year&gt;&lt;Details&gt;&lt;_accessed&gt;61754015&lt;/_accessed&gt;&lt;_author_aff&gt;中国人民大学商学院;东北财经大学会计学院/中国内部控制研究中心;&lt;/_author_aff&gt;&lt;_collection_scope&gt;CSSCI;&lt;/_collection_scope&gt;&lt;_created&gt;61754015&lt;/_created&gt;&lt;_date&gt;60343200&lt;/_date&gt;&lt;_db_provider&gt;CNKI: 期刊&lt;/_db_provider&gt;&lt;_db_updated&gt;CNKI - Reference&lt;/_db_updated&gt;&lt;_issue&gt;09&lt;/_issue&gt;&lt;_journal&gt;金融研究&lt;/_journal&gt;&lt;_keywords&gt;避税;代理成本;薪酬契约&lt;/_keywords&gt;&lt;_language&gt;Chinese&lt;/_language&gt;&lt;_modified&gt;61762248&lt;/_modified&gt;&lt;_pages&gt;158-176&lt;/_pages&gt;&lt;_url&gt;http://www.cnki.net/KCMS/detail/detail.aspx?FileName=JRYJ201409011&amp;amp;DbName=CJFQ2014&lt;/_url&gt;&lt;_translated_author&gt;Ye, Kangtao;Liu, Xing&lt;/_translated_author&gt;&lt;/Details&gt;&lt;Extra&gt;&lt;DBUID&gt;{83AC290F-D6FC-4574-9771-6904EE9C30A4}&lt;/DBUID&gt;&lt;/Extra&gt;&lt;/Item&gt;&lt;/References&gt;&lt;/Group&gt;&lt;/Citation&gt;_x000a_"/>
    <w:docVar w:name="NE.Ref{98F7817C-7C77-4C81-9536-8F4AFCF34A41}" w:val=" ADDIN NE.Ref.{98F7817C-7C77-4C81-9536-8F4AFCF34A41}&lt;Citation SecTmpl=&quot;1&quot;&gt;&lt;Group&gt;&lt;References&gt;&lt;Item&gt;&lt;ID&gt;154&lt;/ID&gt;&lt;UID&gt;{60D82039-0183-465F-A5E0-C3FB50F0A90B}&lt;/UID&gt;&lt;Title&gt;Do changes in audit actions and attitudes consistent with increased auditor scepticism deter aggressive earnings management? An experimental investigation&lt;/Title&gt;&lt;Template&gt;Journal Article&lt;/Template&gt;&lt;Star&gt;0&lt;/Star&gt;&lt;Tag&gt;0&lt;/Tag&gt;&lt;Author&gt;Chen, Qiu; Kelly, Khim; Salterio, Steven E&lt;/Author&gt;&lt;Year&gt;2012&lt;/Year&gt;&lt;Details&gt;&lt;_alternate_title&gt;Accounting, Organizations and Society&lt;/_alternate_title&gt;&lt;_created&gt;63261237&lt;/_created&gt;&lt;_date&gt;2012-01-01&lt;/_date&gt;&lt;_date_display&gt;2012&lt;/_date_display&gt;&lt;_impact_factor&gt;   3.147&lt;/_impact_factor&gt;&lt;_isbn&gt;0361-3682&lt;/_isbn&gt;&lt;_issue&gt;2&lt;/_issue&gt;&lt;_journal&gt;Accounting, Organizations and Society&lt;/_journal&gt;&lt;_modified&gt;63261237&lt;/_modified&gt;&lt;_ori_publication&gt;Elsevier&lt;/_ori_publication&gt;&lt;_pages&gt;95-115&lt;/_pages&gt;&lt;_volume&gt;37&lt;/_volume&gt;&lt;/Details&gt;&lt;Extra&gt;&lt;DBUID&gt;{E9F07991-3B72-4492-A7D8-86E559D9F8FE}&lt;/DBUID&gt;&lt;/Extra&gt;&lt;/Item&gt;&lt;/References&gt;&lt;/Group&gt;&lt;/Citation&gt;_x000a_"/>
    <w:docVar w:name="NE.Ref{9978C75C-3A9E-46F9-8FAF-D66DD9CB2105}" w:val=" ADDIN NE.Ref.{9978C75C-3A9E-46F9-8FAF-D66DD9CB2105}&lt;Citation&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998B0D3C-5DA9-477B-AF86-7DBA014A13F3}" w:val=" ADDIN NE.Ref.{998B0D3C-5DA9-477B-AF86-7DBA014A13F3}&lt;Citation SecTmpl=&quot;1&quot;&gt;&lt;Group&gt;&lt;References&gt;&lt;Item&gt;&lt;ID&gt;385&lt;/ID&gt;&lt;UID&gt;{206133B5-3008-4758-AFAF-521A49B70BD5}&lt;/UID&gt;&lt;Title&gt;Tax reporting aggressiveness and its relation to aggressive financial reporting&lt;/Title&gt;&lt;Template&gt;Journal Article&lt;/Template&gt;&lt;Star&gt;0&lt;/Star&gt;&lt;Tag&gt;0&lt;/Tag&gt;&lt;Author&gt;Frank, Mary Margaret; Lynch, Luann J; Rego, Sonja Olhoft&lt;/Author&gt;&lt;Year&gt;2009&lt;/Year&gt;&lt;Details&gt;&lt;_alternate_title&gt;The Accounting Review&lt;/_alternate_title&gt;&lt;_created&gt;62859446&lt;/_created&gt;&lt;_date&gt;2009-01-01&lt;/_date&gt;&lt;_date_display&gt;2009&lt;/_date_display&gt;&lt;_impact_factor&gt;   4.562&lt;/_impact_factor&gt;&lt;_isbn&gt;0001-4826&lt;/_isbn&gt;&lt;_issue&gt;2&lt;/_issue&gt;&lt;_journal&gt;The Accounting Review&lt;/_journal&gt;&lt;_modified&gt;62859446&lt;/_modified&gt;&lt;_pages&gt;467-496&lt;/_pages&gt;&lt;_volume&gt;84&lt;/_volume&gt;&lt;/Details&gt;&lt;Extra&gt;&lt;DBUID&gt;{83AC290F-D6FC-4574-9771-6904EE9C30A4}&lt;/DBUID&gt;&lt;/Extra&gt;&lt;/Item&gt;&lt;/References&gt;&lt;/Group&gt;&lt;/Citation&gt;_x000a_"/>
    <w:docVar w:name="NE.Ref{99FAC9D9-5E0F-4B11-BCDD-4EAB0BE3EC5D}" w:val=" ADDIN NE.Ref.{99FAC9D9-5E0F-4B11-BCDD-4EAB0BE3EC5D}&lt;Citation SecTmpl=&quot;1&quot;&gt;&lt;Group&gt;&lt;References&gt;&lt;Item&gt;&lt;ID&gt;47&lt;/ID&gt;&lt;UID&gt;{C788D399-4373-41DA-A969-410EBB2E9439}&lt;/UID&gt;&lt;Title&gt;Are family firms more tax aggressive than non-family firms?&lt;/Title&gt;&lt;Template&gt;Journal Article&lt;/Template&gt;&lt;Star&gt;0&lt;/Star&gt;&lt;Tag&gt;0&lt;/Tag&gt;&lt;Author&gt;Chen, Shuping; Chen, Xia; Cheng, Qiang; Shevlin, Terry&lt;/Author&gt;&lt;Year&gt;2010&lt;/Year&gt;&lt;Details&gt;&lt;_alternate_title&gt;Journal of Financial Economics&lt;/_alternate_title&gt;&lt;_collection_scope&gt;SSCI&lt;/_collection_scope&gt;&lt;_created&gt;63224439&lt;/_created&gt;&lt;_date&gt;2010-01-01&lt;/_date&gt;&lt;_date_display&gt;2010&lt;/_date_display&gt;&lt;_impact_factor&gt;   4.693&lt;/_impact_factor&gt;&lt;_isbn&gt;0304-405X&lt;/_isbn&gt;&lt;_issue&gt;1&lt;/_issue&gt;&lt;_journal&gt;Journal of Financial Economics&lt;/_journal&gt;&lt;_modified&gt;63224439&lt;/_modified&gt;&lt;_ori_publication&gt;Elsevier&lt;/_ori_publication&gt;&lt;_pages&gt;41-61&lt;/_pages&gt;&lt;_volume&gt;95&lt;/_volume&gt;&lt;/Details&gt;&lt;Extra&gt;&lt;DBUID&gt;{E9F07991-3B72-4492-A7D8-86E559D9F8FE}&lt;/DBUID&gt;&lt;/Extra&gt;&lt;/Item&gt;&lt;/References&gt;&lt;/Group&gt;&lt;/Citation&gt;_x000a_"/>
    <w:docVar w:name="NE.Ref{9A1D7108-0A29-49BC-8D59-A6F7F69EE46E}" w:val=" ADDIN NE.Ref.{9A1D7108-0A29-49BC-8D59-A6F7F69EE46E}&lt;Citation&gt;&lt;Group&gt;&lt;References&gt;&lt;Item&gt;&lt;ID&gt;4&lt;/ID&gt;&lt;UID&gt;{31145EE2-9AD7-4B3C-807E-8DB51F468947}&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ccessed&gt;62649323&lt;/_accessed&gt;&lt;_created&gt;61697758&lt;/_created&gt;&lt;_isbn&gt;1558-7991&lt;/_isbn&gt;&lt;_issue&gt;4&lt;/_issue&gt;&lt;_journal&gt;Auditing: A Journal of Practice &amp;amp; Theory&lt;/_journal&gt;&lt;_modified&gt;61697766&lt;/_modified&gt;&lt;_pages&gt;105-135&lt;/_pages&gt;&lt;_volume&gt;35&lt;/_volume&gt;&lt;/Details&gt;&lt;Extra&gt;&lt;DBUID&gt;{83AC290F-D6FC-4574-9771-6904EE9C30A4}&lt;/DBUID&gt;&lt;/Extra&gt;&lt;/Item&gt;&lt;/References&gt;&lt;/Group&gt;&lt;/Citation&gt;_x000a_"/>
    <w:docVar w:name="NE.Ref{9A44EEEC-4EC4-4B5F-B6B3-1B6B7F83A59A}" w:val=" ADDIN NE.Ref.{9A44EEEC-4EC4-4B5F-B6B3-1B6B7F83A59A}&lt;Citation SecTmpl=&quot;1&quot;&gt;&lt;Group&gt;&lt;References&gt;&lt;Item&gt;&lt;ID&gt;34&lt;/ID&gt;&lt;UID&gt;{8CC7758A-3E0E-4765-AA70-FE1C718C7562}&lt;/UID&gt;&lt;Title&gt;Theory of the firm: Managerial behavior, agency costs and ownership structure&lt;/Title&gt;&lt;Template&gt;Journal Article&lt;/Template&gt;&lt;Star&gt;0&lt;/Star&gt;&lt;Tag&gt;0&lt;/Tag&gt;&lt;Author&gt;Jensen, Michael C; Meckling, William H&lt;/Author&gt;&lt;Year&gt;1976&lt;/Year&gt;&lt;Details&gt;&lt;_alternate_title&gt;Journal of financial economics&lt;/_alternate_title&gt;&lt;_collection_scope&gt;SSCI&lt;/_collection_scope&gt;&lt;_created&gt;62984854&lt;/_created&gt;&lt;_date&gt;1976-01-01&lt;/_date&gt;&lt;_date_display&gt;1976&lt;/_date_display&gt;&lt;_impact_factor&gt;   4.693&lt;/_impact_factor&gt;&lt;_isbn&gt;0304-405X&lt;/_isbn&gt;&lt;_issue&gt;4&lt;/_issue&gt;&lt;_journal&gt;Journal of financial economics&lt;/_journal&gt;&lt;_modified&gt;62984865&lt;/_modified&gt;&lt;_ori_publication&gt;Elsevier&lt;/_ori_publication&gt;&lt;_pages&gt;305-360&lt;/_pages&gt;&lt;_volume&gt;3&lt;/_volume&gt;&lt;/Details&gt;&lt;Extra&gt;&lt;DBUID&gt;{FC3926E0-C699-4036-83FB-4E6D351501C6}&lt;/DBUID&gt;&lt;/Extra&gt;&lt;/Item&gt;&lt;/References&gt;&lt;/Group&gt;&lt;/Citation&gt;_x000a_"/>
    <w:docVar w:name="NE.Ref{9B39B8A1-EB83-4884-8115-FB93F31013CA}" w:val=" ADDIN NE.Ref.{9B39B8A1-EB83-4884-8115-FB93F31013CA}&lt;Citation SecTmpl=&quot;1&quot;&gt;&lt;Group&gt;&lt;References&gt;&lt;Item&gt;&lt;ID&gt;306&lt;/ID&gt;&lt;UID&gt;{2D97981D-E9C1-46BF-A2F8-6B862DAFD310}&lt;/UID&gt;&lt;Title&gt;CEO narcissism and corporate tax sheltering&lt;/Title&gt;&lt;Template&gt;Journal Article&lt;/Template&gt;&lt;Star&gt;0&lt;/Star&gt;&lt;Tag&gt;0&lt;/Tag&gt;&lt;Author&gt;Olsen, Kari Joseph; Stekelberg, James&lt;/Author&gt;&lt;Year&gt;2016&lt;/Year&gt;&lt;Details&gt;&lt;_alternate_title&gt;The journal of the American taxation association&lt;/_alternate_title&gt;&lt;_created&gt;63309370&lt;/_created&gt;&lt;_date&gt;2016-01-01&lt;/_date&gt;&lt;_date_display&gt;2016&lt;/_date_display&gt;&lt;_isbn&gt;1558-8017&lt;/_isbn&gt;&lt;_issue&gt;1&lt;/_issue&gt;&lt;_journal&gt;The journal of the American taxation association&lt;/_journal&gt;&lt;_modified&gt;63309370&lt;/_modified&gt;&lt;_ori_publication&gt;American Accounting Assocation&lt;/_ori_publication&gt;&lt;_pages&gt;1-22&lt;/_pages&gt;&lt;_volume&gt;38&lt;/_volume&gt;&lt;/Details&gt;&lt;Extra&gt;&lt;DBUID&gt;{E9F07991-3B72-4492-A7D8-86E559D9F8FE}&lt;/DBUID&gt;&lt;/Extra&gt;&lt;/Item&gt;&lt;/References&gt;&lt;/Group&gt;&lt;/Citation&gt;_x000a_"/>
    <w:docVar w:name="NE.Ref{9BB90753-A639-448B-9E40-814939970CFC}" w:val=" ADDIN NE.Ref.{9BB90753-A639-448B-9E40-814939970CFC}&lt;Citation&gt;&lt;Group&gt;&lt;References&gt;&lt;Item&gt;&lt;ID&gt;109&lt;/ID&gt;&lt;UID&gt;{F42C24EC-94F2-4B27-AD3B-5200821BEA34}&lt;/UID&gt;&lt;Title&gt;股权激励能够抑制大股东掏空吗?&lt;/Title&gt;&lt;Template&gt;Journal Article&lt;/Template&gt;&lt;Star&gt;0&lt;/Star&gt;&lt;Tag&gt;0&lt;/Tag&gt;&lt;Author&gt;丑建忠; 黄志忠; 谢军&lt;/Author&gt;&lt;Year&gt;2008&lt;/Year&gt;&lt;Details&gt;&lt;_accessed&gt;63241050&lt;/_accessed&gt;&lt;_author_aff&gt;厦门大学王亚南经济研究院;汕头大学商学院;华南师范大学经济与管理学院;&lt;/_author_aff&gt;&lt;_collection_scope&gt;CSSCI-C&lt;/_collection_scope&gt;&lt;_created&gt;63240989&lt;/_created&gt;&lt;_date&gt;57159360&lt;/_date&gt;&lt;_db_provider&gt;CNKI: 期刊&lt;/_db_provider&gt;&lt;_db_updated&gt;CNKI - Reference&lt;/_db_updated&gt;&lt;_issue&gt;17&lt;/_issue&gt;&lt;_journal&gt;经济管理&lt;/_journal&gt;&lt;_keywords&gt;所有权结构;股权激励;掏空&lt;/_keywords&gt;&lt;_language&gt;Chinese&lt;/_language&gt;&lt;_modified&gt;63241050&lt;/_modified&gt;&lt;_pages&gt;48-53&lt;/_pages&gt;&lt;_url&gt;http://kns.cnki.net/KCMS/detail/detail.aspx?FileName=JJGU200817013&amp;amp;DbName=CJFQ2008&lt;/_url&gt;&lt;_translated_author&gt;Chou, Jianzhong;Huang, Zhizhong;Xie, Jun&lt;/_translated_author&gt;&lt;/Details&gt;&lt;Extra&gt;&lt;DBUID&gt;{E9F07991-3B72-4492-A7D8-86E559D9F8FE}&lt;/DBUID&gt;&lt;/Extra&gt;&lt;/Item&gt;&lt;/References&gt;&lt;/Group&gt;&lt;/Citation&gt;_x000a_"/>
    <w:docVar w:name="NE.Ref{9CA1E247-48F5-432C-AA43-7B1BD0B2FED0}" w:val=" ADDIN NE.Ref.{9CA1E247-48F5-432C-AA43-7B1BD0B2FED0}&lt;Citation&gt;&lt;Group&gt;&lt;References&gt;&lt;Item&gt;&lt;ID&gt;142&lt;/ID&gt;&lt;UID&gt;{47CCF105-DB54-43F9-BF02-C70B9976FCFB}&lt;/UID&gt;&lt;Title&gt;公司治理与公司透明度&lt;/Title&gt;&lt;Template&gt;Journal Article&lt;/Template&gt;&lt;Star&gt;0&lt;/Star&gt;&lt;Tag&gt;0&lt;/Tag&gt;&lt;Author&gt;高雷; 宋顺林&lt;/Author&gt;&lt;Year&gt;2007&lt;/Year&gt;&lt;Details&gt;&lt;_accessed&gt;63257315&lt;/_accessed&gt;&lt;_author_aff&gt;南京信息工程大学国际财务研究院;汕头大学商学院 南京 210044;汕头 515063&lt;/_author_aff&gt;&lt;_collection_scope&gt;CSSCI-C&lt;/_collection_scope&gt;&lt;_created&gt;63257314&lt;/_created&gt;&lt;_date&gt;56748960&lt;/_date&gt;&lt;_db_provider&gt;CNKI: 期刊&lt;/_db_provider&gt;&lt;_db_updated&gt;CNKI - Reference&lt;/_db_updated&gt;&lt;_issue&gt;11&lt;/_issue&gt;&lt;_journal&gt;金融研究&lt;/_journal&gt;&lt;_keywords&gt;公司治理;信息披露;公司透明度&lt;/_keywords&gt;&lt;_language&gt;Chinese&lt;/_language&gt;&lt;_modified&gt;63257315&lt;/_modified&gt;&lt;_pages&gt;28-44&lt;/_pages&gt;&lt;_url&gt;http://kns.cnki.net/KCMS/detail/detail.aspx?FileName=JRYJ200711008&amp;amp;DbName=CJFQ2007&lt;/_url&gt;&lt;_translated_author&gt;Gao, Lei;Song, Shunlin&lt;/_translated_author&gt;&lt;/Details&gt;&lt;Extra&gt;&lt;DBUID&gt;{E9F07991-3B72-4492-A7D8-86E559D9F8FE}&lt;/DBUID&gt;&lt;/Extra&gt;&lt;/Item&gt;&lt;/References&gt;&lt;/Group&gt;&lt;/Citation&gt;_x000a_"/>
    <w:docVar w:name="NE.Ref{9CC19F72-D8E8-47BD-A89A-98E481438F57}" w:val=" ADDIN NE.Ref.{9CC19F72-D8E8-47BD-A89A-98E481438F57}&lt;Citation SecTmpl=&quot;1&quot;&gt;&lt;Group&gt;&lt;References&gt;&lt;Item&gt;&lt;ID&gt;684&lt;/ID&gt;&lt;UID&gt;{7383AAAA-2743-4C0A-906E-79E975A151D0}&lt;/UID&gt;&lt;Title&gt;Accounting for tax benefits of employee stock options and implications for research&lt;/Title&gt;&lt;Template&gt;Journal Article&lt;/Template&gt;&lt;Star&gt;0&lt;/Star&gt;&lt;Tag&gt;0&lt;/Tag&gt;&lt;Author&gt;Hanlon, Michelle; Shevlin, Terry&lt;/Author&gt;&lt;Year&gt;2002&lt;/Year&gt;&lt;Details&gt;&lt;_alternate_title&gt;Accounting Horizons&lt;/_alternate_title&gt;&lt;_collection_scope&gt;SSCI&lt;/_collection_scope&gt;&lt;_created&gt;63284301&lt;/_created&gt;&lt;_date&gt;2002-01-01&lt;/_date&gt;&lt;_date_display&gt;2002&lt;/_date_display&gt;&lt;_impact_factor&gt;   1.377&lt;/_impact_factor&gt;&lt;_isbn&gt;0888-7993&lt;/_isbn&gt;&lt;_issue&gt;1&lt;/_issue&gt;&lt;_journal&gt;Accounting Horizons&lt;/_journal&gt;&lt;_modified&gt;63284301&lt;/_modified&gt;&lt;_pages&gt;1-16&lt;/_pages&gt;&lt;_volume&gt;16&lt;/_volume&gt;&lt;/Details&gt;&lt;Extra&gt;&lt;DBUID&gt;{83AC290F-D6FC-4574-9771-6904EE9C30A4}&lt;/DBUID&gt;&lt;/Extra&gt;&lt;/Item&gt;&lt;/References&gt;&lt;/Group&gt;&lt;/Citation&gt;_x000a_"/>
    <w:docVar w:name="NE.Ref{9E266F3A-A4BC-483B-ACDB-F3580C118F30}" w:val=" ADDIN NE.Ref.{9E266F3A-A4BC-483B-ACDB-F3580C118F30}&lt;Citation SecTmpl=&quot;1&quot;&gt;&lt;Group&gt;&lt;References&gt;&lt;Item&gt;&lt;ID&gt;54&lt;/ID&gt;&lt;UID&gt;{6132C291-7203-44E0-A9F3-42029B3D1425}&lt;/UID&gt;&lt;Title&gt;Insider trading restrictions and insiders’ supply of information: Evidence from earnings smoothing&lt;/Title&gt;&lt;Template&gt;Journal Article&lt;/Template&gt;&lt;Star&gt;0&lt;/Star&gt;&lt;Tag&gt;0&lt;/Tag&gt;&lt;Author&gt;Zhang, Ivy Xiying; Zhang, Yong&lt;/Author&gt;&lt;Year&gt;2018&lt;/Year&gt;&lt;Details&gt;&lt;_alternate_title&gt;Contemporary Accounting Research&lt;/_alternate_title&gt;&lt;_collection_scope&gt;SSCI&lt;/_collection_scope&gt;&lt;_created&gt;63268499&lt;/_created&gt;&lt;_date&gt;2018-01-01&lt;/_date&gt;&lt;_date_display&gt;2018&lt;/_date_display&gt;&lt;_impact_factor&gt;   2.261&lt;/_impact_factor&gt;&lt;_isbn&gt;0823-9150&lt;/_isbn&gt;&lt;_issue&gt;2&lt;/_issue&gt;&lt;_journal&gt;Contemporary Accounting Research&lt;/_journal&gt;&lt;_modified&gt;63268499&lt;/_modified&gt;&lt;_ori_publication&gt;Wiley Online Library&lt;/_ori_publication&gt;&lt;_pages&gt;898-929&lt;/_pages&gt;&lt;_volume&gt;35&lt;/_volume&gt;&lt;/Details&gt;&lt;Extra&gt;&lt;DBUID&gt;{439358B4-FA18-4C63-A3A1-0E3BE4066E7A}&lt;/DBUID&gt;&lt;/Extra&gt;&lt;/Item&gt;&lt;/References&gt;&lt;/Group&gt;&lt;/Citation&gt;_x000a_"/>
    <w:docVar w:name="NE.Ref{9E480D91-E2A8-43AB-8170-E64909F6ED71}" w:val=" ADDIN NE.Ref.{9E480D91-E2A8-43AB-8170-E64909F6ED71}&lt;Citation SecTmpl=&quot;1&quot;&gt;&lt;Group&gt;&lt;References&gt;&lt;Item&gt;&lt;ID&gt;8&lt;/ID&gt;&lt;UID&gt;{45282083-4487-473D-AD1F-15AA4D878AEE}&lt;/UID&gt;&lt;Title&gt;Do school ties between auditors and client executives influence audit outcomes?&lt;/Title&gt;&lt;Template&gt;Journal Article&lt;/Template&gt;&lt;Star&gt;0&lt;/Star&gt;&lt;Tag&gt;0&lt;/Tag&gt;&lt;Author&gt;Guan, Yuyan; Su, Lixin Nancy; Wu, Donghui; Yang, Zhifeng&lt;/Author&gt;&lt;Year&gt;2016&lt;/Year&gt;&lt;Details&gt;&lt;_accessed&gt;63322114&lt;/_accessed&gt;&lt;_alternate_title&gt;Journal of accounting and economics&lt;/_alternate_title&gt;&lt;_created&gt;63134875&lt;/_created&gt;&lt;_date&gt;2016-01-01&lt;/_date&gt;&lt;_date_display&gt;2016&lt;/_date_display&gt;&lt;_impact_factor&gt;   3.753&lt;/_impact_factor&gt;&lt;_isbn&gt;0165-4101&lt;/_isbn&gt;&lt;_issue&gt;2-3&lt;/_issue&gt;&lt;_journal&gt;Journal of accounting and economics&lt;/_journal&gt;&lt;_modified&gt;63322114&lt;/_modified&gt;&lt;_ori_publication&gt;Elsevier&lt;/_ori_publication&gt;&lt;_pages&gt;506-525&lt;/_pages&gt;&lt;_volume&gt;61&lt;/_volume&gt;&lt;/Details&gt;&lt;Extra&gt;&lt;DBUID&gt;{E9F07991-3B72-4492-A7D8-86E559D9F8FE}&lt;/DBUID&gt;&lt;/Extra&gt;&lt;/Item&gt;&lt;/References&gt;&lt;/Group&gt;&lt;/Citation&gt;_x000a_"/>
    <w:docVar w:name="NE.Ref{9FA1FFA8-46BC-4D40-895D-3E69C9B15622}" w:val=" ADDIN NE.Ref.{9FA1FFA8-46BC-4D40-895D-3E69C9B15622}&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9FD5F133-73B5-45B5-8021-E7D65827CBFA}" w:val=" ADDIN NE.Ref.{9FD5F133-73B5-45B5-8021-E7D65827CBFA}&lt;Citation SecTmpl=&quot;1&quot;&gt;&lt;Group&gt;&lt;References&gt;&lt;Item&gt;&lt;ID&gt;182&lt;/ID&gt;&lt;UID&gt;{AE720F2D-C5F6-4D88-B208-D3E27176D00D}&lt;/UID&gt;&lt;Title&gt;Audit quality: Insights from the academic literature&lt;/Title&gt;&lt;Template&gt;Journal Article&lt;/Template&gt;&lt;Star&gt;0&lt;/Star&gt;&lt;Tag&gt;0&lt;/Tag&gt;&lt;Author&gt;Knechel, W Robert; Krishnan, Gopal V; Pevzner, Mikhail; Bhaskar, Lori Shefchik; Velury, Uma&lt;/Author&gt;&lt;Year&gt;2013&lt;/Year&gt;&lt;Details&gt;&lt;_alternate_title&gt;Auditing: A journal of practice &amp;amp; theory&lt;/_alternate_title&gt;&lt;_created&gt;63297266&lt;/_created&gt;&lt;_date&gt;2013-01-01&lt;/_date&gt;&lt;_date_display&gt;2013&lt;/_date_display&gt;&lt;_issue&gt;1&lt;/_issue&gt;&lt;_journal&gt;Auditing: A journal of practice &amp;amp; theory&lt;/_journal&gt;&lt;_modified&gt;63297266&lt;/_modified&gt;&lt;_volume&gt;32&lt;/_volume&gt;&lt;/Details&gt;&lt;Extra&gt;&lt;DBUID&gt;{E9F07991-3B72-4492-A7D8-86E559D9F8FE}&lt;/DBUID&gt;&lt;/Extra&gt;&lt;/Item&gt;&lt;/References&gt;&lt;/Group&gt;&lt;/Citation&gt;_x000a_"/>
    <w:docVar w:name="NE.Ref{9FE20CE8-C2F1-4E94-957F-C4A8695A050E}" w:val=" ADDIN NE.Ref.{9FE20CE8-C2F1-4E94-957F-C4A8695A050E}&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A018FB65-CF47-4466-84BA-2308D833E45A}" w:val=" ADDIN NE.Ref.{A018FB65-CF47-4466-84BA-2308D833E45A}&lt;Citation SecTmpl=&quot;1&quot;&gt;&lt;Group&gt;&lt;References&gt;&lt;Item&gt;&lt;ID&gt;294&lt;/ID&gt;&lt;UID&gt;{BD778132-90F0-45C1-9726-85D2C8C895A4}&lt;/UID&gt;&lt;Title&gt;Taxes and firm size&lt;/Title&gt;&lt;Template&gt;Journal Article&lt;/Template&gt;&lt;Star&gt;0&lt;/Star&gt;&lt;Tag&gt;0&lt;/Tag&gt;&lt;Author&gt;Zimmerman, Jerold L&lt;/Author&gt;&lt;Year&gt;1983&lt;/Year&gt;&lt;Details&gt;&lt;_alternate_title&gt;Journal of accounting and economics&lt;/_alternate_title&gt;&lt;_created&gt;63308736&lt;/_created&gt;&lt;_date&gt;1983-01-01&lt;/_date&gt;&lt;_date_display&gt;1983&lt;/_date_display&gt;&lt;_impact_factor&gt;   3.753&lt;/_impact_factor&gt;&lt;_isbn&gt;0165-4101&lt;/_isbn&gt;&lt;_journal&gt;Journal of accounting and economics&lt;/_journal&gt;&lt;_modified&gt;63308736&lt;/_modified&gt;&lt;_ori_publication&gt;Elsevier&lt;/_ori_publication&gt;&lt;_pages&gt;119-149&lt;/_pages&gt;&lt;_volume&gt;5&lt;/_volume&gt;&lt;/Details&gt;&lt;Extra&gt;&lt;DBUID&gt;{E9F07991-3B72-4492-A7D8-86E559D9F8FE}&lt;/DBUID&gt;&lt;/Extra&gt;&lt;/Item&gt;&lt;/References&gt;&lt;/Group&gt;&lt;/Citation&gt;_x000a_"/>
    <w:docVar w:name="NE.Ref{A0B544F2-3926-47AD-96E1-66E9FC1E35E8}" w:val=" ADDIN NE.Ref.{A0B544F2-3926-47AD-96E1-66E9FC1E35E8}&lt;Citation SecTmpl=&quot;1&quot;&gt;&lt;Group&gt;&lt;References&gt;&lt;Item&gt;&lt;ID&gt;287&lt;/ID&gt;&lt;UID&gt;{9F0621ED-B092-45A8-B2AC-B06831853894}&lt;/UID&gt;&lt;Title&gt;What does tax aggressiveness signal? Evidence from stock price reactions to news about tax shelter involvement&lt;/Title&gt;&lt;Template&gt;Journal Article&lt;/Template&gt;&lt;Star&gt;0&lt;/Star&gt;&lt;Tag&gt;0&lt;/Tag&gt;&lt;Author&gt;Hanlon, Michelle; Slemrod, Joel&lt;/Author&gt;&lt;Year&gt;2009&lt;/Year&gt;&lt;Details&gt;&lt;_alternate_title&gt;Journal of Public Economics&lt;/_alternate_title&gt;&lt;_collection_scope&gt;SSCI&lt;/_collection_scope&gt;&lt;_created&gt;63307374&lt;/_created&gt;&lt;_date&gt;2009-01-01&lt;/_date&gt;&lt;_date_display&gt;2009&lt;/_date_display&gt;&lt;_impact_factor&gt;   1.773&lt;/_impact_factor&gt;&lt;_isbn&gt;0047-2727&lt;/_isbn&gt;&lt;_issue&gt;1-2&lt;/_issue&gt;&lt;_journal&gt;Journal of Public Economics&lt;/_journal&gt;&lt;_modified&gt;63307374&lt;/_modified&gt;&lt;_ori_publication&gt;Elsevier&lt;/_ori_publication&gt;&lt;_pages&gt;126-141&lt;/_pages&gt;&lt;_volume&gt;93&lt;/_volume&gt;&lt;/Details&gt;&lt;Extra&gt;&lt;DBUID&gt;{E9F07991-3B72-4492-A7D8-86E559D9F8FE}&lt;/DBUID&gt;&lt;/Extra&gt;&lt;/Item&gt;&lt;/References&gt;&lt;/Group&gt;&lt;/Citation&gt;_x000a_"/>
    <w:docVar w:name="NE.Ref{A10778E5-213D-41C6-B4A3-193E56CE4837}" w:val=" ADDIN NE.Ref.{A10778E5-213D-41C6-B4A3-193E56CE4837}&lt;Citation&gt;&lt;Group&gt;&lt;References&gt;&lt;Item&gt;&lt;ID&gt;126&lt;/ID&gt;&lt;UID&gt;{D3FE2439-FFC3-40D6-A085-24A6C6F13603}&lt;/UID&gt;&lt;Title&gt;Auditor Industry Specialization and Earnings Quality&lt;/Title&gt;&lt;Template&gt;Journal Article&lt;/Template&gt;&lt;Star&gt;0&lt;/Star&gt;&lt;Tag&gt;0&lt;/Tag&gt;&lt;Author&gt;Balsam, Steven; Krishnan, Jagan; Yang, Joon S&lt;/Author&gt;&lt;Year&gt;2003&lt;/Year&gt;&lt;Details&gt;&lt;_accessed&gt;62983543&lt;/_accessed&gt;&lt;_created&gt;62473943&lt;/_created&gt;&lt;_issue&gt;2&lt;/_issue&gt;&lt;_journal&gt;Auditing A Journal of Practice &amp;amp; Theory&lt;/_journal&gt;&lt;_keywords&gt;Auditor Industry Specialization and Earnings Quality, Artículo&lt;/_keywords&gt;&lt;_modified&gt;62473969&lt;/_modified&gt;&lt;_pages&gt;71-97&lt;/_pages&gt;&lt;_volume&gt;22&lt;/_volume&gt;&lt;/Details&gt;&lt;Extra&gt;&lt;DBUID&gt;{2097646C-7C2F-4992-8A9B-6FF23AE7F1B7}&lt;/DBUID&gt;&lt;/Extra&gt;&lt;/Item&gt;&lt;/References&gt;&lt;/Group&gt;&lt;/Citation&gt;_x000a_"/>
    <w:docVar w:name="NE.Ref{A19FE061-D2BC-4B9A-895B-DF6CC89612C1}" w:val=" ADDIN NE.Ref.{A19FE061-D2BC-4B9A-895B-DF6CC89612C1}&lt;Citation SecTmpl=&quot;1&quot;&gt;&lt;Group&gt;&lt;References&gt;&lt;Item&gt;&lt;ID&gt;77&lt;/ID&gt;&lt;UID&gt;{49819DF8-0A94-4B03-93FC-1BA22A5BB940}&lt;/UID&gt;&lt;Title&gt;Tax avoidance: Does tax-specific industry expertise make a difference?&lt;/Title&gt;&lt;Template&gt;Journal Article&lt;/Template&gt;&lt;Star&gt;0&lt;/Star&gt;&lt;Tag&gt;0&lt;/Tag&gt;&lt;Author&gt;McGuire, Sean T; Omer, Thomas C; Wang, Dechun&lt;/Author&gt;&lt;Year&gt;2012&lt;/Year&gt;&lt;Details&gt;&lt;_alternate_title&gt;The Accounting Review&lt;/_alternate_title&gt;&lt;_created&gt;62649249&lt;/_created&gt;&lt;_date&gt;2012-01-01&lt;/_date&gt;&lt;_date_display&gt;2012&lt;/_date_display&gt;&lt;_impact_factor&gt;   4.562&lt;/_impact_factor&gt;&lt;_isbn&gt;0001-4826&lt;/_isbn&gt;&lt;_issue&gt;3&lt;/_issue&gt;&lt;_journal&gt;The Accounting Review&lt;/_journal&gt;&lt;_modified&gt;63228126&lt;/_modified&gt;&lt;_ori_publication&gt;American Accounting Association&lt;/_ori_publication&gt;&lt;_pages&gt;975-1003&lt;/_pages&gt;&lt;_volume&gt;87&lt;/_volume&gt;&lt;/Details&gt;&lt;Extra&gt;&lt;DBUID&gt;{E9F07991-3B72-4492-A7D8-86E559D9F8FE}&lt;/DBUID&gt;&lt;/Extra&gt;&lt;/Item&gt;&lt;/References&gt;&lt;/Group&gt;&lt;/Citation&gt;_x000a_"/>
    <w:docVar w:name="NE.Ref{A20F8EAE-7786-46B7-AA46-B05C3B8C2A51}" w:val=" ADDIN NE.Ref.{A20F8EAE-7786-46B7-AA46-B05C3B8C2A51}&lt;Citation&gt;&lt;Group&gt;&lt;References&gt;&lt;Item&gt;&lt;ID&gt;131&lt;/ID&gt;&lt;UID&gt;{AAADB7A3-0DE8-4DDD-B5A3-F44B10B01F3F}&lt;/UID&gt;&lt;Title&gt;Propping through related party transactions&lt;/Title&gt;&lt;Template&gt;Journal Article&lt;/Template&gt;&lt;Star&gt;0&lt;/Star&gt;&lt;Tag&gt;0&lt;/Tag&gt;&lt;Author&gt;Jian, Ming; Wong, Tak Jun&lt;/Author&gt;&lt;Year&gt;2010&lt;/Year&gt;&lt;Details&gt;&lt;_accessed&gt;62757336&lt;/_accessed&gt;&lt;_alternate_title&gt;Review of Accounting Studies&lt;/_alternate_title&gt;&lt;_collection_scope&gt;SSCI;&lt;/_collection_scope&gt;&lt;_created&gt;62525533&lt;/_created&gt;&lt;_date&gt;2010-01-01&lt;/_date&gt;&lt;_date_display&gt;2010&lt;/_date_display&gt;&lt;_impact_factor&gt;   2.108&lt;/_impact_factor&gt;&lt;_isbn&gt;1380-6653&lt;/_isbn&gt;&lt;_issue&gt;1&lt;/_issue&gt;&lt;_journal&gt;Review of Accounting Studies&lt;/_journal&gt;&lt;_modified&gt;63241424&lt;/_modified&gt;&lt;_ori_publication&gt;Springer&lt;/_ori_publication&gt;&lt;_pages&gt;70-105&lt;/_pages&gt;&lt;_volume&gt;15&lt;/_volume&gt;&lt;/Details&gt;&lt;Extra&gt;&lt;DBUID&gt;{E9F07991-3B72-4492-A7D8-86E559D9F8FE}&lt;/DBUID&gt;&lt;/Extra&gt;&lt;/Item&gt;&lt;/References&gt;&lt;/Group&gt;&lt;/Citation&gt;_x000a_"/>
    <w:docVar w:name="NE.Ref{A245F61E-47C5-43F8-A74F-6125C5656104}" w:val=" ADDIN NE.Ref.{A245F61E-47C5-43F8-A74F-6125C5656104}&lt;Citation SecTmpl=&quot;1&quot;&gt;&lt;Group&gt;&lt;References&gt;&lt;Item&gt;&lt;ID&gt;178&lt;/ID&gt;&lt;UID&gt;{3287FABC-6D30-4BCF-850A-8D2FD95BFE4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lternate_title&gt;Contemporary Accounting Research&lt;/_alternate_title&gt;&lt;_collection_scope&gt;SSCI&lt;/_collection_scope&gt;&lt;_created&gt;63295876&lt;/_created&gt;&lt;_date&gt;2019-01-01&lt;/_date&gt;&lt;_date_display&gt;2019&lt;/_date_display&gt;&lt;_impact_factor&gt;   2.261&lt;/_impact_factor&gt;&lt;_isbn&gt;0823-9150&lt;/_isbn&gt;&lt;_journal&gt;Contemporary Accounting Research&lt;/_journal&gt;&lt;_modified&gt;63295876&lt;/_modified&gt;&lt;_ori_publication&gt;Wiley Online Library&lt;/_ori_publication&gt;&lt;/Details&gt;&lt;Extra&gt;&lt;DBUID&gt;{E9F07991-3B72-4492-A7D8-86E559D9F8FE}&lt;/DBUID&gt;&lt;/Extra&gt;&lt;/Item&gt;&lt;/References&gt;&lt;/Group&gt;&lt;/Citation&gt;_x000a_"/>
    <w:docVar w:name="NE.Ref{A275F152-B25D-41F9-8F06-7DD2E140D78D}" w:val=" ADDIN NE.Ref.{A275F152-B25D-41F9-8F06-7DD2E140D78D}&lt;Citation&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Citation&gt;_x000a_"/>
    <w:docVar w:name="NE.Ref{A29DA276-CD41-4F84-897E-5D797D2295B1}" w:val=" ADDIN NE.Ref.{A29DA276-CD41-4F84-897E-5D797D2295B1}&lt;Citation&gt;&lt;Group&gt;&lt;References&gt;&lt;Item&gt;&lt;ID&gt;48&lt;/ID&gt;&lt;UID&gt;{E5D4D2DE-7A9F-4D11-A5EF-F37259CED40E}&lt;/UID&gt;&lt;Title&gt;Do individual auditors affect audit quality? Evidence from archival data&lt;/Title&gt;&lt;Template&gt;Journal Article&lt;/Template&gt;&lt;Star&gt;0&lt;/Star&gt;&lt;Tag&gt;0&lt;/Tag&gt;&lt;Author&gt;Gul, Ferdinand A; Wu, Donghui; Yang, Zhifeng&lt;/Author&gt;&lt;Year&gt;2013&lt;/Year&gt;&lt;Details&gt;&lt;_alternate_title&gt;The Accounting Review&lt;/_alternate_title&gt;&lt;_created&gt;63224446&lt;/_created&gt;&lt;_date&gt;2013-01-01&lt;/_date&gt;&lt;_date_display&gt;2013&lt;/_date_display&gt;&lt;_impact_factor&gt;   4.562&lt;/_impact_factor&gt;&lt;_isbn&gt;0001-4826&lt;/_isbn&gt;&lt;_issue&gt;6&lt;/_issue&gt;&lt;_journal&gt;The Accounting Review&lt;/_journal&gt;&lt;_modified&gt;63224446&lt;/_modified&gt;&lt;_ori_publication&gt;American Accounting Association&lt;/_ori_publication&gt;&lt;_pages&gt;1993-2023&lt;/_pages&gt;&lt;_volume&gt;88&lt;/_volume&gt;&lt;/Details&gt;&lt;Extra&gt;&lt;DBUID&gt;{E9F07991-3B72-4492-A7D8-86E559D9F8FE}&lt;/DBUID&gt;&lt;/Extra&gt;&lt;/Item&gt;&lt;/References&gt;&lt;/Group&gt;&lt;/Citation&gt;_x000a_"/>
    <w:docVar w:name="NE.Ref{A42C9184-3EBD-4A12-A775-55258EE3F413}" w:val=" ADDIN NE.Ref.{A42C9184-3EBD-4A12-A775-55258EE3F413}&lt;Citation SecTmpl=&quot;1&quot;&gt;&lt;Group&gt;&lt;References&gt;&lt;Item&gt;&lt;ID&gt;40&lt;/ID&gt;&lt;UID&gt;{F9C0E591-BB82-488D-819E-BDF103908FD2}&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2846551&lt;/_modified&gt;&lt;_pages&gt;230-258&lt;/_pages&gt;&lt;_tertiary_title&gt;Contemp Account Res&lt;/_tertiary_title&gt;&lt;_url&gt;http://doi.wiley.com/10.1111/1911-3846.12422_x000d__x000a_http://onlinelibrary.wiley.com/wol1/doi/10.1111/1911-3846.12422/fullpdf&lt;/_url&gt;&lt;_volume&gt;36&lt;/_volume&gt;&lt;/Details&gt;&lt;Extra&gt;&lt;DBUID&gt;{D2579611-BF89-4C7B-83D9-BE1288535D97}&lt;/DBUID&gt;&lt;/Extra&gt;&lt;/Item&gt;&lt;/References&gt;&lt;/Group&gt;&lt;/Citation&gt;_x000a_"/>
    <w:docVar w:name="NE.Ref{A43E631B-5D02-46E5-88DC-2F40E677C693}" w:val=" ADDIN NE.Ref.{A43E631B-5D02-46E5-88DC-2F40E677C693}&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A503B47F-B03C-4D49-8ADE-CE81D0E1237D}" w:val=" ADDIN NE.Ref.{A503B47F-B03C-4D49-8ADE-CE81D0E1237D}&lt;Citation SecTmpl=&quot;1&quot;&gt;&lt;Group&gt;&lt;References&gt;&lt;Item&gt;&lt;ID&gt;165&lt;/ID&gt;&lt;UID&gt;{79A3C712-F58C-4296-A039-9B7B370288DD}&lt;/UID&gt;&lt;Title&gt;Determinants of the variability in corporate effective tax rates: Evidence from longitudinal data&lt;/Title&gt;&lt;Template&gt;Journal Article&lt;/Template&gt;&lt;Star&gt;0&lt;/Star&gt;&lt;Tag&gt;0&lt;/Tag&gt;&lt;Author&gt;Gupta, Sanjay; Newberry, Kaye&lt;/Author&gt;&lt;Year&gt;1997&lt;/Year&gt;&lt;Details&gt;&lt;_alternate_title&gt;Journal of accounting and public policy&lt;/_alternate_title&gt;&lt;_collection_scope&gt;SSCI;&lt;/_collection_scope&gt;&lt;_created&gt;62475367&lt;/_created&gt;&lt;_date&gt;1997-01-01&lt;/_date&gt;&lt;_date_display&gt;1997&lt;/_date_display&gt;&lt;_impact_factor&gt;   2.269&lt;/_impact_factor&gt;&lt;_isbn&gt;0278-4254&lt;/_isbn&gt;&lt;_issue&gt;1&lt;/_issue&gt;&lt;_journal&gt;Journal of accounting and public policy&lt;/_journal&gt;&lt;_modified&gt;63291406&lt;/_modified&gt;&lt;_ori_publication&gt;Elsevier&lt;/_ori_publication&gt;&lt;_pages&gt;1-34&lt;/_pages&gt;&lt;_volume&gt;16&lt;/_volume&gt;&lt;/Details&gt;&lt;Extra&gt;&lt;DBUID&gt;{E9F07991-3B72-4492-A7D8-86E559D9F8FE}&lt;/DBUID&gt;&lt;/Extra&gt;&lt;/Item&gt;&lt;/References&gt;&lt;/Group&gt;&lt;/Citation&gt;_x000a_"/>
    <w:docVar w:name="NE.Ref{A518CA0C-9627-432D-A043-56616D2807D3}" w:val=" ADDIN NE.Ref.{A518CA0C-9627-432D-A043-56616D2807D3}&lt;Citation SecTmpl=&quot;1&quot;&gt;&lt;Group&gt;&lt;References&gt;&lt;Item&gt;&lt;ID&gt;160&lt;/ID&gt;&lt;UID&gt;{685ABCBC-968D-49AA-BC2C-1FF147BFFDC9}&lt;/UID&gt;&lt;Title&gt;Tax avoidance: Does tax-specific industry expertise make a difference?&lt;/Title&gt;&lt;Template&gt;Journal Article&lt;/Template&gt;&lt;Star&gt;0&lt;/Star&gt;&lt;Tag&gt;0&lt;/Tag&gt;&lt;Author&gt;McGuire, Sean T; Omer, Thomas C; Wang, Dechun&lt;/Author&gt;&lt;Year&gt;2012&lt;/Year&gt;&lt;Details&gt;&lt;_created&gt;61742028&lt;/_created&gt;&lt;_impact_factor&gt;   4.562&lt;/_impact_factor&gt;&lt;_isbn&gt;0001-4826&lt;/_isbn&gt;&lt;_issue&gt;3&lt;/_issue&gt;&lt;_journal&gt;The Accounting Review&lt;/_journal&gt;&lt;_modified&gt;63290029&lt;/_modified&gt;&lt;_pages&gt;975-1003&lt;/_pages&gt;&lt;_volume&gt;87&lt;/_volume&gt;&lt;/Details&gt;&lt;Extra&gt;&lt;DBUID&gt;{E9F07991-3B72-4492-A7D8-86E559D9F8FE}&lt;/DBUID&gt;&lt;/Extra&gt;&lt;/Item&gt;&lt;/References&gt;&lt;/Group&gt;&lt;/Citation&gt;_x000a_"/>
    <w:docVar w:name="NE.Ref{A563A5DC-7901-4A78-9A4A-CCD9C46C702E}" w:val=" ADDIN NE.Ref.{A563A5DC-7901-4A78-9A4A-CCD9C46C702E}&lt;Citation SecTmpl=&quot;1&quot;&gt;&lt;Group&gt;&lt;References&gt;&lt;Item&gt;&lt;ID&gt;19&lt;/ID&gt;&lt;UID&gt;{4610321F-C578-423E-8D44-18E0079B53D6}&lt;/UID&gt;&lt;Title&gt;Do Social Ties between External Auditors and Audit Committee Members Affect Audit Quality?&lt;/Title&gt;&lt;Template&gt;Journal Article&lt;/Template&gt;&lt;Star&gt;0&lt;/Star&gt;&lt;Tag&gt;0&lt;/Tag&gt;&lt;Author&gt;He, Xianjie; Pittman, Jeffrey; Rui, Oliver M; Wu, Donghui&lt;/Author&gt;&lt;Year&gt;2017&lt;/Year&gt;&lt;Details&gt;&lt;_accessed&gt;61958341&lt;/_accessed&gt;&lt;_created&gt;61958340&lt;/_created&gt;&lt;_db_updated&gt;PKU Search&lt;/_db_updated&gt;&lt;_doi&gt;10.2308/accr-51696&lt;/_doi&gt;&lt;_impact_factor&gt;   4.562&lt;/_impact_factor&gt;&lt;_isbn&gt;0001-4826&lt;/_isbn&gt;&lt;_journal&gt;The Accounting Review&lt;/_journal&gt;&lt;_language&gt;English&lt;/_language&gt;&lt;_modified&gt;63219483&lt;/_modified&gt;&lt;_url&gt;http://pku.summon.serialssolutions.com/2.0.0/link/0/eLvHCXMwtV1JT9tAFJ42HFAvCLqoLJUsOCIXezyxxxJQsQShqguHIFAv0WyGsCQI4gP8YH4H73nGdkgRTg-9WMnkG3ui-d543pu3EBLRr4E_sSZIzpg2oA3FhkYMhD1ITBzpVASKZVJg-POfn_zHET3otL_Xlu267b9OPLTB1GMg7T9MfnVTaIDPQAG4AgngOhUN9ofrLgK3Czpx5ZbVccmf13cwKgML7qABvfiCS8R1fzQyIPAGy4Xc4bEPpji2P9usG_cTHoFFcee68sTzI4fDwmp6Cky86FdEOoJnOPOrCyerDn_ywsXg9xX6jNTm2pPc7vgHZ-d5f9xaAW9AdHBOnq3AoLNy6tJfu0W3zf0ktWU5Jpd0UJEwTEEodevjmd4LebMn3meVlyHoN9i7h317ti_mU7_WfTXaejj39361SCtK0BG0s3s8Fk1b1lm0I7VJbfFOG_UoxrYxY_uR7jyZc4qEt2OnfIG8NYP3ZLaMY_jw5nFTegpVo61VdJcV6NBzhZYYmJ7V7f3h5obc9l7FWN4045BYzSjHvGZgSc1mZMndZiSQ2yvQzdCK_c1QJx5TDLSQnyn_UDPMSSACv30k3YNOd-_Qd0VNfJWEka9pSiU1Ogl4BsoND03IhIKdpJA61TrTaQQ6jTSpCLUO4kyFhoPWIE2IiacUiz6RmcFwYD4Tj6eaJUGoFG8LRoVKaSyzQHLFuGjzOFgkayVFezc2dU3vb5FYmgq1TN7V0rxCZka3uflCWjeX-RO5K-ck&lt;/_url&gt;&lt;/Details&gt;&lt;Extra&gt;&lt;DBUID&gt;{E9F07991-3B72-4492-A7D8-86E559D9F8FE}&lt;/DBUID&gt;&lt;/Extra&gt;&lt;/Item&gt;&lt;/References&gt;&lt;/Group&gt;&lt;/Citation&gt;_x000a_"/>
    <w:docVar w:name="NE.Ref{A5845661-EA11-4B03-B0B0-A5F007FFBE31}" w:val=" ADDIN NE.Ref.{A5845661-EA11-4B03-B0B0-A5F007FFBE31}&lt;Citation SecTmpl=&quot;1&quot;&gt;&lt;Group&gt;&lt;References&gt;&lt;Item&gt;&lt;ID&gt;73&lt;/ID&gt;&lt;UID&gt;{E8769188-1BE4-4D70-865B-879436B96ABF}&lt;/UID&gt;&lt;Title&gt;审计监督、最终控制人性质与税收激进度&lt;/Title&gt;&lt;Template&gt;Journal Article&lt;/Template&gt;&lt;Star&gt;0&lt;/Star&gt;&lt;Tag&gt;0&lt;/Tag&gt;&lt;Author&gt;金鑫; 雷光勇&lt;/Author&gt;&lt;Year&gt;2011&lt;/Year&gt;&lt;Details&gt;&lt;_accessed&gt;61697770&lt;/_accessed&gt;&lt;_author_aff&gt;对外经济贸易大学;&lt;/_author_aff&gt;&lt;_collection_scope&gt;CSSCI;中文核心期刊;&lt;/_collection_scope&gt;&lt;_created&gt;61697770&lt;/_created&gt;&lt;_date&gt;58769280&lt;/_date&gt;&lt;_db_provider&gt;CNKI: 期刊&lt;/_db_provider&gt;&lt;_db_updated&gt;CNKI - Reference&lt;/_db_updated&gt;&lt;_issue&gt;05&lt;/_issue&gt;&lt;_journal&gt;审计研究&lt;/_journal&gt;&lt;_keywords&gt;审计监督;最终控制人性质;税收激进度;制度环境&lt;/_keywords&gt;&lt;_language&gt;Chinese&lt;/_language&gt;&lt;_modified&gt;63228070&lt;/_modified&gt;&lt;_pages&gt;98-106&lt;/_pages&gt;&lt;_url&gt;http://www.cnki.net/KCMS/detail/detail.aspx?FileName=SJYZ201105015&amp;amp;DbName=CJFQ2011&lt;/_url&gt;&lt;_translated_author&gt;Jin, Xin;Lei, Guangyong&lt;/_translated_author&gt;&lt;/Details&gt;&lt;Extra&gt;&lt;DBUID&gt;{E9F07991-3B72-4492-A7D8-86E559D9F8FE}&lt;/DBUID&gt;&lt;/Extra&gt;&lt;/Item&gt;&lt;/References&gt;&lt;/Group&gt;&lt;/Citation&gt;_x000a_"/>
    <w:docVar w:name="NE.Ref{A8C75285-48A1-4B53-98A6-A8D3F553FD14}" w:val=" ADDIN NE.Ref.{A8C75285-48A1-4B53-98A6-A8D3F553FD14}&lt;Citation&gt;&lt;Group&gt;&lt;References&gt;&lt;Item&gt;&lt;ID&gt;274&lt;/ID&gt;&lt;UID&gt;{3C2D6D1C-FEC9-43A4-A3F2-E4EFF2289664}&lt;/UID&gt;&lt;Title&gt;Auditor tenure and audit reporting failures&lt;/Title&gt;&lt;Template&gt;Journal Article&lt;/Template&gt;&lt;Star&gt;0&lt;/Star&gt;&lt;Tag&gt;0&lt;/Tag&gt;&lt;Author&gt;Geiger, Marshall A; Raghunandan, Kannan&lt;/Author&gt;&lt;Year&gt;2002&lt;/Year&gt;&lt;Details&gt;&lt;_alternate_title&gt;Auditing: A Journal of Practice &amp;amp; Theory&lt;/_alternate_title&gt;&lt;_created&gt;63303343&lt;/_created&gt;&lt;_date&gt;2002-01-01&lt;/_date&gt;&lt;_date_display&gt;2002&lt;/_date_display&gt;&lt;_impact_factor&gt;   2.642&lt;/_impact_factor&gt;&lt;_isbn&gt;0278-0380&lt;/_isbn&gt;&lt;_issue&gt;1&lt;/_issue&gt;&lt;_journal&gt;Auditing: A Journal of Practice &amp;amp; Theory&lt;/_journal&gt;&lt;_modified&gt;63303343&lt;/_modified&gt;&lt;_pages&gt;67-78&lt;/_pages&gt;&lt;_volume&gt;21&lt;/_volume&gt;&lt;/Details&gt;&lt;Extra&gt;&lt;DBUID&gt;{2097646C-7C2F-4992-8A9B-6FF23AE7F1B7}&lt;/DBUID&gt;&lt;/Extra&gt;&lt;/Item&gt;&lt;/References&gt;&lt;/Group&gt;&lt;/Citation&gt;_x000a_"/>
    <w:docVar w:name="NE.Ref{A8D72601-54EF-4274-B510-793C39358EAF}" w:val=" ADDIN NE.Ref.{A8D72601-54EF-4274-B510-793C39358EAF}&lt;Citation SecTmpl=&quot;1&quot;&gt;&lt;Group&gt;&lt;References&gt;&lt;Item&gt;&lt;ID&gt;47&lt;/ID&gt;&lt;UID&gt;{C788D399-4373-41DA-A969-410EBB2E9439}&lt;/UID&gt;&lt;Title&gt;Are family firms more tax aggressive than non-family firms?&lt;/Title&gt;&lt;Template&gt;Journal Article&lt;/Template&gt;&lt;Star&gt;0&lt;/Star&gt;&lt;Tag&gt;0&lt;/Tag&gt;&lt;Author&gt;Chen, Shuping; Chen, Xia; Cheng, Qiang; Shevlin, Terry&lt;/Author&gt;&lt;Year&gt;2010&lt;/Year&gt;&lt;Details&gt;&lt;_alternate_title&gt;Journal of Financial Economics&lt;/_alternate_title&gt;&lt;_collection_scope&gt;SSCI&lt;/_collection_scope&gt;&lt;_created&gt;63224439&lt;/_created&gt;&lt;_date&gt;2010-01-01&lt;/_date&gt;&lt;_date_display&gt;2010&lt;/_date_display&gt;&lt;_impact_factor&gt;   4.693&lt;/_impact_factor&gt;&lt;_isbn&gt;0304-405X&lt;/_isbn&gt;&lt;_issue&gt;1&lt;/_issue&gt;&lt;_journal&gt;Journal of Financial Economics&lt;/_journal&gt;&lt;_modified&gt;63224439&lt;/_modified&gt;&lt;_ori_publication&gt;Elsevier&lt;/_ori_publication&gt;&lt;_pages&gt;41-61&lt;/_pages&gt;&lt;_volume&gt;95&lt;/_volume&gt;&lt;/Details&gt;&lt;Extra&gt;&lt;DBUID&gt;{E9F07991-3B72-4492-A7D8-86E559D9F8FE}&lt;/DBUID&gt;&lt;/Extra&gt;&lt;/Item&gt;&lt;/References&gt;&lt;/Group&gt;&lt;/Citation&gt;_x000a_"/>
    <w:docVar w:name="NE.Ref{A91C0502-49BE-428B-AACB-83D0049FC7D4}" w:val=" ADDIN NE.Ref.{A91C0502-49BE-428B-AACB-83D0049FC7D4}&lt;Citation&gt;&lt;Group&gt;&lt;References&gt;&lt;Item&gt;&lt;ID&gt;2&lt;/ID&gt;&lt;UID&gt;{8FB034A7-273E-4F31-A49D-EB1415AF9E81}&lt;/UID&gt;&lt;Title&gt;Enjoying the quiet life? Corporate governance and managerial preferences&lt;/Title&gt;&lt;Template&gt;Journal Article&lt;/Template&gt;&lt;Star&gt;0&lt;/Star&gt;&lt;Tag&gt;0&lt;/Tag&gt;&lt;Author&gt;Bertrand, Marianne; Mullainathan, Sendhil&lt;/Author&gt;&lt;Year&gt;2003&lt;/Year&gt;&lt;Details&gt;&lt;_alternate_title&gt;Journal of political Economy&lt;/_alternate_title&gt;&lt;_collection_scope&gt;SSCI&lt;/_collection_scope&gt;&lt;_created&gt;63129120&lt;/_created&gt;&lt;_date&gt;2003-01-01&lt;/_date&gt;&lt;_date_display&gt;2003&lt;/_date_display&gt;&lt;_impact_factor&gt;   6.342&lt;/_impact_factor&gt;&lt;_isbn&gt;0022-3808&lt;/_isbn&gt;&lt;_issue&gt;5&lt;/_issue&gt;&lt;_journal&gt;Journal of political Economy&lt;/_journal&gt;&lt;_modified&gt;63129120&lt;/_modified&gt;&lt;_ori_publication&gt;The University of Chicago Press&lt;/_ori_publication&gt;&lt;_pages&gt;1043-1075&lt;/_pages&gt;&lt;_volume&gt;111&lt;/_volume&gt;&lt;/Details&gt;&lt;Extra&gt;&lt;DBUID&gt;{E9F07991-3B72-4492-A7D8-86E559D9F8FE}&lt;/DBUID&gt;&lt;/Extra&gt;&lt;/Item&gt;&lt;/References&gt;&lt;/Group&gt;&lt;Group&gt;&lt;References&gt;&lt;Item&gt;&lt;ID&gt;3&lt;/ID&gt;&lt;UID&gt;{F869D3D1-CD91-444C-8EFE-2D00CC47C0E0}&lt;/UID&gt;&lt;Title&gt;The effect of mandatory CSR disclosure on firm profitability and social externalities: Evidence from China&lt;/Title&gt;&lt;Template&gt;Journal Article&lt;/Template&gt;&lt;Star&gt;0&lt;/Star&gt;&lt;Tag&gt;0&lt;/Tag&gt;&lt;Author&gt;Chen, Yi-Chun; Hung, Mingyi; Wang, Yongxiang&lt;/Author&gt;&lt;Year&gt;2018&lt;/Year&gt;&lt;Details&gt;&lt;_alternate_title&gt;Journal of Accounting and Economics&lt;/_alternate_title&gt;&lt;_created&gt;63129120&lt;/_created&gt;&lt;_date&gt;2018-01-01&lt;/_date&gt;&lt;_date_display&gt;2018&lt;/_date_display&gt;&lt;_impact_factor&gt;   3.753&lt;/_impact_factor&gt;&lt;_isbn&gt;0165-4101&lt;/_isbn&gt;&lt;_issue&gt;1&lt;/_issue&gt;&lt;_journal&gt;Journal of Accounting and Economics&lt;/_journal&gt;&lt;_modified&gt;63129120&lt;/_modified&gt;&lt;_ori_publication&gt;Elsevier&lt;/_ori_publication&gt;&lt;_pages&gt;169-190&lt;/_pages&gt;&lt;_volume&gt;65&lt;/_volume&gt;&lt;/Details&gt;&lt;Extra&gt;&lt;DBUID&gt;{E9F07991-3B72-4492-A7D8-86E559D9F8FE}&lt;/DBUID&gt;&lt;/Extra&gt;&lt;/Item&gt;&lt;/References&gt;&lt;/Group&gt;&lt;/Citation&gt;_x000a_"/>
    <w:docVar w:name="NE.Ref{A9280778-8959-4330-8DED-9C3944737B31}" w:val=" ADDIN NE.Ref.{A9280778-8959-4330-8DED-9C3944737B31}&lt;Citation SecTmpl=&quot;1&quot;&gt;&lt;Group&gt;&lt;References&gt;&lt;Item&gt;&lt;ID&gt;77&lt;/ID&gt;&lt;UID&gt;{49819DF8-0A94-4B03-93FC-1BA22A5BB940}&lt;/UID&gt;&lt;Title&gt;Tax avoidance: Does tax-specific industry expertise make a difference?&lt;/Title&gt;&lt;Template&gt;Journal Article&lt;/Template&gt;&lt;Star&gt;0&lt;/Star&gt;&lt;Tag&gt;0&lt;/Tag&gt;&lt;Author&gt;McGuire, Sean T; Omer, Thomas C; Wang, Dechun&lt;/Author&gt;&lt;Year&gt;2012&lt;/Year&gt;&lt;Details&gt;&lt;_alternate_title&gt;The Accounting Review&lt;/_alternate_title&gt;&lt;_created&gt;62649249&lt;/_created&gt;&lt;_date&gt;2012-01-01&lt;/_date&gt;&lt;_date_display&gt;2012&lt;/_date_display&gt;&lt;_impact_factor&gt;   4.562&lt;/_impact_factor&gt;&lt;_isbn&gt;0001-4826&lt;/_isbn&gt;&lt;_issue&gt;3&lt;/_issue&gt;&lt;_journal&gt;The Accounting Review&lt;/_journal&gt;&lt;_modified&gt;63228126&lt;/_modified&gt;&lt;_ori_publication&gt;American Accounting Association&lt;/_ori_publication&gt;&lt;_pages&gt;975-1003&lt;/_pages&gt;&lt;_volume&gt;87&lt;/_volume&gt;&lt;/Details&gt;&lt;Extra&gt;&lt;DBUID&gt;{E9F07991-3B72-4492-A7D8-86E559D9F8FE}&lt;/DBUID&gt;&lt;/Extra&gt;&lt;/Item&gt;&lt;/References&gt;&lt;/Group&gt;&lt;/Citation&gt;_x000a_"/>
    <w:docVar w:name="NE.Ref{A95F2A57-118D-4EF9-A17C-571E1E6C61D5}" w:val=" ADDIN NE.Ref.{A95F2A57-118D-4EF9-A17C-571E1E6C61D5}&lt;Citation SecTmpl=&quot;1&quot;&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Citation&gt;_x000a_"/>
    <w:docVar w:name="NE.Ref{AA0584D1-9664-43B4-92DA-F7298594F2C3}" w:val=" ADDIN NE.Ref.{AA0584D1-9664-43B4-92DA-F7298594F2C3}&lt;Citation&gt;&lt;Group&gt;&lt;References&gt;&lt;Item&gt;&lt;ID&gt;135&lt;/ID&gt;&lt;UID&gt;{2AE9B6D9-E182-4ECD-93FF-5C7E64271BA7}&lt;/UID&gt;&lt;Title&gt;Entropy balancing for causal effects: A multivariate reweighting method to produce balanced samples in observational studies&lt;/Title&gt;&lt;Template&gt;Journal Article&lt;/Template&gt;&lt;Star&gt;0&lt;/Star&gt;&lt;Tag&gt;0&lt;/Tag&gt;&lt;Author&gt;Hainmueller, Jens&lt;/Author&gt;&lt;Year&gt;2012&lt;/Year&gt;&lt;Details&gt;&lt;_alternate_title&gt;Political Analysis&lt;/_alternate_title&gt;&lt;_collection_scope&gt;SSCI&lt;/_collection_scope&gt;&lt;_created&gt;63243919&lt;/_created&gt;&lt;_date&gt;2012-01-01&lt;/_date&gt;&lt;_date_display&gt;2012&lt;/_date_display&gt;&lt;_impact_factor&gt;   2.548&lt;/_impact_factor&gt;&lt;_isbn&gt;1047-1987&lt;/_isbn&gt;&lt;_issue&gt;1&lt;/_issue&gt;&lt;_journal&gt;Political Analysis&lt;/_journal&gt;&lt;_modified&gt;63243919&lt;/_modified&gt;&lt;_ori_publication&gt;Cambridge University Press&lt;/_ori_publication&gt;&lt;_pages&gt;25-46&lt;/_pages&gt;&lt;_volume&gt;20&lt;/_volume&gt;&lt;/Details&gt;&lt;Extra&gt;&lt;DBUID&gt;{E9F07991-3B72-4492-A7D8-86E559D9F8FE}&lt;/DBUID&gt;&lt;/Extra&gt;&lt;/Item&gt;&lt;/References&gt;&lt;/Group&gt;&lt;Group&gt;&lt;References&gt;&lt;Item&gt;&lt;ID&gt;136&lt;/ID&gt;&lt;UID&gt;{DA5CEFAD-9329-426A-9629-C7737A0A4EB8}&lt;/UID&gt;&lt;Title&gt;Entropy-balanced accruals&lt;/Title&gt;&lt;Template&gt;Journal Article&lt;/Template&gt;&lt;Star&gt;0&lt;/Star&gt;&lt;Tag&gt;0&lt;/Tag&gt;&lt;Author&gt;McMullin, Jeff L; Schonberger, Bryce&lt;/Author&gt;&lt;Year&gt;2020&lt;/Year&gt;&lt;Details&gt;&lt;_alternate_title&gt;Review of Accounting Studies&lt;/_alternate_title&gt;&lt;_collection_scope&gt;SSCI&lt;/_collection_scope&gt;&lt;_created&gt;63243921&lt;/_created&gt;&lt;_date&gt;2020-01-01&lt;/_date&gt;&lt;_date_display&gt;2020&lt;/_date_display&gt;&lt;_impact_factor&gt;   2.108&lt;/_impact_factor&gt;&lt;_isbn&gt;1573-7136&lt;/_isbn&gt;&lt;_journal&gt;Review of Accounting Studies&lt;/_journal&gt;&lt;_modified&gt;63243921&lt;/_modified&gt;&lt;_ori_publication&gt;Springer&lt;/_ori_publication&gt;&lt;_pages&gt;1-36&lt;/_pages&gt;&lt;/Details&gt;&lt;Extra&gt;&lt;DBUID&gt;{E9F07991-3B72-4492-A7D8-86E559D9F8FE}&lt;/DBUID&gt;&lt;/Extra&gt;&lt;/Item&gt;&lt;/References&gt;&lt;/Group&gt;&lt;Group&gt;&lt;References&gt;&lt;Item&gt;&lt;ID&gt;137&lt;/ID&gt;&lt;UID&gt;{7AC8FA98-264A-4543-A524-AACB76039828}&lt;/UID&gt;&lt;Title&gt;The deterrent effect of employee whistleblowing on firms&amp;apos; financial misreporting and tax aggressiveness&lt;/Title&gt;&lt;Template&gt;Journal Article&lt;/Template&gt;&lt;Star&gt;0&lt;/Star&gt;&lt;Tag&gt;0&lt;/Tag&gt;&lt;Author&gt;Wilde, Jaron H&lt;/Author&gt;&lt;Year&gt;2017&lt;/Year&gt;&lt;Details&gt;&lt;_alternate_title&gt;The Accounting Review&lt;/_alternate_title&gt;&lt;_created&gt;63243921&lt;/_created&gt;&lt;_date&gt;2017-01-01&lt;/_date&gt;&lt;_date_display&gt;2017&lt;/_date_display&gt;&lt;_isbn&gt;1558-7967&lt;/_isbn&gt;&lt;_issue&gt;5&lt;/_issue&gt;&lt;_journal&gt;The Accounting Review&lt;/_journal&gt;&lt;_modified&gt;63243921&lt;/_modified&gt;&lt;_ori_publication&gt;American Accounting Association&lt;/_ori_publication&gt;&lt;_pages&gt;247-280&lt;/_pages&gt;&lt;_volume&gt;92&lt;/_volume&gt;&lt;/Details&gt;&lt;Extra&gt;&lt;DBUID&gt;{E9F07991-3B72-4492-A7D8-86E559D9F8FE}&lt;/DBUID&gt;&lt;/Extra&gt;&lt;/Item&gt;&lt;/References&gt;&lt;/Group&gt;&lt;/Citation&gt;_x000a_"/>
    <w:docVar w:name="NE.Ref{AA072D5E-F2C8-4390-9E7F-076B5A74B6B3}" w:val=" ADDIN NE.Ref.{AA072D5E-F2C8-4390-9E7F-076B5A74B6B3}&lt;Citation&gt;&lt;Group&gt;&lt;References&gt;&lt;Item&gt;&lt;ID&gt;128&lt;/ID&gt;&lt;UID&gt;{C9759D89-D911-4DDD-8D68-05772AD204D9}&lt;/UID&gt;&lt;Title&gt;公司治理与掏空&lt;/Title&gt;&lt;Template&gt;Journal Article&lt;/Template&gt;&lt;Star&gt;0&lt;/Star&gt;&lt;Tag&gt;0&lt;/Tag&gt;&lt;Author&gt;高雷; 何少华; 黄志忠&lt;/Author&gt;&lt;Year&gt;2006&lt;/Year&gt;&lt;Details&gt;&lt;_accessed&gt;63241056&lt;/_accessed&gt;&lt;_author_aff&gt;汕头大学商学院;汕头大学商学院;汕头大学商学院;&lt;/_author_aff&gt;&lt;_created&gt;63241052&lt;/_created&gt;&lt;_date&gt;56031840&lt;/_date&gt;&lt;_db_provider&gt;CNKI: 期刊&lt;/_db_provider&gt;&lt;_db_updated&gt;CNKI - Reference&lt;/_db_updated&gt;&lt;_issue&gt;03&lt;/_issue&gt;&lt;_journal&gt;经济学(季刊)&lt;/_journal&gt;&lt;_keywords&gt;公司治理;掏空;资金占用&lt;/_keywords&gt;&lt;_language&gt;Chinese&lt;/_language&gt;&lt;_modified&gt;63241056&lt;/_modified&gt;&lt;_pages&gt;1157-1178&lt;/_pages&gt;&lt;_url&gt;http://kns.cnki.net/KCMS/detail/detail.aspx?FileName=JJXU200603008&amp;amp;DbName=CJFQ2006&lt;/_url&gt;&lt;_translated_author&gt;Gao, Lei;He, Shaohua;Huang, Zhizhong&lt;/_translated_author&gt;&lt;/Details&gt;&lt;Extra&gt;&lt;DBUID&gt;{E9F07991-3B72-4492-A7D8-86E559D9F8FE}&lt;/DBUID&gt;&lt;/Extra&gt;&lt;/Item&gt;&lt;/References&gt;&lt;/Group&gt;&lt;/Citation&gt;_x000a_"/>
    <w:docVar w:name="NE.Ref{AA53C270-726D-42B6-8D82-F617A7FF5D56}" w:val=" ADDIN NE.Ref.{AA53C270-726D-42B6-8D82-F617A7FF5D56}&lt;Citation SecTmpl=&quot;1&quot;&gt;&lt;Group&gt;&lt;References&gt;&lt;Item&gt;&lt;ID&gt;153&lt;/ID&gt;&lt;UID&gt;{B6D212CF-2D6F-46EE-872D-955894257462}&lt;/UID&gt;&lt;Title&gt;Does Big 6 auditor industry expertise constrain earnings management?&lt;/Title&gt;&lt;Template&gt;Journal Article&lt;/Template&gt;&lt;Star&gt;0&lt;/Star&gt;&lt;Tag&gt;0&lt;/Tag&gt;&lt;Author&gt;Krishnan, Gopal V&lt;/Author&gt;&lt;Year&gt;2003&lt;/Year&gt;&lt;Details&gt;&lt;_accessed&gt;63304413&lt;/_accessed&gt;&lt;_alternate_title&gt;Accounting horizons&lt;/_alternate_title&gt;&lt;_collection_scope&gt;SSCI;&lt;/_collection_scope&gt;&lt;_created&gt;62475304&lt;/_created&gt;&lt;_date&gt;2003-01-01&lt;/_date&gt;&lt;_date_display&gt;2003&lt;/_date_display&gt;&lt;_impact_factor&gt;   1.377&lt;/_impact_factor&gt;&lt;_isbn&gt;0888-7993&lt;/_isbn&gt;&lt;_journal&gt;Accounting horizons&lt;/_journal&gt;&lt;_modified&gt;62978150&lt;/_modified&gt;&lt;_ori_publication&gt;American Accounting Association&lt;/_ori_publication&gt;&lt;_pages&gt;1-16&lt;/_pages&gt;&lt;_volume&gt;17&lt;/_volume&gt;&lt;/Details&gt;&lt;Extra&gt;&lt;DBUID&gt;{2097646C-7C2F-4992-8A9B-6FF23AE7F1B7}&lt;/DBUID&gt;&lt;/Extra&gt;&lt;/Item&gt;&lt;/References&gt;&lt;/Group&gt;&lt;/Citation&gt;_x000a_"/>
    <w:docVar w:name="NE.Ref{AA61CB72-E929-4264-96A5-85AF5243D7F7}" w:val=" ADDIN NE.Ref.{AA61CB72-E929-4264-96A5-85AF5243D7F7}&lt;Citation SecTmpl=&quot;1&quot;&gt;&lt;Group&gt;&lt;References&gt;&lt;Item&gt;&lt;ID&gt;126&lt;/ID&gt;&lt;UID&gt;{8DF5BDDD-ED95-4D1B-A971-F11025B26ABF}&lt;/UID&gt;&lt;Title&gt;中国市场化指数. 各省区市场化相对进程2011年度报告&lt;/Title&gt;&lt;Template&gt;Book&lt;/Template&gt;&lt;Star&gt;0&lt;/Star&gt;&lt;Tag&gt;0&lt;/Tag&gt;&lt;Author&gt;樊纲; 王小鲁; 朱恒鹏&lt;/Author&gt;&lt;Year&gt;2011&lt;/Year&gt;&lt;Details&gt;&lt;_created&gt;62053733&lt;/_created&gt;&lt;_modified&gt;62679966&lt;/_modified&gt;&lt;_publisher&gt;经济科学出版社&lt;/_publisher&gt;&lt;_translated_author&gt;Fan, Gang;Wang, Xiaolu;Zhu, Hengpeng&lt;/_translated_author&gt;&lt;/Details&gt;&lt;Extra&gt;&lt;DBUID&gt;{7EBDD973-FB19-4DB0-8AC1-C6FC73CA4F6A}&lt;/DBUID&gt;&lt;/Extra&gt;&lt;/Item&gt;&lt;/References&gt;&lt;/Group&gt;&lt;/Citation&gt;_x000a_"/>
    <w:docVar w:name="NE.Ref{AA9168D0-C6E6-4D80-94E5-9A5FD77BC656}" w:val=" ADDIN NE.Ref.{AA9168D0-C6E6-4D80-94E5-9A5FD77BC656}&lt;Citation SecTmpl=&quot;1&quot;&gt;&lt;Group&gt;&lt;References&gt;&lt;Item&gt;&lt;ID&gt;53&lt;/ID&gt;&lt;UID&gt;{D12C3C0C-2A93-424F-B93F-52F0F731F1D7}&lt;/UID&gt;&lt;Title&gt;The importance of the internal information environment for tax avoidance&lt;/Title&gt;&lt;Template&gt;Journal Article&lt;/Template&gt;&lt;Star&gt;0&lt;/Star&gt;&lt;Tag&gt;0&lt;/Tag&gt;&lt;Author&gt;Gallemore, John; Labro, Eva&lt;/Author&gt;&lt;Year&gt;2015&lt;/Year&gt;&lt;Details&gt;&lt;_accessed&gt;63308750&lt;/_accessed&gt;&lt;_alternate_title&gt;Journal of Accounting and Economics&lt;/_alternate_title&gt;&lt;_created&gt;63225150&lt;/_created&gt;&lt;_date&gt;2015-01-01&lt;/_date&gt;&lt;_date_display&gt;2015&lt;/_date_display&gt;&lt;_impact_factor&gt;   3.753&lt;/_impact_factor&gt;&lt;_isbn&gt;0165-4101&lt;/_isbn&gt;&lt;_issue&gt;1&lt;/_issue&gt;&lt;_journal&gt;Journal of Accounting and Economics&lt;/_journal&gt;&lt;_modified&gt;63308750&lt;/_modified&gt;&lt;_ori_publication&gt;Elsevier&lt;/_ori_publication&gt;&lt;_pages&gt;149-167&lt;/_pages&gt;&lt;_volume&gt;60&lt;/_volume&gt;&lt;/Details&gt;&lt;Extra&gt;&lt;DBUID&gt;{E9F07991-3B72-4492-A7D8-86E559D9F8FE}&lt;/DBUID&gt;&lt;/Extra&gt;&lt;/Item&gt;&lt;/References&gt;&lt;/Group&gt;&lt;/Citation&gt;_x000a_"/>
    <w:docVar w:name="NE.Ref{AAA910D7-AD83-4DC1-8B42-226DAA6460D5}" w:val=" ADDIN NE.Ref.{AAA910D7-AD83-4DC1-8B42-226DAA6460D5}&lt;Citation SecTmpl=&quot;1&quot;&gt;&lt;Group&gt;&lt;References&gt;&lt;Item&gt;&lt;ID&gt;152&lt;/ID&gt;&lt;UID&gt;{5A35155B-BB3E-4D83-ABB6-045B6B7E50F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ccessed&gt;63260255&lt;/_accessed&gt;&lt;_alternate_title&gt;Contemporary Accounting Research&lt;/_alternate_title&gt;&lt;_collection_scope&gt;SSCI&lt;/_collection_scope&gt;&lt;_created&gt;63260159&lt;/_created&gt;&lt;_date&gt;2019-01-01&lt;/_date&gt;&lt;_date_display&gt;2019&lt;/_date_display&gt;&lt;_impact_factor&gt;   2.261&lt;/_impact_factor&gt;&lt;_isbn&gt;0823-9150&lt;/_isbn&gt;&lt;_journal&gt;Contemporary Accounting Research&lt;/_journal&gt;&lt;_modified&gt;63260255&lt;/_modified&gt;&lt;_ori_publication&gt;Wiley Online Library&lt;/_ori_publication&gt;&lt;/Details&gt;&lt;Extra&gt;&lt;DBUID&gt;{E9F07991-3B72-4492-A7D8-86E559D9F8FE}&lt;/DBUID&gt;&lt;/Extra&gt;&lt;/Item&gt;&lt;/References&gt;&lt;/Group&gt;&lt;/Citation&gt;_x000a_"/>
    <w:docVar w:name="NE.Ref{AB47FD75-BE84-46C5-AD47-4E775082BCD4}" w:val=" ADDIN NE.Ref.{AB47FD75-BE84-46C5-AD47-4E775082BCD4}&lt;Citation SecTmpl=&quot;1&quot;&gt;&lt;Group&gt;&lt;References&gt;&lt;Item&gt;&lt;ID&gt;337&lt;/ID&gt;&lt;UID&gt;{841912D5-EE47-46AF-A4F6-014747822E32}&lt;/UID&gt;&lt;Title&gt;公司治理水平、媒体关注与企业税收激进&lt;/Title&gt;&lt;Template&gt;Journal Article&lt;/Template&gt;&lt;Star&gt;0&lt;/Star&gt;&lt;Tag&gt;0&lt;/Tag&gt;&lt;Author&gt;严若森; 钱晶晶; 祁浩&lt;/Author&gt;&lt;Year&gt;2018&lt;/Year&gt;&lt;Details&gt;&lt;_accessed&gt;62747167&lt;/_accessed&gt;&lt;_author_aff&gt;武汉大学经济与管理学院;南昌大学经济管理学院;&lt;/_author_aff&gt;&lt;_collection_scope&gt;CSSCI-C&lt;/_collection_scope&gt;&lt;_created&gt;62681357&lt;/_created&gt;&lt;_date&gt;62343360&lt;/_date&gt;&lt;_date_display&gt;2018&lt;/_date_display&gt;&lt;_db_provider&gt;CNKI: 期刊&lt;/_db_provider&gt;&lt;_db_updated&gt;CNKI - Reference&lt;/_db_updated&gt;&lt;_issue&gt;07&lt;/_issue&gt;&lt;_journal&gt;经济管理&lt;/_journal&gt;&lt;_keywords&gt;公司治理水平;媒体关注;企业税收激进;实际控制人性质;替代效应&lt;/_keywords&gt;&lt;_modified&gt;62747167&lt;/_modified&gt;&lt;_pages&gt;20-38&lt;/_pages&gt;&lt;_url&gt;http://kns.cnki.net/KCMS/detail/detail.aspx?FileName=JJGU201807003&amp;amp;DbName=CJFQ2018&lt;/_url&gt;&lt;_volume&gt;40&lt;/_volume&gt;&lt;_translated_author&gt;Yan, Ruosen;Qian, Jingjing;Qi, Hao&lt;/_translated_author&gt;&lt;/Details&gt;&lt;Extra&gt;&lt;DBUID&gt;{83AC290F-D6FC-4574-9771-6904EE9C30A4}&lt;/DBUID&gt;&lt;/Extra&gt;&lt;/Item&gt;&lt;/References&gt;&lt;/Group&gt;&lt;/Citation&gt;_x000a_"/>
    <w:docVar w:name="NE.Ref{ACBCB75C-E8B7-4A70-A329-CD371E50B96C}" w:val=" ADDIN NE.Ref.{ACBCB75C-E8B7-4A70-A329-CD371E50B96C}&lt;Citation&gt;&lt;Group&gt;&lt;References&gt;&lt;Item&gt;&lt;ID&gt;34&lt;/ID&gt;&lt;UID&gt;{B2F095FC-35B2-42B7-8EC0-D2B366FD4991}&lt;/UID&gt;&lt;Title&gt;Audit firm portfolio management decisions&lt;/Title&gt;&lt;Template&gt;Journal Article&lt;/Template&gt;&lt;Star&gt;0&lt;/Star&gt;&lt;Tag&gt;0&lt;/Tag&gt;&lt;Author&gt;Johnstone, Karla M; Bedard, Jean C&lt;/Author&gt;&lt;Year&gt;2004&lt;/Year&gt;&lt;Details&gt;&lt;_alternate_title&gt;Journal of Accounting Research&lt;/_alternate_title&gt;&lt;_collection_scope&gt;SSCI&lt;/_collection_scope&gt;&lt;_created&gt;63220969&lt;/_created&gt;&lt;_date&gt;2004-01-01&lt;/_date&gt;&lt;_date_display&gt;2004&lt;/_date_display&gt;&lt;_impact_factor&gt;   4.891&lt;/_impact_factor&gt;&lt;_isbn&gt;0021-8456&lt;/_isbn&gt;&lt;_issue&gt;4&lt;/_issue&gt;&lt;_journal&gt;Journal of Accounting Research&lt;/_journal&gt;&lt;_modified&gt;63220969&lt;/_modified&gt;&lt;_ori_publication&gt;Wiley Online Library&lt;/_ori_publication&gt;&lt;_pages&gt;659-690&lt;/_pages&gt;&lt;_volume&gt;42&lt;/_volume&gt;&lt;/Details&gt;&lt;Extra&gt;&lt;DBUID&gt;{E9F07991-3B72-4492-A7D8-86E559D9F8FE}&lt;/DBUID&gt;&lt;/Extra&gt;&lt;/Item&gt;&lt;/References&gt;&lt;/Group&gt;&lt;/Citation&gt;_x000a_"/>
    <w:docVar w:name="NE.Ref{AD4CCB9D-C4AC-4912-A912-C6CE1EFCBD8C}" w:val=" ADDIN NE.Ref.{AD4CCB9D-C4AC-4912-A912-C6CE1EFCBD8C}&lt;Citation SecTmpl=&quot;1&quot;&gt;&lt;Group&gt;&lt;References&gt;&lt;Item&gt;&lt;ID&gt;227&lt;/ID&gt;&lt;UID&gt;{538A2EC6-AF38-4B4D-805C-9230E74BA4FF}&lt;/UID&gt;&lt;Title&gt;Reputational implications for partners after a major audit failure: Evidence from China&lt;/Title&gt;&lt;Template&gt;Journal Article&lt;/Template&gt;&lt;Star&gt;0&lt;/Star&gt;&lt;Tag&gt;0&lt;/Tag&gt;&lt;Author&gt;He, Xianjie; Pittman, Jeffrey; Rui, Oliver&lt;/Author&gt;&lt;Year&gt;2016&lt;/Year&gt;&lt;Details&gt;&lt;_alternate_title&gt;Journal of Business Ethics&lt;/_alternate_title&gt;&lt;_collection_scope&gt;SSCI&lt;/_collection_scope&gt;&lt;_created&gt;63302037&lt;/_created&gt;&lt;_date&gt;2016-01-01&lt;/_date&gt;&lt;_date_display&gt;2016&lt;/_date_display&gt;&lt;_impact_factor&gt;   3.796&lt;/_impact_factor&gt;&lt;_isbn&gt;0167-4544&lt;/_isbn&gt;&lt;_issue&gt;4&lt;/_issue&gt;&lt;_journal&gt;Journal of Business Ethics&lt;/_journal&gt;&lt;_modified&gt;63302037&lt;/_modified&gt;&lt;_ori_publication&gt;Springer&lt;/_ori_publication&gt;&lt;_pages&gt;703-722&lt;/_pages&gt;&lt;_volume&gt;138&lt;/_volume&gt;&lt;/Details&gt;&lt;Extra&gt;&lt;DBUID&gt;{E9F07991-3B72-4492-A7D8-86E559D9F8FE}&lt;/DBUID&gt;&lt;/Extra&gt;&lt;/Item&gt;&lt;/References&gt;&lt;/Group&gt;&lt;/Citation&gt;_x000a_"/>
    <w:docVar w:name="NE.Ref{AE86E3B9-DEC6-4AFC-AC52-1A13C494D782}" w:val=" ADDIN NE.Ref.{AE86E3B9-DEC6-4AFC-AC52-1A13C494D782}&lt;Citation SecTmpl=&quot;1&quot;&gt;&lt;Group&gt;&lt;References&gt;&lt;Item&gt;&lt;ID&gt;178&lt;/ID&gt;&lt;UID&gt;{3287FABC-6D30-4BCF-850A-8D2FD95BFE4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lternate_title&gt;Contemporary Accounting Research&lt;/_alternate_title&gt;&lt;_collection_scope&gt;SSCI&lt;/_collection_scope&gt;&lt;_created&gt;63295876&lt;/_created&gt;&lt;_date&gt;2019-01-01&lt;/_date&gt;&lt;_date_display&gt;2019&lt;/_date_display&gt;&lt;_impact_factor&gt;   2.261&lt;/_impact_factor&gt;&lt;_isbn&gt;0823-9150&lt;/_isbn&gt;&lt;_journal&gt;Contemporary Accounting Research&lt;/_journal&gt;&lt;_modified&gt;63295876&lt;/_modified&gt;&lt;_ori_publication&gt;Wiley Online Library&lt;/_ori_publication&gt;&lt;/Details&gt;&lt;Extra&gt;&lt;DBUID&gt;{E9F07991-3B72-4492-A7D8-86E559D9F8FE}&lt;/DBUID&gt;&lt;/Extra&gt;&lt;/Item&gt;&lt;/References&gt;&lt;/Group&gt;&lt;/Citation&gt;_x000a_"/>
    <w:docVar w:name="NE.Ref{AF730A1E-07E4-4C93-BD88-62B1C7FBFE67}" w:val=" ADDIN NE.Ref.{AF730A1E-07E4-4C93-BD88-62B1C7FBFE67}&lt;Citation&gt;&lt;Group&gt;&lt;References&gt;&lt;Item&gt;&lt;ID&gt;43&lt;/ID&gt;&lt;UID&gt;{06B8BEDA-413C-43A2-B219-3F3BC3A42A82}&lt;/UID&gt;&lt;Title&gt;Towards a positive theory of the determination of accounting standards&lt;/Title&gt;&lt;Template&gt;Journal Article&lt;/Template&gt;&lt;Star&gt;0&lt;/Star&gt;&lt;Tag&gt;0&lt;/Tag&gt;&lt;Author&gt;Watts, Ross L; Zimmerman, Jerold L&lt;/Author&gt;&lt;Year&gt;1978&lt;/Year&gt;&lt;Details&gt;&lt;_alternate_title&gt;Accounting review&lt;/_alternate_title&gt;&lt;_collection_scope&gt;SSCI&lt;/_collection_scope&gt;&lt;_created&gt;63224419&lt;/_created&gt;&lt;_date&gt;1978-01-01&lt;/_date&gt;&lt;_date_display&gt;1978&lt;/_date_display&gt;&lt;_impact_factor&gt;   4.562&lt;/_impact_factor&gt;&lt;_isbn&gt;0001-4826&lt;/_isbn&gt;&lt;_journal&gt;Accounting review&lt;/_journal&gt;&lt;_modified&gt;63224419&lt;/_modified&gt;&lt;_ori_publication&gt;JSTOR&lt;/_ori_publication&gt;&lt;_pages&gt;112-134&lt;/_pages&gt;&lt;/Details&gt;&lt;Extra&gt;&lt;DBUID&gt;{E9F07991-3B72-4492-A7D8-86E559D9F8FE}&lt;/DBUID&gt;&lt;/Extra&gt;&lt;/Item&gt;&lt;/References&gt;&lt;/Group&gt;&lt;/Citation&gt;_x000a_"/>
    <w:docVar w:name="NE.Ref{AFF263A3-341A-4E01-9450-37A19D19D2EB}" w:val=" ADDIN NE.Ref.{AFF263A3-341A-4E01-9450-37A19D19D2EB}&lt;Citation&gt;&lt;Group&gt;&lt;References&gt;&lt;Item&gt;&lt;ID&gt;181&lt;/ID&gt;&lt;UID&gt;{CB714064-C405-42B3-A218-4E46FB5FE4C0}&lt;/UID&gt;&lt;Title&gt;Behavioral evidence on the effects of principles-and rules-based standards&lt;/Title&gt;&lt;Template&gt;Journal Article&lt;/Template&gt;&lt;Star&gt;0&lt;/Star&gt;&lt;Tag&gt;0&lt;/Tag&gt;&lt;Author&gt;Nelson, Mark W&lt;/Author&gt;&lt;Year&gt;2003&lt;/Year&gt;&lt;Details&gt;&lt;_alternate_title&gt;Accounting Horizons&lt;/_alternate_title&gt;&lt;_collection_scope&gt;SSCI&lt;/_collection_scope&gt;&lt;_created&gt;63297212&lt;/_created&gt;&lt;_date&gt;2003-01-01&lt;/_date&gt;&lt;_date_display&gt;2003&lt;/_date_display&gt;&lt;_impact_factor&gt;   1.377&lt;/_impact_factor&gt;&lt;_isbn&gt;0888-7993&lt;/_isbn&gt;&lt;_issue&gt;1&lt;/_issue&gt;&lt;_journal&gt;Accounting Horizons&lt;/_journal&gt;&lt;_modified&gt;63297212&lt;/_modified&gt;&lt;_pages&gt;91-104&lt;/_pages&gt;&lt;_volume&gt;17&lt;/_volume&gt;&lt;/Details&gt;&lt;Extra&gt;&lt;DBUID&gt;{E9F07991-3B72-4492-A7D8-86E559D9F8FE}&lt;/DBUID&gt;&lt;/Extra&gt;&lt;/Item&gt;&lt;/References&gt;&lt;/Group&gt;&lt;/Citation&gt;_x000a_"/>
    <w:docVar w:name="NE.Ref{B0635619-3BEF-475D-8EE3-A076CE87A4A3}" w:val=" ADDIN NE.Ref.{B0635619-3BEF-475D-8EE3-A076CE87A4A3}&lt;Citation&gt;&lt;Group&gt;&lt;References&gt;&lt;Item&gt;&lt;ID&gt;97&lt;/ID&gt;&lt;UID&gt;{DBF5D537-843E-49B0-8031-E41A6BDAA746}&lt;/UID&gt;&lt;Title&gt;控股股东、代理问题与关联交易:对中国上市公司的实证研究&lt;/Title&gt;&lt;Template&gt;Journal Article&lt;/Template&gt;&lt;Star&gt;0&lt;/Star&gt;&lt;Tag&gt;0&lt;/Tag&gt;&lt;Author&gt;余明桂; 夏新平&lt;/Author&gt;&lt;Year&gt;2004&lt;/Year&gt;&lt;Details&gt;&lt;_accessed&gt;63241005&lt;/_accessed&gt;&lt;_author_aff&gt;华中科技大学管理学院_x000d__x000a__x000d__x000a__x000d__x000a__x000d__x000a__x000d__x000a__x000d__x000a__x000d__x000a__x000d__x000a_;华中科技大学管理学院&lt;/_author_aff&gt;&lt;_collection_scope&gt;CSSCI-C;PKU&lt;/_collection_scope&gt;&lt;_created&gt;63240989&lt;/_created&gt;&lt;_date&gt;55190880&lt;/_date&gt;&lt;_db_provider&gt;CNKI: 期刊&lt;/_db_provider&gt;&lt;_db_updated&gt;CNKI - Reference&lt;/_db_updated&gt;&lt;_issue&gt;06&lt;/_issue&gt;&lt;_journal&gt;南开管理评论&lt;/_journal&gt;&lt;_keywords&gt;公司治理;代理问题;关联交易;控股股东&lt;/_keywords&gt;&lt;_language&gt;Chinese&lt;/_language&gt;&lt;_modified&gt;63241005&lt;/_modified&gt;&lt;_pages&gt;33-38+61&lt;/_pages&gt;&lt;_url&gt;http://kns.cnki.net/KCMS/detail/detail.aspx?FileName=LKGP200406008&amp;amp;DbName=CJFQ2004&lt;/_url&gt;&lt;_translated_author&gt;Yu, Minggui;Xia, Xinping&lt;/_translated_author&gt;&lt;/Details&gt;&lt;Extra&gt;&lt;DBUID&gt;{E9F07991-3B72-4492-A7D8-86E559D9F8FE}&lt;/DBUID&gt;&lt;/Extra&gt;&lt;/Item&gt;&lt;/References&gt;&lt;/Group&gt;&lt;/Citation&gt;_x000a_"/>
    <w:docVar w:name="NE.Ref{B085C219-A003-4B88-AC2A-CAB1D5AB4787}" w:val=" ADDIN NE.Ref.{B085C219-A003-4B88-AC2A-CAB1D5AB4787}&lt;Citation SecTmpl=&quot;1&quot;&gt;&lt;Group&gt;&lt;References&gt;&lt;Item&gt;&lt;ID&gt;47&lt;/ID&gt;&lt;UID&gt;{C788D399-4373-41DA-A969-410EBB2E9439}&lt;/UID&gt;&lt;Title&gt;Are family firms more tax aggressive than non-family firms?&lt;/Title&gt;&lt;Template&gt;Journal Article&lt;/Template&gt;&lt;Star&gt;0&lt;/Star&gt;&lt;Tag&gt;0&lt;/Tag&gt;&lt;Author&gt;Chen, Shuping; Chen, Xia; Cheng, Qiang; Shevlin, Terry&lt;/Author&gt;&lt;Year&gt;2010&lt;/Year&gt;&lt;Details&gt;&lt;_alternate_title&gt;Journal of Financial Economics&lt;/_alternate_title&gt;&lt;_collection_scope&gt;SSCI&lt;/_collection_scope&gt;&lt;_created&gt;63224439&lt;/_created&gt;&lt;_date&gt;2010-01-01&lt;/_date&gt;&lt;_date_display&gt;2010&lt;/_date_display&gt;&lt;_impact_factor&gt;   4.693&lt;/_impact_factor&gt;&lt;_isbn&gt;0304-405X&lt;/_isbn&gt;&lt;_issue&gt;1&lt;/_issue&gt;&lt;_journal&gt;Journal of Financial Economics&lt;/_journal&gt;&lt;_modified&gt;63224439&lt;/_modified&gt;&lt;_ori_publication&gt;Elsevier&lt;/_ori_publication&gt;&lt;_pages&gt;41-61&lt;/_pages&gt;&lt;_volume&gt;95&lt;/_volume&gt;&lt;/Details&gt;&lt;Extra&gt;&lt;DBUID&gt;{E9F07991-3B72-4492-A7D8-86E559D9F8FE}&lt;/DBUID&gt;&lt;/Extra&gt;&lt;/Item&gt;&lt;/References&gt;&lt;/Group&gt;&lt;/Citation&gt;_x000a_"/>
    <w:docVar w:name="NE.Ref{B0AED138-303A-4278-A2BD-962828821CE0}" w:val=" ADDIN NE.Ref.{B0AED138-303A-4278-A2BD-962828821CE0}&lt;Citation SecTmpl=&quot;1&quot;&gt;&lt;Group&gt;&lt;References&gt;&lt;Item&gt;&lt;ID&gt;80&lt;/ID&gt;&lt;UID&gt;{5C9767C4-EDE7-4C7F-99C1-11350DAD7A91}&lt;/UID&gt;&lt;Title&gt;The role of auditors, non-auditors, and internal tax departments in corporate tax aggressiveness&lt;/Title&gt;&lt;Template&gt;Journal Article&lt;/Template&gt;&lt;Star&gt;0&lt;/Star&gt;&lt;Tag&gt;0&lt;/Tag&gt;&lt;Author&gt;Klassen, Kenneth J; Lisowsky, Petro; Mescall, Devan&lt;/Author&gt;&lt;Year&gt;2015&lt;/Year&gt;&lt;Details&gt;&lt;_alternate_title&gt;The Accounting Review&lt;/_alternate_title&gt;&lt;_created&gt;62649258&lt;/_created&gt;&lt;_date&gt;2015-01-01&lt;/_date&gt;&lt;_date_display&gt;2015&lt;/_date_display&gt;&lt;_isbn&gt;1558-7967&lt;/_isbn&gt;&lt;_issue&gt;1&lt;/_issue&gt;&lt;_journal&gt;The Accounting Review&lt;/_journal&gt;&lt;_modified&gt;63228167&lt;/_modified&gt;&lt;_ori_publication&gt;American Accounting Association&lt;/_ori_publication&gt;&lt;_pages&gt;179-205&lt;/_pages&gt;&lt;_volume&gt;91&lt;/_volume&gt;&lt;/Details&gt;&lt;Extra&gt;&lt;DBUID&gt;{E9F07991-3B72-4492-A7D8-86E559D9F8FE}&lt;/DBUID&gt;&lt;/Extra&gt;&lt;/Item&gt;&lt;/References&gt;&lt;/Group&gt;&lt;/Citation&gt;_x000a_"/>
    <w:docVar w:name="NE.Ref{B1B73187-A299-43A6-993A-FE21FE92ED15}" w:val=" ADDIN NE.Ref.{B1B73187-A299-43A6-993A-FE21FE92ED15}&lt;Citation SecTmpl=&quot;1&quot;&gt;&lt;Group&gt;&lt;References&gt;&lt;Item&gt;&lt;ID&gt;15&lt;/ID&gt;&lt;UID&gt;{CC7A0B33-B894-4B7B-B0FB-19AE41741506}&lt;/UID&gt;&lt;Title&gt;公司治理、治理环境对内幕交易的影响&lt;/Title&gt;&lt;Template&gt;Journal Article&lt;/Template&gt;&lt;Star&gt;0&lt;/Star&gt;&lt;Tag&gt;0&lt;/Tag&gt;&lt;Author&gt;凌玲; 方军雄&lt;/Author&gt;&lt;Year&gt;2014&lt;/Year&gt;&lt;Details&gt;&lt;_accessed&gt;63268338&lt;/_accessed&gt;&lt;_author_aff&gt;复旦大学管理学院;南京邮电大学理学院;&lt;/_author_aff&gt;&lt;_collection_scope&gt;CSSCI-C;PKU&lt;/_collection_scope&gt;&lt;_created&gt;63267310&lt;/_created&gt;&lt;_date&gt;60189120&lt;/_date&gt;&lt;_db_provider&gt;CNKI: 期刊&lt;/_db_provider&gt;&lt;_db_updated&gt;CNKI - Reference&lt;/_db_updated&gt;&lt;_issue&gt;06&lt;/_issue&gt;&lt;_journal&gt;证券市场导报&lt;/_journal&gt;&lt;_keywords&gt;公司治理;治理环境;内幕交易&lt;/_keywords&gt;&lt;_modified&gt;63268338&lt;/_modified&gt;&lt;_pages&gt;63-68&lt;/_pages&gt;&lt;_url&gt;http://kns.cnki.net/KCMS/detail/detail.aspx?FileName=ZQDB201406012&amp;amp;DbName=CJFQ2014&lt;/_url&gt;&lt;_translated_author&gt;Ling, Ling;Fang, Junxiong&lt;/_translated_author&gt;&lt;/Details&gt;&lt;Extra&gt;&lt;DBUID&gt;{439358B4-FA18-4C63-A3A1-0E3BE4066E7A}&lt;/DBUID&gt;&lt;/Extra&gt;&lt;/Item&gt;&lt;/References&gt;&lt;/Group&gt;&lt;/Citation&gt;_x000a_"/>
    <w:docVar w:name="NE.Ref{B20BC4E8-0485-48C3-8D03-D391D89F7849}" w:val=" ADDIN NE.Ref.{B20BC4E8-0485-48C3-8D03-D391D89F7849}&lt;Citation SecTmpl=&quot;1&quot;&gt;&lt;Group&gt;&lt;References&gt;&lt;Item&gt;&lt;ID&gt;183&lt;/ID&gt;&lt;UID&gt;{07016C88-0926-4AD4-B3F1-32683DABE1D1}&lt;/UID&gt;&lt;Title&gt;Does Tax Planning Affect Analysts&amp;apos; Forecast Accuracy?&lt;/Title&gt;&lt;Template&gt;Journal Article&lt;/Template&gt;&lt;Star&gt;0&lt;/Star&gt;&lt;Tag&gt;0&lt;/Tag&gt;&lt;Author&gt;Francis, Jere R; Neuman, Stevanie S; Newton, Nathan J&lt;/Author&gt;&lt;Year&gt;2019&lt;/Year&gt;&lt;Details&gt;&lt;_accessed&gt;62951554&lt;/_accessed&gt;&lt;_collection_scope&gt;SSCI&lt;/_collection_scope&gt;&lt;_created&gt;62951554&lt;/_created&gt;&lt;_date&gt;62936640&lt;/_date&gt;&lt;_db_updated&gt;CrossRef&lt;/_db_updated&gt;&lt;_doi&gt;10.1111/1911-3846.12515&lt;/_doi&gt;&lt;_impact_factor&gt;   2.261&lt;/_impact_factor&gt;&lt;_isbn&gt;0823-9150&lt;/_isbn&gt;&lt;_journal&gt;Contemporary Accounting Research&lt;/_journal&gt;&lt;_modified&gt;63297515&lt;/_modified&gt;&lt;_tertiary_title&gt;Contemp Account Res&lt;/_tertiary_title&gt;&lt;_url&gt;https://onlinelibrary.wiley.com/doi/abs/10.1111/1911-3846.12515_x000d__x000a_https://onlinelibrary.wiley.com/doi/pdf/10.1111/1911-3846.12515&lt;/_url&gt;&lt;/Details&gt;&lt;Extra&gt;&lt;DBUID&gt;{E9F07991-3B72-4492-A7D8-86E559D9F8FE}&lt;/DBUID&gt;&lt;/Extra&gt;&lt;/Item&gt;&lt;/References&gt;&lt;/Group&gt;&lt;/Citation&gt;_x000a_"/>
    <w:docVar w:name="NE.Ref{B28747DA-F9DC-46F8-B7EC-3BE6182F2939}" w:val=" ADDIN NE.Ref.{B28747DA-F9DC-46F8-B7EC-3BE6182F2939}&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B2EE1FDB-8D1D-45AC-83C6-2C1D18E71B72}" w:val=" ADDIN NE.Ref.{B2EE1FDB-8D1D-45AC-83C6-2C1D18E71B72}&lt;Citation SecTmpl=&quot;1&quot;&gt;&lt;Group&gt;&lt;References&gt;&lt;Item&gt;&lt;ID&gt;305&lt;/ID&gt;&lt;UID&gt;{9B96C3D9-2650-49F0-8E16-298B1BBA2D1D}&lt;/UID&gt;&lt;Title&gt;Military experience and corporate tax avoidance&lt;/Title&gt;&lt;Template&gt;Journal Article&lt;/Template&gt;&lt;Star&gt;0&lt;/Star&gt;&lt;Tag&gt;0&lt;/Tag&gt;&lt;Author&gt;Law, Kelvin KF; Mills, Lillian F&lt;/Author&gt;&lt;Year&gt;2017&lt;/Year&gt;&lt;Details&gt;&lt;_alternate_title&gt;Review of Accounting Studies&lt;/_alternate_title&gt;&lt;_collection_scope&gt;SSCI&lt;/_collection_scope&gt;&lt;_created&gt;63309358&lt;/_created&gt;&lt;_date&gt;2017-01-01&lt;/_date&gt;&lt;_date_display&gt;2017&lt;/_date_display&gt;&lt;_impact_factor&gt;   2.108&lt;/_impact_factor&gt;&lt;_isbn&gt;1380-6653&lt;/_isbn&gt;&lt;_issue&gt;1&lt;/_issue&gt;&lt;_journal&gt;Review of Accounting Studies&lt;/_journal&gt;&lt;_modified&gt;63309358&lt;/_modified&gt;&lt;_ori_publication&gt;Springer&lt;/_ori_publication&gt;&lt;_pages&gt;141-184&lt;/_pages&gt;&lt;_volume&gt;22&lt;/_volume&gt;&lt;/Details&gt;&lt;Extra&gt;&lt;DBUID&gt;{E9F07991-3B72-4492-A7D8-86E559D9F8FE}&lt;/DBUID&gt;&lt;/Extra&gt;&lt;/Item&gt;&lt;/References&gt;&lt;/Group&gt;&lt;/Citation&gt;_x000a_"/>
    <w:docVar w:name="NE.Ref{B31C9682-DF20-4764-9A59-1DF26869C1E6}" w:val=" ADDIN NE.Ref.{B31C9682-DF20-4764-9A59-1DF26869C1E6}&lt;Citation SecTmpl=&quot;1&quot;&gt;&lt;Group&gt;&lt;References&gt;&lt;Item&gt;&lt;ID&gt;171&lt;/ID&gt;&lt;UID&gt;{393CCA84-04BC-445C-966C-9C0C25231B6D}&lt;/UID&gt;&lt;Title&gt;公司避税影响审计定价吗?&lt;/Title&gt;&lt;Template&gt;Journal Article&lt;/Template&gt;&lt;Star&gt;0&lt;/Star&gt;&lt;Tag&gt;0&lt;/Tag&gt;&lt;Author&gt;陈冬; 罗祎&lt;/Author&gt;&lt;Year&gt;2015&lt;/Year&gt;&lt;Details&gt;&lt;_accessed&gt;62053453&lt;/_accessed&gt;&lt;_author_aff&gt;武汉大学经济与管理学院;&lt;/_author_aff&gt;&lt;_collection_scope&gt;CSSCI;中文核心期刊;&lt;/_collection_scope&gt;&lt;_created&gt;61697769&lt;/_created&gt;&lt;_date&gt;60589440&lt;/_date&gt;&lt;_db_provider&gt;CNKI: 期刊&lt;/_db_provider&gt;&lt;_db_updated&gt;CNKI - Reference&lt;/_db_updated&gt;&lt;_issue&gt;03&lt;/_issue&gt;&lt;_journal&gt;经济管理&lt;/_journal&gt;&lt;_keywords&gt;公司避税;审计定价;企业性质;审计师行业专长;法律环境&lt;/_keywords&gt;&lt;_language&gt;Chinese&lt;/_language&gt;&lt;_modified&gt;63295788&lt;/_modified&gt;&lt;_pages&gt;98-109&lt;/_pages&gt;&lt;_url&gt;http://www.cnki.net/KCMS/detail/detail.aspx?FileName=JJGU201503013&amp;amp;DbName=CJFQ2015&lt;/_url&gt;&lt;_translated_author&gt;Chen, Dong;Luo, Yi&lt;/_translated_author&gt;&lt;/Details&gt;&lt;Extra&gt;&lt;DBUID&gt;{E9F07991-3B72-4492-A7D8-86E559D9F8FE}&lt;/DBUID&gt;&lt;/Extra&gt;&lt;/Item&gt;&lt;/References&gt;&lt;/Group&gt;&lt;/Citation&gt;_x000a_"/>
    <w:docVar w:name="NE.Ref{B3681C14-704E-47FE-A42A-5500D42D15ED}" w:val=" ADDIN NE.Ref.{B3681C14-704E-47FE-A42A-5500D42D15ED}&lt;Citation&gt;&lt;Group&gt;&lt;References&gt;&lt;Item&gt;&lt;ID&gt;46&lt;/ID&gt;&lt;UID&gt;{F8F0E6D0-BF72-4D48-BBAE-CEAD35B61E12}&lt;/UID&gt;&lt;Title&gt;Tax reporting aggressiveness and its relation to aggressive financial reporting&lt;/Title&gt;&lt;Template&gt;Journal Article&lt;/Template&gt;&lt;Star&gt;0&lt;/Star&gt;&lt;Tag&gt;0&lt;/Tag&gt;&lt;Author&gt;Frank, Mary Margaret; Lynch, Luann J; Rego, Sonja Olhoft&lt;/Author&gt;&lt;Year&gt;2009&lt;/Year&gt;&lt;Details&gt;&lt;_alternate_title&gt;The Accounting Review&lt;/_alternate_title&gt;&lt;_created&gt;63224436&lt;/_created&gt;&lt;_date&gt;2009-01-01&lt;/_date&gt;&lt;_date_display&gt;2009&lt;/_date_display&gt;&lt;_impact_factor&gt;   4.562&lt;/_impact_factor&gt;&lt;_isbn&gt;0001-4826&lt;/_isbn&gt;&lt;_issue&gt;2&lt;/_issue&gt;&lt;_journal&gt;The Accounting Review&lt;/_journal&gt;&lt;_modified&gt;63224436&lt;/_modified&gt;&lt;_pages&gt;467-496&lt;/_pages&gt;&lt;_volume&gt;84&lt;/_volume&gt;&lt;/Details&gt;&lt;Extra&gt;&lt;DBUID&gt;{E9F07991-3B72-4492-A7D8-86E559D9F8FE}&lt;/DBUID&gt;&lt;/Extra&gt;&lt;/Item&gt;&lt;/References&gt;&lt;/Group&gt;&lt;/Citation&gt;_x000a_"/>
    <w:docVar w:name="NE.Ref{B40AD3B3-3DE3-42CB-98BF-05EDA75819E2}" w:val=" ADDIN NE.Ref.{B40AD3B3-3DE3-42CB-98BF-05EDA75819E2}&lt;Citation SecTmpl=&quot;1&quot;&gt;&lt;Group&gt;&lt;References&gt;&lt;Item&gt;&lt;ID&gt;187&lt;/ID&gt;&lt;UID&gt;{1D75616B-6936-4CAF-8C0D-3DC74B56F427}&lt;/UID&gt;&lt;Title&gt;Relation between audit effort and financial report misstatements: Evidence from quarterly and annual restatements&lt;/Title&gt;&lt;Template&gt;Journal Article&lt;/Template&gt;&lt;Star&gt;0&lt;/Star&gt;&lt;Tag&gt;0&lt;/Tag&gt;&lt;Author&gt;Lobo, Gerald J; Zhao, Yuping&lt;/Author&gt;&lt;Year&gt;2013&lt;/Year&gt;&lt;Details&gt;&lt;_alternate_title&gt;The Accounting Review&lt;/_alternate_title&gt;&lt;_created&gt;63228789&lt;/_created&gt;&lt;_date&gt;2013-01-01&lt;/_date&gt;&lt;_date_display&gt;2013&lt;/_date_display&gt;&lt;_impact_factor&gt;   4.562&lt;/_impact_factor&gt;&lt;_isbn&gt;0001-4826&lt;/_isbn&gt;&lt;_issue&gt;4&lt;/_issue&gt;&lt;_journal&gt;The Accounting Review&lt;/_journal&gt;&lt;_modified&gt;63297802&lt;/_modified&gt;&lt;_ori_publication&gt;American Accounting Association&lt;/_ori_publication&gt;&lt;_pages&gt;1385-1412&lt;/_pages&gt;&lt;_volume&gt;88&lt;/_volume&gt;&lt;/Details&gt;&lt;Extra&gt;&lt;DBUID&gt;{E9F07991-3B72-4492-A7D8-86E559D9F8FE}&lt;/DBUID&gt;&lt;/Extra&gt;&lt;/Item&gt;&lt;/References&gt;&lt;/Group&gt;&lt;/Citation&gt;_x000a_"/>
    <w:docVar w:name="NE.Ref{B423228D-3565-4C89-8EF5-077EBF1654CB}" w:val=" ADDIN NE.Ref.{B423228D-3565-4C89-8EF5-077EBF1654CB}&lt;Citation&gt;&lt;Group&gt;&lt;References&gt;&lt;Item&gt;&lt;ID&gt;97&lt;/ID&gt;&lt;UID&gt;{DBF5D537-843E-49B0-8031-E41A6BDAA746}&lt;/UID&gt;&lt;Title&gt;控股股东、代理问题与关联交易:对中国上市公司的实证研究&lt;/Title&gt;&lt;Template&gt;Journal Article&lt;/Template&gt;&lt;Star&gt;0&lt;/Star&gt;&lt;Tag&gt;0&lt;/Tag&gt;&lt;Author&gt;余明桂; 夏新平&lt;/Author&gt;&lt;Year&gt;2004&lt;/Year&gt;&lt;Details&gt;&lt;_accessed&gt;63241005&lt;/_accessed&gt;&lt;_author_aff&gt;华中科技大学管理学院_x000d__x000a__x000d__x000a__x000d__x000a__x000d__x000a__x000d__x000a__x000d__x000a__x000d__x000a__x000d__x000a_;华中科技大学管理学院&lt;/_author_aff&gt;&lt;_collection_scope&gt;CSSCI-C;PKU&lt;/_collection_scope&gt;&lt;_created&gt;63240989&lt;/_created&gt;&lt;_date&gt;55190880&lt;/_date&gt;&lt;_db_provider&gt;CNKI: 期刊&lt;/_db_provider&gt;&lt;_db_updated&gt;CNKI - Reference&lt;/_db_updated&gt;&lt;_issue&gt;06&lt;/_issue&gt;&lt;_journal&gt;南开管理评论&lt;/_journal&gt;&lt;_keywords&gt;公司治理;代理问题;关联交易;控股股东&lt;/_keywords&gt;&lt;_language&gt;Chinese&lt;/_language&gt;&lt;_modified&gt;63241005&lt;/_modified&gt;&lt;_pages&gt;33-38+61&lt;/_pages&gt;&lt;_url&gt;http://kns.cnki.net/KCMS/detail/detail.aspx?FileName=LKGP200406008&amp;amp;DbName=CJFQ2004&lt;/_url&gt;&lt;_translated_author&gt;Yu, Minggui;Xia, Xinping&lt;/_translated_author&gt;&lt;/Details&gt;&lt;Extra&gt;&lt;DBUID&gt;{E9F07991-3B72-4492-A7D8-86E559D9F8FE}&lt;/DBUID&gt;&lt;/Extra&gt;&lt;/Item&gt;&lt;/References&gt;&lt;/Group&gt;&lt;/Citation&gt;_x000a_"/>
    <w:docVar w:name="NE.Ref{B4755105-1A07-48FD-80C8-3FB0005D5B2E}" w:val=" ADDIN NE.Ref.{B4755105-1A07-48FD-80C8-3FB0005D5B2E}&lt;Citation SecTmpl=&quot;1&quot;&gt;&lt;Group&gt;&lt;References&gt;&lt;Item&gt;&lt;ID&gt;161&lt;/ID&gt;&lt;UID&gt;{67D8EE23-E247-41D5-BF4F-6D7F826B7E88}&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90029&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Citation&gt;_x000a_"/>
    <w:docVar w:name="NE.Ref{B5F6F822-78E0-40E7-8FB6-51F9276313C7}" w:val=" ADDIN NE.Ref.{B5F6F822-78E0-40E7-8FB6-51F9276313C7}&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B676EC63-75B3-46D4-829F-1F501D3004CC}" w:val=" ADDIN NE.Ref.{B676EC63-75B3-46D4-829F-1F501D3004CC}&lt;Citation SecTmpl=&quot;1&quot;&gt;&lt;Group&gt;&lt;References&gt;&lt;Item&gt;&lt;ID&gt;182&lt;/ID&gt;&lt;UID&gt;{BFAF9E73-7F2B-4BE6-965F-C751B881B2E4}&lt;/UID&gt;&lt;Title&gt;会计师事务所合并对审计质量之影响:来自中国资本市场的经验证据&lt;/Title&gt;&lt;Template&gt;Journal Article&lt;/Template&gt;&lt;Star&gt;0&lt;/Star&gt;&lt;Tag&gt;0&lt;/Tag&gt;&lt;Author&gt;李明辉; 刘笑霞&lt;/Author&gt;&lt;Year&gt;2015&lt;/Year&gt;&lt;Details&gt;&lt;_accessed&gt;63105675&lt;/_accessed&gt;&lt;_collection_scope&gt;CSSCI-C;PKU&lt;/_collection_scope&gt;&lt;_created&gt;62681263&lt;/_created&gt;&lt;_date&gt;2015-01-01&lt;/_date&gt;&lt;_date_display&gt;2015&lt;/_date_display&gt;&lt;_issue&gt;1&lt;/_issue&gt;&lt;_journal&gt;管理工程学报&lt;/_journal&gt;&lt;_keywords&gt;会计师事务所;合并;审计质量;行政推动&lt;/_keywords&gt;&lt;_modified&gt;62681263&lt;/_modified&gt;&lt;_pages&gt;169-182&lt;/_pages&gt;&lt;_volume&gt;29&lt;/_volume&gt;&lt;_translated_author&gt;Li, Minghui;Liu, Xiaoxia&lt;/_translated_author&gt;&lt;/Details&gt;&lt;Extra&gt;&lt;DBUID&gt;{2097646C-7C2F-4992-8A9B-6FF23AE7F1B7}&lt;/DBUID&gt;&lt;/Extra&gt;&lt;/Item&gt;&lt;/References&gt;&lt;/Group&gt;&lt;/Citation&gt;_x000a_"/>
    <w:docVar w:name="NE.Ref{B683B7E7-5424-4D95-A1FC-674261074706}" w:val=" ADDIN NE.Ref.{B683B7E7-5424-4D95-A1FC-674261074706}&lt;Citation SecTmpl=&quot;1&quot;&gt;&lt;Group&gt;&lt;References&gt;&lt;Item&gt;&lt;ID&gt;41&lt;/ID&gt;&lt;UID&gt;{B8AC2AAB-445E-4138-A94B-6C8FA93D4004}&lt;/UID&gt;&lt;Title&gt;Insider trading, litigation concerns, and auditor going-concern opinions&lt;/Title&gt;&lt;Template&gt;Journal Article&lt;/Template&gt;&lt;Star&gt;0&lt;/Star&gt;&lt;Tag&gt;0&lt;/Tag&gt;&lt;Author&gt;Chen, Chen; Martin, Xiumin; Wang, Xin&lt;/Author&gt;&lt;Year&gt;2013&lt;/Year&gt;&lt;Details&gt;&lt;_alternate_title&gt;The Accounting Review&lt;/_alternate_title&gt;&lt;_created&gt;63267321&lt;/_created&gt;&lt;_date&gt;2013-01-01&lt;/_date&gt;&lt;_date_display&gt;2013&lt;/_date_display&gt;&lt;_impact_factor&gt;   4.562&lt;/_impact_factor&gt;&lt;_isbn&gt;0001-4826&lt;/_isbn&gt;&lt;_issue&gt;2&lt;/_issue&gt;&lt;_journal&gt;The Accounting Review&lt;/_journal&gt;&lt;_modified&gt;63267321&lt;/_modified&gt;&lt;_ori_publication&gt;American Accounting Association&lt;/_ori_publication&gt;&lt;_pages&gt;365-393&lt;/_pages&gt;&lt;_volume&gt;88&lt;/_volume&gt;&lt;/Details&gt;&lt;Extra&gt;&lt;DBUID&gt;{439358B4-FA18-4C63-A3A1-0E3BE4066E7A}&lt;/DBUID&gt;&lt;/Extra&gt;&lt;/Item&gt;&lt;/References&gt;&lt;/Group&gt;&lt;/Citation&gt;_x000a_"/>
    <w:docVar w:name="NE.Ref{B6F17CBB-0A6A-4053-9323-EB4604764D43}" w:val=" ADDIN NE.Ref.{B6F17CBB-0A6A-4053-9323-EB4604764D43}&lt;Citation&gt;&lt;Group&gt;&lt;References&gt;&lt;Item&gt;&lt;ID&gt;10&lt;/ID&gt;&lt;UID&gt;{B71E3E73-DA28-400A-B8A6-8240745DAB2A}&lt;/UID&gt;&lt;Title&gt;Legal systems and earnings quality: The role of auditor industry specialization&lt;/Title&gt;&lt;Template&gt;Journal Article&lt;/Template&gt;&lt;Star&gt;0&lt;/Star&gt;&lt;Tag&gt;0&lt;/Tag&gt;&lt;Author&gt;Kwon, Soo Young; Lim, Chee Yeow; Tan, Patricia Mui-Siang&lt;/Author&gt;&lt;Year&gt;2007&lt;/Year&gt;&lt;Details&gt;&lt;_alternate_title&gt;Auditing: A Journal of Practice &amp;amp; Theory&lt;/_alternate_title&gt;&lt;_created&gt;63217157&lt;/_created&gt;&lt;_date&gt;2007-01-01&lt;/_date&gt;&lt;_date_display&gt;2007&lt;/_date_display&gt;&lt;_impact_factor&gt;   2.642&lt;/_impact_factor&gt;&lt;_isbn&gt;0278-0380&lt;/_isbn&gt;&lt;_issue&gt;2&lt;/_issue&gt;&lt;_journal&gt;Auditing: A Journal of Practice &amp;amp; Theory&lt;/_journal&gt;&lt;_modified&gt;63217157&lt;/_modified&gt;&lt;_pages&gt;25-55&lt;/_pages&gt;&lt;_volume&gt;26&lt;/_volume&gt;&lt;/Details&gt;&lt;Extra&gt;&lt;DBUID&gt;{E9F07991-3B72-4492-A7D8-86E559D9F8FE}&lt;/DBUID&gt;&lt;/Extra&gt;&lt;/Item&gt;&lt;/References&gt;&lt;/Group&gt;&lt;Group&gt;&lt;References&gt;&lt;Item&gt;&lt;ID&gt;9&lt;/ID&gt;&lt;UID&gt;{D74D4C21-385D-4AF9-ACDE-39F03308CB82}&lt;/UID&gt;&lt;Title&gt;Auditors&amp;apos; governance functions and legal environments: An international investigation&lt;/Title&gt;&lt;Template&gt;Journal Article&lt;/Template&gt;&lt;Star&gt;0&lt;/Star&gt;&lt;Tag&gt;0&lt;/Tag&gt;&lt;Author&gt;Choi, Jong Hag; Wong, Tak Jun&lt;/Author&gt;&lt;Year&gt;2007&lt;/Year&gt;&lt;Details&gt;&lt;_alternate_title&gt;Contemporary accounting research&lt;/_alternate_title&gt;&lt;_collection_scope&gt;SSCI&lt;/_collection_scope&gt;&lt;_created&gt;63217155&lt;/_created&gt;&lt;_date&gt;2007-01-01&lt;/_date&gt;&lt;_date_display&gt;2007&lt;/_date_display&gt;&lt;_impact_factor&gt;   2.261&lt;/_impact_factor&gt;&lt;_isbn&gt;0823-9150&lt;/_isbn&gt;&lt;_issue&gt;1&lt;/_issue&gt;&lt;_journal&gt;Contemporary accounting research&lt;/_journal&gt;&lt;_modified&gt;63217155&lt;/_modified&gt;&lt;_ori_publication&gt;Wiley Online Library&lt;/_ori_publication&gt;&lt;_pages&gt;13-46&lt;/_pages&gt;&lt;_volume&gt;24&lt;/_volume&gt;&lt;/Details&gt;&lt;Extra&gt;&lt;DBUID&gt;{E9F07991-3B72-4492-A7D8-86E559D9F8FE}&lt;/DBUID&gt;&lt;/Extra&gt;&lt;/Item&gt;&lt;/References&gt;&lt;/Group&gt;&lt;Group&gt;&lt;References&gt;&lt;Item&gt;&lt;ID&gt;12&lt;/ID&gt;&lt;UID&gt;{4D33E358-3201-499A-88D8-201F2ED8F8CB}&lt;/UID&gt;&lt;Title&gt;制度环境、审计声誉机制与收费溢价&lt;/Title&gt;&lt;Template&gt;Journal Article&lt;/Template&gt;&lt;Star&gt;0&lt;/Star&gt;&lt;Tag&gt;0&lt;/Tag&gt;&lt;Author&gt;郑莉莉; 郑建明&lt;/Author&gt;&lt;Year&gt;2017&lt;/Year&gt;&lt;Details&gt;&lt;_accessed&gt;63217166&lt;/_accessed&gt;&lt;_author_aff&gt;中央财经大学保险学院;对外经济贸易大学国际商学院;&lt;/_author_aff&gt;&lt;_collection_scope&gt;CSSCI-C;PKU&lt;/_collection_scope&gt;&lt;_created&gt;63217166&lt;/_created&gt;&lt;_date&gt;61925760&lt;/_date&gt;&lt;_db_provider&gt;CNKI: 期刊&lt;/_db_provider&gt;&lt;_db_updated&gt;CNKI - Reference&lt;/_db_updated&gt;&lt;_issue&gt;05&lt;/_issue&gt;&lt;_journal&gt;审计研究&lt;/_journal&gt;&lt;_keywords&gt;制度环境;审计声誉机制;收费溢价&lt;/_keywords&gt;&lt;_language&gt;Chinese&lt;/_language&gt;&lt;_modified&gt;63217166&lt;/_modified&gt;&lt;_pages&gt;78-86&lt;/_pages&gt;&lt;_url&gt;http://kns.cnki.net/KCMS/detail/detail.aspx?FileName=SJYZ201705013&amp;amp;DbName=CJFQ2017&lt;/_url&gt;&lt;_translated_author&gt;Zheng, Lili;Zheng, Jianming&lt;/_translated_author&gt;&lt;/Details&gt;&lt;Extra&gt;&lt;DBUID&gt;{E9F07991-3B72-4492-A7D8-86E559D9F8FE}&lt;/DBUID&gt;&lt;/Extra&gt;&lt;/Item&gt;&lt;/References&gt;&lt;/Group&gt;&lt;Group&gt;&lt;References&gt;&lt;Item&gt;&lt;ID&gt;11&lt;/ID&gt;&lt;UID&gt;{BC2D5589-C090-4C9A-9223-230B6C815DCE}&lt;/UID&gt;&lt;Title&gt;会计师事务所声誉与并购业绩补偿承诺&lt;/Title&gt;&lt;Template&gt;Journal Article&lt;/Template&gt;&lt;Star&gt;0&lt;/Star&gt;&lt;Tag&gt;0&lt;/Tag&gt;&lt;Author&gt;刘向强; 李沁洋&lt;/Author&gt;&lt;Year&gt;2019&lt;/Year&gt;&lt;Details&gt;&lt;_accessed&gt;63217166&lt;/_accessed&gt;&lt;_author_aff&gt;西南大学经济管理学院;&lt;/_author_aff&gt;&lt;_collection_scope&gt;CSSCI-C;PKU&lt;/_collection_scope&gt;&lt;_created&gt;63217166&lt;/_created&gt;&lt;_date&gt;63064800&lt;/_date&gt;&lt;_db_provider&gt;CNKI: 期刊&lt;/_db_provider&gt;&lt;_db_updated&gt;CNKI - Reference&lt;/_db_updated&gt;&lt;_issue&gt;06&lt;/_issue&gt;&lt;_journal&gt;审计研究&lt;/_journal&gt;&lt;_keywords&gt;会计师事务所声誉;并购重组;业绩补偿承诺&lt;/_keywords&gt;&lt;_language&gt;Chinese&lt;/_language&gt;&lt;_modified&gt;63217166&lt;/_modified&gt;&lt;_pages&gt;79-86&lt;/_pages&gt;&lt;_url&gt;http://kns.cnki.net/KCMS/detail/detail.aspx?FileName=SJYZ201906011&amp;amp;DbName=CJFQ2019&lt;/_url&gt;&lt;_translated_author&gt;Liu, Xiangqiang;Li, Qinyang&lt;/_translated_author&gt;&lt;/Details&gt;&lt;Extra&gt;&lt;DBUID&gt;{E9F07991-3B72-4492-A7D8-86E559D9F8FE}&lt;/DBUID&gt;&lt;/Extra&gt;&lt;/Item&gt;&lt;/References&gt;&lt;/Group&gt;&lt;/Citation&gt;_x000a_"/>
    <w:docVar w:name="NE.Ref{B7208DB6-BD8B-4710-B4D6-7DDA22B102A3}" w:val=" ADDIN NE.Ref.{B7208DB6-BD8B-4710-B4D6-7DDA22B102A3}&lt;Citation SecTmpl=&quot;1&quot;&gt;&lt;Group&gt;&lt;References&gt;&lt;Item&gt;&lt;ID&gt;90&lt;/ID&gt;&lt;UID&gt;{6C8E8D32-FD2E-4F39-874E-A46863EDAAE0}&lt;/UID&gt;&lt;Title&gt;Relation between audit effort and financial report misstatements: Evidence from quarterly and annual restatements&lt;/Title&gt;&lt;Template&gt;Journal Article&lt;/Template&gt;&lt;Star&gt;0&lt;/Star&gt;&lt;Tag&gt;0&lt;/Tag&gt;&lt;Author&gt;Lobo, Gerald J; Zhao, Yuping&lt;/Author&gt;&lt;Year&gt;2013&lt;/Year&gt;&lt;Details&gt;&lt;_alternate_title&gt;The Accounting Review&lt;/_alternate_title&gt;&lt;_created&gt;63228784&lt;/_created&gt;&lt;_date&gt;2013-01-01&lt;/_date&gt;&lt;_date_display&gt;2013&lt;/_date_display&gt;&lt;_impact_factor&gt;   4.562&lt;/_impact_factor&gt;&lt;_isbn&gt;0001-4826&lt;/_isbn&gt;&lt;_issue&gt;4&lt;/_issue&gt;&lt;_journal&gt;The Accounting Review&lt;/_journal&gt;&lt;_modified&gt;63228784&lt;/_modified&gt;&lt;_ori_publication&gt;American Accounting Association&lt;/_ori_publication&gt;&lt;_pages&gt;1385-1412&lt;/_pages&gt;&lt;_volume&gt;88&lt;/_volume&gt;&lt;/Details&gt;&lt;Extra&gt;&lt;DBUID&gt;{E9F07991-3B72-4492-A7D8-86E559D9F8FE}&lt;/DBUID&gt;&lt;/Extra&gt;&lt;/Item&gt;&lt;/References&gt;&lt;/Group&gt;&lt;/Citation&gt;_x000a_"/>
    <w:docVar w:name="NE.Ref{B74322A6-4F38-448C-91FF-FB64E8F73E27}" w:val=" ADDIN NE.Ref.{B74322A6-4F38-448C-91FF-FB64E8F73E27}&lt;Citation&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B762F99A-67E5-42EB-906B-4EF3497356D3}" w:val=" ADDIN NE.Ref.{B762F99A-67E5-42EB-906B-4EF3497356D3}&lt;Citation SecTmpl=&quot;1&quot;&gt;&lt;Group&gt;&lt;References&gt;&lt;Item&gt;&lt;ID&gt;66&lt;/ID&gt;&lt;UID&gt;{6DC66072-8C78-49D3-8BB3-B61DD43ADF3A}&lt;/UID&gt;&lt;Title&gt;Tax collector or tax avoider? An investigation of intergovernmental agency conflicts&lt;/Title&gt;&lt;Template&gt;Journal Article&lt;/Template&gt;&lt;Star&gt;0&lt;/Star&gt;&lt;Tag&gt;0&lt;/Tag&gt;&lt;Author&gt;Tang, Tanya; Mo, Phyllis Lai Lan; Chan, K Hung&lt;/Author&gt;&lt;Year&gt;2017&lt;/Year&gt;&lt;Details&gt;&lt;_alternate_title&gt;The Accounting Review&lt;/_alternate_title&gt;&lt;_created&gt;63226616&lt;/_created&gt;&lt;_date&gt;2017-01-01&lt;/_date&gt;&lt;_date_display&gt;2017&lt;/_date_display&gt;&lt;_isbn&gt;1558-7967&lt;/_isbn&gt;&lt;_issue&gt;2&lt;/_issue&gt;&lt;_journal&gt;The Accounting Review&lt;/_journal&gt;&lt;_modified&gt;63226616&lt;/_modified&gt;&lt;_ori_publication&gt;American Accounting Association&lt;/_ori_publication&gt;&lt;_pages&gt;247-270&lt;/_pages&gt;&lt;_volume&gt;92&lt;/_volume&gt;&lt;/Details&gt;&lt;Extra&gt;&lt;DBUID&gt;{E9F07991-3B72-4492-A7D8-86E559D9F8FE}&lt;/DBUID&gt;&lt;/Extra&gt;&lt;/Item&gt;&lt;/References&gt;&lt;/Group&gt;&lt;/Citation&gt;_x000a_"/>
    <w:docVar w:name="NE.Ref{B7907BAD-86C0-40C6-97AA-F75BD02422EF}" w:val=" ADDIN NE.Ref.{B7907BAD-86C0-40C6-97AA-F75BD02422EF}&lt;Citation SecTmpl=&quot;1&quot;&gt;&lt;Group&gt;&lt;References&gt;&lt;Item&gt;&lt;ID&gt;158&lt;/ID&gt;&lt;UID&gt;{2150C1EF-0397-4CDD-B0E7-E8921FDB0AA7}&lt;/UID&gt;&lt;Title&gt;Big 4 audit fee premiums for national and office-level industry leadership in the United Kingdom&lt;/Title&gt;&lt;Template&gt;Journal Article&lt;/Template&gt;&lt;Star&gt;0&lt;/Star&gt;&lt;Tag&gt;0&lt;/Tag&gt;&lt;Author&gt;Basioudis, Ilias G; Francis, Jere R&lt;/Author&gt;&lt;Year&gt;2007&lt;/Year&gt;&lt;Details&gt;&lt;_accessed&gt;63304416&lt;/_accessed&gt;&lt;_alternate_title&gt;Auditing: A Journal of Practice &amp;amp; Theory&lt;/_alternate_title&gt;&lt;_created&gt;62475324&lt;/_created&gt;&lt;_date&gt;2007-01-01&lt;/_date&gt;&lt;_date_display&gt;2007&lt;/_date_display&gt;&lt;_impact_factor&gt;   2.642&lt;/_impact_factor&gt;&lt;_isbn&gt;0278-0380&lt;/_isbn&gt;&lt;_issue&gt;2&lt;/_issue&gt;&lt;_journal&gt;Auditing: A Journal of Practice &amp;amp; Theory&lt;/_journal&gt;&lt;_modified&gt;62979360&lt;/_modified&gt;&lt;_pages&gt;143-166&lt;/_pages&gt;&lt;_volume&gt;26&lt;/_volume&gt;&lt;/Details&gt;&lt;Extra&gt;&lt;DBUID&gt;{2097646C-7C2F-4992-8A9B-6FF23AE7F1B7}&lt;/DBUID&gt;&lt;/Extra&gt;&lt;/Item&gt;&lt;/References&gt;&lt;/Group&gt;&lt;/Citation&gt;_x000a_"/>
    <w:docVar w:name="NE.Ref{B838E69F-8EF1-4237-86AB-47B1D17BA9F5}" w:val=" ADDIN NE.Ref.{B838E69F-8EF1-4237-86AB-47B1D17BA9F5}&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B83D2F4B-30EF-4357-9886-A56FF033BF4F}" w:val=" ADDIN NE.Ref.{B83D2F4B-30EF-4357-9886-A56FF033BF4F}&lt;Citation&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Group&gt;&lt;References&gt;&lt;Item&gt;&lt;ID&gt;180&lt;/ID&gt;&lt;UID&gt;{DB1C3421-B273-4122-9C01-08379E044EFD}&lt;/UID&gt;&lt;Title&gt;会计师事务所合并的动因与经济后果:一个文献综述&lt;/Title&gt;&lt;Template&gt;Journal Article&lt;/Template&gt;&lt;Star&gt;0&lt;/Star&gt;&lt;Tag&gt;0&lt;/Tag&gt;&lt;Author&gt;李明辉; 刘笑霞&lt;/Author&gt;&lt;Year&gt;2010&lt;/Year&gt;&lt;Details&gt;&lt;_accessed&gt;63105674&lt;/_accessed&gt;&lt;_collection_scope&gt;CSSCI-C;PKU&lt;/_collection_scope&gt;&lt;_created&gt;62681263&lt;/_created&gt;&lt;_date&gt;2010-01-01&lt;/_date&gt;&lt;_date_display&gt;2010&lt;/_date_display&gt;&lt;_issue&gt;5&lt;/_issue&gt;&lt;_journal&gt;审计研究&lt;/_journal&gt;&lt;_keywords&gt;会计师事务所;合并;规模;动因;经济后果&lt;/_keywords&gt;&lt;_modified&gt;62681263&lt;/_modified&gt;&lt;_pages&gt;63-69&lt;/_pages&gt;&lt;_translated_author&gt;Li, Minghui;Liu, Xiaoxia&lt;/_translated_author&gt;&lt;/Details&gt;&lt;Extra&gt;&lt;DBUID&gt;{2097646C-7C2F-4992-8A9B-6FF23AE7F1B7}&lt;/DBUID&gt;&lt;/Extra&gt;&lt;/Item&gt;&lt;/References&gt;&lt;/Group&gt;&lt;Group&gt;&lt;References&gt;&lt;Item&gt;&lt;ID&gt;179&lt;/ID&gt;&lt;UID&gt;{1AF75C1A-9C92-43B3-8E70-7E090E9CD293}&lt;/UID&gt;&lt;Title&gt;会计师事务所合并对审计质量的影响&lt;/Title&gt;&lt;Template&gt;Journal Article&lt;/Template&gt;&lt;Star&gt;0&lt;/Star&gt;&lt;Tag&gt;0&lt;/Tag&gt;&lt;Author&gt;曾亚敏; 张俊生&lt;/Author&gt;&lt;Year&gt;2010&lt;/Year&gt;&lt;Details&gt;&lt;_accessed&gt;63105675&lt;/_accessed&gt;&lt;_collection_scope&gt;CSSCI-C;PKU&lt;/_collection_scope&gt;&lt;_created&gt;62681263&lt;/_created&gt;&lt;_date&gt;2010-01-01&lt;/_date&gt;&lt;_date_display&gt;2010&lt;/_date_display&gt;&lt;_issue&gt;5&lt;/_issue&gt;&lt;_journal&gt;审计研究&lt;/_journal&gt;&lt;_keywords&gt;事务所合并;审计质量;可控性应计;盈余响应系数&lt;/_keywords&gt;&lt;_modified&gt;62681263&lt;/_modified&gt;&lt;_pages&gt;53-60&lt;/_pages&gt;&lt;_translated_author&gt;Ceng, Yamin;Zhang, Junsheng&lt;/_translated_author&gt;&lt;/Details&gt;&lt;Extra&gt;&lt;DBUID&gt;{2097646C-7C2F-4992-8A9B-6FF23AE7F1B7}&lt;/DBUID&gt;&lt;/Extra&gt;&lt;/Item&gt;&lt;/References&gt;&lt;/Group&gt;&lt;/Citation&gt;_x000a_"/>
    <w:docVar w:name="NE.Ref{B88491D3-C938-4DAB-81E9-751A83629C04}" w:val=" ADDIN NE.Ref.{B88491D3-C938-4DAB-81E9-751A83629C04}&lt;Citation SecTmpl=&quot;1&quot;&gt;&lt;Group&gt;&lt;References&gt;&lt;Item&gt;&lt;ID&gt;8&lt;/ID&gt;&lt;UID&gt;{18457393-F3A2-4B8C-BA84-7D5B328AA3F6}&lt;/UID&gt;&lt;Title&gt;Information asymmetry and cross‐sectional variation in insider trading&lt;/Title&gt;&lt;Template&gt;Journal Article&lt;/Template&gt;&lt;Star&gt;0&lt;/Star&gt;&lt;Tag&gt;0&lt;/Tag&gt;&lt;Author&gt;Huddart, Steven J; Ke, Bin&lt;/Author&gt;&lt;Year&gt;2007&lt;/Year&gt;&lt;Details&gt;&lt;_accessed&gt;63270279&lt;/_accessed&gt;&lt;_alternate_title&gt;Contemporary Accounting Research&lt;/_alternate_title&gt;&lt;_collection_scope&gt;SSCI&lt;/_collection_scope&gt;&lt;_created&gt;63267004&lt;/_created&gt;&lt;_date&gt;2007-01-01&lt;/_date&gt;&lt;_date_display&gt;2007&lt;/_date_display&gt;&lt;_impact_factor&gt;   2.261&lt;/_impact_factor&gt;&lt;_isbn&gt;0823-9150&lt;/_isbn&gt;&lt;_issue&gt;1&lt;/_issue&gt;&lt;_journal&gt;Contemporary Accounting Research&lt;/_journal&gt;&lt;_modified&gt;63270279&lt;/_modified&gt;&lt;_ori_publication&gt;Wiley Online Library&lt;/_ori_publication&gt;&lt;_pages&gt;195-232&lt;/_pages&gt;&lt;_volume&gt;24&lt;/_volume&gt;&lt;/Details&gt;&lt;Extra&gt;&lt;DBUID&gt;{439358B4-FA18-4C63-A3A1-0E3BE4066E7A}&lt;/DBUID&gt;&lt;/Extra&gt;&lt;/Item&gt;&lt;/References&gt;&lt;/Group&gt;&lt;/Citation&gt;_x000a_"/>
    <w:docVar w:name="NE.Ref{B9F6FD3A-1232-4820-A5C0-3551447C883C}" w:val=" ADDIN NE.Ref.{B9F6FD3A-1232-4820-A5C0-3551447C883C}&lt;Citation SecTmpl=&quot;1&quot;&gt;&lt;Group&gt;&lt;References&gt;&lt;Item&gt;&lt;ID&gt;66&lt;/ID&gt;&lt;UID&gt;{6DC66072-8C78-49D3-8BB3-B61DD43ADF3A}&lt;/UID&gt;&lt;Title&gt;Tax collector or tax avoider? An investigation of intergovernmental agency conflicts&lt;/Title&gt;&lt;Template&gt;Journal Article&lt;/Template&gt;&lt;Star&gt;0&lt;/Star&gt;&lt;Tag&gt;0&lt;/Tag&gt;&lt;Author&gt;Tang, Tanya; Mo, Phyllis Lai Lan; Chan, K Hung&lt;/Author&gt;&lt;Year&gt;2017&lt;/Year&gt;&lt;Details&gt;&lt;_alternate_title&gt;The Accounting Review&lt;/_alternate_title&gt;&lt;_created&gt;63226616&lt;/_created&gt;&lt;_date&gt;2017-01-01&lt;/_date&gt;&lt;_date_display&gt;2017&lt;/_date_display&gt;&lt;_isbn&gt;1558-7967&lt;/_isbn&gt;&lt;_issue&gt;2&lt;/_issue&gt;&lt;_journal&gt;The Accounting Review&lt;/_journal&gt;&lt;_modified&gt;63226616&lt;/_modified&gt;&lt;_ori_publication&gt;American Accounting Association&lt;/_ori_publication&gt;&lt;_pages&gt;247-270&lt;/_pages&gt;&lt;_volume&gt;92&lt;/_volume&gt;&lt;/Details&gt;&lt;Extra&gt;&lt;DBUID&gt;{E9F07991-3B72-4492-A7D8-86E559D9F8FE}&lt;/DBUID&gt;&lt;/Extra&gt;&lt;/Item&gt;&lt;/References&gt;&lt;/Group&gt;&lt;/Citation&gt;_x000a_"/>
    <w:docVar w:name="NE.Ref{BA184EE8-8AE8-46D2-B194-3582A282148B}" w:val=" ADDIN NE.Ref.{BA184EE8-8AE8-46D2-B194-3582A282148B}&lt;Citation SecTmpl=&quot;1&quot;&gt;&lt;Group&gt;&lt;References&gt;&lt;Item&gt;&lt;ID&gt;129&lt;/ID&gt;&lt;UID&gt;{E07C49E0-919A-4B4B-9E58-500099B8890F}&lt;/UID&gt;&lt;Title&gt;大股东资金占用与审计师选择的再检验&lt;/Title&gt;&lt;Template&gt;Journal Article&lt;/Template&gt;&lt;Star&gt;0&lt;/Star&gt;&lt;Tag&gt;0&lt;/Tag&gt;&lt;Author&gt;高强; 伍利娜&lt;/Author&gt;&lt;Year&gt;2007&lt;/Year&gt;&lt;Details&gt;&lt;_accessed&gt;63241053&lt;/_accessed&gt;&lt;_author_aff&gt;财政部人事教育司;北京大学光华管理学院;&lt;/_author_aff&gt;&lt;_collection_scope&gt;CSSCI-C;PKU&lt;/_collection_scope&gt;&lt;_created&gt;63241052&lt;/_created&gt;&lt;_date&gt;56665440&lt;/_date&gt;&lt;_db_provider&gt;CNKI: 期刊&lt;/_db_provider&gt;&lt;_db_updated&gt;CNKI - Reference&lt;/_db_updated&gt;&lt;_issue&gt;05&lt;/_issue&gt;&lt;_journal&gt;审计研究&lt;/_journal&gt;&lt;_keywords&gt;大股东资金占用;审计;代理理论&lt;/_keywords&gt;&lt;_language&gt;Chinese&lt;/_language&gt;&lt;_modified&gt;63241053&lt;/_modified&gt;&lt;_pages&gt;84-90&lt;/_pages&gt;&lt;_url&gt;http://kns.cnki.net/KCMS/detail/detail.aspx?FileName=SJYZ200705020&amp;amp;DbName=CJFQ2007&lt;/_url&gt;&lt;_translated_author&gt;Gao, Qiang;Wu, Lina&lt;/_translated_author&gt;&lt;/Details&gt;&lt;Extra&gt;&lt;DBUID&gt;{E9F07991-3B72-4492-A7D8-86E559D9F8FE}&lt;/DBUID&gt;&lt;/Extra&gt;&lt;/Item&gt;&lt;/References&gt;&lt;/Group&gt;&lt;/Citation&gt;_x000a_"/>
    <w:docVar w:name="NE.Ref{BA712253-9918-4524-926D-D86CC82BD69B}" w:val=" ADDIN NE.Ref.{BA712253-9918-4524-926D-D86CC82BD69B}&lt;Citation SecTmpl=&quot;1&quot;&gt;&lt;Group&gt;&lt;References&gt;&lt;Item&gt;&lt;ID&gt;154&lt;/ID&gt;&lt;UID&gt;{5FD0538C-9733-4329-BD22-8787BCD74484}&lt;/UID&gt;&lt;Title&gt;Auditor industry specialization and earnings quality&lt;/Title&gt;&lt;Template&gt;Journal Article&lt;/Template&gt;&lt;Star&gt;0&lt;/Star&gt;&lt;Tag&gt;0&lt;/Tag&gt;&lt;Author&gt;Balsam, Steven; Krishnan, Jagan; Yang, Joon S&lt;/Author&gt;&lt;Year&gt;2003&lt;/Year&gt;&lt;Details&gt;&lt;_accessed&gt;63304409&lt;/_accessed&gt;&lt;_alternate_title&gt;Auditing: A journal of practice &amp;amp; Theory&lt;/_alternate_title&gt;&lt;_created&gt;62475305&lt;/_created&gt;&lt;_date&gt;2003-01-01&lt;/_date&gt;&lt;_date_display&gt;2003&lt;/_date_display&gt;&lt;_impact_factor&gt;   2.642&lt;/_impact_factor&gt;&lt;_isbn&gt;0278-0380&lt;/_isbn&gt;&lt;_issue&gt;2&lt;/_issue&gt;&lt;_journal&gt;Auditing: A journal of practice &amp;amp; Theory&lt;/_journal&gt;&lt;_modified&gt;62979052&lt;/_modified&gt;&lt;_pages&gt;71-97&lt;/_pages&gt;&lt;_volume&gt;22&lt;/_volume&gt;&lt;/Details&gt;&lt;Extra&gt;&lt;DBUID&gt;{2097646C-7C2F-4992-8A9B-6FF23AE7F1B7}&lt;/DBUID&gt;&lt;/Extra&gt;&lt;/Item&gt;&lt;/References&gt;&lt;/Group&gt;&lt;/Citation&gt;_x000a_"/>
    <w:docVar w:name="NE.Ref{BA823012-150A-4F76-863B-11C2823744F1}" w:val=" ADDIN NE.Ref.{BA823012-150A-4F76-863B-11C2823744F1}&lt;Citation SecTmpl=&quot;1&quot;&gt;&lt;Group&gt;&lt;References&gt;&lt;Item&gt;&lt;ID&gt;38&lt;/ID&gt;&lt;UID&gt;{37AF4881-5A7F-4F44-A262-B232A7DDDF8B}&lt;/UID&gt;&lt;Title&gt;影响公司高管交易行为内部差异的因素：“信息优势”还是“收入补偿动机”&lt;/Title&gt;&lt;Template&gt;Journal Article&lt;/Template&gt;&lt;Star&gt;0&lt;/Star&gt;&lt;Tag&gt;0&lt;/Tag&gt;&lt;Author&gt;曾庆生; 程博&lt;/Author&gt;&lt;Year&gt;2019&lt;/Year&gt;&lt;Details&gt;&lt;_accessed&gt;63268336&lt;/_accessed&gt;&lt;_author_aff&gt;上海财经大学会计与财务研究院;浙江农林大学暨阳学院;&lt;/_author_aff&gt;&lt;_collection_scope&gt;CSSCI-C;PKU&lt;/_collection_scope&gt;&lt;_created&gt;63267311&lt;/_created&gt;&lt;_date&gt;63079200&lt;/_date&gt;&lt;_db_provider&gt;CNKI: 期刊&lt;/_db_provider&gt;&lt;_db_updated&gt;CNKI - Reference&lt;/_db_updated&gt;&lt;_issue&gt;06&lt;/_issue&gt;&lt;_journal&gt;南开管理评论&lt;/_journal&gt;&lt;_keywords&gt;高管交易;薪酬相对水平;信息优势;收入补偿动机&lt;/_keywords&gt;&lt;_language&gt;Chinese&lt;/_language&gt;&lt;_modified&gt;63268336&lt;/_modified&gt;&lt;_pages&gt;127-139&lt;/_pages&gt;&lt;_url&gt;http://kns.cnki.net/KCMS/detail/detail.aspx?FileName=LKGP201906012&amp;amp;DbName=CJFQ2019&lt;/_url&gt;&lt;_volume&gt;22&lt;/_volume&gt;&lt;_translated_author&gt;Ceng, Qingsheng;Cheng, Bo&lt;/_translated_author&gt;&lt;/Details&gt;&lt;Extra&gt;&lt;DBUID&gt;{439358B4-FA18-4C63-A3A1-0E3BE4066E7A}&lt;/DBUID&gt;&lt;/Extra&gt;&lt;/Item&gt;&lt;/References&gt;&lt;/Group&gt;&lt;/Citation&gt;_x000a_"/>
    <w:docVar w:name="NE.Ref{BAE9AC97-6502-4141-8594-96A598CFE1BF}" w:val=" ADDIN NE.Ref.{BAE9AC97-6502-4141-8594-96A598CFE1BF}&lt;Citation SecTmpl=&quot;1&quot;&gt;&lt;Group&gt;&lt;References&gt;&lt;Item&gt;&lt;ID&gt;61&lt;/ID&gt;&lt;UID&gt;{692CF394-0812-426A-8B59-734934749B8B}&lt;/UID&gt;&lt;Title&gt;Insider Trading in the OTC Market&lt;/Title&gt;&lt;Template&gt;Journal Article&lt;/Template&gt;&lt;Star&gt;0&lt;/Star&gt;&lt;Tag&gt;0&lt;/Tag&gt;&lt;Author&gt;Howe, John S&lt;/Author&gt;&lt;Year&gt;1990&lt;/Year&gt;&lt;Details&gt;&lt;_collection_scope&gt;SSCI&lt;/_collection_scope&gt;&lt;_created&gt;63282837&lt;/_created&gt;&lt;_date&gt;1990-01-01&lt;/_date&gt;&lt;_date_display&gt;1990&lt;/_date_display&gt;&lt;_impact_factor&gt;   6.201&lt;/_impact_factor&gt;&lt;_issue&gt;4&lt;/_issue&gt;&lt;_journal&gt;Journal of Finance&lt;/_journal&gt;&lt;_modified&gt;63282837&lt;/_modified&gt;&lt;_pages&gt;1273-1284&lt;/_pages&gt;&lt;_volume&gt;45&lt;/_volume&gt;&lt;/Details&gt;&lt;Extra&gt;&lt;DBUID&gt;{439358B4-FA18-4C63-A3A1-0E3BE4066E7A}&lt;/DBUID&gt;&lt;/Extra&gt;&lt;/Item&gt;&lt;/References&gt;&lt;/Group&gt;&lt;/Citation&gt;_x000a_"/>
    <w:docVar w:name="NE.Ref{BB7BCC57-AB5F-41DA-8E17-5F4B8A58FC17}" w:val=" ADDIN NE.Ref.{BB7BCC57-AB5F-41DA-8E17-5F4B8A58FC17}&lt;Citation SecTmpl=&quot;1&quot;&gt;&lt;Group&gt;&lt;References&gt;&lt;Item&gt;&lt;ID&gt;671&lt;/ID&gt;&lt;UID&gt;{981DC2EA-9ED5-424C-A61F-278CCEF2D7A2}&lt;/UID&gt;&lt;Title&gt;Financial reporting and auditing under alternative damage apportionment rules&lt;/Title&gt;&lt;Template&gt;Journal Article&lt;/Template&gt;&lt;Star&gt;0&lt;/Star&gt;&lt;Tag&gt;0&lt;/Tag&gt;&lt;Author&gt;Hillegeist, Stephen A&lt;/Author&gt;&lt;Year&gt;1999&lt;/Year&gt;&lt;Details&gt;&lt;_alternate_title&gt;The Accounting Review&lt;/_alternate_title&gt;&lt;_created&gt;63228772&lt;/_created&gt;&lt;_date&gt;1999-01-01&lt;/_date&gt;&lt;_date_display&gt;1999&lt;/_date_display&gt;&lt;_impact_factor&gt;   4.562&lt;/_impact_factor&gt;&lt;_isbn&gt;0001-4826&lt;/_isbn&gt;&lt;_issue&gt;3&lt;/_issue&gt;&lt;_journal&gt;The Accounting Review&lt;/_journal&gt;&lt;_modified&gt;63228772&lt;/_modified&gt;&lt;_pages&gt;347-369&lt;/_pages&gt;&lt;_volume&gt;74&lt;/_volume&gt;&lt;/Details&gt;&lt;Extra&gt;&lt;DBUID&gt;{83AC290F-D6FC-4574-9771-6904EE9C30A4}&lt;/DBUID&gt;&lt;/Extra&gt;&lt;/Item&gt;&lt;/References&gt;&lt;/Group&gt;&lt;/Citation&gt;_x000a_"/>
    <w:docVar w:name="NE.Ref{BB93D2A1-9661-4528-BBD4-2BEE5F521A54}" w:val=" ADDIN NE.Ref.{BB93D2A1-9661-4528-BBD4-2BEE5F521A54}&lt;Citation&gt;&lt;Group&gt;&lt;References&gt;&lt;Item&gt;&lt;ID&gt;111&lt;/ID&gt;&lt;UID&gt;{E8AECB9D-6CE7-4BFA-83E9-BD51F47D9AA8}&lt;/UID&gt;&lt;Title&gt;媒体监督、经理人特征与掏空——基于我国家族上市公司的经验证据&lt;/Title&gt;&lt;Template&gt;Journal Article&lt;/Template&gt;&lt;Star&gt;0&lt;/Star&gt;&lt;Tag&gt;0&lt;/Tag&gt;&lt;Author&gt;叶勇; 李明; 王雨潇&lt;/Author&gt;&lt;Year&gt;2017&lt;/Year&gt;&lt;Details&gt;&lt;_accessed&gt;63240997&lt;/_accessed&gt;&lt;_author_aff&gt;西南交通大学经济管理学院;&lt;/_author_aff&gt;&lt;_collection_scope&gt;CSSCI-C;PKU&lt;/_collection_scope&gt;&lt;_created&gt;63240989&lt;/_created&gt;&lt;_date&gt;61620480&lt;/_date&gt;&lt;_db_provider&gt;CNKI: 期刊&lt;/_db_provider&gt;&lt;_db_updated&gt;CNKI - Reference&lt;/_db_updated&gt;&lt;_issue&gt;02&lt;/_issue&gt;&lt;_journal&gt;管理评论&lt;/_journal&gt;&lt;_keywords&gt;媒体监督;经理人特征;声誉机制;掏空&lt;/_keywords&gt;&lt;_language&gt;Chinese&lt;/_language&gt;&lt;_modified&gt;63240997&lt;/_modified&gt;&lt;_pages&gt;155-167&lt;/_pages&gt;&lt;_url&gt;http://kns.cnki.net/KCMS/detail/detail.aspx?FileName=ZWGD201702015&amp;amp;DbName=CJFQ2017&lt;/_url&gt;&lt;_volume&gt;29&lt;/_volume&gt;&lt;_translated_author&gt;Ye, Yong;Li, Ming;Wang, Yuxiao&lt;/_translated_author&gt;&lt;/Details&gt;&lt;Extra&gt;&lt;DBUID&gt;{E9F07991-3B72-4492-A7D8-86E559D9F8FE}&lt;/DBUID&gt;&lt;/Extra&gt;&lt;/Item&gt;&lt;/References&gt;&lt;/Group&gt;&lt;Group&gt;&lt;References&gt;&lt;Item&gt;&lt;ID&gt;104&lt;/ID&gt;&lt;UID&gt;{17110046-F928-4684-BCCE-3276AEFA3B20}&lt;/UID&gt;&lt;Title&gt;媒体负面报道对控股股东掏空行为影响的实证研究&lt;/Title&gt;&lt;Template&gt;Journal Article&lt;/Template&gt;&lt;Star&gt;0&lt;/Star&gt;&lt;Tag&gt;0&lt;/Tag&gt;&lt;Author&gt;李明; 叶勇&lt;/Author&gt;&lt;Year&gt;2016&lt;/Year&gt;&lt;Details&gt;&lt;_accessed&gt;63240995&lt;/_accessed&gt;&lt;_author_aff&gt;西南交通大学经济管理学院;&lt;/_author_aff&gt;&lt;_collection_scope&gt;CSSCI-C;PKU&lt;/_collection_scope&gt;&lt;_created&gt;63240989&lt;/_created&gt;&lt;_date&gt;61053120&lt;/_date&gt;&lt;_db_provider&gt;CNKI: 期刊&lt;/_db_provider&gt;&lt;_db_updated&gt;CNKI - Reference&lt;/_db_updated&gt;&lt;_issue&gt;01&lt;/_issue&gt;&lt;_journal&gt;管理评论&lt;/_journal&gt;&lt;_keywords&gt;媒体负面报道;控股股东;掏空;投资者保护&lt;/_keywords&gt;&lt;_language&gt;Chinese&lt;/_language&gt;&lt;_modified&gt;63240995&lt;/_modified&gt;&lt;_pages&gt;73-82&lt;/_pages&gt;&lt;_url&gt;http://kns.cnki.net/KCMS/detail/detail.aspx?FileName=ZWGD201601008&amp;amp;DbName=CJFQ2016&lt;/_url&gt;&lt;_volume&gt;28&lt;/_volume&gt;&lt;_translated_author&gt;Li, Ming;Ye, Yong&lt;/_translated_author&gt;&lt;/Details&gt;&lt;Extra&gt;&lt;DBUID&gt;{E9F07991-3B72-4492-A7D8-86E559D9F8FE}&lt;/DBUID&gt;&lt;/Extra&gt;&lt;/Item&gt;&lt;/References&gt;&lt;/Group&gt;&lt;Group&gt;&lt;References&gt;&lt;Item&gt;&lt;ID&gt;103&lt;/ID&gt;&lt;UID&gt;{18E5291D-ED15-4AC4-8E54-EFB3E5F0CC9F}&lt;/UID&gt;&lt;Title&gt;公司行为中的媒体角色:激浊扬清还是推波助澜?&lt;/Title&gt;&lt;Template&gt;Journal Article&lt;/Template&gt;&lt;Star&gt;0&lt;/Star&gt;&lt;Tag&gt;0&lt;/Tag&gt;&lt;Author&gt;孔东民; 刘莎莎; 应千伟&lt;/Author&gt;&lt;Year&gt;2013&lt;/Year&gt;&lt;Details&gt;&lt;_accessed&gt;63241007&lt;/_accessed&gt;&lt;_author_aff&gt;华中科技大学经济学院;北京大学光华管理学院;四川大学商学院;&lt;/_author_aff&gt;&lt;_collection_scope&gt;CSSCI-C;PKU&lt;/_collection_scope&gt;&lt;_created&gt;63240989&lt;/_created&gt;&lt;_date&gt;59713920&lt;/_date&gt;&lt;_db_provider&gt;CNKI: 期刊&lt;/_db_provider&gt;&lt;_db_updated&gt;CNKI - Reference&lt;/_db_updated&gt;&lt;_issue&gt;07&lt;/_issue&gt;&lt;_journal&gt;管理世界&lt;/_journal&gt;&lt;_keywords&gt;公司行为;媒体关注;投资者保护;监督;合谋&lt;/_keywords&gt;&lt;_language&gt;Chinese&lt;/_language&gt;&lt;_modified&gt;63241007&lt;/_modified&gt;&lt;_pages&gt;145-162&lt;/_pages&gt;&lt;_url&gt;http://kns.cnki.net/KCMS/detail/detail.aspx?FileName=GLSJ201307015&amp;amp;DbName=CJFQ2013&lt;/_url&gt;&lt;_translated_author&gt;Kong, Dongmin;Liu, Shasha;Ying, Qianwei&lt;/_translated_author&gt;&lt;/Details&gt;&lt;Extra&gt;&lt;DBUID&gt;{E9F07991-3B72-4492-A7D8-86E559D9F8FE}&lt;/DBUID&gt;&lt;/Extra&gt;&lt;/Item&gt;&lt;/References&gt;&lt;/Group&gt;&lt;/Citation&gt;_x000a_"/>
    <w:docVar w:name="NE.Ref{BBCE7C8D-C287-408E-8BFD-1EE781BDB7F6}" w:val=" ADDIN NE.Ref.{BBCE7C8D-C287-408E-8BFD-1EE781BDB7F6}&lt;Citation&gt;&lt;Group&gt;&lt;References&gt;&lt;Item&gt;&lt;ID&gt;205&lt;/ID&gt;&lt;UID&gt;{0BEB80AF-E584-46CB-A5B0-6B136245C083}&lt;/UID&gt;&lt;Title&gt;Do external auditors perform a corporate governance role in emerging markets? Evidence from East Asia&lt;/Title&gt;&lt;Template&gt;Journal Article&lt;/Template&gt;&lt;Star&gt;0&lt;/Star&gt;&lt;Tag&gt;0&lt;/Tag&gt;&lt;Author&gt;Fan, Joseph PH; Wong, Tak Jun&lt;/Author&gt;&lt;Year&gt;2005&lt;/Year&gt;&lt;Details&gt;&lt;_alternate_title&gt;Journal of accounting research&lt;/_alternate_title&gt;&lt;_collection_scope&gt;SSCI&lt;/_collection_scope&gt;&lt;_created&gt;63301636&lt;/_created&gt;&lt;_date&gt;2005-01-01&lt;/_date&gt;&lt;_date_display&gt;2005&lt;/_date_display&gt;&lt;_impact_factor&gt;   4.891&lt;/_impact_factor&gt;&lt;_isbn&gt;0021-8456&lt;/_isbn&gt;&lt;_issue&gt;1&lt;/_issue&gt;&lt;_journal&gt;Journal of accounting research&lt;/_journal&gt;&lt;_modified&gt;63301636&lt;/_modified&gt;&lt;_ori_publication&gt;Wiley Online Library&lt;/_ori_publication&gt;&lt;_pages&gt;35-72&lt;/_pages&gt;&lt;_volume&gt;43&lt;/_volume&gt;&lt;/Details&gt;&lt;Extra&gt;&lt;DBUID&gt;{E9F07991-3B72-4492-A7D8-86E559D9F8FE}&lt;/DBUID&gt;&lt;/Extra&gt;&lt;/Item&gt;&lt;/References&gt;&lt;/Group&gt;&lt;/Citation&gt;_x000a_"/>
    <w:docVar w:name="NE.Ref{BBF2AB7E-6F46-48FA-A22A-B28BFFD633EE}" w:val=" ADDIN NE.Ref.{BBF2AB7E-6F46-48FA-A22A-B28BFFD633EE}&lt;Citation&gt;&lt;Group&gt;&lt;References&gt;&lt;Item&gt;&lt;ID&gt;128&lt;/ID&gt;&lt;UID&gt;{C9759D89-D911-4DDD-8D68-05772AD204D9}&lt;/UID&gt;&lt;Title&gt;公司治理与掏空&lt;/Title&gt;&lt;Template&gt;Journal Article&lt;/Template&gt;&lt;Star&gt;0&lt;/Star&gt;&lt;Tag&gt;0&lt;/Tag&gt;&lt;Author&gt;高雷; 何少华; 黄志忠&lt;/Author&gt;&lt;Year&gt;2006&lt;/Year&gt;&lt;Details&gt;&lt;_accessed&gt;63241056&lt;/_accessed&gt;&lt;_author_aff&gt;汕头大学商学院;汕头大学商学院;汕头大学商学院;&lt;/_author_aff&gt;&lt;_created&gt;63241052&lt;/_created&gt;&lt;_date&gt;56031840&lt;/_date&gt;&lt;_db_provider&gt;CNKI: 期刊&lt;/_db_provider&gt;&lt;_db_updated&gt;CNKI - Reference&lt;/_db_updated&gt;&lt;_issue&gt;03&lt;/_issue&gt;&lt;_journal&gt;经济学(季刊)&lt;/_journal&gt;&lt;_keywords&gt;公司治理;掏空;资金占用&lt;/_keywords&gt;&lt;_language&gt;Chinese&lt;/_language&gt;&lt;_modified&gt;63241056&lt;/_modified&gt;&lt;_pages&gt;1157-1178&lt;/_pages&gt;&lt;_url&gt;http://kns.cnki.net/KCMS/detail/detail.aspx?FileName=JJXU200603008&amp;amp;DbName=CJFQ2006&lt;/_url&gt;&lt;_translated_author&gt;Gao, Lei;He, Shaohua;Huang, Zhizhong&lt;/_translated_author&gt;&lt;/Details&gt;&lt;Extra&gt;&lt;DBUID&gt;{E9F07991-3B72-4492-A7D8-86E559D9F8FE}&lt;/DBUID&gt;&lt;/Extra&gt;&lt;/Item&gt;&lt;/References&gt;&lt;/Group&gt;&lt;Group&gt;&lt;References&gt;&lt;Item&gt;&lt;ID&gt;107&lt;/ID&gt;&lt;UID&gt;{E0EA6622-FAE7-4182-A90F-C6615051DCF4}&lt;/UID&gt;&lt;Title&gt;市场环境与控股股东“掏空”行为研究——来自中国上市公司的经验证据&lt;/Title&gt;&lt;Template&gt;Journal Article&lt;/Template&gt;&lt;Star&gt;0&lt;/Star&gt;&lt;Tag&gt;0&lt;/Tag&gt;&lt;Author&gt;罗党论; 唐清泉&lt;/Author&gt;&lt;Year&gt;2007&lt;/Year&gt;&lt;Details&gt;&lt;_accessed&gt;63241049&lt;/_accessed&gt;&lt;_author_aff&gt;中山大学管理学院;中山大学管理学院 510275;510275&lt;/_author_aff&gt;&lt;_collection_scope&gt;CSSCI-C;PKU&lt;/_collection_scope&gt;&lt;_created&gt;63240989&lt;/_created&gt;&lt;_date&gt;56426400&lt;/_date&gt;&lt;_db_provider&gt;CNKI: 期刊&lt;/_db_provider&gt;&lt;_db_updated&gt;CNKI - Reference&lt;/_db_updated&gt;&lt;_issue&gt;04&lt;/_issue&gt;&lt;_journal&gt;会计研究&lt;/_journal&gt;&lt;_keywords&gt;市场环境;政府干预;控股股东;掏空&lt;/_keywords&gt;&lt;_language&gt;Chinese&lt;/_language&gt;&lt;_modified&gt;63241049&lt;/_modified&gt;&lt;_pages&gt;69-74+96&lt;/_pages&gt;&lt;_url&gt;http://kns.cnki.net/KCMS/detail/detail.aspx?FileName=KJYJ200704009&amp;amp;DbName=CJFQ2007&lt;/_url&gt;&lt;_translated_author&gt;Luo, Danglun;Tang, Qingquan&lt;/_translated_author&gt;&lt;/Details&gt;&lt;Extra&gt;&lt;DBUID&gt;{E9F07991-3B72-4492-A7D8-86E559D9F8FE}&lt;/DBUID&gt;&lt;/Extra&gt;&lt;/Item&gt;&lt;/References&gt;&lt;/Group&gt;&lt;Group&gt;&lt;References&gt;&lt;Item&gt;&lt;ID&gt;106&lt;/ID&gt;&lt;UID&gt;{1E4C98C2-75F2-4405-BE99-EFC641822AC1}&lt;/UID&gt;&lt;Title&gt;外部治理环境、内部治理结构与合谋侵占实证分析&lt;/Title&gt;&lt;Template&gt;Journal Article&lt;/Template&gt;&lt;Star&gt;0&lt;/Star&gt;&lt;Tag&gt;0&lt;/Tag&gt;&lt;Author&gt;严也舟&lt;/Author&gt;&lt;Year&gt;2012&lt;/Year&gt;&lt;Details&gt;&lt;_accessed&gt;63240996&lt;/_accessed&gt;&lt;_author_aff&gt;武汉工程大学管理学院;&lt;/_author_aff&gt;&lt;_collection_scope&gt;CSSCI-C;PKU&lt;/_collection_scope&gt;&lt;_created&gt;63240989&lt;/_created&gt;&lt;_date&gt;59071680&lt;/_date&gt;&lt;_db_provider&gt;CNKI: 期刊&lt;/_db_provider&gt;&lt;_db_updated&gt;CNKI - Reference&lt;/_db_updated&gt;&lt;_issue&gt;04&lt;/_issue&gt;&lt;_journal&gt;管理评论&lt;/_journal&gt;&lt;_keywords&gt;外部治理环境;治理结构;合谋;资金占用&lt;/_keywords&gt;&lt;_language&gt;Chinese&lt;/_language&gt;&lt;_modified&gt;63240996&lt;/_modified&gt;&lt;_pages&gt;28-35+44&lt;/_pages&gt;&lt;_url&gt;http://kns.cnki.net/KCMS/detail/detail.aspx?FileName=ZWGD201204005&amp;amp;DbName=CJFQ2012&lt;/_url&gt;&lt;_volume&gt;24&lt;/_volume&gt;&lt;_translated_author&gt;Yan, Yezhou&lt;/_translated_author&gt;&lt;/Details&gt;&lt;Extra&gt;&lt;DBUID&gt;{E9F07991-3B72-4492-A7D8-86E559D9F8FE}&lt;/DBUID&gt;&lt;/Extra&gt;&lt;/Item&gt;&lt;/References&gt;&lt;/Group&gt;&lt;/Citation&gt;_x000a_"/>
    <w:docVar w:name="NE.Ref{BCB10CF9-849F-4ACE-B50E-12B9C694BA45}" w:val=" ADDIN NE.Ref.{BCB10CF9-849F-4ACE-B50E-12B9C694BA45}&lt;Citation SecTmpl=&quot;1&quot;&gt;&lt;Group&gt;&lt;References&gt;&lt;Item&gt;&lt;ID&gt;288&lt;/ID&gt;&lt;UID&gt;{3D7EBC8D-0F97-40F9-9482-6E416A546D70}&lt;/UID&gt;&lt;Title&gt;Do corporate taxes hinder innovation?&lt;/Title&gt;&lt;Template&gt;Journal Article&lt;/Template&gt;&lt;Star&gt;0&lt;/Star&gt;&lt;Tag&gt;0&lt;/Tag&gt;&lt;Author&gt;Mukherjee, Abhiroop; Singh, Manpreet; Žaldokas, Alminas&lt;/Author&gt;&lt;Year&gt;2017&lt;/Year&gt;&lt;Details&gt;&lt;_alternate_title&gt;Journal of Financial Economics&lt;/_alternate_title&gt;&lt;_collection_scope&gt;SSCI&lt;/_collection_scope&gt;&lt;_created&gt;63307408&lt;/_created&gt;&lt;_date&gt;2017-01-01&lt;/_date&gt;&lt;_date_display&gt;2017&lt;/_date_display&gt;&lt;_impact_factor&gt;   4.693&lt;/_impact_factor&gt;&lt;_isbn&gt;0304-405X&lt;/_isbn&gt;&lt;_issue&gt;1&lt;/_issue&gt;&lt;_journal&gt;Journal of Financial Economics&lt;/_journal&gt;&lt;_modified&gt;63307408&lt;/_modified&gt;&lt;_ori_publication&gt;Elsevier&lt;/_ori_publication&gt;&lt;_pages&gt;195-221&lt;/_pages&gt;&lt;_volume&gt;124&lt;/_volume&gt;&lt;/Details&gt;&lt;Extra&gt;&lt;DBUID&gt;{E9F07991-3B72-4492-A7D8-86E559D9F8FE}&lt;/DBUID&gt;&lt;/Extra&gt;&lt;/Item&gt;&lt;/References&gt;&lt;/Group&gt;&lt;/Citation&gt;_x000a_"/>
    <w:docVar w:name="NE.Ref{BD59B643-4CC5-4BAE-9E23-252A5A3BFED1}" w:val=" ADDIN NE.Ref.{BD59B643-4CC5-4BAE-9E23-252A5A3BFED1}&lt;Citation SecTmpl=&quot;1&quot;&gt;&lt;Group&gt;&lt;References&gt;&lt;Item&gt;&lt;ID&gt;207&lt;/ID&gt;&lt;UID&gt;{11FDCD74-5EF8-470E-9AB6-35BFA5F03DAA}&lt;/UID&gt;&lt;Title&gt;State ownership, the institutional environment, and auditor choice: Evidence from China&lt;/Title&gt;&lt;Template&gt;Journal Article&lt;/Template&gt;&lt;Star&gt;0&lt;/Star&gt;&lt;Tag&gt;0&lt;/Tag&gt;&lt;Author&gt;Wang, Qian; Wong, Tak-Jun; Xia, Lijun&lt;/Author&gt;&lt;Year&gt;2008&lt;/Year&gt;&lt;Details&gt;&lt;_alternate_title&gt;Journal of accounting and economics&lt;/_alternate_title&gt;&lt;_created&gt;63301700&lt;/_created&gt;&lt;_date&gt;2008-01-01&lt;/_date&gt;&lt;_date_display&gt;2008&lt;/_date_display&gt;&lt;_impact_factor&gt;   3.753&lt;/_impact_factor&gt;&lt;_isbn&gt;0165-4101&lt;/_isbn&gt;&lt;_issue&gt;1&lt;/_issue&gt;&lt;_journal&gt;Journal of accounting and economics&lt;/_journal&gt;&lt;_modified&gt;63301700&lt;/_modified&gt;&lt;_ori_publication&gt;Elsevier&lt;/_ori_publication&gt;&lt;_pages&gt;112-134&lt;/_pages&gt;&lt;_volume&gt;46&lt;/_volume&gt;&lt;/Details&gt;&lt;Extra&gt;&lt;DBUID&gt;{E9F07991-3B72-4492-A7D8-86E559D9F8FE}&lt;/DBUID&gt;&lt;/Extra&gt;&lt;/Item&gt;&lt;/References&gt;&lt;/Group&gt;&lt;/Citation&gt;_x000a_"/>
    <w:docVar w:name="NE.Ref{BDBBD69F-63C5-495C-AFE2-7352B682A620}" w:val=" ADDIN NE.Ref.{BDBBD69F-63C5-495C-AFE2-7352B682A620}&lt;Citation&gt;&lt;Group&gt;&lt;References&gt;&lt;Item&gt;&lt;ID&gt;112&lt;/ID&gt;&lt;UID&gt;{1419DF3A-347E-4132-9CDE-F661C840830F}&lt;/UID&gt;&lt;Title&gt;私募股权投资对控股股东“掏空”的抑制效应&lt;/Title&gt;&lt;Template&gt;Journal Article&lt;/Template&gt;&lt;Star&gt;0&lt;/Star&gt;&lt;Tag&gt;0&lt;/Tag&gt;&lt;Author&gt;冯慧群&lt;/Author&gt;&lt;Year&gt;2016&lt;/Year&gt;&lt;Details&gt;&lt;_accessed&gt;63241051&lt;/_accessed&gt;&lt;_author_aff&gt;北京大学光华管理学院;&lt;/_author_aff&gt;&lt;_collection_scope&gt;CSSCI-C&lt;/_collection_scope&gt;&lt;_created&gt;63240989&lt;/_created&gt;&lt;_date&gt;61248960&lt;/_date&gt;&lt;_db_provider&gt;CNKI: 期刊&lt;/_db_provider&gt;&lt;_db_updated&gt;CNKI - Reference&lt;/_db_updated&gt;&lt;_issue&gt;06&lt;/_issue&gt;&lt;_journal&gt;经济管理&lt;/_journal&gt;&lt;_keywords&gt;私募股权投资(PE);控股股东“掏空”;公司治理&lt;/_keywords&gt;&lt;_language&gt;Chinese&lt;/_language&gt;&lt;_modified&gt;63241051&lt;/_modified&gt;&lt;_pages&gt;41-58&lt;/_pages&gt;&lt;_url&gt;http://kns.cnki.net/KCMS/detail/detail.aspx?FileName=JJGU201606005&amp;amp;DbName=CJFQ2016&lt;/_url&gt;&lt;_volume&gt;38&lt;/_volume&gt;&lt;_translated_author&gt;Feng, Huiqun&lt;/_translated_author&gt;&lt;/Details&gt;&lt;Extra&gt;&lt;DBUID&gt;{E9F07991-3B72-4492-A7D8-86E559D9F8FE}&lt;/DBUID&gt;&lt;/Extra&gt;&lt;/Item&gt;&lt;/References&gt;&lt;/Group&gt;&lt;Group&gt;&lt;References&gt;&lt;Item&gt;&lt;ID&gt;130&lt;/ID&gt;&lt;UID&gt;{42C63340-6B54-43C0-9C30-75A208220544}&lt;/UID&gt;&lt;Title&gt;放松卖空管制与大股东“掏空”&lt;/Title&gt;&lt;Template&gt;Journal Article&lt;/Template&gt;&lt;Star&gt;0&lt;/Star&gt;&lt;Tag&gt;0&lt;/Tag&gt;&lt;Author&gt;侯青川; 靳庆鲁; 苏玲; 于潇潇&lt;/Author&gt;&lt;Year&gt;2017&lt;/Year&gt;&lt;Details&gt;&lt;_accessed&gt;62704518&lt;/_accessed&gt;&lt;_author_aff&gt;上海财经大学会计与财务研究院;新疆财经大学会计学院;上海财经大学会计学院;&lt;/_author_aff&gt;&lt;_created&gt;62704518&lt;/_created&gt;&lt;_date&gt;61686720&lt;/_date&gt;&lt;_db_provider&gt;CNKI: 期刊&lt;/_db_provider&gt;&lt;_db_updated&gt;CNKI - Reference&lt;/_db_updated&gt;&lt;_issue&gt;03&lt;/_issue&gt;&lt;_journal&gt;经济学(季刊)&lt;/_journal&gt;&lt;_keywords&gt;放松卖空管制;掏空;外部监督&lt;/_keywords&gt;&lt;_language&gt;Chinese&lt;/_language&gt;&lt;_modified&gt;63241057&lt;/_modified&gt;&lt;_pages&gt;1143-1172&lt;/_pages&gt;&lt;_url&gt;http://kns.cnki.net/KCMS/detail/detail.aspx?FileName=JJXU201703015&amp;amp;DbName=CJFQ2017&lt;/_url&gt;&lt;_volume&gt;16&lt;/_volume&gt;&lt;_translated_author&gt;Hou, Qingchuan;Jin, Qinglu;Su, Ling;Yu, Xiaoxiao&lt;/_translated_author&gt;&lt;/Details&gt;&lt;Extra&gt;&lt;DBUID&gt;{E9F07991-3B72-4492-A7D8-86E559D9F8FE}&lt;/DBUID&gt;&lt;/Extra&gt;&lt;/Item&gt;&lt;/References&gt;&lt;/Group&gt;&lt;/Citation&gt;_x000a_"/>
    <w:docVar w:name="NE.Ref{C04C1D21-A057-472F-B9A8-2207D5D077FA}" w:val=" ADDIN NE.Ref.{C04C1D21-A057-472F-B9A8-2207D5D077FA}&lt;Citation&gt;&lt;Group&gt;&lt;References&gt;&lt;Item&gt;&lt;ID&gt;67&lt;/ID&gt;&lt;UID&gt;{81ABBA94-7370-4645-9B34-BDF09FE1AE88}&lt;/UID&gt;&lt;Title&gt;Agency costs and tax planning when the government is a major Shareholder&lt;/Title&gt;&lt;Template&gt;Journal Article&lt;/Template&gt;&lt;Star&gt;0&lt;/Star&gt;&lt;Tag&gt;0&lt;/Tag&gt;&lt;Author&gt;Bradshaw, Mark; Liao, Guanmin; Ma, Mark Shuai&lt;/Author&gt;&lt;Year&gt;2019&lt;/Year&gt;&lt;Details&gt;&lt;_alternate_title&gt;Journal of Accounting and Economics&lt;/_alternate_title&gt;&lt;_created&gt;63226619&lt;/_created&gt;&lt;_date&gt;2019-01-01&lt;/_date&gt;&lt;_date_display&gt;2019&lt;/_date_display&gt;&lt;_impact_factor&gt;   3.753&lt;/_impact_factor&gt;&lt;_isbn&gt;0165-4101&lt;/_isbn&gt;&lt;_issue&gt;2-3&lt;/_issue&gt;&lt;_journal&gt;Journal of Accounting and Economics&lt;/_journal&gt;&lt;_modified&gt;63226619&lt;/_modified&gt;&lt;_ori_publication&gt;Elsevier&lt;/_ori_publication&gt;&lt;_pages&gt;255-277&lt;/_pages&gt;&lt;_volume&gt;67&lt;/_volume&gt;&lt;/Details&gt;&lt;Extra&gt;&lt;DBUID&gt;{E9F07991-3B72-4492-A7D8-86E559D9F8FE}&lt;/DBUID&gt;&lt;/Extra&gt;&lt;/Item&gt;&lt;/References&gt;&lt;/Group&gt;&lt;/Citation&gt;_x000a_"/>
    <w:docVar w:name="NE.Ref{C06BE0E4-A97A-431E-9E51-4EEADCA82B83}" w:val=" ADDIN NE.Ref.{C06BE0E4-A97A-431E-9E51-4EEADCA82B83}&lt;Citation SecTmpl=&quot;1&quot;&gt;&lt;Group&gt;&lt;References&gt;&lt;Item&gt;&lt;ID&gt;699&lt;/ID&gt;&lt;UID&gt;{0AF12362-A44D-4D74-8989-BDCF0480B17E}&lt;/UID&gt;&lt;Title&gt;Tax avoidance and the implications of weak internal controls&lt;/Title&gt;&lt;Template&gt;Journal Article&lt;/Template&gt;&lt;Star&gt;0&lt;/Star&gt;&lt;Tag&gt;0&lt;/Tag&gt;&lt;Author&gt;Bauer, Andrew M&lt;/Author&gt;&lt;Year&gt;2016&lt;/Year&gt;&lt;Details&gt;&lt;_alternate_title&gt;Contemporary Accounting Research&lt;/_alternate_title&gt;&lt;_collection_scope&gt;SSCI&lt;/_collection_scope&gt;&lt;_created&gt;63308776&lt;/_created&gt;&lt;_date&gt;2016-01-01&lt;/_date&gt;&lt;_date_display&gt;2016&lt;/_date_display&gt;&lt;_impact_factor&gt;   2.261&lt;/_impact_factor&gt;&lt;_isbn&gt;0823-9150&lt;/_isbn&gt;&lt;_issue&gt;2&lt;/_issue&gt;&lt;_journal&gt;Contemporary Accounting Research&lt;/_journal&gt;&lt;_modified&gt;63308776&lt;/_modified&gt;&lt;_ori_publication&gt;Wiley Online Library&lt;/_ori_publication&gt;&lt;_pages&gt;449-486&lt;/_pages&gt;&lt;_volume&gt;33&lt;/_volume&gt;&lt;/Details&gt;&lt;Extra&gt;&lt;DBUID&gt;{83AC290F-D6FC-4574-9771-6904EE9C30A4}&lt;/DBUID&gt;&lt;/Extra&gt;&lt;/Item&gt;&lt;/References&gt;&lt;/Group&gt;&lt;/Citation&gt;_x000a_"/>
    <w:docVar w:name="NE.Ref{C0A5B3B5-4D6F-493B-BC35-143D2C4DB74D}" w:val=" ADDIN NE.Ref.{C0A5B3B5-4D6F-493B-BC35-143D2C4DB74D}&lt;Citation SecTmpl=&quot;1&quot;&gt;&lt;Group&gt;&lt;References&gt;&lt;Item&gt;&lt;ID&gt;5&lt;/ID&gt;&lt;UID&gt;{C8C23CCF-9B62-48AF-8363-6DD252760CB7}&lt;/UID&gt;&lt;Title&gt;年报语调与内部人交易:“表里如一”还是“口是心非”?&lt;/Title&gt;&lt;Template&gt;Journal Article&lt;/Template&gt;&lt;Star&gt;0&lt;/Star&gt;&lt;Tag&gt;0&lt;/Tag&gt;&lt;Author&gt;曾庆生; 周波; 张程; 陈信元&lt;/Author&gt;&lt;Year&gt;2018&lt;/Year&gt;&lt;Details&gt;&lt;_accessed&gt;63270278&lt;/_accessed&gt;&lt;_author_aff&gt;上海财经大学会计学院;&lt;/_author_aff&gt;&lt;_collection_scope&gt;CSSCI-C;PKU&lt;/_collection_scope&gt;&lt;_created&gt;63097440&lt;/_created&gt;&lt;_date&gt;62432640&lt;/_date&gt;&lt;_db_provider&gt;CNKI: 期刊&lt;/_db_provider&gt;&lt;_db_updated&gt;CNKI - Reference&lt;/_db_updated&gt;&lt;_issue&gt;09&lt;/_issue&gt;&lt;_journal&gt;管理世界&lt;/_journal&gt;&lt;_keywords&gt;年报;语调管理;内部人交易;信息不对称&lt;/_keywords&gt;&lt;_language&gt;Chinese&lt;/_language&gt;&lt;_modified&gt;63270278&lt;/_modified&gt;&lt;_pages&gt;143-160&lt;/_pages&gt;&lt;_url&gt;http://kns.cnki.net/KCMS/detail/detail.aspx?FileName=GLSJ201809015&amp;amp;DbName=CJFQ2018&lt;/_url&gt;&lt;_volume&gt;34&lt;/_volume&gt;&lt;_translated_author&gt;Ceng, Qingsheng;Zhou, Bo;Zhang, Cheng;Chen, Xinyuan&lt;/_translated_author&gt;&lt;/Details&gt;&lt;Extra&gt;&lt;DBUID&gt;{439358B4-FA18-4C63-A3A1-0E3BE4066E7A}&lt;/DBUID&gt;&lt;/Extra&gt;&lt;/Item&gt;&lt;/References&gt;&lt;/Group&gt;&lt;/Citation&gt;_x000a_"/>
    <w:docVar w:name="NE.Ref{C1476D6D-14BA-4AF5-9C1E-1EB9CBBD35E0}" w:val=" ADDIN NE.Ref.{C1476D6D-14BA-4AF5-9C1E-1EB9CBBD35E0}&lt;Citation SecTmpl=&quot;1&quot;&gt;&lt;Group&gt;&lt;References&gt;&lt;Item&gt;&lt;ID&gt;280&lt;/ID&gt;&lt;UID&gt;{74CFBCAB-6343-4B62-962A-03F1147956E6}&lt;/UID&gt;&lt;Title&gt;Qualified audit opinions and auditor switching&lt;/Title&gt;&lt;Template&gt;Journal Article&lt;/Template&gt;&lt;Star&gt;0&lt;/Star&gt;&lt;Tag&gt;0&lt;/Tag&gt;&lt;Author&gt;Chow, Chee W; Rice, Steven J&lt;/Author&gt;&lt;Year&gt;1982&lt;/Year&gt;&lt;Details&gt;&lt;_alternate_title&gt;Accounting Review&lt;/_alternate_title&gt;&lt;_collection_scope&gt;SSCI&lt;/_collection_scope&gt;&lt;_created&gt;63304760&lt;/_created&gt;&lt;_date&gt;1982-01-01&lt;/_date&gt;&lt;_date_display&gt;1982&lt;/_date_display&gt;&lt;_impact_factor&gt;   4.562&lt;/_impact_factor&gt;&lt;_isbn&gt;0001-4826&lt;/_isbn&gt;&lt;_journal&gt;Accounting Review&lt;/_journal&gt;&lt;_modified&gt;63304760&lt;/_modified&gt;&lt;_ori_publication&gt;JSTOR&lt;/_ori_publication&gt;&lt;_pages&gt;326-335&lt;/_pages&gt;&lt;/Details&gt;&lt;Extra&gt;&lt;DBUID&gt;{2097646C-7C2F-4992-8A9B-6FF23AE7F1B7}&lt;/DBUID&gt;&lt;/Extra&gt;&lt;/Item&gt;&lt;/References&gt;&lt;/Group&gt;&lt;/Citation&gt;_x000a_"/>
    <w:docVar w:name="NE.Ref{C18048D4-A524-4CA4-AA49-CAFFBF16DDDB}" w:val=" ADDIN NE.Ref.{C18048D4-A524-4CA4-AA49-CAFFBF16DDDB}&lt;Citation&gt;&lt;Group&gt;&lt;References&gt;&lt;Item&gt;&lt;ID&gt;160&lt;/ID&gt;&lt;UID&gt;{685ABCBC-968D-49AA-BC2C-1FF147BFFDC9}&lt;/UID&gt;&lt;Title&gt;Tax avoidance: Does tax-specific industry expertise make a difference?&lt;/Title&gt;&lt;Template&gt;Journal Article&lt;/Template&gt;&lt;Star&gt;0&lt;/Star&gt;&lt;Tag&gt;0&lt;/Tag&gt;&lt;Author&gt;McGuire, Sean T; Omer, Thomas C; Wang, Dechun&lt;/Author&gt;&lt;Year&gt;2012&lt;/Year&gt;&lt;Details&gt;&lt;_created&gt;61742028&lt;/_created&gt;&lt;_impact_factor&gt;   4.562&lt;/_impact_factor&gt;&lt;_isbn&gt;0001-4826&lt;/_isbn&gt;&lt;_issue&gt;3&lt;/_issue&gt;&lt;_journal&gt;The Accounting Review&lt;/_journal&gt;&lt;_modified&gt;63290029&lt;/_modified&gt;&lt;_pages&gt;975-1003&lt;/_pages&gt;&lt;_volume&gt;87&lt;/_volume&gt;&lt;/Details&gt;&lt;Extra&gt;&lt;DBUID&gt;{E9F07991-3B72-4492-A7D8-86E559D9F8FE}&lt;/DBUID&gt;&lt;/Extra&gt;&lt;/Item&gt;&lt;/References&gt;&lt;/Group&gt;&lt;/Citation&gt;_x000a_"/>
    <w:docVar w:name="NE.Ref{C25010B8-317A-409E-A353-9F2EE74ACDF1}" w:val=" ADDIN NE.Ref.{C25010B8-317A-409E-A353-9F2EE74ACDF1}&lt;Citation SecTmpl=&quot;1&quot;&gt;&lt;Group&gt;&lt;References&gt;&lt;Item&gt;&lt;ID&gt;5&lt;/ID&gt;&lt;UID&gt;{5D90BF9F-E8E2-4796-ABA2-F29B76902E3C}&lt;/UID&gt;&lt;Title&gt;The Quality of Accruals and Earnings: The Role of Accrual Estimation Errors&lt;/Title&gt;&lt;Template&gt;Journal Article&lt;/Template&gt;&lt;Star&gt;0&lt;/Star&gt;&lt;Tag&gt;0&lt;/Tag&gt;&lt;Author&gt;Dechow, Patricia M; Dichev, Ilia D&lt;/Author&gt;&lt;Year&gt;2002&lt;/Year&gt;&lt;Details&gt;&lt;_accessed&gt;61984045&lt;/_accessed&gt;&lt;_created&gt;61983888&lt;/_created&gt;&lt;_db_provider&gt;EconLit&lt;/_db_provider&gt;&lt;_db_updated&gt;CrossRef&lt;/_db_updated&gt;&lt;_doi&gt;10.2308/accr.2002.77.s-1.35&lt;/_doi&gt;&lt;_impact_factor&gt;   4.562&lt;/_impact_factor&gt;&lt;_isbn&gt;0001-4826&lt;/_isbn&gt;&lt;_issue&gt;s-1&lt;/_issue&gt;&lt;_journal&gt;The Accounting Review&lt;/_journal&gt;&lt;_keywords&gt;U.S; Accounting (M41); Northern America; Estimation theory; Research; Accounting; Profit; Accrual basis accounting; Usage&lt;/_keywords&gt;&lt;_language&gt;English&lt;/_language&gt;&lt;_modified&gt;62983578&lt;/_modified&gt;&lt;_pages&gt;35-59&lt;/_pages&gt;&lt;_tertiary_title&gt;The Accounting Review&lt;/_tertiary_title&gt;&lt;_url&gt;http://aaajournals.org/doi/10.2308/accr.2002.77.s-1.35_x000d__x000a_http://aaajournals.org/doi/pdf/10.2308/accr.2002.77.s-1.35&lt;/_url&gt;&lt;_volume&gt;77&lt;/_volume&gt;&lt;/Details&gt;&lt;Extra&gt;&lt;DBUID&gt;{33BA340C-9D61-4380-9AC0-75859ADA3E7E}&lt;/DBUID&gt;&lt;/Extra&gt;&lt;/Item&gt;&lt;/References&gt;&lt;/Group&gt;&lt;/Citation&gt;_x000a_"/>
    <w:docVar w:name="NE.Ref{C25F152B-8CD1-482C-90CC-FEAA3F2E3A8F}" w:val=" ADDIN NE.Ref.{C25F152B-8CD1-482C-90CC-FEAA3F2E3A8F}&lt;Citation SecTmpl=&quot;1&quot;&gt;&lt;Group&gt;&lt;References&gt;&lt;Item&gt;&lt;ID&gt;130&lt;/ID&gt;&lt;UID&gt;{42C63340-6B54-43C0-9C30-75A208220544}&lt;/UID&gt;&lt;Title&gt;放松卖空管制与大股东“掏空”&lt;/Title&gt;&lt;Template&gt;Journal Article&lt;/Template&gt;&lt;Star&gt;0&lt;/Star&gt;&lt;Tag&gt;0&lt;/Tag&gt;&lt;Author&gt;侯青川; 靳庆鲁; 苏玲; 于潇潇&lt;/Author&gt;&lt;Year&gt;2017&lt;/Year&gt;&lt;Details&gt;&lt;_accessed&gt;62704518&lt;/_accessed&gt;&lt;_author_aff&gt;上海财经大学会计与财务研究院;新疆财经大学会计学院;上海财经大学会计学院;&lt;/_author_aff&gt;&lt;_created&gt;62704518&lt;/_created&gt;&lt;_date&gt;61686720&lt;/_date&gt;&lt;_db_provider&gt;CNKI: 期刊&lt;/_db_provider&gt;&lt;_db_updated&gt;CNKI - Reference&lt;/_db_updated&gt;&lt;_issue&gt;03&lt;/_issue&gt;&lt;_journal&gt;经济学(季刊)&lt;/_journal&gt;&lt;_keywords&gt;放松卖空管制;掏空;外部监督&lt;/_keywords&gt;&lt;_language&gt;Chinese&lt;/_language&gt;&lt;_modified&gt;63241057&lt;/_modified&gt;&lt;_pages&gt;1143-1172&lt;/_pages&gt;&lt;_url&gt;http://kns.cnki.net/KCMS/detail/detail.aspx?FileName=JJXU201703015&amp;amp;DbName=CJFQ2017&lt;/_url&gt;&lt;_volume&gt;16&lt;/_volume&gt;&lt;_translated_author&gt;Hou, Qingchuan;Jin, Qinglu;Su, Ling;Yu, Xiaoxiao&lt;/_translated_author&gt;&lt;/Details&gt;&lt;Extra&gt;&lt;DBUID&gt;{E9F07991-3B72-4492-A7D8-86E559D9F8FE}&lt;/DBUID&gt;&lt;/Extra&gt;&lt;/Item&gt;&lt;/References&gt;&lt;/Group&gt;&lt;/Citation&gt;_x000a_"/>
    <w:docVar w:name="NE.Ref{C2883858-E340-4F5A-97D3-FBE165642FBA}" w:val=" ADDIN NE.Ref.{C2883858-E340-4F5A-97D3-FBE165642FBA}&lt;Citation&gt;&lt;Group&gt;&lt;References&gt;&lt;Item&gt;&lt;ID&gt;203&lt;/ID&gt;&lt;UID&gt;{073459F0-F510-4CEC-B4B0-9DF61912E2E9}&lt;/UID&gt;&lt;Title&gt;Theory of the firm: Managerial behavior, agency costs and ownership structure&lt;/Title&gt;&lt;Template&gt;Journal Article&lt;/Template&gt;&lt;Star&gt;0&lt;/Star&gt;&lt;Tag&gt;0&lt;/Tag&gt;&lt;Author&gt;Jensen, Michael C; Meckling, William H&lt;/Author&gt;&lt;Year&gt;1976&lt;/Year&gt;&lt;Details&gt;&lt;_alternate_title&gt;Journal of Financial Economics&lt;/_alternate_title&gt;&lt;_collection_scope&gt;SSCI&lt;/_collection_scope&gt;&lt;_created&gt;63301596&lt;/_created&gt;&lt;_date&gt;1976-01-01&lt;/_date&gt;&lt;_date_display&gt;1976&lt;/_date_display&gt;&lt;_doi&gt;10.1016/0304-405X(76)90026-X&lt;/_doi&gt;&lt;_impact_factor&gt;   4.693&lt;/_impact_factor&gt;&lt;_issue&gt;4&lt;/_issue&gt;&lt;_journal&gt;Journal of Financial Economics&lt;/_journal&gt;&lt;_modified&gt;63301596&lt;/_modified&gt;&lt;_pages&gt;305-360&lt;/_pages&gt;&lt;_volume&gt;3&lt;/_volume&gt;&lt;/Details&gt;&lt;Extra&gt;&lt;DBUID&gt;{E9F07991-3B72-4492-A7D8-86E559D9F8FE}&lt;/DBUID&gt;&lt;/Extra&gt;&lt;/Item&gt;&lt;/References&gt;&lt;/Group&gt;&lt;/Citation&gt;_x000a_"/>
    <w:docVar w:name="NE.Ref{C458A9D9-9C81-428C-B790-802B8DD34FFA}" w:val=" ADDIN NE.Ref.{C458A9D9-9C81-428C-B790-802B8DD34FFA}&lt;Citation&gt;&lt;Group&gt;&lt;References&gt;&lt;Item&gt;&lt;ID&gt;63&lt;/ID&gt;&lt;UID&gt;{657FB62C-153A-46DC-8E11-061AFC7317F6}&lt;/UID&gt;&lt;Title&gt;Information and efficiency: another viewpoint&lt;/Title&gt;&lt;Template&gt;Journal Article&lt;/Template&gt;&lt;Star&gt;0&lt;/Star&gt;&lt;Tag&gt;0&lt;/Tag&gt;&lt;Author&gt;Demsetz, Harold&lt;/Author&gt;&lt;Year&gt;1969&lt;/Year&gt;&lt;Details&gt;&lt;_alternate_title&gt;The journal of law and economics&lt;/_alternate_title&gt;&lt;_created&gt;63285769&lt;/_created&gt;&lt;_date&gt;1969-01-01&lt;/_date&gt;&lt;_date_display&gt;1969&lt;/_date_display&gt;&lt;_impact_factor&gt;   1.185&lt;/_impact_factor&gt;&lt;_isbn&gt;0022-2186&lt;/_isbn&gt;&lt;_issue&gt;1&lt;/_issue&gt;&lt;_journal&gt;The journal of law and economics&lt;/_journal&gt;&lt;_modified&gt;63285769&lt;/_modified&gt;&lt;_ori_publication&gt;The University of Chicago Law School&lt;/_ori_publication&gt;&lt;_pages&gt;1-22&lt;/_pages&gt;&lt;_volume&gt;12&lt;/_volume&gt;&lt;/Details&gt;&lt;Extra&gt;&lt;DBUID&gt;{439358B4-FA18-4C63-A3A1-0E3BE4066E7A}&lt;/DBUID&gt;&lt;/Extra&gt;&lt;/Item&gt;&lt;/References&gt;&lt;/Group&gt;&lt;Group&gt;&lt;References&gt;&lt;Item&gt;&lt;ID&gt;64&lt;/ID&gt;&lt;UID&gt;{A219F607-9CE6-4EF3-BE5D-9E3604449356}&lt;/UID&gt;&lt;Title&gt;The regulation of insider trading&lt;/Title&gt;&lt;Template&gt;Journal Article&lt;/Template&gt;&lt;Star&gt;0&lt;/Star&gt;&lt;Tag&gt;0&lt;/Tag&gt;&lt;Author&gt;Carlton, Dennis W; Fischel, Daniel R&lt;/Author&gt;&lt;Year&gt;1983&lt;/Year&gt;&lt;Details&gt;&lt;_alternate_title&gt;Stanford Law Review&lt;/_alternate_title&gt;&lt;_collection_scope&gt;SSCI&lt;/_collection_scope&gt;&lt;_created&gt;63285771&lt;/_created&gt;&lt;_date&gt;1983-01-01&lt;/_date&gt;&lt;_date_display&gt;1983&lt;/_date_display&gt;&lt;_impact_factor&gt;   3.825&lt;/_impact_factor&gt;&lt;_isbn&gt;0038-9765&lt;/_isbn&gt;&lt;_journal&gt;Stanford Law Review&lt;/_journal&gt;&lt;_modified&gt;63285771&lt;/_modified&gt;&lt;_ori_publication&gt;JSTOR&lt;/_ori_publication&gt;&lt;_pages&gt;857-895&lt;/_pages&gt;&lt;/Details&gt;&lt;Extra&gt;&lt;DBUID&gt;{439358B4-FA18-4C63-A3A1-0E3BE4066E7A}&lt;/DBUID&gt;&lt;/Extra&gt;&lt;/Item&gt;&lt;/References&gt;&lt;/Group&gt;&lt;/Citation&gt;_x000a_"/>
    <w:docVar w:name="NE.Ref{C559995A-8CD0-4B2A-9463-0C92163F9E7B}" w:val=" ADDIN NE.Ref.{C559995A-8CD0-4B2A-9463-0C92163F9E7B}&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C5FA46C2-1667-4190-8137-951224B7F960}" w:val=" ADDIN NE.Ref.{C5FA46C2-1667-4190-8137-951224B7F960}&lt;Citation SecTmpl=&quot;1&quot;&gt;&lt;Group&gt;&lt;References&gt;&lt;Item&gt;&lt;ID&gt;175&lt;/ID&gt;&lt;UID&gt;{0A7666E0-0D25-4DB3-BDE6-8B90E1B796B2}&lt;/UID&gt;&lt;Title&gt;会计事务所组织形式、法律责任与审计质量——基于签字审计师个体层面的研究&lt;/Title&gt;&lt;Template&gt;Journal Article&lt;/Template&gt;&lt;Star&gt;0&lt;/Star&gt;&lt;Tag&gt;0&lt;/Tag&gt;&lt;Author&gt;刘启亮; 郭俊秀; 汤雨颜&lt;/Author&gt;&lt;Year&gt;2015&lt;/Year&gt;&lt;Details&gt;&lt;_accessed&gt;63180587&lt;/_accessed&gt;&lt;_collection_scope&gt;CSSCI-C;PKU&lt;/_collection_scope&gt;&lt;_created&gt;62681248&lt;/_created&gt;&lt;_date&gt;2015-01-01&lt;/_date&gt;&lt;_date_display&gt;2015&lt;/_date_display&gt;&lt;_issue&gt;4&lt;/_issue&gt;&lt;_journal&gt;会计研究&lt;/_journal&gt;&lt;_modified&gt;62685515&lt;/_modified&gt;&lt;_pages&gt;86-94&lt;/_pages&gt;&lt;_translated_author&gt;Liu, Qiliang;Guo, Junxiu;Tang, Yuyan&lt;/_translated_author&gt;&lt;/Details&gt;&lt;Extra&gt;&lt;DBUID&gt;{2097646C-7C2F-4992-8A9B-6FF23AE7F1B7}&lt;/DBUID&gt;&lt;/Extra&gt;&lt;/Item&gt;&lt;/References&gt;&lt;/Group&gt;&lt;/Citation&gt;_x000a_"/>
    <w:docVar w:name="NE.Ref{C705B7AE-0DEE-4BC5-A91C-086855893AAB}" w:val=" ADDIN NE.Ref.{C705B7AE-0DEE-4BC5-A91C-086855893AAB}&lt;Citation SecTmpl=&quot;1&quot;&gt;&lt;Group&gt;&lt;References&gt;&lt;Item&gt;&lt;ID&gt;176&lt;/ID&gt;&lt;UID&gt;{CA03AE21-A9E3-4713-8994-4932EF0414DE}&lt;/UID&gt;&lt;Title&gt;The effect of networked clients&amp;apos; economic importance on audit quality&lt;/Title&gt;&lt;Template&gt;Journal Article&lt;/Template&gt;&lt;Star&gt;0&lt;/Star&gt;&lt;Tag&gt;0&lt;/Tag&gt;&lt;Author&gt;Hossain, Sarowar; Monroe, Gary S; Wilson, Mark; Jubb, Christine&lt;/Author&gt;&lt;Year&gt;2016&lt;/Year&gt;&lt;Details&gt;&lt;_alternate_title&gt;Auditing: A Journal of Practice &amp;amp; Theory&lt;/_alternate_title&gt;&lt;_created&gt;63303379&lt;/_created&gt;&lt;_date&gt;2016-01-01&lt;/_date&gt;&lt;_date_display&gt;2016&lt;/_date_display&gt;&lt;_isbn&gt;1558-7991&lt;/_isbn&gt;&lt;_issue&gt;4&lt;/_issue&gt;&lt;_journal&gt;Auditing: A Journal of Practice &amp;amp; Theory&lt;/_journal&gt;&lt;_modified&gt;63303379&lt;/_modified&gt;&lt;_ori_publication&gt;American Accounting Association&lt;/_ori_publication&gt;&lt;_pages&gt;79-103&lt;/_pages&gt;&lt;_volume&gt;35&lt;/_volume&gt;&lt;/Details&gt;&lt;Extra&gt;&lt;DBUID&gt;{F39B7CD6-A564-402D-BAB5-A18B512BF6EE}&lt;/DBUID&gt;&lt;/Extra&gt;&lt;/Item&gt;&lt;/References&gt;&lt;/Group&gt;&lt;/Citation&gt;_x000a_"/>
    <w:docVar w:name="NE.Ref{C7A1445B-CC3E-4303-8EED-0B7C719B0E43}" w:val=" ADDIN NE.Ref.{C7A1445B-CC3E-4303-8EED-0B7C719B0E43}&lt;Citation&gt;&lt;Group&gt;&lt;References&gt;&lt;Item&gt;&lt;ID&gt;323&lt;/ID&gt;&lt;UID&gt;{485EBDDD-756E-4732-B8AC-B139C37285F2}&lt;/UID&gt;&lt;Title&gt;&amp;quot; Subject to&amp;quot; Audit Opinions and Abnormal Security Returns-Outcomes and Ambiguities&lt;/Title&gt;&lt;Template&gt;Journal Article&lt;/Template&gt;&lt;Star&gt;0&lt;/Star&gt;&lt;Tag&gt;0&lt;/Tag&gt;&lt;Author&gt;Elliott, John A&lt;/Author&gt;&lt;Year&gt;1982&lt;/Year&gt;&lt;Details&gt;&lt;_alternate_title&gt;Journal of accounting research&lt;/_alternate_title&gt;&lt;_collection_scope&gt;SSCI&lt;/_collection_scope&gt;&lt;_created&gt;63311919&lt;/_created&gt;&lt;_date&gt;1982-01-01&lt;/_date&gt;&lt;_date_display&gt;1982&lt;/_date_display&gt;&lt;_impact_factor&gt;   4.891&lt;/_impact_factor&gt;&lt;_isbn&gt;0021-8456&lt;/_isbn&gt;&lt;_journal&gt;Journal of accounting research&lt;/_journal&gt;&lt;_modified&gt;63311919&lt;/_modified&gt;&lt;_ori_publication&gt;JSTOR&lt;/_ori_publication&gt;&lt;_pages&gt;617-638&lt;/_pages&gt;&lt;/Details&gt;&lt;Extra&gt;&lt;DBUID&gt;{E9F07991-3B72-4492-A7D8-86E559D9F8FE}&lt;/DBUID&gt;&lt;/Extra&gt;&lt;/Item&gt;&lt;/References&gt;&lt;/Group&gt;&lt;Group&gt;&lt;References&gt;&lt;Item&gt;&lt;ID&gt;324&lt;/ID&gt;&lt;UID&gt;{C401F29F-A1EA-4B8B-8B67-E42D5BBBCAB8}&lt;/UID&gt;&lt;Title&gt;Going-concern initial public offerings&lt;/Title&gt;&lt;Template&gt;Journal Article&lt;/Template&gt;&lt;Star&gt;0&lt;/Star&gt;&lt;Tag&gt;0&lt;/Tag&gt;&lt;Author&gt;Willenborg, Michael; McKeown, James C&lt;/Author&gt;&lt;Year&gt;2000&lt;/Year&gt;&lt;Details&gt;&lt;_alternate_title&gt;Journal of Accounting and Economics&lt;/_alternate_title&gt;&lt;_created&gt;63311923&lt;/_created&gt;&lt;_date&gt;2000-01-01&lt;/_date&gt;&lt;_date_display&gt;2000&lt;/_date_display&gt;&lt;_impact_factor&gt;   3.753&lt;/_impact_factor&gt;&lt;_isbn&gt;0165-4101&lt;/_isbn&gt;&lt;_issue&gt;3&lt;/_issue&gt;&lt;_journal&gt;Journal of Accounting and Economics&lt;/_journal&gt;&lt;_modified&gt;63311923&lt;/_modified&gt;&lt;_ori_publication&gt;Elsevier&lt;/_ori_publication&gt;&lt;_pages&gt;279-313&lt;/_pages&gt;&lt;_volume&gt;30&lt;/_volume&gt;&lt;/Details&gt;&lt;Extra&gt;&lt;DBUID&gt;{E9F07991-3B72-4492-A7D8-86E559D9F8FE}&lt;/DBUID&gt;&lt;/Extra&gt;&lt;/Item&gt;&lt;/References&gt;&lt;/Group&gt;&lt;Group&gt;&lt;References&gt;&lt;Item&gt;&lt;ID&gt;325&lt;/ID&gt;&lt;UID&gt;{205C9B6D-55D8-4FCA-A55C-DB63FA4E1516}&lt;/UID&gt;&lt;Title&gt;The timing and information content of auditors&amp;apos; exhibit letters relating to auditor changes&lt;/Title&gt;&lt;Template&gt;Journal Article&lt;/Template&gt;&lt;Star&gt;0&lt;/Star&gt;&lt;Tag&gt;0&lt;/Tag&gt;&lt;Author&gt;Krishnan, Jayanthi&lt;/Author&gt;&lt;Year&gt;2002&lt;/Year&gt;&lt;Details&gt;&lt;_alternate_title&gt;Auditing: A Journal of Practice &amp;amp; Theory&lt;/_alternate_title&gt;&lt;_created&gt;63311930&lt;/_created&gt;&lt;_date&gt;2002-01-01&lt;/_date&gt;&lt;_date_display&gt;2002&lt;/_date_display&gt;&lt;_impact_factor&gt;   2.642&lt;/_impact_factor&gt;&lt;_isbn&gt;0278-0380&lt;/_isbn&gt;&lt;_issue&gt;1&lt;/_issue&gt;&lt;_journal&gt;Auditing: A Journal of Practice &amp;amp; Theory&lt;/_journal&gt;&lt;_modified&gt;63311930&lt;/_modified&gt;&lt;_pages&gt;29-46&lt;/_pages&gt;&lt;_volume&gt;21&lt;/_volume&gt;&lt;/Details&gt;&lt;Extra&gt;&lt;DBUID&gt;{E9F07991-3B72-4492-A7D8-86E559D9F8FE}&lt;/DBUID&gt;&lt;/Extra&gt;&lt;/Item&gt;&lt;/References&gt;&lt;/Group&gt;&lt;/Citation&gt;_x000a_"/>
    <w:docVar w:name="NE.Ref{C7B1D000-97CC-4C85-A45A-4A73637B2E7F}" w:val=" ADDIN NE.Ref.{C7B1D000-97CC-4C85-A45A-4A73637B2E7F}&lt;Citation SecTmpl=&quot;1&quot;&gt;&lt;Group&gt;&lt;References&gt;&lt;Item&gt;&lt;ID&gt;131&lt;/ID&gt;&lt;UID&gt;{AAADB7A3-0DE8-4DDD-B5A3-F44B10B01F3F}&lt;/UID&gt;&lt;Title&gt;Propping through related party transactions&lt;/Title&gt;&lt;Template&gt;Journal Article&lt;/Template&gt;&lt;Star&gt;0&lt;/Star&gt;&lt;Tag&gt;0&lt;/Tag&gt;&lt;Author&gt;Jian, Ming; Wong, Tak Jun&lt;/Author&gt;&lt;Year&gt;2010&lt;/Year&gt;&lt;Details&gt;&lt;_accessed&gt;62757336&lt;/_accessed&gt;&lt;_alternate_title&gt;Review of Accounting Studies&lt;/_alternate_title&gt;&lt;_collection_scope&gt;SSCI;&lt;/_collection_scope&gt;&lt;_created&gt;62525533&lt;/_created&gt;&lt;_date&gt;2010-01-01&lt;/_date&gt;&lt;_date_display&gt;2010&lt;/_date_display&gt;&lt;_impact_factor&gt;   2.108&lt;/_impact_factor&gt;&lt;_isbn&gt;1380-6653&lt;/_isbn&gt;&lt;_issue&gt;1&lt;/_issue&gt;&lt;_journal&gt;Review of Accounting Studies&lt;/_journal&gt;&lt;_modified&gt;63241424&lt;/_modified&gt;&lt;_ori_publication&gt;Springer&lt;/_ori_publication&gt;&lt;_pages&gt;70-105&lt;/_pages&gt;&lt;_volume&gt;15&lt;/_volume&gt;&lt;/Details&gt;&lt;Extra&gt;&lt;DBUID&gt;{E9F07991-3B72-4492-A7D8-86E559D9F8FE}&lt;/DBUID&gt;&lt;/Extra&gt;&lt;/Item&gt;&lt;/References&gt;&lt;/Group&gt;&lt;/Citation&gt;_x000a_"/>
    <w:docVar w:name="NE.Ref{C816E368-F917-432C-822F-8240858D9A25}" w:val=" ADDIN NE.Ref.{C816E368-F917-432C-822F-8240858D9A25}&lt;Citation SecTmpl=&quot;1&quot;&gt;&lt;Group&gt;&lt;References&gt;&lt;Item&gt;&lt;ID&gt;17&lt;/ID&gt;&lt;UID&gt;{B542BDE9-6671-4713-9F2B-B000CC4A15C5}&lt;/UID&gt;&lt;Title&gt;The Consequences of Audit-Related Earnings Revisions&lt;/Title&gt;&lt;Template&gt;Journal Article&lt;/Template&gt;&lt;Star&gt;0&lt;/Star&gt;&lt;Tag&gt;0&lt;/Tag&gt;&lt;Author&gt;Haislip, Jacob Z; Myers, Linda A; Scholz, Susan; Seidel, Timothy A&lt;/Author&gt;&lt;Year&gt;2017&lt;/Year&gt;&lt;Details&gt;&lt;_accessed&gt;62174422&lt;/_accessed&gt;&lt;_collection_scope&gt;SSCI;&lt;/_collection_scope&gt;&lt;_created&gt;62174422&lt;/_created&gt;&lt;_db_updated&gt;CrossRef&lt;/_db_updated&gt;&lt;_doi&gt;10.1111/1911-3846.12346&lt;/_doi&gt;&lt;_impact_factor&gt;   2.261&lt;/_impact_factor&gt;&lt;_issue&gt;4&lt;/_issue&gt;&lt;_journal&gt;Contemporary Accounting Research&lt;/_journal&gt;&lt;_modified&gt;62911646&lt;/_modified&gt;&lt;_pages&gt;1880-1914&lt;/_pages&gt;&lt;_tertiary_title&gt;Contemp Account Res&lt;/_tertiary_title&gt;&lt;_url&gt;http://doi.wiley.com/10.1111/1911-3846.12346_x000d__x000a_http://onlinelibrary.wiley.com/wol1/doi/10.1111/1911-3846.12346/fullpdf&lt;/_url&gt;&lt;_volume&gt;34&lt;/_volume&gt;&lt;/Details&gt;&lt;Extra&gt;&lt;DBUID&gt;{D2579611-BF89-4C7B-83D9-BE1288535D97}&lt;/DBUID&gt;&lt;/Extra&gt;&lt;/Item&gt;&lt;/References&gt;&lt;/Group&gt;&lt;/Citation&gt;_x000a_"/>
    <w:docVar w:name="NE.Ref{C8235637-CE70-40EC-AA46-79823152AEE9}" w:val=" ADDIN NE.Ref.{C8235637-CE70-40EC-AA46-79823152AEE9}&lt;Citation&gt;&lt;Group&gt;&lt;References&gt;&lt;Item&gt;&lt;ID&gt;38&lt;/ID&gt;&lt;UID&gt;{37AF4881-5A7F-4F44-A262-B232A7DDDF8B}&lt;/UID&gt;&lt;Title&gt;影响公司高管交易行为内部差异的因素：“信息优势”还是“收入补偿动机”&lt;/Title&gt;&lt;Template&gt;Journal Article&lt;/Template&gt;&lt;Star&gt;0&lt;/Star&gt;&lt;Tag&gt;0&lt;/Tag&gt;&lt;Author&gt;曾庆生; 程博&lt;/Author&gt;&lt;Year&gt;2019&lt;/Year&gt;&lt;Details&gt;&lt;_accessed&gt;63268336&lt;/_accessed&gt;&lt;_author_aff&gt;上海财经大学会计与财务研究院;浙江农林大学暨阳学院;&lt;/_author_aff&gt;&lt;_collection_scope&gt;CSSCI-C;PKU&lt;/_collection_scope&gt;&lt;_created&gt;63267311&lt;/_created&gt;&lt;_date&gt;63079200&lt;/_date&gt;&lt;_db_provider&gt;CNKI: 期刊&lt;/_db_provider&gt;&lt;_db_updated&gt;CNKI - Reference&lt;/_db_updated&gt;&lt;_issue&gt;06&lt;/_issue&gt;&lt;_journal&gt;南开管理评论&lt;/_journal&gt;&lt;_keywords&gt;高管交易;薪酬相对水平;信息优势;收入补偿动机&lt;/_keywords&gt;&lt;_language&gt;Chinese&lt;/_language&gt;&lt;_modified&gt;63268336&lt;/_modified&gt;&lt;_pages&gt;127-139&lt;/_pages&gt;&lt;_url&gt;http://kns.cnki.net/KCMS/detail/detail.aspx?FileName=LKGP201906012&amp;amp;DbName=CJFQ2019&lt;/_url&gt;&lt;_volume&gt;22&lt;/_volume&gt;&lt;_translated_author&gt;Ceng, Qingsheng;Cheng, Bo&lt;/_translated_author&gt;&lt;/Details&gt;&lt;Extra&gt;&lt;DBUID&gt;{439358B4-FA18-4C63-A3A1-0E3BE4066E7A}&lt;/DBUID&gt;&lt;/Extra&gt;&lt;/Item&gt;&lt;/References&gt;&lt;/Group&gt;&lt;/Citation&gt;_x000a_"/>
    <w:docVar w:name="NE.Ref{C8445F05-1CBD-431A-B946-528B604F5F35}" w:val=" ADDIN NE.Ref.{C8445F05-1CBD-431A-B946-528B604F5F35}&lt;Citation SecTmpl=&quot;1&quot;&gt;&lt;Group&gt;&lt;References&gt;&lt;Item&gt;&lt;ID&gt;4&lt;/ID&gt;&lt;UID&gt;{D5EC7BCC-F557-4FE2-BE99-1960FECD9168}&lt;/UID&gt;&lt;Title&gt;Financial Reporting Quality of Chinese Reverse Merger Firms: The Reverse Merger Effect or the Weak Country Effect?&lt;/Title&gt;&lt;Template&gt;Journal Article&lt;/Template&gt;&lt;Star&gt;0&lt;/Star&gt;&lt;Tag&gt;0&lt;/Tag&gt;&lt;Author&gt;Chen, Kun-Chih; Cheng, Qiang; Lin, Ying Chou; Lin, Yu-Chen; Xiao, Xing&lt;/Author&gt;&lt;Year&gt;2016&lt;/Year&gt;&lt;Details&gt;&lt;_accessed&gt;61988604&lt;/_accessed&gt;&lt;_created&gt;61983888&lt;/_created&gt;&lt;_db_provider&gt;EconLit&lt;/_db_provider&gt;&lt;_db_updated&gt;CrossRef&lt;/_db_updated&gt;&lt;_doi&gt;10.2308/accr-51376&lt;/_doi&gt;&lt;_impact_factor&gt;   4.562&lt;/_impact_factor&gt;&lt;_isbn&gt;0001-4826&lt;/_isbn&gt;&lt;_issue&gt;5&lt;/_issue&gt;&lt;_journal&gt;The Accounting Review&lt;/_journal&gt;&lt;_keywords&gt;IPO; Financing Policy, Financial Risk and Risk Management, Capital and Ownership Structure, Value of Firms, Goodwill (G32); U.S; Capital; Economic Development: Financial Markets, Saving and Capital Investment, Corporate Finance and Governance (O16); Merger; Accounting (M41); Northern America; Firm Behavior: Empirical Analysis (D22); Mergers, Acquisitions, Restructuring, Voting, Proxy Contests, Corporate Governance (G34); Corporate Governance; Investment Banking, Venture Capital, Brokerage, Ratings and Ratings Agencies (G24); Socialist Institutions and Their Transitions: Financial Economics (P34); Asia; Governance; China; Firm; Evaluation; Acquisitions and mergers; Influence; Report writing; Demographic aspects; Corporate governance; Studies; Financial reporting; Capital markets; Initial public offerings&lt;/_keywords&gt;&lt;_language&gt;English&lt;/_language&gt;&lt;_modified&gt;62862695&lt;/_modified&gt;&lt;_pages&gt;1363-1390&lt;/_pages&gt;&lt;_place_published&gt;Sarasota&lt;/_place_published&gt;&lt;_tertiary_title&gt;The Accounting Review&lt;/_tertiary_title&gt;&lt;_url&gt;http://aaajournals.org/doi/10.2308/accr-51376_x000d__x000a_http://aaajournals.org/doi/pdf/10.2308/accr-51376&lt;/_url&gt;&lt;_volume&gt;91&lt;/_volume&gt;&lt;/Details&gt;&lt;Extra&gt;&lt;DBUID&gt;{33BA340C-9D61-4380-9AC0-75859ADA3E7E}&lt;/DBUID&gt;&lt;/Extra&gt;&lt;/Item&gt;&lt;/References&gt;&lt;/Group&gt;&lt;/Citation&gt;_x000a_"/>
    <w:docVar w:name="NE.Ref{C8B4A92F-EF3C-4586-B5DA-03436D695E16}" w:val=" ADDIN NE.Ref.{C8B4A92F-EF3C-4586-B5DA-03436D695E16}&lt;Citation&gt;&lt;Group&gt;&lt;References&gt;&lt;Item&gt;&lt;ID&gt;205&lt;/ID&gt;&lt;UID&gt;{0BEB80AF-E584-46CB-A5B0-6B136245C083}&lt;/UID&gt;&lt;Title&gt;Do external auditors perform a corporate governance role in emerging markets? Evidence from East Asia&lt;/Title&gt;&lt;Template&gt;Journal Article&lt;/Template&gt;&lt;Star&gt;0&lt;/Star&gt;&lt;Tag&gt;0&lt;/Tag&gt;&lt;Author&gt;Fan, Joseph PH; Wong, Tak Jun&lt;/Author&gt;&lt;Year&gt;2005&lt;/Year&gt;&lt;Details&gt;&lt;_alternate_title&gt;Journal of accounting research&lt;/_alternate_title&gt;&lt;_collection_scope&gt;SSCI&lt;/_collection_scope&gt;&lt;_created&gt;63301636&lt;/_created&gt;&lt;_date&gt;2005-01-01&lt;/_date&gt;&lt;_date_display&gt;2005&lt;/_date_display&gt;&lt;_impact_factor&gt;   4.891&lt;/_impact_factor&gt;&lt;_isbn&gt;0021-8456&lt;/_isbn&gt;&lt;_issue&gt;1&lt;/_issue&gt;&lt;_journal&gt;Journal of accounting research&lt;/_journal&gt;&lt;_modified&gt;63301636&lt;/_modified&gt;&lt;_ori_publication&gt;Wiley Online Library&lt;/_ori_publication&gt;&lt;_pages&gt;35-72&lt;/_pages&gt;&lt;_volume&gt;43&lt;/_volume&gt;&lt;/Details&gt;&lt;Extra&gt;&lt;DBUID&gt;{E9F07991-3B72-4492-A7D8-86E559D9F8FE}&lt;/DBUID&gt;&lt;/Extra&gt;&lt;/Item&gt;&lt;/References&gt;&lt;/Group&gt;&lt;/Citation&gt;_x000a_"/>
    <w:docVar w:name="NE.Ref{C98A7DEA-9289-4F93-83C2-3034821581F9}" w:val=" ADDIN NE.Ref.{C98A7DEA-9289-4F93-83C2-3034821581F9}&lt;Citation&gt;&lt;Group&gt;&lt;References&gt;&lt;Item&gt;&lt;ID&gt;687&lt;/ID&gt;&lt;UID&gt;{EA87ABF3-6155-4802-B00F-D8E8C92A6FF9}&lt;/UID&gt;&lt;Title&gt;Tax aggressiveness and corporate transparency&lt;/Title&gt;&lt;Template&gt;Journal Article&lt;/Template&gt;&lt;Star&gt;0&lt;/Star&gt;&lt;Tag&gt;0&lt;/Tag&gt;&lt;Author&gt;Balakrishnan, Karthik; Blouin, Jennifer L; Guay, Wayne R&lt;/Author&gt;&lt;Year&gt;2019&lt;/Year&gt;&lt;Details&gt;&lt;_alternate_title&gt;The Accounting Review&lt;/_alternate_title&gt;&lt;_created&gt;63284683&lt;/_created&gt;&lt;_date&gt;2019-01-01&lt;/_date&gt;&lt;_date_display&gt;2019&lt;/_date_display&gt;&lt;_isbn&gt;1558-7967&lt;/_isbn&gt;&lt;_issue&gt;1&lt;/_issue&gt;&lt;_journal&gt;The Accounting Review&lt;/_journal&gt;&lt;_modified&gt;63284683&lt;/_modified&gt;&lt;_ori_publication&gt;American Accounting Association&lt;/_ori_publication&gt;&lt;_pages&gt;45-69&lt;/_pages&gt;&lt;_volume&gt;94&lt;/_volume&gt;&lt;/Details&gt;&lt;Extra&gt;&lt;DBUID&gt;{83AC290F-D6FC-4574-9771-6904EE9C30A4}&lt;/DBUID&gt;&lt;/Extra&gt;&lt;/Item&gt;&lt;/References&gt;&lt;/Group&gt;&lt;/Citation&gt;_x000a_"/>
    <w:docVar w:name="NE.Ref{CB02BA7F-5797-4BD7-B444-A1324407C800}" w:val=" ADDIN NE.Ref.{CB02BA7F-5797-4BD7-B444-A1324407C800}&lt;Citation&gt;&lt;Group&gt;&lt;References&gt;&lt;Item&gt;&lt;ID&gt;22&lt;/ID&gt;&lt;UID&gt;{AD8B12E9-23D1-4138-882D-B22F47FFF6BF}&lt;/UID&gt;&lt;Title&gt;Audit pricing and independence&lt;/Title&gt;&lt;Template&gt;Journal Article&lt;/Template&gt;&lt;Star&gt;0&lt;/Star&gt;&lt;Tag&gt;0&lt;/Tag&gt;&lt;Author&gt;Magee, Robert P; Tseng, Mei-Chiun&lt;/Author&gt;&lt;Year&gt;1990&lt;/Year&gt;&lt;Details&gt;&lt;_alternate_title&gt;Accounting Review&lt;/_alternate_title&gt;&lt;_collection_scope&gt;SSCI&lt;/_collection_scope&gt;&lt;_created&gt;63219530&lt;/_created&gt;&lt;_date&gt;1990-01-01&lt;/_date&gt;&lt;_date_display&gt;1990&lt;/_date_display&gt;&lt;_impact_factor&gt;   4.562&lt;/_impact_factor&gt;&lt;_isbn&gt;0001-4826&lt;/_isbn&gt;&lt;_journal&gt;Accounting Review&lt;/_journal&gt;&lt;_modified&gt;63219530&lt;/_modified&gt;&lt;_ori_publication&gt;JSTOR&lt;/_ori_publication&gt;&lt;_pages&gt;315-336&lt;/_pages&gt;&lt;/Details&gt;&lt;Extra&gt;&lt;DBUID&gt;{E9F07991-3B72-4492-A7D8-86E559D9F8FE}&lt;/DBUID&gt;&lt;/Extra&gt;&lt;/Item&gt;&lt;/References&gt;&lt;/Group&gt;&lt;Group&gt;&lt;References&gt;&lt;Item&gt;&lt;ID&gt;23&lt;/ID&gt;&lt;UID&gt;{73CD9DB4-3F31-4A9E-B670-513254166761}&lt;/UID&gt;&lt;Title&gt;Auctions for audit services and low-balling&lt;/Title&gt;&lt;Template&gt;Journal Article&lt;/Template&gt;&lt;Star&gt;0&lt;/Star&gt;&lt;Tag&gt;0&lt;/Tag&gt;&lt;Author&gt;Elitzur, R Ramy; Falk, Haim&lt;/Author&gt;&lt;Year&gt;1996&lt;/Year&gt;&lt;Details&gt;&lt;_alternate_title&gt;Auditing&lt;/_alternate_title&gt;&lt;_created&gt;63219532&lt;/_created&gt;&lt;_date&gt;1996-01-01&lt;/_date&gt;&lt;_date_display&gt;1996&lt;/_date_display&gt;&lt;_impact_factor&gt;   2.642&lt;/_impact_factor&gt;&lt;_isbn&gt;0278-0380&lt;/_isbn&gt;&lt;_journal&gt;Auditing&lt;/_journal&gt;&lt;_modified&gt;63219532&lt;/_modified&gt;&lt;_ori_publication&gt;American Accounting Association&lt;/_ori_publication&gt;&lt;_pages&gt;41&lt;/_pages&gt;&lt;_volume&gt;15&lt;/_volume&gt;&lt;/Details&gt;&lt;Extra&gt;&lt;DBUID&gt;{E9F07991-3B72-4492-A7D8-86E559D9F8FE}&lt;/DBUID&gt;&lt;/Extra&gt;&lt;/Item&gt;&lt;/References&gt;&lt;/Group&gt;&lt;Group&gt;&lt;References&gt;&lt;Item&gt;&lt;ID&gt;24&lt;/ID&gt;&lt;UID&gt;{F0521746-DCA3-48A7-A233-2A91407421DB}&lt;/UID&gt;&lt;Title&gt;Auditing in the presence of outside sources of information&lt;/Title&gt;&lt;Template&gt;Journal Article&lt;/Template&gt;&lt;Star&gt;0&lt;/Star&gt;&lt;Tag&gt;0&lt;/Tag&gt;&lt;Author&gt;Bagnoli, Mark; Penno, Mark; Watts, Susan G&lt;/Author&gt;&lt;Year&gt;2001&lt;/Year&gt;&lt;Details&gt;&lt;_alternate_title&gt;Journal of Accounting Research&lt;/_alternate_title&gt;&lt;_collection_scope&gt;SSCI&lt;/_collection_scope&gt;&lt;_created&gt;63219533&lt;/_created&gt;&lt;_date&gt;2001-01-01&lt;/_date&gt;&lt;_date_display&gt;2001&lt;/_date_display&gt;&lt;_impact_factor&gt;   4.891&lt;/_impact_factor&gt;&lt;_isbn&gt;0021-8456&lt;/_isbn&gt;&lt;_issue&gt;3&lt;/_issue&gt;&lt;_journal&gt;Journal of Accounting Research&lt;/_journal&gt;&lt;_modified&gt;63219533&lt;/_modified&gt;&lt;_ori_publication&gt;Wiley Online Library&lt;/_ori_publication&gt;&lt;_pages&gt;435-447&lt;/_pages&gt;&lt;_volume&gt;39&lt;/_volume&gt;&lt;/Details&gt;&lt;Extra&gt;&lt;DBUID&gt;{E9F07991-3B72-4492-A7D8-86E559D9F8FE}&lt;/DBUID&gt;&lt;/Extra&gt;&lt;/Item&gt;&lt;/References&gt;&lt;/Group&gt;&lt;/Citation&gt;_x000a_"/>
    <w:docVar w:name="NE.Ref{CBBEDEA5-8D69-49FE-A431-225653917A73}" w:val=" ADDIN NE.Ref.{CBBEDEA5-8D69-49FE-A431-225653917A73}&lt;Citation SecTmpl=&quot;1&quot;&gt;&lt;Group&gt;&lt;References&gt;&lt;Item&gt;&lt;ID&gt;52&lt;/ID&gt;&lt;UID&gt;{11B2A6F5-9FD6-4608-A611-4C932B844C4F}&lt;/UID&gt;&lt;Title&gt;Auditors&amp;apos; Constraining Effect on Tax Noncompliance at Different Book-Tax Conformity Levels in a Transition Economy&lt;/Title&gt;&lt;Template&gt;Journal Article&lt;/Template&gt;&lt;Star&gt;0&lt;/Star&gt;&lt;Tag&gt;0&lt;/Tag&gt;&lt;Author&gt;Chan, K Hung; Luo, Rebecca; Mo, Phyllis Lai Lan&lt;/Author&gt;&lt;Year&gt;2016&lt;/Year&gt;&lt;Details&gt;&lt;_alternate_title&gt;Journal of International Accounting Research&lt;/_alternate_title&gt;&lt;_created&gt;63224465&lt;/_created&gt;&lt;_date&gt;2016-01-01&lt;/_date&gt;&lt;_date_display&gt;2016&lt;/_date_display&gt;&lt;_isbn&gt;1558-8025&lt;/_isbn&gt;&lt;_issue&gt;3&lt;/_issue&gt;&lt;_journal&gt;Journal of International Accounting Research&lt;/_journal&gt;&lt;_modified&gt;63224465&lt;/_modified&gt;&lt;_ori_publication&gt;American Accounting Association&lt;/_ori_publication&gt;&lt;_pages&gt;1-30&lt;/_pages&gt;&lt;_volume&gt;15&lt;/_volume&gt;&lt;/Details&gt;&lt;Extra&gt;&lt;DBUID&gt;{E9F07991-3B72-4492-A7D8-86E559D9F8FE}&lt;/DBUID&gt;&lt;/Extra&gt;&lt;/Item&gt;&lt;/References&gt;&lt;/Group&gt;&lt;/Citation&gt;_x000a_"/>
    <w:docVar w:name="NE.Ref{CC2AF819-3BCB-416A-9BBF-594E96779B23}" w:val=" ADDIN NE.Ref.{CC2AF819-3BCB-416A-9BBF-594E96779B23}&lt;Citation SecTmpl=&quot;1&quot;&gt;&lt;Group&gt;&lt;References&gt;&lt;Item&gt;&lt;ID&gt;40&lt;/ID&gt;&lt;UID&gt;{F9C0E591-BB82-488D-819E-BDF103908FD2}&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2846551&lt;/_modified&gt;&lt;_pages&gt;230-258&lt;/_pages&gt;&lt;_tertiary_title&gt;Contemp Account Res&lt;/_tertiary_title&gt;&lt;_url&gt;http://doi.wiley.com/10.1111/1911-3846.12422_x000d__x000a_http://onlinelibrary.wiley.com/wol1/doi/10.1111/1911-3846.12422/fullpdf&lt;/_url&gt;&lt;_volume&gt;36&lt;/_volume&gt;&lt;/Details&gt;&lt;Extra&gt;&lt;DBUID&gt;{D2579611-BF89-4C7B-83D9-BE1288535D97}&lt;/DBUID&gt;&lt;/Extra&gt;&lt;/Item&gt;&lt;/References&gt;&lt;/Group&gt;&lt;/Citation&gt;_x000a_"/>
    <w:docVar w:name="NE.Ref{CC7F3A2B-19F0-415B-9C82-75E0B20D9DF5}" w:val=" ADDIN NE.Ref.{CC7F3A2B-19F0-415B-9C82-75E0B20D9DF5}&lt;Citation SecTmpl=&quot;1&quot;&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CCF0C44D-1D0C-4CF3-985F-6947EFA6C0F4}" w:val=" ADDIN NE.Ref.{CCF0C44D-1D0C-4CF3-985F-6947EFA6C0F4}&lt;Citation SecTmpl=&quot;1&quot;&gt;&lt;Group&gt;&lt;References&gt;&lt;Item&gt;&lt;ID&gt;213&lt;/ID&gt;&lt;UID&gt;{387A0978-5BF1-4E56-B919-F444EC517538}&lt;/UID&gt;&lt;Title&gt;The relationship between board characteristics and voluntary improvements in audit committee composition and experience&lt;/Title&gt;&lt;Template&gt;Journal Article&lt;/Template&gt;&lt;Star&gt;0&lt;/Star&gt;&lt;Tag&gt;0&lt;/Tag&gt;&lt;Author&gt;Beasley, Mark S; Salterio, Steven E&lt;/Author&gt;&lt;Year&gt;2001&lt;/Year&gt;&lt;Details&gt;&lt;_alternate_title&gt;Contemporary Accounting Research&lt;/_alternate_title&gt;&lt;_date_display&gt;2001&lt;/_date_display&gt;&lt;_date&gt;2001-01-01&lt;/_date&gt;&lt;_isbn&gt;0823-9150&lt;/_isbn&gt;&lt;_issue&gt;4&lt;/_issue&gt;&lt;_journal&gt;Contemporary Accounting Research&lt;/_journal&gt;&lt;_ori_publication&gt;Wiley Online Library&lt;/_ori_publication&gt;&lt;_pages&gt;539-570&lt;/_pages&gt;&lt;_volume&gt;18&lt;/_volume&gt;&lt;_created&gt;63301893&lt;/_created&gt;&lt;_modified&gt;63301893&lt;/_modified&gt;&lt;_impact_factor&gt;   2.261&lt;/_impact_factor&gt;&lt;_collection_scope&gt;SSCI&lt;/_collection_scope&gt;&lt;/Details&gt;&lt;Extra&gt;&lt;DBUID&gt;{E9F07991-3B72-4492-A7D8-86E559D9F8FE}&lt;/DBUID&gt;&lt;/Extra&gt;&lt;/Item&gt;&lt;/References&gt;&lt;/Group&gt;&lt;/Citation&gt;_x000a_"/>
    <w:docVar w:name="NE.Ref{CD26C01B-C175-4DB8-A501-35A40097728C}" w:val=" ADDIN NE.Ref.{CD26C01B-C175-4DB8-A501-35A40097728C}&lt;Citation SecTmpl=&quot;1&quot;&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CDA3B6CC-0D9C-45F6-A73A-B1720A847FF4}" w:val=" ADDIN NE.Ref.{CDA3B6CC-0D9C-45F6-A73A-B1720A847FF4}&lt;Citation SecTmpl=&quot;1&quot;&gt;&lt;Group&gt;&lt;References&gt;&lt;Item&gt;&lt;ID&gt;60&lt;/ID&gt;&lt;UID&gt;{E4E765AF-C15F-4D3F-9DCB-94FE30A0E528}&lt;/UID&gt;&lt;Title&gt;Insider Profits, Cost of Trading, and Market Efficiency&lt;/Title&gt;&lt;Template&gt;Journal Article&lt;/Template&gt;&lt;Star&gt;0&lt;/Star&gt;&lt;Tag&gt;0&lt;/Tag&gt;&lt;Author&gt;Seyhun, H Nejat&lt;/Author&gt;&lt;Year&gt;1986&lt;/Year&gt;&lt;Details&gt;&lt;_date_display&gt;1986&lt;/_date_display&gt;&lt;_date&gt;1986-01-01&lt;/_date&gt;&lt;_issue&gt;2&lt;/_issue&gt;&lt;_journal&gt;Journal of Financial Economics&lt;/_journal&gt;&lt;_pages&gt;189-212&lt;/_pages&gt;&lt;_volume&gt;16&lt;/_volume&gt;&lt;_created&gt;63282816&lt;/_created&gt;&lt;_modified&gt;63282816&lt;/_modified&gt;&lt;_impact_factor&gt;   4.693&lt;/_impact_factor&gt;&lt;_collection_scope&gt;SSCI&lt;/_collection_scope&gt;&lt;/Details&gt;&lt;Extra&gt;&lt;DBUID&gt;{439358B4-FA18-4C63-A3A1-0E3BE4066E7A}&lt;/DBUID&gt;&lt;/Extra&gt;&lt;/Item&gt;&lt;/References&gt;&lt;/Group&gt;&lt;/Citation&gt;_x000a_"/>
    <w:docVar w:name="NE.Ref{CE0BEF13-6AFD-4343-A400-2F4F7CC5BC7F}" w:val=" ADDIN NE.Ref.{CE0BEF13-6AFD-4343-A400-2F4F7CC5BC7F}&lt;Citation SecTmpl=&quot;1&quot;&gt;&lt;Group&gt;&lt;References&gt;&lt;Item&gt;&lt;ID&gt;180&lt;/ID&gt;&lt;UID&gt;{190B3A92-7AFA-4568-8105-325F4566D515}&lt;/UID&gt;&lt;Title&gt;A framework for understanding and researching audit quality&lt;/Title&gt;&lt;Template&gt;Journal Article&lt;/Template&gt;&lt;Star&gt;0&lt;/Star&gt;&lt;Tag&gt;0&lt;/Tag&gt;&lt;Author&gt;Francis, Jere R&lt;/Author&gt;&lt;Year&gt;2011&lt;/Year&gt;&lt;Details&gt;&lt;_alternate_title&gt;Auditing: A journal of practice &amp;amp; theory&lt;/_alternate_title&gt;&lt;_created&gt;63296424&lt;/_created&gt;&lt;_date&gt;2011-01-01&lt;/_date&gt;&lt;_date_display&gt;2011&lt;/_date_display&gt;&lt;_impact_factor&gt;   2.642&lt;/_impact_factor&gt;&lt;_isbn&gt;0278-0380&lt;/_isbn&gt;&lt;_issue&gt;2&lt;/_issue&gt;&lt;_journal&gt;Auditing: A journal of practice &amp;amp; theory&lt;/_journal&gt;&lt;_modified&gt;63296424&lt;/_modified&gt;&lt;_ori_publication&gt;American Accounting Association&lt;/_ori_publication&gt;&lt;_pages&gt;125-152&lt;/_pages&gt;&lt;_volume&gt;30&lt;/_volume&gt;&lt;/Details&gt;&lt;Extra&gt;&lt;DBUID&gt;{E9F07991-3B72-4492-A7D8-86E559D9F8FE}&lt;/DBUID&gt;&lt;/Extra&gt;&lt;/Item&gt;&lt;/References&gt;&lt;/Group&gt;&lt;/Citation&gt;_x000a_"/>
    <w:docVar w:name="NE.Ref{CE19189D-E58D-4EFA-8138-C4F4135CA806}" w:val=" ADDIN NE.Ref.{CE19189D-E58D-4EFA-8138-C4F4135CA806}&lt;Citation&gt;&lt;Group&gt;&lt;References&gt;&lt;Item&gt;&lt;ID&gt;243&lt;/ID&gt;&lt;UID&gt;{E50FAF63-49AE-4125-9A1B-FE162A9AEC1A}&lt;/UID&gt;&lt;Title&gt;After Enron: Auditor conservatism and ex-Andersen clients&lt;/Title&gt;&lt;Template&gt;Journal Article&lt;/Template&gt;&lt;Star&gt;0&lt;/Star&gt;&lt;Tag&gt;0&lt;/Tag&gt;&lt;Author&gt;Cahan, Steven F; Zhang, Wei&lt;/Author&gt;&lt;Year&gt;2006&lt;/Year&gt;&lt;Details&gt;&lt;_alternate_title&gt;The Accounting Review&lt;/_alternate_title&gt;&lt;_created&gt;63097143&lt;/_created&gt;&lt;_date&gt;2006-01-01&lt;/_date&gt;&lt;_date_display&gt;2006&lt;/_date_display&gt;&lt;_impact_factor&gt;   4.562&lt;/_impact_factor&gt;&lt;_isbn&gt;0001-4826&lt;/_isbn&gt;&lt;_issue&gt;1&lt;/_issue&gt;&lt;_journal&gt;The Accounting Review&lt;/_journal&gt;&lt;_modified&gt;63097143&lt;/_modified&gt;&lt;_pages&gt;49-82&lt;/_pages&gt;&lt;_volume&gt;81&lt;/_volume&gt;&lt;/Details&gt;&lt;Extra&gt;&lt;DBUID&gt;{2097646C-7C2F-4992-8A9B-6FF23AE7F1B7}&lt;/DBUID&gt;&lt;/Extra&gt;&lt;/Item&gt;&lt;/References&gt;&lt;/Group&gt;&lt;Group&gt;&lt;References&gt;&lt;Item&gt;&lt;ID&gt;244&lt;/ID&gt;&lt;UID&gt;{ECFF769B-3106-44B2-BCCE-D9D23FA7433B}&lt;/UID&gt;&lt;Title&gt;Were former Andersen clients treated more leniently than other clients? Evidence from going-concern modified audit opinions&lt;/Title&gt;&lt;Template&gt;Journal Article&lt;/Template&gt;&lt;Star&gt;0&lt;/Star&gt;&lt;Tag&gt;0&lt;/Tag&gt;&lt;Author&gt;Krishnan, Jagan; Raghunandan, Kannan; Yang, Joon S&lt;/Author&gt;&lt;Year&gt;2007&lt;/Year&gt;&lt;Details&gt;&lt;_alternate_title&gt;Accounting Horizons&lt;/_alternate_title&gt;&lt;_collection_scope&gt;SSCI&lt;/_collection_scope&gt;&lt;_created&gt;63097147&lt;/_created&gt;&lt;_date&gt;2007-01-01&lt;/_date&gt;&lt;_date_display&gt;2007&lt;/_date_display&gt;&lt;_impact_factor&gt;   1.377&lt;/_impact_factor&gt;&lt;_isbn&gt;0888-7993&lt;/_isbn&gt;&lt;_issue&gt;4&lt;/_issue&gt;&lt;_journal&gt;Accounting Horizons&lt;/_journal&gt;&lt;_modified&gt;63097147&lt;/_modified&gt;&lt;_pages&gt;423-435&lt;/_pages&gt;&lt;_volume&gt;21&lt;/_volume&gt;&lt;/Details&gt;&lt;Extra&gt;&lt;DBUID&gt;{2097646C-7C2F-4992-8A9B-6FF23AE7F1B7}&lt;/DBUID&gt;&lt;/Extra&gt;&lt;/Item&gt;&lt;/References&gt;&lt;/Group&gt;&lt;/Citation&gt;_x000a_"/>
    <w:docVar w:name="NE.Ref{CE35A796-079E-49FC-AC72-6CCB1258C6BE}" w:val=" ADDIN NE.Ref.{CE35A796-079E-49FC-AC72-6CCB1258C6BE}&lt;Citation SecTmpl=&quot;1&quot;&gt;&lt;Group&gt;&lt;References&gt;&lt;Item&gt;&lt;ID&gt;149&lt;/ID&gt;&lt;UID&gt;{45404A6D-1227-4953-AD65-6AD6398C6470}&lt;/UID&gt;&lt;Title&gt;大股东资金占用与外部审计监督&lt;/Title&gt;&lt;Template&gt;Journal Article&lt;/Template&gt;&lt;Star&gt;0&lt;/Star&gt;&lt;Tag&gt;0&lt;/Tag&gt;&lt;Author&gt;周中胜; 陈汉文&lt;/Author&gt;&lt;Year&gt;2006&lt;/Year&gt;&lt;Details&gt;&lt;_accessed&gt;63258676&lt;/_accessed&gt;&lt;_author_aff&gt;厦门大学会计系;厦门大学会计系 361005;361005&lt;/_author_aff&gt;&lt;_collection_scope&gt;CSSCI-C;PKU&lt;/_collection_scope&gt;&lt;_created&gt;63258676&lt;/_created&gt;&lt;_date&gt;55962720&lt;/_date&gt;&lt;_db_provider&gt;CNKI: 期刊&lt;/_db_provider&gt;&lt;_db_updated&gt;CNKI - Reference&lt;/_db_updated&gt;&lt;_issue&gt;03&lt;/_issue&gt;&lt;_journal&gt;审计研究&lt;/_journal&gt;&lt;_keywords&gt;资金占用;审计需求;审计意见&lt;/_keywords&gt;&lt;_language&gt;Chinese&lt;/_language&gt;&lt;_modified&gt;63258676&lt;/_modified&gt;&lt;_pages&gt;73-81&lt;/_pages&gt;&lt;_url&gt;http://kns.cnki.net/KCMS/detail/detail.aspx?FileName=SJYZ200603015&amp;amp;DbName=CJFQ2006&lt;/_url&gt;&lt;_translated_author&gt;Zhou, Zhongsheng;Chen, Hanwen&lt;/_translated_author&gt;&lt;/Details&gt;&lt;Extra&gt;&lt;DBUID&gt;{E9F07991-3B72-4492-A7D8-86E559D9F8FE}&lt;/DBUID&gt;&lt;/Extra&gt;&lt;/Item&gt;&lt;/References&gt;&lt;/Group&gt;&lt;/Citation&gt;_x000a_"/>
    <w:docVar w:name="NE.Ref{CFC1DE2C-A160-4101-A5D6-D2766C95E6E3}" w:val=" ADDIN NE.Ref.{CFC1DE2C-A160-4101-A5D6-D2766C95E6E3}&lt;Citation&gt;&lt;Group&gt;&lt;References&gt;&lt;Item&gt;&lt;ID&gt;93&lt;/ID&gt;&lt;UID&gt;{CB8B56BE-4F07-4290-8705-9F2F5B770812}&lt;/UID&gt;&lt;Title&gt;内部控制、审计质量与大股东资金占用&lt;/Title&gt;&lt;Template&gt;Journal Article&lt;/Template&gt;&lt;Star&gt;0&lt;/Star&gt;&lt;Tag&gt;0&lt;/Tag&gt;&lt;Author&gt;杨德明; 林斌; 王彦超&lt;/Author&gt;&lt;Year&gt;2009&lt;/Year&gt;&lt;Details&gt;&lt;_accessed&gt;63241003&lt;/_accessed&gt;&lt;_author_aff&gt;华南理工大学工商管理学院;中山大学管理学院;中央财经大学会计学院;&lt;/_author_aff&gt;&lt;_collection_scope&gt;CSSCI-C;PKU&lt;/_collection_scope&gt;&lt;_created&gt;63240989&lt;/_created&gt;&lt;_date&gt;57718080&lt;/_date&gt;&lt;_db_provider&gt;CNKI: 期刊&lt;/_db_provider&gt;&lt;_db_updated&gt;CNKI - Reference&lt;/_db_updated&gt;&lt;_issue&gt;05&lt;/_issue&gt;&lt;_journal&gt;审计研究&lt;/_journal&gt;&lt;_keywords&gt;内部控制;大股东资金占用;审计质量&lt;/_keywords&gt;&lt;_language&gt;Chinese&lt;/_language&gt;&lt;_modified&gt;63241003&lt;/_modified&gt;&lt;_pages&gt;74-81&lt;/_pages&gt;&lt;_url&gt;http://kns.cnki.net/KCMS/detail/detail.aspx?FileName=SJYZ200905017&amp;amp;DbName=CJFQ2009&lt;/_url&gt;&lt;_translated_author&gt;Yang, Deming;Lin, Bin;Wang, Yanchao&lt;/_translated_author&gt;&lt;/Details&gt;&lt;Extra&gt;&lt;DBUID&gt;{E9F07991-3B72-4492-A7D8-86E559D9F8FE}&lt;/DBUID&gt;&lt;/Extra&gt;&lt;/Item&gt;&lt;/References&gt;&lt;/Group&gt;&lt;Group&gt;&lt;References&gt;&lt;Item&gt;&lt;ID&gt;145&lt;/ID&gt;&lt;UID&gt;{224B810B-7CB5-4152-9095-2BBA252880EE}&lt;/UID&gt;&lt;Title&gt;内部控制与关联交易:基于效率促进观和掏空观分析&lt;/Title&gt;&lt;Template&gt;Journal Article&lt;/Template&gt;&lt;Star&gt;0&lt;/Star&gt;&lt;Tag&gt;0&lt;/Tag&gt;&lt;Author&gt;张洪辉; 章琳一; 张蕊&lt;/Author&gt;&lt;Year&gt;2016&lt;/Year&gt;&lt;Details&gt;&lt;_accessed&gt;63210826&lt;/_accessed&gt;&lt;_author_aff&gt;江西财经大学会计学院、会计发展研究中心;&lt;/_author_aff&gt;&lt;_collection_scope&gt;CSSCI-C;PKU&lt;/_collection_scope&gt;&lt;_created&gt;63210825&lt;/_created&gt;&lt;_date&gt;61400160&lt;/_date&gt;&lt;_db_provider&gt;CNKI: 期刊&lt;/_db_provider&gt;&lt;_db_updated&gt;CNKI - Reference&lt;/_db_updated&gt;&lt;_issue&gt;05&lt;/_issue&gt;&lt;_journal&gt;审计研究&lt;/_journal&gt;&lt;_keywords&gt;内部控制;关联交易;效率促进;掏空&lt;/_keywords&gt;&lt;_language&gt;Chinese&lt;/_language&gt;&lt;_modified&gt;63257495&lt;/_modified&gt;&lt;_pages&gt;89-97&lt;/_pages&gt;&lt;_url&gt;http://kns.cnki.net/KCMS/detail/detail.aspx?FileName=SJYZ201605014&amp;amp;DbName=CJFQ2016&lt;/_url&gt;&lt;_translated_author&gt;Zhang, Honghui;Zhang, Linyi;Zhang, Rui&lt;/_translated_author&gt;&lt;/Details&gt;&lt;Extra&gt;&lt;DBUID&gt;{E9F07991-3B72-4492-A7D8-86E559D9F8FE}&lt;/DBUID&gt;&lt;/Extra&gt;&lt;/Item&gt;&lt;/References&gt;&lt;/Group&gt;&lt;/Citation&gt;_x000a_"/>
    <w:docVar w:name="NE.Ref{D070D671-A3BE-4DC2-9797-FBC4E79452CE}" w:val=" ADDIN NE.Ref.{D070D671-A3BE-4DC2-9797-FBC4E79452CE}&lt;Citation SecTmpl=&quot;1&quot;&gt;&lt;Group&gt;&lt;References&gt;&lt;Item&gt;&lt;ID&gt;65&lt;/ID&gt;&lt;UID&gt;{6D77A4A3-97AC-488D-BEAE-5919DB737F82}&lt;/UID&gt;&lt;Title&gt;媒体负面报道、审计师变更与审计质量&lt;/Title&gt;&lt;Template&gt;Journal Article&lt;/Template&gt;&lt;Star&gt;0&lt;/Star&gt;&lt;Tag&gt;0&lt;/Tag&gt;&lt;Author&gt;周兰; 耀友福&lt;/Author&gt;&lt;Year&gt;2015&lt;/Year&gt;&lt;Details&gt;&lt;_accessed&gt;61549263&lt;/_accessed&gt;&lt;_author_aff&gt;湖南大学工商管理学院;湖南省风险导向审计研究基地;&lt;/_author_aff&gt;&lt;_collection_scope&gt;CSSCI;中文核心期刊;&lt;/_collection_scope&gt;&lt;_created&gt;61549263&lt;/_created&gt;&lt;_date&gt;60696000&lt;/_date&gt;&lt;_db_provider&gt;CNKI: 期刊&lt;/_db_provider&gt;&lt;_db_updated&gt;CNKI - Reference&lt;/_db_updated&gt;&lt;_issue&gt;03&lt;/_issue&gt;&lt;_journal&gt;审计研究&lt;/_journal&gt;&lt;_keywords&gt;媒体负面报道;审计质量;审计师变更&lt;/_keywords&gt;&lt;_language&gt;Chinese&lt;/_language&gt;&lt;_modified&gt;61549263&lt;/_modified&gt;&lt;_pages&gt;73-81&lt;/_pages&gt;&lt;_url&gt;http://www.cnki.net/KCMS/detail/detail.aspx?FileName=SJYZ201503012&amp;amp;DbName=CJFQ2015&lt;/_url&gt;&lt;_translated_author&gt;Zhou, Lan;Yao, Youfu&lt;/_translated_author&gt;&lt;/Details&gt;&lt;Extra&gt;&lt;DBUID&gt;{7EBDD973-FB19-4DB0-8AC1-C6FC73CA4F6A}&lt;/DBUID&gt;&lt;/Extra&gt;&lt;/Item&gt;&lt;/References&gt;&lt;/Group&gt;&lt;/Citation&gt;_x000a_"/>
    <w:docVar w:name="NE.Ref{D0918A12-F68B-4A0B-A415-4EB13CC3C74F}" w:val=" ADDIN NE.Ref.{D0918A12-F68B-4A0B-A415-4EB13CC3C74F}&lt;Citation SecTmpl=&quot;1&quot;&gt;&lt;Group&gt;&lt;References&gt;&lt;Item&gt;&lt;ID&gt;98&lt;/ID&gt;&lt;UID&gt;{B17F6A47-1C37-4022-B2A2-899E0A741939}&lt;/UID&gt;&lt;Title&gt;Auditor independence,‘low balling’, and disclosure regulation&lt;/Title&gt;&lt;Template&gt;Journal Article&lt;/Template&gt;&lt;Star&gt;0&lt;/Star&gt;&lt;Tag&gt;0&lt;/Tag&gt;&lt;Author&gt;DeAngelo, Linda Elizabeth&lt;/Author&gt;&lt;Year&gt;1981&lt;/Year&gt;&lt;Details&gt;&lt;_accessed&gt;63130174&lt;/_accessed&gt;&lt;_alternate_title&gt;Journal of accounting and Economics&lt;/_alternate_title&gt;&lt;_created&gt;62426020&lt;/_created&gt;&lt;_date&gt;1981-01-01&lt;/_date&gt;&lt;_date_display&gt;1981&lt;/_date_display&gt;&lt;_impact_factor&gt;   3.753&lt;/_impact_factor&gt;&lt;_isbn&gt;0165-4101&lt;/_isbn&gt;&lt;_issue&gt;2&lt;/_issue&gt;&lt;_journal&gt;Journal of accounting and Economics&lt;/_journal&gt;&lt;_modified&gt;62937248&lt;/_modified&gt;&lt;_ori_publication&gt;Elsevier&lt;/_ori_publication&gt;&lt;_pages&gt;113-127&lt;/_pages&gt;&lt;_volume&gt;3&lt;/_volume&gt;&lt;/Details&gt;&lt;Extra&gt;&lt;DBUID&gt;{2097646C-7C2F-4992-8A9B-6FF23AE7F1B7}&lt;/DBUID&gt;&lt;/Extra&gt;&lt;/Item&gt;&lt;/References&gt;&lt;/Group&gt;&lt;/Citation&gt;_x000a_"/>
    <w:docVar w:name="NE.Ref{D1508AFF-3C44-48AD-B223-C9DD939A85F4}" w:val=" ADDIN NE.Ref.{D1508AFF-3C44-48AD-B223-C9DD939A85F4}&lt;Citation SecTmpl=&quot;1&quot;&gt;&lt;Group&gt;&lt;References&gt;&lt;Item&gt;&lt;ID&gt;2&lt;/ID&gt;&lt;UID&gt;{5892BCF9-5437-481E-89AB-DEFE16BB82D8}&lt;/UID&gt;&lt;Title&gt;董事会国际化与审计师选择:来自中国资本市场的经验证据&lt;/Title&gt;&lt;Template&gt;Journal Article&lt;/Template&gt;&lt;Star&gt;0&lt;/Star&gt;&lt;Tag&gt;0&lt;/Tag&gt;&lt;Author&gt;杜兴强; 谭雪&lt;/Author&gt;&lt;Year&gt;2016&lt;/Year&gt;&lt;Details&gt;&lt;_accessed&gt;61643240&lt;/_accessed&gt;&lt;_author_aff&gt;厦门大学管理学院会计系;&lt;/_author_aff&gt;&lt;_collection_scope&gt;CSSCI;中文核心期刊;&lt;/_collection_scope&gt;&lt;_created&gt;61462655&lt;/_created&gt;&lt;_date&gt;61223040&lt;/_date&gt;&lt;_db_provider&gt;CNKI: 期刊&lt;/_db_provider&gt;&lt;_db_updated&gt;CNKI - Reference&lt;/_db_updated&gt;&lt;_issue&gt;03&lt;/_issue&gt;&lt;_journal&gt;审计研究&lt;/_journal&gt;&lt;_keywords&gt;董事会国际化;审计师选择;公司治理&lt;/_keywords&gt;&lt;_language&gt;Chinese&lt;/_language&gt;&lt;_modified&gt;61462655&lt;/_modified&gt;&lt;_pages&gt;98-104&lt;/_pages&gt;&lt;_url&gt;http://www.cnki.net/KCMS/detail/detail.aspx?FileName=SJYZ201603015&amp;amp;DbName=CJFQ2016&lt;/_url&gt;&lt;_translated_author&gt;Du, Xingqiang;Tan, Xue&lt;/_translated_author&gt;&lt;/Details&gt;&lt;Extra&gt;&lt;DBUID&gt;{7EBDD973-FB19-4DB0-8AC1-C6FC73CA4F6A}&lt;/DBUID&gt;&lt;/Extra&gt;&lt;/Item&gt;&lt;/References&gt;&lt;/Group&gt;&lt;/Citation&gt;_x000a_"/>
    <w:docVar w:name="NE.Ref{D1D77566-88F6-4625-8CBD-D39B5CFB3170}" w:val=" ADDIN NE.Ref.{D1D77566-88F6-4625-8CBD-D39B5CFB3170}&lt;Citation&gt;&lt;Group&gt;&lt;References&gt;&lt;Item&gt;&lt;ID&gt;242&lt;/ID&gt;&lt;UID&gt;{CE3CE30E-684A-44AF-B393-F19796A1E0C2}&lt;/UID&gt;&lt;Title&gt;Who cares about auditor reputation?&lt;/Title&gt;&lt;Template&gt;Journal Article&lt;/Template&gt;&lt;Star&gt;0&lt;/Star&gt;&lt;Tag&gt;0&lt;/Tag&gt;&lt;Author&gt;Barton, Jan&lt;/Author&gt;&lt;Year&gt;2005&lt;/Year&gt;&lt;Details&gt;&lt;_alternate_title&gt;Contemporary accounting research&lt;/_alternate_title&gt;&lt;_collection_scope&gt;SSCI&lt;/_collection_scope&gt;&lt;_created&gt;63097139&lt;/_created&gt;&lt;_date&gt;2005-01-01&lt;/_date&gt;&lt;_date_display&gt;2005&lt;/_date_display&gt;&lt;_impact_factor&gt;   2.261&lt;/_impact_factor&gt;&lt;_isbn&gt;0823-9150&lt;/_isbn&gt;&lt;_issue&gt;3&lt;/_issue&gt;&lt;_journal&gt;Contemporary accounting research&lt;/_journal&gt;&lt;_modified&gt;63097139&lt;/_modified&gt;&lt;_ori_publication&gt;Wiley Online Library&lt;/_ori_publication&gt;&lt;_pages&gt;549-586&lt;/_pages&gt;&lt;_volume&gt;22&lt;/_volume&gt;&lt;/Details&gt;&lt;Extra&gt;&lt;DBUID&gt;{2097646C-7C2F-4992-8A9B-6FF23AE7F1B7}&lt;/DBUID&gt;&lt;/Extra&gt;&lt;/Item&gt;&lt;/References&gt;&lt;/Group&gt;&lt;/Citation&gt;_x000a_"/>
    <w:docVar w:name="NE.Ref{D24F05A4-B027-4C81-A021-D46819FE21E6}" w:val=" ADDIN NE.Ref.{D24F05A4-B027-4C81-A021-D46819FE21E6}&lt;Citation SecTmpl=&quot;1&quot;&gt;&lt;Group&gt;&lt;References&gt;&lt;Item&gt;&lt;ID&gt;187&lt;/ID&gt;&lt;UID&gt;{EFD493CB-855F-4DBD-AE9D-75D584441AD8}&lt;/UID&gt;&lt;Title&gt;审计监管约谈方式与投资者感知的会计信息可信性——一项实验证据&lt;/Title&gt;&lt;Template&gt;Journal Article&lt;/Template&gt;&lt;Star&gt;0&lt;/Star&gt;&lt;Tag&gt;0&lt;/Tag&gt;&lt;Author&gt;刘文欢; 何亚南; 张继勋&lt;/Author&gt;&lt;Year&gt;2017&lt;/Year&gt;&lt;Details&gt;&lt;_accessed&gt;63303083&lt;/_accessed&gt;&lt;_collection_scope&gt;CSSCI-C;PKU&lt;/_collection_scope&gt;&lt;_created&gt;62681276&lt;/_created&gt;&lt;_date&gt;2017-01-01&lt;/_date&gt;&lt;_date_display&gt;2017&lt;/_date_display&gt;&lt;_issue&gt;3&lt;/_issue&gt;&lt;_journal&gt;审计研究&lt;/_journal&gt;&lt;_modified&gt;63303083&lt;/_modified&gt;&lt;_pages&gt;59-64&lt;/_pages&gt;&lt;_translated_author&gt;Liu, Wenhuan;He, Yanan;Zhang, Jixun&lt;/_translated_author&gt;&lt;/Details&gt;&lt;Extra&gt;&lt;DBUID&gt;{2097646C-7C2F-4992-8A9B-6FF23AE7F1B7}&lt;/DBUID&gt;&lt;/Extra&gt;&lt;/Item&gt;&lt;/References&gt;&lt;/Group&gt;&lt;/Citation&gt;_x000a_"/>
    <w:docVar w:name="NE.Ref{D27DF328-B801-4872-A48E-B689AFBCAA53}" w:val=" ADDIN NE.Ref.{D27DF328-B801-4872-A48E-B689AFBCAA53}&lt;Citation&gt;&lt;Group&gt;&lt;References&gt;&lt;Item&gt;&lt;ID&gt;44&lt;/ID&gt;&lt;UID&gt;{62E98AC1-C73A-4100-B6EB-49EAB1AA72F3}&lt;/UID&gt;&lt;Title&gt;Positive accounting theory&lt;/Title&gt;&lt;Template&gt;Journal Article&lt;/Template&gt;&lt;Star&gt;0&lt;/Star&gt;&lt;Tag&gt;0&lt;/Tag&gt;&lt;Author&gt;Watts, Ross L; Zimmerman, Jerold L&lt;/Author&gt;&lt;Year&gt;1986&lt;/Year&gt;&lt;Details&gt;&lt;_created&gt;63224419&lt;/_created&gt;&lt;_date&gt;1986-01-01&lt;/_date&gt;&lt;_date_display&gt;1986&lt;/_date_display&gt;&lt;_modified&gt;63224419&lt;/_modified&gt;&lt;_ori_publication&gt;Prentice-Hall Inc&lt;/_ori_publication&gt;&lt;/Details&gt;&lt;Extra&gt;&lt;DBUID&gt;{E9F07991-3B72-4492-A7D8-86E559D9F8FE}&lt;/DBUID&gt;&lt;/Extra&gt;&lt;/Item&gt;&lt;/References&gt;&lt;/Group&gt;&lt;/Citation&gt;_x000a_"/>
    <w:docVar w:name="NE.Ref{D29DD659-0874-415C-9B85-317CD499ADAF}" w:val=" ADDIN NE.Ref.{D29DD659-0874-415C-9B85-317CD499ADAF}&lt;Citation SecTmpl=&quot;1&quot;&gt;&lt;Group&gt;&lt;References&gt;&lt;Item&gt;&lt;ID&gt;322&lt;/ID&gt;&lt;UID&gt;{610A5AC7-2E25-4FD0-B9F8-E0417C8DADA2}&lt;/UID&gt;&lt;Title&gt;The value of auditor assurance: Evidence from loan pricing&lt;/Title&gt;&lt;Template&gt;Journal Article&lt;/Template&gt;&lt;Star&gt;0&lt;/Star&gt;&lt;Tag&gt;0&lt;/Tag&gt;&lt;Author&gt;Blackwell, David W; Noland, Thomas R; Winters, Drew B&lt;/Author&gt;&lt;Year&gt;1998&lt;/Year&gt;&lt;Details&gt;&lt;_alternate_title&gt;Journal of accounting research&lt;/_alternate_title&gt;&lt;_collection_scope&gt;SSCI&lt;/_collection_scope&gt;&lt;_created&gt;63311758&lt;/_created&gt;&lt;_date&gt;1998-01-01&lt;/_date&gt;&lt;_date_display&gt;1998&lt;/_date_display&gt;&lt;_impact_factor&gt;   4.891&lt;/_impact_factor&gt;&lt;_isbn&gt;0021-8456&lt;/_isbn&gt;&lt;_issue&gt;1&lt;/_issue&gt;&lt;_journal&gt;Journal of accounting research&lt;/_journal&gt;&lt;_modified&gt;63311758&lt;/_modified&gt;&lt;_ori_publication&gt;JSTOR&lt;/_ori_publication&gt;&lt;_pages&gt;57-70&lt;/_pages&gt;&lt;_volume&gt;36&lt;/_volume&gt;&lt;/Details&gt;&lt;Extra&gt;&lt;DBUID&gt;{E9F07991-3B72-4492-A7D8-86E559D9F8FE}&lt;/DBUID&gt;&lt;/Extra&gt;&lt;/Item&gt;&lt;/References&gt;&lt;/Group&gt;&lt;/Citation&gt;_x000a_"/>
    <w:docVar w:name="NE.Ref{D2CA3EC5-04D4-4351-85CB-53AE3224C0AB}" w:val=" ADDIN NE.Ref.{D2CA3EC5-04D4-4351-85CB-53AE3224C0AB}&lt;Citation&gt;&lt;Group&gt;&lt;References&gt;&lt;Item&gt;&lt;ID&gt;146&lt;/ID&gt;&lt;UID&gt;{E9C95A6C-F8BC-4CE6-98BA-E50CD311518E}&lt;/UID&gt;&lt;Title&gt;税收监管、经营性关联交易与公司价值&lt;/Title&gt;&lt;Template&gt;Journal Article&lt;/Template&gt;&lt;Star&gt;0&lt;/Star&gt;&lt;Tag&gt;0&lt;/Tag&gt;&lt;Author&gt;朱凯; 孙红&lt;/Author&gt;&lt;Year&gt;2014&lt;/Year&gt;&lt;Details&gt;&lt;_accessed&gt;63257583&lt;/_accessed&gt;&lt;_author_aff&gt;上海财经大学会计与财务研究院;上海财经大学会计学院;&lt;/_author_aff&gt;&lt;_collection_scope&gt;CSSCI-C;PKU&lt;/_collection_scope&gt;&lt;_created&gt;63257583&lt;/_created&gt;&lt;_date&gt;60222240&lt;/_date&gt;&lt;_db_provider&gt;CNKI: 期刊&lt;/_db_provider&gt;&lt;_db_updated&gt;CNKI - Reference&lt;/_db_updated&gt;&lt;_issue&gt;07&lt;/_issue&gt;&lt;_journal&gt;财经研究&lt;/_journal&gt;&lt;_keywords&gt;税收监管;经营性关联交易;公司价值;特别纳税调整实施办法&lt;/_keywords&gt;&lt;_modified&gt;63257583&lt;/_modified&gt;&lt;_pages&gt;77-85&lt;/_pages&gt;&lt;_url&gt;http://kns.cnki.net/KCMS/detail/detail.aspx?FileName=CJYJ201407007&amp;amp;DbName=CJFQ2014&lt;/_url&gt;&lt;_volume&gt;40&lt;/_volume&gt;&lt;_translated_author&gt;Zhu, Kai;Sun, Hong&lt;/_translated_author&gt;&lt;/Details&gt;&lt;Extra&gt;&lt;DBUID&gt;{E9F07991-3B72-4492-A7D8-86E559D9F8FE}&lt;/DBUID&gt;&lt;/Extra&gt;&lt;/Item&gt;&lt;/References&gt;&lt;/Group&gt;&lt;/Citation&gt;_x000a_"/>
    <w:docVar w:name="NE.Ref{D35670EB-0474-4122-A1BF-A111719F5422}" w:val=" ADDIN NE.Ref.{D35670EB-0474-4122-A1BF-A111719F5422}&lt;Citation SecTmpl=&quot;1&quot;&gt;&lt;Group&gt;&lt;References&gt;&lt;Item&gt;&lt;ID&gt;42&lt;/ID&gt;&lt;UID&gt;{CBBC6822-CEAC-403D-B160-45BF4B608CB9}&lt;/UID&gt;&lt;Title&gt;Audit effort and earnings management&lt;/Title&gt;&lt;Template&gt;Journal Article&lt;/Template&gt;&lt;Star&gt;0&lt;/Star&gt;&lt;Tag&gt;0&lt;/Tag&gt;&lt;Author&gt;Caramanis, Constantinos; Lennox, Clive&lt;/Author&gt;&lt;Year&gt;2008&lt;/Year&gt;&lt;Details&gt;&lt;_alternate_title&gt;Journal of accounting and economics&lt;/_alternate_title&gt;&lt;_created&gt;63224411&lt;/_created&gt;&lt;_date&gt;2008-01-01&lt;/_date&gt;&lt;_date_display&gt;2008&lt;/_date_display&gt;&lt;_impact_factor&gt;   3.753&lt;/_impact_factor&gt;&lt;_isbn&gt;0165-4101&lt;/_isbn&gt;&lt;_issue&gt;1&lt;/_issue&gt;&lt;_journal&gt;Journal of accounting and economics&lt;/_journal&gt;&lt;_modified&gt;63224411&lt;/_modified&gt;&lt;_ori_publication&gt;Elsevier&lt;/_ori_publication&gt;&lt;_pages&gt;116-138&lt;/_pages&gt;&lt;_volume&gt;45&lt;/_volume&gt;&lt;/Details&gt;&lt;Extra&gt;&lt;DBUID&gt;{E9F07991-3B72-4492-A7D8-86E559D9F8FE}&lt;/DBUID&gt;&lt;/Extra&gt;&lt;/Item&gt;&lt;/References&gt;&lt;/Group&gt;&lt;/Citation&gt;_x000a_"/>
    <w:docVar w:name="NE.Ref{D39CDA00-F208-49F8-B1E6-566D92756FD5}" w:val=" ADDIN NE.Ref.{D39CDA00-F208-49F8-B1E6-566D92756FD5}&lt;Citation SecTmpl=&quot;1&quot;&gt;&lt;Group&gt;&lt;References&gt;&lt;Item&gt;&lt;ID&gt;5&lt;/ID&gt;&lt;UID&gt;{3633A733-FD13-4A26-BEDF-2CCA256AFA1A}&lt;/UID&gt;&lt;Title&gt;Auditor independence,‘low balling’, and disclosure regulation&lt;/Title&gt;&lt;Template&gt;Journal Article&lt;/Template&gt;&lt;Star&gt;0&lt;/Star&gt;&lt;Tag&gt;0&lt;/Tag&gt;&lt;Author&gt;DeAngelo, Linda Elizabeth&lt;/Author&gt;&lt;Year&gt;1981&lt;/Year&gt;&lt;Details&gt;&lt;_alternate_title&gt;Journal of accounting and Economics&lt;/_alternate_title&gt;&lt;_created&gt;63130174&lt;/_created&gt;&lt;_date&gt;1981-01-01&lt;/_date&gt;&lt;_date_display&gt;1981&lt;/_date_display&gt;&lt;_impact_factor&gt;   3.753&lt;/_impact_factor&gt;&lt;_isbn&gt;0165-4101&lt;/_isbn&gt;&lt;_issue&gt;2&lt;/_issue&gt;&lt;_journal&gt;Journal of accounting and Economics&lt;/_journal&gt;&lt;_modified&gt;63130174&lt;/_modified&gt;&lt;_ori_publication&gt;Elsevier&lt;/_ori_publication&gt;&lt;_pages&gt;113-127&lt;/_pages&gt;&lt;_volume&gt;3&lt;/_volume&gt;&lt;/Details&gt;&lt;Extra&gt;&lt;DBUID&gt;{E9F07991-3B72-4492-A7D8-86E559D9F8FE}&lt;/DBUID&gt;&lt;/Extra&gt;&lt;/Item&gt;&lt;/References&gt;&lt;/Group&gt;&lt;/Citation&gt;_x000a_"/>
    <w:docVar w:name="NE.Ref{D3B23334-BB45-43AB-AAF6-D8D007D8BF27}" w:val=" ADDIN NE.Ref.{D3B23334-BB45-43AB-AAF6-D8D007D8BF27}&lt;Citation&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D3BAF88B-23D4-4A34-B569-CAF23FF9C13C}" w:val=" ADDIN NE.Ref.{D3BAF88B-23D4-4A34-B569-CAF23FF9C13C}&lt;Citation&gt;&lt;Group&gt;&lt;References&gt;&lt;Item&gt;&lt;ID&gt;68&lt;/ID&gt;&lt;UID&gt;{66652203-FD2F-4817-B5EF-BA90313383DA}&lt;/UID&gt;&lt;Title&gt;China&amp;apos;s evolving managerial labor market&lt;/Title&gt;&lt;Template&gt;Journal Article&lt;/Template&gt;&lt;Star&gt;0&lt;/Star&gt;&lt;Tag&gt;0&lt;/Tag&gt;&lt;Author&gt;Groves, Theodore; Hong, Yongmiao; McMillan, John; Naughton, Barry&lt;/Author&gt;&lt;Year&gt;1995&lt;/Year&gt;&lt;Details&gt;&lt;_alternate_title&gt;Journal of political economy&lt;/_alternate_title&gt;&lt;_collection_scope&gt;SSCI&lt;/_collection_scope&gt;&lt;_created&gt;63226621&lt;/_created&gt;&lt;_date&gt;1995-01-01&lt;/_date&gt;&lt;_date_display&gt;1995&lt;/_date_display&gt;&lt;_impact_factor&gt;   6.342&lt;/_impact_factor&gt;&lt;_isbn&gt;0022-3808&lt;/_isbn&gt;&lt;_issue&gt;4&lt;/_issue&gt;&lt;_journal&gt;Journal of political economy&lt;/_journal&gt;&lt;_modified&gt;63226621&lt;/_modified&gt;&lt;_ori_publication&gt;The University of Chicago Press&lt;/_ori_publication&gt;&lt;_pages&gt;873-892&lt;/_pages&gt;&lt;_volume&gt;103&lt;/_volume&gt;&lt;/Details&gt;&lt;Extra&gt;&lt;DBUID&gt;{E9F07991-3B72-4492-A7D8-86E559D9F8FE}&lt;/DBUID&gt;&lt;/Extra&gt;&lt;/Item&gt;&lt;/References&gt;&lt;/Group&gt;&lt;Group&gt;&lt;References&gt;&lt;Item&gt;&lt;ID&gt;69&lt;/ID&gt;&lt;UID&gt;{AE78AE8B-BE4E-420C-A356-1A8123AF5081}&lt;/UID&gt;&lt;Title&gt;Privatization and management incentives: Evidence from the United Kingdom&lt;/Title&gt;&lt;Template&gt;Journal Article&lt;/Template&gt;&lt;Star&gt;0&lt;/Star&gt;&lt;Tag&gt;0&lt;/Tag&gt;&lt;Author&gt;Cragg, Michael I; Dyck, IJ Alexander&lt;/Author&gt;&lt;Year&gt;2003&lt;/Year&gt;&lt;Details&gt;&lt;_alternate_title&gt;Journal of Law, Economics, and Organization&lt;/_alternate_title&gt;&lt;_created&gt;63226623&lt;/_created&gt;&lt;_date&gt;2003-01-01&lt;/_date&gt;&lt;_date_display&gt;2003&lt;/_date_display&gt;&lt;_isbn&gt;1465-7341&lt;/_isbn&gt;&lt;_issue&gt;1&lt;/_issue&gt;&lt;_journal&gt;Journal of Law, Economics, and Organization&lt;/_journal&gt;&lt;_modified&gt;63226623&lt;/_modified&gt;&lt;_ori_publication&gt;Oxford University Press&lt;/_ori_publication&gt;&lt;_pages&gt;176-217&lt;/_pages&gt;&lt;_volume&gt;19&lt;/_volume&gt;&lt;/Details&gt;&lt;Extra&gt;&lt;DBUID&gt;{E9F07991-3B72-4492-A7D8-86E559D9F8FE}&lt;/DBUID&gt;&lt;/Extra&gt;&lt;/Item&gt;&lt;/References&gt;&lt;/Group&gt;&lt;/Citation&gt;_x000a_"/>
    <w:docVar w:name="NE.Ref{D47DAD5A-2AA0-4537-97B5-BE4404604101}" w:val=" ADDIN NE.Ref.{D47DAD5A-2AA0-4537-97B5-BE4404604101}&lt;Citation&gt;&lt;Group&gt;&lt;References&gt;&lt;Item&gt;&lt;ID&gt;48&lt;/ID&gt;&lt;UID&gt;{E5D4D2DE-7A9F-4D11-A5EF-F37259CED40E}&lt;/UID&gt;&lt;Title&gt;Do individual auditors affect audit quality? Evidence from archival data&lt;/Title&gt;&lt;Template&gt;Journal Article&lt;/Template&gt;&lt;Star&gt;0&lt;/Star&gt;&lt;Tag&gt;0&lt;/Tag&gt;&lt;Author&gt;Gul, Ferdinand A; Wu, Donghui; Yang, Zhifeng&lt;/Author&gt;&lt;Year&gt;2013&lt;/Year&gt;&lt;Details&gt;&lt;_alternate_title&gt;The Accounting Review&lt;/_alternate_title&gt;&lt;_created&gt;63224446&lt;/_created&gt;&lt;_date&gt;2013-01-01&lt;/_date&gt;&lt;_date_display&gt;2013&lt;/_date_display&gt;&lt;_impact_factor&gt;   4.562&lt;/_impact_factor&gt;&lt;_isbn&gt;0001-4826&lt;/_isbn&gt;&lt;_issue&gt;6&lt;/_issue&gt;&lt;_journal&gt;The Accounting Review&lt;/_journal&gt;&lt;_modified&gt;63224446&lt;/_modified&gt;&lt;_ori_publication&gt;American Accounting Association&lt;/_ori_publication&gt;&lt;_pages&gt;1993-2023&lt;/_pages&gt;&lt;_volume&gt;88&lt;/_volume&gt;&lt;/Details&gt;&lt;Extra&gt;&lt;DBUID&gt;{E9F07991-3B72-4492-A7D8-86E559D9F8FE}&lt;/DBUID&gt;&lt;/Extra&gt;&lt;/Item&gt;&lt;/References&gt;&lt;/Group&gt;&lt;/Citation&gt;_x000a_"/>
    <w:docVar w:name="NE.Ref{D5136A46-674D-4078-B4F0-C8A97F39F69D}" w:val=" ADDIN NE.Ref.{D5136A46-674D-4078-B4F0-C8A97F39F69D}&lt;Citation SecTmpl=&quot;1&quot;&gt;&lt;Group&gt;&lt;References&gt;&lt;Item&gt;&lt;ID&gt;25&lt;/ID&gt;&lt;UID&gt;{078D863B-9B94-4ECB-9D90-1428D066E6C6}&lt;/UID&gt;&lt;Title&gt;公司内部人具有交易时机的选择能力吗?——来自中国上市公司内部人卖出股票的证据&lt;/Title&gt;&lt;Template&gt;Journal Article&lt;/Template&gt;&lt;Star&gt;0&lt;/Star&gt;&lt;Tag&gt;0&lt;/Tag&gt;&lt;Author&gt;曾庆生&lt;/Author&gt;&lt;Year&gt;2008&lt;/Year&gt;&lt;Details&gt;&lt;_accessed&gt;63268340&lt;/_accessed&gt;&lt;_author_aff&gt;上海交通大学安泰经济与管理学院;&lt;/_author_aff&gt;&lt;_collection_scope&gt;CSSCI-C&lt;/_collection_scope&gt;&lt;_created&gt;63267311&lt;/_created&gt;&lt;_date&gt;57178080&lt;/_date&gt;&lt;_db_provider&gt;CNKI: 期刊&lt;/_db_provider&gt;&lt;_db_updated&gt;CNKI - Reference&lt;/_db_updated&gt;&lt;_issue&gt;10&lt;/_issue&gt;&lt;_journal&gt;金融研究&lt;/_journal&gt;&lt;_keywords&gt;内部人交易;超常回报;短窗口;信息层级假说&lt;/_keywords&gt;&lt;_language&gt;Chinese&lt;/_language&gt;&lt;_modified&gt;63268340&lt;/_modified&gt;&lt;_pages&gt;117-135&lt;/_pages&gt;&lt;_url&gt;http://kns.cnki.net/KCMS/detail/detail.aspx?FileName=JRYJ200810012&amp;amp;DbName=CJFQ2008&lt;/_url&gt;&lt;_translated_author&gt;Ceng, Qingsheng&lt;/_translated_author&gt;&lt;/Details&gt;&lt;Extra&gt;&lt;DBUID&gt;{439358B4-FA18-4C63-A3A1-0E3BE4066E7A}&lt;/DBUID&gt;&lt;/Extra&gt;&lt;/Item&gt;&lt;/References&gt;&lt;/Group&gt;&lt;/Citation&gt;_x000a_"/>
    <w:docVar w:name="NE.Ref{D5AC7377-C01F-428E-AA5E-792749E19EF2}" w:val=" ADDIN NE.Ref.{D5AC7377-C01F-428E-AA5E-792749E19EF2}&lt;Citation SecTmpl=&quot;1&quot;&gt;&lt;Group&gt;&lt;References&gt;&lt;Item&gt;&lt;ID&gt;152&lt;/ID&gt;&lt;UID&gt;{5A35155B-BB3E-4D83-ABB6-045B6B7E50F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ccessed&gt;63260255&lt;/_accessed&gt;&lt;_alternate_title&gt;Contemporary Accounting Research&lt;/_alternate_title&gt;&lt;_collection_scope&gt;SSCI&lt;/_collection_scope&gt;&lt;_created&gt;63260159&lt;/_created&gt;&lt;_date&gt;2019-01-01&lt;/_date&gt;&lt;_date_display&gt;2019&lt;/_date_display&gt;&lt;_impact_factor&gt;   2.261&lt;/_impact_factor&gt;&lt;_isbn&gt;0823-9150&lt;/_isbn&gt;&lt;_journal&gt;Contemporary Accounting Research&lt;/_journal&gt;&lt;_modified&gt;63260255&lt;/_modified&gt;&lt;_ori_publication&gt;Wiley Online Library&lt;/_ori_publication&gt;&lt;/Details&gt;&lt;Extra&gt;&lt;DBUID&gt;{E9F07991-3B72-4492-A7D8-86E559D9F8FE}&lt;/DBUID&gt;&lt;/Extra&gt;&lt;/Item&gt;&lt;/References&gt;&lt;/Group&gt;&lt;/Citation&gt;_x000a_"/>
    <w:docVar w:name="NE.Ref{D5CC068B-9899-44DC-8D82-0A1DF95F4FC0}" w:val=" ADDIN NE.Ref.{D5CC068B-9899-44DC-8D82-0A1DF95F4FC0}&lt;Citation SecTmpl=&quot;1&quot;&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D67D5580-CCBE-4927-AF15-B7913B72A7C7}" w:val=" ADDIN NE.Ref.{D67D5580-CCBE-4927-AF15-B7913B72A7C7}&lt;Citation SecTmpl=&quot;1&quot;&gt;&lt;Group&gt;&lt;References&gt;&lt;Item&gt;&lt;ID&gt;107&lt;/ID&gt;&lt;UID&gt;{E0EA6622-FAE7-4182-A90F-C6615051DCF4}&lt;/UID&gt;&lt;Title&gt;市场环境与控股股东“掏空”行为研究——来自中国上市公司的经验证据&lt;/Title&gt;&lt;Template&gt;Journal Article&lt;/Template&gt;&lt;Star&gt;0&lt;/Star&gt;&lt;Tag&gt;0&lt;/Tag&gt;&lt;Author&gt;罗党论; 唐清泉&lt;/Author&gt;&lt;Year&gt;2007&lt;/Year&gt;&lt;Details&gt;&lt;_accessed&gt;63241049&lt;/_accessed&gt;&lt;_author_aff&gt;中山大学管理学院;中山大学管理学院 510275;510275&lt;/_author_aff&gt;&lt;_collection_scope&gt;CSSCI-C;PKU&lt;/_collection_scope&gt;&lt;_created&gt;63240989&lt;/_created&gt;&lt;_date&gt;56426400&lt;/_date&gt;&lt;_db_provider&gt;CNKI: 期刊&lt;/_db_provider&gt;&lt;_db_updated&gt;CNKI - Reference&lt;/_db_updated&gt;&lt;_issue&gt;04&lt;/_issue&gt;&lt;_journal&gt;会计研究&lt;/_journal&gt;&lt;_keywords&gt;市场环境;政府干预;控股股东;掏空&lt;/_keywords&gt;&lt;_language&gt;Chinese&lt;/_language&gt;&lt;_modified&gt;63241049&lt;/_modified&gt;&lt;_pages&gt;69-74+96&lt;/_pages&gt;&lt;_url&gt;http://kns.cnki.net/KCMS/detail/detail.aspx?FileName=KJYJ200704009&amp;amp;DbName=CJFQ2007&lt;/_url&gt;&lt;_translated_author&gt;Luo, Danglun;Tang, Qingquan&lt;/_translated_author&gt;&lt;/Details&gt;&lt;Extra&gt;&lt;DBUID&gt;{E9F07991-3B72-4492-A7D8-86E559D9F8FE}&lt;/DBUID&gt;&lt;/Extra&gt;&lt;/Item&gt;&lt;/References&gt;&lt;/Group&gt;&lt;/Citation&gt;_x000a_"/>
    <w:docVar w:name="NE.Ref{D6EDA6B6-37C6-4F75-9C69-45B857614653}" w:val=" ADDIN NE.Ref.{D6EDA6B6-37C6-4F75-9C69-45B857614653}&lt;Citation&gt;&lt;Group&gt;&lt;References&gt;&lt;Item&gt;&lt;ID&gt;276&lt;/ID&gt;&lt;UID&gt;{8A353BF1-D3EE-4BDF-AFDD-8F3F97CFC5DD}&lt;/UID&gt;&lt;Title&gt;Audit firm tenure and fraudulent financial reporting&lt;/Title&gt;&lt;Template&gt;Journal Article&lt;/Template&gt;&lt;Star&gt;0&lt;/Star&gt;&lt;Tag&gt;0&lt;/Tag&gt;&lt;Author&gt;Carcello, Joseph V; Nagy, Albert L&lt;/Author&gt;&lt;Year&gt;2004&lt;/Year&gt;&lt;Details&gt;&lt;_alternate_title&gt;Auditing: a journal of practice &amp;amp; theory&lt;/_alternate_title&gt;&lt;_created&gt;63303351&lt;/_created&gt;&lt;_date&gt;2004-01-01&lt;/_date&gt;&lt;_date_display&gt;2004&lt;/_date_display&gt;&lt;_impact_factor&gt;   2.642&lt;/_impact_factor&gt;&lt;_isbn&gt;0278-0380&lt;/_isbn&gt;&lt;_issue&gt;2&lt;/_issue&gt;&lt;_journal&gt;Auditing: a journal of practice &amp;amp; theory&lt;/_journal&gt;&lt;_modified&gt;63303351&lt;/_modified&gt;&lt;_pages&gt;55-69&lt;/_pages&gt;&lt;_volume&gt;23&lt;/_volume&gt;&lt;/Details&gt;&lt;Extra&gt;&lt;DBUID&gt;{2097646C-7C2F-4992-8A9B-6FF23AE7F1B7}&lt;/DBUID&gt;&lt;/Extra&gt;&lt;/Item&gt;&lt;/References&gt;&lt;/Group&gt;&lt;/Citation&gt;_x000a_"/>
    <w:docVar w:name="NE.Ref{D6FA693E-3CA4-44E9-ABD2-9662804E4AB0}" w:val=" ADDIN NE.Ref.{D6FA693E-3CA4-44E9-ABD2-9662804E4AB0}&lt;Citation&gt;&lt;Group&gt;&lt;References&gt;&lt;Item&gt;&lt;ID&gt;8&lt;/ID&gt;&lt;UID&gt;{18457393-F3A2-4B8C-BA84-7D5B328AA3F6}&lt;/UID&gt;&lt;Title&gt;Information asymmetry and cross‐sectional variation in insider trading&lt;/Title&gt;&lt;Template&gt;Journal Article&lt;/Template&gt;&lt;Star&gt;0&lt;/Star&gt;&lt;Tag&gt;0&lt;/Tag&gt;&lt;Author&gt;Huddart, Steven J; Ke, Bin&lt;/Author&gt;&lt;Year&gt;2007&lt;/Year&gt;&lt;Details&gt;&lt;_accessed&gt;63270279&lt;/_accessed&gt;&lt;_alternate_title&gt;Contemporary Accounting Research&lt;/_alternate_title&gt;&lt;_collection_scope&gt;SSCI&lt;/_collection_scope&gt;&lt;_created&gt;63267004&lt;/_created&gt;&lt;_date&gt;2007-01-01&lt;/_date&gt;&lt;_date_display&gt;2007&lt;/_date_display&gt;&lt;_impact_factor&gt;   2.261&lt;/_impact_factor&gt;&lt;_isbn&gt;0823-9150&lt;/_isbn&gt;&lt;_issue&gt;1&lt;/_issue&gt;&lt;_journal&gt;Contemporary Accounting Research&lt;/_journal&gt;&lt;_modified&gt;63270279&lt;/_modified&gt;&lt;_ori_publication&gt;Wiley Online Library&lt;/_ori_publication&gt;&lt;_pages&gt;195-232&lt;/_pages&gt;&lt;_volume&gt;24&lt;/_volume&gt;&lt;/Details&gt;&lt;Extra&gt;&lt;DBUID&gt;{439358B4-FA18-4C63-A3A1-0E3BE4066E7A}&lt;/DBUID&gt;&lt;/Extra&gt;&lt;/Item&gt;&lt;/References&gt;&lt;/Group&gt;&lt;/Citation&gt;_x000a_"/>
    <w:docVar w:name="NE.Ref{D78207ED-A99B-46B9-9142-960DBC1D61B2}" w:val=" ADDIN NE.Ref.{D78207ED-A99B-46B9-9142-960DBC1D61B2}&lt;Citation SecTmpl=&quot;1&quot;&gt;&lt;Group&gt;&lt;References&gt;&lt;Item&gt;&lt;ID&gt;70&lt;/ID&gt;&lt;UID&gt;{6E832A18-4394-4EF1-9BEB-93C4B1D429D7}&lt;/UID&gt;&lt;Title&gt;Jeopardy, non-public information, and insider trading around SEC 10-K and 10-Q filings&lt;/Title&gt;&lt;Template&gt;Journal Article&lt;/Template&gt;&lt;Star&gt;0&lt;/Star&gt;&lt;Tag&gt;0&lt;/Tag&gt;&lt;Author&gt;Huddart, Steven; Ke, Bin; Shi, Charles&lt;/Author&gt;&lt;Year&gt;2007&lt;/Year&gt;&lt;Details&gt;&lt;_alternate_title&gt;Journal of Accounting and Economics&lt;/_alternate_title&gt;&lt;_created&gt;63285852&lt;/_created&gt;&lt;_date&gt;2007-01-01&lt;/_date&gt;&lt;_date_display&gt;2007&lt;/_date_display&gt;&lt;_impact_factor&gt;   3.753&lt;/_impact_factor&gt;&lt;_isbn&gt;0165-4101&lt;/_isbn&gt;&lt;_issue&gt;1&lt;/_issue&gt;&lt;_journal&gt;Journal of Accounting and Economics&lt;/_journal&gt;&lt;_modified&gt;63285852&lt;/_modified&gt;&lt;_ori_publication&gt;Elsevier&lt;/_ori_publication&gt;&lt;_pages&gt;3-36&lt;/_pages&gt;&lt;_volume&gt;43&lt;/_volume&gt;&lt;/Details&gt;&lt;Extra&gt;&lt;DBUID&gt;{439358B4-FA18-4C63-A3A1-0E3BE4066E7A}&lt;/DBUID&gt;&lt;/Extra&gt;&lt;/Item&gt;&lt;/References&gt;&lt;/Group&gt;&lt;/Citation&gt;_x000a_"/>
    <w:docVar w:name="NE.Ref{D7FADBA2-6FE7-4DEF-95EE-4B7DF8598D4B}" w:val=" ADDIN NE.Ref.{D7FADBA2-6FE7-4DEF-95EE-4B7DF8598D4B}&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D87A4A7A-0367-4D14-B5E2-38747F861948}" w:val=" ADDIN NE.Ref.{D87A4A7A-0367-4D14-B5E2-38747F861948}&lt;Citation SecTmpl=&quot;1&quot;&gt;&lt;Group&gt;&lt;References&gt;&lt;Item&gt;&lt;ID&gt;8&lt;/ID&gt;&lt;UID&gt;{45282083-4487-473D-AD1F-15AA4D878AEE}&lt;/UID&gt;&lt;Title&gt;Do school ties between auditors and client executives influence audit outcomes?&lt;/Title&gt;&lt;Template&gt;Journal Article&lt;/Template&gt;&lt;Star&gt;0&lt;/Star&gt;&lt;Tag&gt;0&lt;/Tag&gt;&lt;Author&gt;Guan, Yuyan; Su, Lixin Nancy; Wu, Donghui; Yang, Zhifeng&lt;/Author&gt;&lt;Year&gt;2016&lt;/Year&gt;&lt;Details&gt;&lt;_accessed&gt;63322114&lt;/_accessed&gt;&lt;_alternate_title&gt;Journal of accounting and economics&lt;/_alternate_title&gt;&lt;_created&gt;63134875&lt;/_created&gt;&lt;_date&gt;2016-01-01&lt;/_date&gt;&lt;_date_display&gt;2016&lt;/_date_display&gt;&lt;_impact_factor&gt;   3.753&lt;/_impact_factor&gt;&lt;_isbn&gt;0165-4101&lt;/_isbn&gt;&lt;_issue&gt;2-3&lt;/_issue&gt;&lt;_journal&gt;Journal of accounting and economics&lt;/_journal&gt;&lt;_modified&gt;63322114&lt;/_modified&gt;&lt;_ori_publication&gt;Elsevier&lt;/_ori_publication&gt;&lt;_pages&gt;506-525&lt;/_pages&gt;&lt;_volume&gt;61&lt;/_volume&gt;&lt;/Details&gt;&lt;Extra&gt;&lt;DBUID&gt;{E9F07991-3B72-4492-A7D8-86E559D9F8FE}&lt;/DBUID&gt;&lt;/Extra&gt;&lt;/Item&gt;&lt;/References&gt;&lt;/Group&gt;&lt;/Citation&gt;_x000a_"/>
    <w:docVar w:name="NE.Ref{D8A73435-7FB1-4A6C-8A0D-8DBACFFC5444}" w:val=" ADDIN NE.Ref.{D8A73435-7FB1-4A6C-8A0D-8DBACFFC5444}&lt;Citation SecTmpl=&quot;1&quot;&gt;&lt;Group&gt;&lt;References&gt;&lt;Item&gt;&lt;ID&gt;292&lt;/ID&gt;&lt;UID&gt;{4E9E26AE-CE80-4F5F-876A-BD6A45FD704E}&lt;/UID&gt;&lt;Title&gt;公司避税活动与内部代理成本&lt;/Title&gt;&lt;Template&gt;Journal Article&lt;/Template&gt;&lt;Star&gt;0&lt;/Star&gt;&lt;Tag&gt;0&lt;/Tag&gt;&lt;Author&gt;叶康涛; 刘行&lt;/Author&gt;&lt;Year&gt;2014&lt;/Year&gt;&lt;Details&gt;&lt;_accessed&gt;61754015&lt;/_accessed&gt;&lt;_author_aff&gt;中国人民大学商学院;东北财经大学会计学院/中国内部控制研究中心;&lt;/_author_aff&gt;&lt;_collection_scope&gt;CSSCI;&lt;/_collection_scope&gt;&lt;_created&gt;61754015&lt;/_created&gt;&lt;_date&gt;60343200&lt;/_date&gt;&lt;_db_provider&gt;CNKI: 期刊&lt;/_db_provider&gt;&lt;_db_updated&gt;CNKI - Reference&lt;/_db_updated&gt;&lt;_issue&gt;09&lt;/_issue&gt;&lt;_journal&gt;金融研究&lt;/_journal&gt;&lt;_keywords&gt;避税;代理成本;薪酬契约&lt;/_keywords&gt;&lt;_language&gt;Chinese&lt;/_language&gt;&lt;_modified&gt;63307730&lt;/_modified&gt;&lt;_pages&gt;158-176&lt;/_pages&gt;&lt;_url&gt;http://www.cnki.net/KCMS/detail/detail.aspx?FileName=JRYJ201409011&amp;amp;DbName=CJFQ2014&lt;/_url&gt;&lt;_translated_author&gt;Ye, Kangtao;Liu, Xing&lt;/_translated_author&gt;&lt;/Details&gt;&lt;Extra&gt;&lt;DBUID&gt;{E9F07991-3B72-4492-A7D8-86E559D9F8FE}&lt;/DBUID&gt;&lt;/Extra&gt;&lt;/Item&gt;&lt;/References&gt;&lt;/Group&gt;&lt;/Citation&gt;_x000a_"/>
    <w:docVar w:name="NE.Ref{D8F173B1-B62F-4B71-AE94-616D34E16D7F}" w:val=" ADDIN NE.Ref.{D8F173B1-B62F-4B71-AE94-616D34E16D7F}&lt;Citation SecTmpl=&quot;1&quot;&gt;&lt;Group&gt;&lt;References&gt;&lt;Item&gt;&lt;ID&gt;171&lt;/ID&gt;&lt;UID&gt;{393CCA84-04BC-445C-966C-9C0C25231B6D}&lt;/UID&gt;&lt;Title&gt;公司避税影响审计定价吗?&lt;/Title&gt;&lt;Template&gt;Journal Article&lt;/Template&gt;&lt;Star&gt;0&lt;/Star&gt;&lt;Tag&gt;0&lt;/Tag&gt;&lt;Author&gt;陈冬; 罗祎&lt;/Author&gt;&lt;Year&gt;2015&lt;/Year&gt;&lt;Details&gt;&lt;_accessed&gt;62053453&lt;/_accessed&gt;&lt;_author_aff&gt;武汉大学经济与管理学院;&lt;/_author_aff&gt;&lt;_collection_scope&gt;CSSCI;中文核心期刊;&lt;/_collection_scope&gt;&lt;_created&gt;61697769&lt;/_created&gt;&lt;_date&gt;60589440&lt;/_date&gt;&lt;_db_provider&gt;CNKI: 期刊&lt;/_db_provider&gt;&lt;_db_updated&gt;CNKI - Reference&lt;/_db_updated&gt;&lt;_issue&gt;03&lt;/_issue&gt;&lt;_journal&gt;经济管理&lt;/_journal&gt;&lt;_keywords&gt;公司避税;审计定价;企业性质;审计师行业专长;法律环境&lt;/_keywords&gt;&lt;_language&gt;Chinese&lt;/_language&gt;&lt;_modified&gt;63295788&lt;/_modified&gt;&lt;_pages&gt;98-109&lt;/_pages&gt;&lt;_url&gt;http://www.cnki.net/KCMS/detail/detail.aspx?FileName=JJGU201503013&amp;amp;DbName=CJFQ2015&lt;/_url&gt;&lt;_translated_author&gt;Chen, Dong;Luo, Yi&lt;/_translated_author&gt;&lt;/Details&gt;&lt;Extra&gt;&lt;DBUID&gt;{E9F07991-3B72-4492-A7D8-86E559D9F8FE}&lt;/DBUID&gt;&lt;/Extra&gt;&lt;/Item&gt;&lt;/References&gt;&lt;/Group&gt;&lt;/Citation&gt;_x000a_"/>
    <w:docVar w:name="NE.Ref{D9043EC9-239F-4292-B8B7-FCD990E3DAFB}" w:val=" ADDIN NE.Ref.{D9043EC9-239F-4292-B8B7-FCD990E3DAFB}&lt;Citation SecTmpl=&quot;1&quot;&gt;&lt;Group&gt;&lt;References&gt;&lt;Item&gt;&lt;ID&gt;162&lt;/ID&gt;&lt;UID&gt;{A85806C6-2297-4FE9-A319-27DF10D2A171}&lt;/UID&gt;&lt;Title&gt;The effect of audit adjustments on earnings quality: Evidence from China&lt;/Title&gt;&lt;Template&gt;Journal Article&lt;/Template&gt;&lt;Star&gt;0&lt;/Star&gt;&lt;Tag&gt;0&lt;/Tag&gt;&lt;Author&gt;Lennox, Clive; Wu, Xi; Zhang, Tianyu&lt;/Author&gt;&lt;Year&gt;2016&lt;/Year&gt;&lt;Details&gt;&lt;_alternate_title&gt;Journal of Accounting and Economics&lt;/_alternate_title&gt;&lt;_created&gt;63225911&lt;/_created&gt;&lt;_date&gt;2016-01-01&lt;/_date&gt;&lt;_date_display&gt;2016&lt;/_date_display&gt;&lt;_impact_factor&gt;   3.753&lt;/_impact_factor&gt;&lt;_isbn&gt;0165-4101&lt;/_isbn&gt;&lt;_issue&gt;2-3&lt;/_issue&gt;&lt;_journal&gt;Journal of Accounting and Economics&lt;/_journal&gt;&lt;_modified&gt;63290117&lt;/_modified&gt;&lt;_ori_publication&gt;Elsevier&lt;/_ori_publication&gt;&lt;_pages&gt;545-562&lt;/_pages&gt;&lt;_volume&gt;61&lt;/_volume&gt;&lt;/Details&gt;&lt;Extra&gt;&lt;DBUID&gt;{E9F07991-3B72-4492-A7D8-86E559D9F8FE}&lt;/DBUID&gt;&lt;/Extra&gt;&lt;/Item&gt;&lt;/References&gt;&lt;/Group&gt;&lt;/Citation&gt;_x000a_"/>
    <w:docVar w:name="NE.Ref{D99A027E-95F4-4142-9B3F-37A109550A6D}" w:val=" ADDIN NE.Ref.{D99A027E-95F4-4142-9B3F-37A109550A6D}&lt;Citation SecTmpl=&quot;1&quot;&gt;&lt;Group&gt;&lt;References&gt;&lt;Item&gt;&lt;ID&gt;161&lt;/ID&gt;&lt;UID&gt;{67D8EE23-E247-41D5-BF4F-6D7F826B7E88}&lt;/UID&gt;&lt;Title&gt;审计师行业专长与客户的避税程度&lt;/Title&gt;&lt;Template&gt;Journal Article&lt;/Template&gt;&lt;Star&gt;0&lt;/Star&gt;&lt;Tag&gt;0&lt;/Tag&gt;&lt;Author&gt;魏春燕&lt;/Author&gt;&lt;Year&gt;2014&lt;/Year&gt;&lt;Details&gt;&lt;_accessed&gt;61775189&lt;/_accessed&gt;&lt;_author_aff&gt;北京大学光华管理学院;&lt;/_author_aff&gt;&lt;_collection_scope&gt;CSSCI;中文核心期刊;&lt;/_collection_scope&gt;&lt;_created&gt;61775189&lt;/_created&gt;&lt;_date&gt;60082560&lt;/_date&gt;&lt;_db_provider&gt;CNKI: 期刊&lt;/_db_provider&gt;&lt;_db_updated&gt;CNKI - Reference&lt;/_db_updated&gt;&lt;_issue&gt;02&lt;/_issue&gt;&lt;_journal&gt;审计研究&lt;/_journal&gt;&lt;_keywords&gt;审计师;行业专长;避税;审计任期&lt;/_keywords&gt;&lt;_language&gt;Chinese&lt;/_language&gt;&lt;_modified&gt;63290029&lt;/_modified&gt;&lt;_pages&gt;74-83&lt;/_pages&gt;&lt;_url&gt;http://www.cnki.net/KCMS/detail/detail.aspx?FileName=SJYZ201402013&amp;amp;DbName=CJFQ2014&lt;/_url&gt;&lt;_translated_author&gt;Wei, Chunyan&lt;/_translated_author&gt;&lt;/Details&gt;&lt;Extra&gt;&lt;DBUID&gt;{E9F07991-3B72-4492-A7D8-86E559D9F8FE}&lt;/DBUID&gt;&lt;/Extra&gt;&lt;/Item&gt;&lt;/References&gt;&lt;/Group&gt;&lt;/Citation&gt;_x000a_"/>
    <w:docVar w:name="NE.Ref{D9A32B2D-9328-4322-9252-CC601F2D507D}" w:val=" ADDIN NE.Ref.{D9A32B2D-9328-4322-9252-CC601F2D507D}&lt;Citation SecTmpl=&quot;1&quot;&gt;&lt;Group&gt;&lt;References&gt;&lt;Item&gt;&lt;ID&gt;17&lt;/ID&gt;&lt;UID&gt;{D09B5202-E911-4999-987C-52E40F2E01F9}&lt;/UID&gt;&lt;Title&gt;内部人交易与企业盈余管理行为&lt;/Title&gt;&lt;Template&gt;Journal Article&lt;/Template&gt;&lt;Star&gt;0&lt;/Star&gt;&lt;Tag&gt;0&lt;/Tag&gt;&lt;Author&gt;武聪; 张俊生&lt;/Author&gt;&lt;Year&gt;2009&lt;/Year&gt;&lt;Details&gt;&lt;_accessed&gt;63267310&lt;/_accessed&gt;&lt;_author_aff&gt;中央财经大学会计学院;&lt;/_author_aff&gt;&lt;_collection_scope&gt;CSSCI-C&lt;/_collection_scope&gt;&lt;_created&gt;63267310&lt;/_created&gt;&lt;_date&gt;57640320&lt;/_date&gt;&lt;_db_provider&gt;CNKI: 期刊&lt;/_db_provider&gt;&lt;_db_updated&gt;CNKI - Reference&lt;/_db_updated&gt;&lt;_issue&gt;08&lt;/_issue&gt;&lt;_journal&gt;经济管理&lt;/_journal&gt;&lt;_keywords&gt;内部人交易;盈余管理;经济盈余管理&lt;/_keywords&gt;&lt;_language&gt;Chinese&lt;/_language&gt;&lt;_modified&gt;63267310&lt;/_modified&gt;&lt;_pages&gt;113-118&lt;/_pages&gt;&lt;_url&gt;http://kns.cnki.net/KCMS/detail/detail.aspx?FileName=JJGU200908023&amp;amp;DbName=CJFQ2009&lt;/_url&gt;&lt;_volume&gt;31&lt;/_volume&gt;&lt;_translated_author&gt;Wu, Cong;Zhang, Junsheng&lt;/_translated_author&gt;&lt;/Details&gt;&lt;Extra&gt;&lt;DBUID&gt;{439358B4-FA18-4C63-A3A1-0E3BE4066E7A}&lt;/DBUID&gt;&lt;/Extra&gt;&lt;/Item&gt;&lt;/References&gt;&lt;/Group&gt;&lt;/Citation&gt;_x000a_"/>
    <w:docVar w:name="NE.Ref{DA9C58C3-A317-4223-AD77-AF43035B12CC}" w:val=" ADDIN NE.Ref.{DA9C58C3-A317-4223-AD77-AF43035B12CC}&lt;Citation SecTmpl=&quot;1&quot;&gt;&lt;Group&gt;&lt;References&gt;&lt;Item&gt;&lt;ID&gt;141&lt;/ID&gt;&lt;UID&gt;{779A2DD6-E9B2-4D3B-9FA4-E2845420247F}&lt;/UID&gt;&lt;Title&gt;Audit committee characteristics and auditor dismissals following “new” going-concern reports&lt;/Title&gt;&lt;Template&gt;Journal Article&lt;/Template&gt;&lt;Star&gt;0&lt;/Star&gt;&lt;Tag&gt;0&lt;/Tag&gt;&lt;Author&gt;Carcello, Joseph V; Neal, Terry L&lt;/Author&gt;&lt;Year&gt;2003&lt;/Year&gt;&lt;Details&gt;&lt;_alternate_title&gt;The accounting review&lt;/_alternate_title&gt;&lt;_created&gt;63245333&lt;/_created&gt;&lt;_date&gt;2003-01-01&lt;/_date&gt;&lt;_date_display&gt;2003&lt;/_date_display&gt;&lt;_impact_factor&gt;   4.562&lt;/_impact_factor&gt;&lt;_isbn&gt;0001-4826&lt;/_isbn&gt;&lt;_issue&gt;1&lt;/_issue&gt;&lt;_journal&gt;The accounting review&lt;/_journal&gt;&lt;_modified&gt;63245333&lt;/_modified&gt;&lt;_pages&gt;95-117&lt;/_pages&gt;&lt;_volume&gt;78&lt;/_volume&gt;&lt;/Details&gt;&lt;Extra&gt;&lt;DBUID&gt;{E9F07991-3B72-4492-A7D8-86E559D9F8FE}&lt;/DBUID&gt;&lt;/Extra&gt;&lt;/Item&gt;&lt;/References&gt;&lt;/Group&gt;&lt;/Citation&gt;_x000a_"/>
    <w:docVar w:name="NE.Ref{DA9E23FA-7198-4BA4-832A-21940BF5F045}" w:val=" ADDIN NE.Ref.{DA9E23FA-7198-4BA4-832A-21940BF5F045}&lt;Citation&gt;&lt;Group&gt;&lt;References&gt;&lt;Item&gt;&lt;ID&gt;38&lt;/ID&gt;&lt;UID&gt;{DE5487CB-7043-4510-A48F-5C542661EA12}&lt;/UID&gt;&lt;Title&gt;Does mandatory rotation of audit partners improve audit quality?&lt;/Title&gt;&lt;Template&gt;Journal Article&lt;/Template&gt;&lt;Star&gt;0&lt;/Star&gt;&lt;Tag&gt;0&lt;/Tag&gt;&lt;Author&gt;Lennox, Clive S; Wu, Xi; Zhang, Tianyu&lt;/Author&gt;&lt;Year&gt;2014&lt;/Year&gt;&lt;Details&gt;&lt;_alternate_title&gt;The accounting review&lt;/_alternate_title&gt;&lt;_created&gt;63224357&lt;/_created&gt;&lt;_date&gt;2014-01-01&lt;/_date&gt;&lt;_date_display&gt;2014&lt;/_date_display&gt;&lt;_isbn&gt;1558-7967&lt;/_isbn&gt;&lt;_issue&gt;5&lt;/_issue&gt;&lt;_journal&gt;The accounting review&lt;/_journal&gt;&lt;_modified&gt;63224357&lt;/_modified&gt;&lt;_ori_publication&gt;American Accounting Association&lt;/_ori_publication&gt;&lt;_pages&gt;1775-1803&lt;/_pages&gt;&lt;_volume&gt;89&lt;/_volume&gt;&lt;/Details&gt;&lt;Extra&gt;&lt;DBUID&gt;{E9F07991-3B72-4492-A7D8-86E559D9F8FE}&lt;/DBUID&gt;&lt;/Extra&gt;&lt;/Item&gt;&lt;/References&gt;&lt;/Group&gt;&lt;Group&gt;&lt;References&gt;&lt;Item&gt;&lt;ID&gt;168&lt;/ID&gt;&lt;UID&gt;{4D012BFF-CD2B-45EF-871B-8493CC21C053}&lt;/UID&gt;&lt;Title&gt;Long-Term Impact of Economic Conditions on Auditors&amp;apos; Judgment&lt;/Title&gt;&lt;Template&gt;Journal Article&lt;/Template&gt;&lt;Star&gt;0&lt;/Star&gt;&lt;Tag&gt;0&lt;/Tag&gt;&lt;Author&gt;He, Xianjie; Kothari, S P; Xiao, Tusheng; Zuo, Luo&lt;/Author&gt;&lt;Year&gt;2018&lt;/Year&gt;&lt;Details&gt;&lt;_accessed&gt;63255608&lt;/_accessed&gt;&lt;_created&gt;62492946&lt;/_created&gt;&lt;_date&gt;62062560&lt;/_date&gt;&lt;_date_display&gt;2018&lt;/_date_display&gt;&lt;_db_updated&gt;PKU Search&lt;/_db_updated&gt;&lt;_doi&gt;10.2308/accr-52009&lt;/_doi&gt;&lt;_impact_factor&gt;   4.562&lt;/_impact_factor&gt;&lt;_isbn&gt;0001-4826_x000d__x000a_&lt;/_isbn&gt;&lt;_journal&gt;The Accounting Review&lt;/_journal&gt;&lt;_modified&gt;63294334&lt;/_modified&gt;&lt;_number&gt;1&lt;/_number&gt;&lt;_url&gt;http://pku.summon.serialssolutions.com/2.0.0/link/0/eLvHCXMwtV3fS8MwED7cBPFFdCr-JuCDIGR21W3tgw8qG2NWENaBb6Vrs7mJ7ajr_-9d0zR1vtQHX0p7JGnaL1xyl_suAA2zafA1nUBs6BfLeTX7vfZQH8qpZf8KLMoQWiLK_gHcolEU4D1CjFcEGa-VYHbiaMZdVK-U5zfnOyqyMdH5wnke6kZuDXyIkyxsYpiGsyLmZaFHTOnwiJ-7BoPM8fmGg2kxL8bCM8LsS6r6qFkQxbBQ5n910693kU-M5JpOM6mTxmVPQ4uC3LgkOBfaE-1Ny8xTV-cKs23xri2P1FhXx2jeEMXAD4KEZ-md9KSjNtrX5qIiQhBtE6rtUV1P1qVc6J_hPFjdi4iPRzXYJJovhXH2HsclLqw6JVH2VaakpbZudD9Ki5DSasLdhZ3cDGAPEtA92BBRA7YUC2EfNK5M4sriKVO4Mo0riyOmcL1iCtUDuO733KcBV6_3ljKpiPf7g28PoR7FkTgChstQU_hTqzOxOqhx7UnLsg1h3gV21wi7xvQYLis0eFKp1Clsa_DPoL5KUnEOteVHepH96W8L7DMi&lt;/_url&gt;&lt;/Details&gt;&lt;Extra&gt;&lt;DBUID&gt;{E9F07991-3B72-4492-A7D8-86E559D9F8FE}&lt;/DBUID&gt;&lt;/Extra&gt;&lt;/Item&gt;&lt;/References&gt;&lt;/Group&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DAD07007-8D9D-4A41-904A-62438B7D7DD2}" w:val=" ADDIN NE.Ref.{DAD07007-8D9D-4A41-904A-62438B7D7DD2}&lt;Citation SecTmpl=&quot;1&quot;&gt;&lt;Group&gt;&lt;References&gt;&lt;Item&gt;&lt;ID&gt;116&lt;/ID&gt;&lt;UID&gt;{C54209F4-B26D-428A-A1EE-A52B82F82980}&lt;/UID&gt;&lt;Title&gt;税收监管、经营性关联交易与公司价值&lt;/Title&gt;&lt;Template&gt;Journal Article&lt;/Template&gt;&lt;Star&gt;0&lt;/Star&gt;&lt;Tag&gt;0&lt;/Tag&gt;&lt;Author&gt;朱凯; 孙红&lt;/Author&gt;&lt;Year&gt;2014&lt;/Year&gt;&lt;Details&gt;&lt;_accessed&gt;63241051&lt;/_accessed&gt;&lt;_author_aff&gt;上海财经大学会计与财务研究院;上海财经大学会计学院;&lt;/_author_aff&gt;&lt;_collection_scope&gt;CSSCI-C;PKU&lt;/_collection_scope&gt;&lt;_created&gt;63240989&lt;/_created&gt;&lt;_date&gt;60222240&lt;/_date&gt;&lt;_db_provider&gt;CNKI: 期刊&lt;/_db_provider&gt;&lt;_db_updated&gt;CNKI - Reference&lt;/_db_updated&gt;&lt;_issue&gt;07&lt;/_issue&gt;&lt;_journal&gt;财经研究&lt;/_journal&gt;&lt;_keywords&gt;税收监管;经营性关联交易;公司价值;特别纳税调整实施办法&lt;/_keywords&gt;&lt;_modified&gt;63241051&lt;/_modified&gt;&lt;_pages&gt;77-85&lt;/_pages&gt;&lt;_url&gt;http://kns.cnki.net/KCMS/detail/detail.aspx?FileName=CJYJ201407007&amp;amp;DbName=CJFQ2014&lt;/_url&gt;&lt;_volume&gt;40&lt;/_volume&gt;&lt;_translated_author&gt;Zhu, Kai;Sun, Hong&lt;/_translated_author&gt;&lt;/Details&gt;&lt;Extra&gt;&lt;DBUID&gt;{E9F07991-3B72-4492-A7D8-86E559D9F8FE}&lt;/DBUID&gt;&lt;/Extra&gt;&lt;/Item&gt;&lt;/References&gt;&lt;/Group&gt;&lt;/Citation&gt;_x000a_"/>
    <w:docVar w:name="NE.Ref{DB089B35-5F16-454F-8A86-1E0647ED021E}" w:val=" ADDIN NE.Ref.{DB089B35-5F16-454F-8A86-1E0647ED021E}&lt;Citation SecTmpl=&quot;1&quot;&gt;&lt;Group&gt;&lt;References&gt;&lt;Item&gt;&lt;ID&gt;67&lt;/ID&gt;&lt;UID&gt;{8923FA62-B16D-4204-89AA-52E003E31B7F}&lt;/UID&gt;&lt;Title&gt;The world price of insider trading&lt;/Title&gt;&lt;Template&gt;Journal Article&lt;/Template&gt;&lt;Star&gt;0&lt;/Star&gt;&lt;Tag&gt;0&lt;/Tag&gt;&lt;Author&gt;Bhattacharya, Utpal; Daouk, Hazem&lt;/Author&gt;&lt;Year&gt;2002&lt;/Year&gt;&lt;Details&gt;&lt;_alternate_title&gt;The Journal of Finance&lt;/_alternate_title&gt;&lt;_created&gt;63285821&lt;/_created&gt;&lt;_date&gt;2002-01-01&lt;/_date&gt;&lt;_date_display&gt;2002&lt;/_date_display&gt;&lt;_impact_factor&gt;   6.201&lt;/_impact_factor&gt;&lt;_isbn&gt;0022-1082&lt;/_isbn&gt;&lt;_issue&gt;1&lt;/_issue&gt;&lt;_journal&gt;The Journal of Finance&lt;/_journal&gt;&lt;_modified&gt;63285821&lt;/_modified&gt;&lt;_ori_publication&gt;Wiley Online Library&lt;/_ori_publication&gt;&lt;_pages&gt;75-108&lt;/_pages&gt;&lt;_volume&gt;57&lt;/_volume&gt;&lt;/Details&gt;&lt;Extra&gt;&lt;DBUID&gt;{439358B4-FA18-4C63-A3A1-0E3BE4066E7A}&lt;/DBUID&gt;&lt;/Extra&gt;&lt;/Item&gt;&lt;/References&gt;&lt;/Group&gt;&lt;/Citation&gt;_x000a_"/>
    <w:docVar w:name="NE.Ref{DBA3DB90-4CE6-4FA1-B88D-1EE9A6D41D5E}" w:val=" ADDIN NE.Ref.{DBA3DB90-4CE6-4FA1-B88D-1EE9A6D41D5E}&lt;Citation SecTmpl=&quot;1&quot;&gt;&lt;Group&gt;&lt;References&gt;&lt;Item&gt;&lt;ID&gt;19&lt;/ID&gt;&lt;UID&gt;{06AF2C86-F423-4A05-B20F-5EF4C9CA6B6A}&lt;/UID&gt;&lt;Title&gt;Auditor Tenure and the Timeliness of Misstatement Discovery&lt;/Title&gt;&lt;Template&gt;Journal Article&lt;/Template&gt;&lt;Star&gt;0&lt;/Star&gt;&lt;Tag&gt;0&lt;/Tag&gt;&lt;Author&gt;Singer, Zvi; Zhang, Jing&lt;/Author&gt;&lt;Year&gt;2018&lt;/Year&gt;&lt;Details&gt;&lt;_accessed&gt;62210330&lt;/_accessed&gt;&lt;_created&gt;62210330&lt;/_created&gt;&lt;_db_updated&gt;CrossRef&lt;/_db_updated&gt;&lt;_doi&gt;10.2308/accr-51871&lt;/_doi&gt;&lt;_impact_factor&gt;   4.562&lt;/_impact_factor&gt;&lt;_isbn&gt;0001-4826&lt;/_isbn&gt;&lt;_issue&gt;2&lt;/_issue&gt;&lt;_journal&gt;The Accounting Review&lt;/_journal&gt;&lt;_modified&gt;62865259&lt;/_modified&gt;&lt;_pages&gt;315-338&lt;/_pages&gt;&lt;_tertiary_title&gt;The Accounting Review&lt;/_tertiary_title&gt;&lt;_url&gt;http://aaajournals.org/doi/10.2308/accr-51871&lt;/_url&gt;&lt;_volume&gt;93&lt;/_volume&gt;&lt;/Details&gt;&lt;Extra&gt;&lt;DBUID&gt;{D2579611-BF89-4C7B-83D9-BE1288535D97}&lt;/DBUID&gt;&lt;/Extra&gt;&lt;/Item&gt;&lt;/References&gt;&lt;/Group&gt;&lt;/Citation&gt;_x000a_"/>
    <w:docVar w:name="NE.Ref{DCB07F5F-76AD-4176-A599-B99D0343679F}" w:val=" ADDIN NE.Ref.{DCB07F5F-76AD-4176-A599-B99D0343679F}&lt;Citation&gt;&lt;Group&gt;&lt;References&gt;&lt;Item&gt;&lt;ID&gt;86&lt;/ID&gt;&lt;UID&gt;{3CD6102F-1F48-4D0E-B029-81887B709E47}&lt;/UID&gt;&lt;Title&gt;Corporate tax avoidance and high-powered incentives&lt;/Title&gt;&lt;Template&gt;Journal Article&lt;/Template&gt;&lt;Star&gt;0&lt;/Star&gt;&lt;Tag&gt;0&lt;/Tag&gt;&lt;Author&gt;Desai, Mihir A; Dharmapala, Dhammika&lt;/Author&gt;&lt;Year&gt;2006&lt;/Year&gt;&lt;Details&gt;&lt;_accessed&gt;63309299&lt;/_accessed&gt;&lt;_alternate_title&gt;Journal of Financial Economics&lt;/_alternate_title&gt;&lt;_collection_scope&gt;SSCI&lt;/_collection_scope&gt;&lt;_created&gt;63228696&lt;/_created&gt;&lt;_date&gt;2006-01-01&lt;/_date&gt;&lt;_date_display&gt;2006&lt;/_date_display&gt;&lt;_impact_factor&gt;   4.693&lt;/_impact_factor&gt;&lt;_isbn&gt;0304-405X&lt;/_isbn&gt;&lt;_issue&gt;1&lt;/_issue&gt;&lt;_journal&gt;Journal of Financial Economics&lt;/_journal&gt;&lt;_modified&gt;63309297&lt;/_modified&gt;&lt;_ori_publication&gt;Elsevier&lt;/_ori_publication&gt;&lt;_pages&gt;145-179&lt;/_pages&gt;&lt;_volume&gt;79&lt;/_volume&gt;&lt;/Details&gt;&lt;Extra&gt;&lt;DBUID&gt;{E9F07991-3B72-4492-A7D8-86E559D9F8FE}&lt;/DBUID&gt;&lt;/Extra&gt;&lt;/Item&gt;&lt;/References&gt;&lt;/Group&gt;&lt;/Citation&gt;_x000a_"/>
    <w:docVar w:name="NE.Ref{DCC553D1-E418-4CFF-B393-6A5B7D4028C1}" w:val=" ADDIN NE.Ref.{DCC553D1-E418-4CFF-B393-6A5B7D4028C1}&lt;Citation&gt;&lt;Group&gt;&lt;References&gt;&lt;Item&gt;&lt;ID&gt;170&lt;/ID&gt;&lt;UID&gt;{A8E26643-3D9B-4688-A99F-3C8E79A065BA}&lt;/UID&gt;&lt;Title&gt;Does corporate tax aggressiveness influence audit pricing?&lt;/Title&gt;&lt;Template&gt;Journal Article&lt;/Template&gt;&lt;Star&gt;0&lt;/Star&gt;&lt;Tag&gt;0&lt;/Tag&gt;&lt;Author&gt;Donohoe, Michael P; Robert Knechel, W&lt;/Author&gt;&lt;Year&gt;2014&lt;/Year&gt;&lt;Details&gt;&lt;_accessed&gt;62701858&lt;/_accessed&gt;&lt;_alternate_title&gt;Contemporary Accounting Research&lt;/_alternate_title&gt;&lt;_collection_scope&gt;SSCI&lt;/_collection_scope&gt;&lt;_created&gt;62649279&lt;/_created&gt;&lt;_date&gt;2014-01-01&lt;/_date&gt;&lt;_date_display&gt;2014&lt;/_date_display&gt;&lt;_impact_factor&gt;   2.261&lt;/_impact_factor&gt;&lt;_isbn&gt;0823-9150&lt;/_isbn&gt;&lt;_issue&gt;1&lt;/_issue&gt;&lt;_journal&gt;Contemporary Accounting Research&lt;/_journal&gt;&lt;_modified&gt;63295786&lt;/_modified&gt;&lt;_ori_publication&gt;Wiley Online Library&lt;/_ori_publication&gt;&lt;_pages&gt;284-308&lt;/_pages&gt;&lt;_volume&gt;31&lt;/_volume&gt;&lt;/Details&gt;&lt;Extra&gt;&lt;DBUID&gt;{E9F07991-3B72-4492-A7D8-86E559D9F8FE}&lt;/DBUID&gt;&lt;/Extra&gt;&lt;/Item&gt;&lt;/References&gt;&lt;/Group&gt;&lt;/Citation&gt;_x000a_"/>
    <w:docVar w:name="NE.Ref{DD128421-E477-4C37-9953-A8FBD556BE05}" w:val=" ADDIN NE.Ref.{DD128421-E477-4C37-9953-A8FBD556BE05}&lt;Citation SecTmpl=&quot;1&quot;&gt;&lt;Group&gt;&lt;References&gt;&lt;Item&gt;&lt;ID&gt;316&lt;/ID&gt;&lt;UID&gt;{D7EF03FF-8A25-4602-90AD-9F2F17A3106F}&lt;/UID&gt;&lt;Title&gt;Stock liquidity and corporate tax avoidance&lt;/Title&gt;&lt;Template&gt;Journal Article&lt;/Template&gt;&lt;Star&gt;0&lt;/Star&gt;&lt;Tag&gt;0&lt;/Tag&gt;&lt;Author&gt;Chen, Yangyang; Ge, Rui; Louis, Henock; Zolotoy, Leon&lt;/Author&gt;&lt;Year&gt;2019&lt;/Year&gt;&lt;Details&gt;&lt;_accessed&gt;63309111&lt;/_accessed&gt;&lt;_collection_scope&gt;SSCI&lt;/_collection_scope&gt;&lt;_created&gt;62740296&lt;/_created&gt;&lt;_db_updated&gt;CrossRef&lt;/_db_updated&gt;&lt;_doi&gt;10.1007/s11142-018-9479-6&lt;/_doi&gt;&lt;_impact_factor&gt;   2.108&lt;/_impact_factor&gt;&lt;_isbn&gt;1380-6653&lt;/_isbn&gt;&lt;_issue&gt;1&lt;/_issue&gt;&lt;_journal&gt;Review of Accounting Studies&lt;/_journal&gt;&lt;_modified&gt;63310203&lt;/_modified&gt;&lt;_pages&gt;309-340&lt;/_pages&gt;&lt;_tertiary_title&gt;Rev Account Stud&lt;/_tertiary_title&gt;&lt;_url&gt;http://link.springer.com/10.1007/s11142-018-9479-6_x000d__x000a_http://link.springer.com/content/pdf/10.1007/s11142-018-9479-6.pdf&lt;/_url&gt;&lt;_volume&gt;24&lt;/_volume&gt;&lt;/Details&gt;&lt;Extra&gt;&lt;DBUID&gt;{E9F07991-3B72-4492-A7D8-86E559D9F8FE}&lt;/DBUID&gt;&lt;/Extra&gt;&lt;/Item&gt;&lt;/References&gt;&lt;/Group&gt;&lt;/Citation&gt;_x000a_"/>
    <w:docVar w:name="NE.Ref{DE10269E-4F1E-4D74-961C-6C2B09FE640A}" w:val=" ADDIN NE.Ref.{DE10269E-4F1E-4D74-961C-6C2B09FE640A}&lt;Citation&gt;&lt;Group&gt;&lt;References&gt;&lt;Item&gt;&lt;ID&gt;44&lt;/ID&gt;&lt;UID&gt;{62E98AC1-C73A-4100-B6EB-49EAB1AA72F3}&lt;/UID&gt;&lt;Title&gt;Positive accounting theory&lt;/Title&gt;&lt;Template&gt;Journal Article&lt;/Template&gt;&lt;Star&gt;0&lt;/Star&gt;&lt;Tag&gt;0&lt;/Tag&gt;&lt;Author&gt;Watts, Ross L; Zimmerman, Jerold L&lt;/Author&gt;&lt;Year&gt;1986&lt;/Year&gt;&lt;Details&gt;&lt;_created&gt;63224419&lt;/_created&gt;&lt;_date&gt;1986-01-01&lt;/_date&gt;&lt;_date_display&gt;1986&lt;/_date_display&gt;&lt;_modified&gt;63224419&lt;/_modified&gt;&lt;_ori_publication&gt;Prentice-Hall Inc&lt;/_ori_publication&gt;&lt;/Details&gt;&lt;Extra&gt;&lt;DBUID&gt;{E9F07991-3B72-4492-A7D8-86E559D9F8FE}&lt;/DBUID&gt;&lt;/Extra&gt;&lt;/Item&gt;&lt;/References&gt;&lt;/Group&gt;&lt;/Citation&gt;_x000a_"/>
    <w:docVar w:name="NE.Ref{DF168218-257C-4FA8-AC82-EE880D16C484}" w:val=" ADDIN NE.Ref.{DF168218-257C-4FA8-AC82-EE880D16C484}&lt;Citation SecTmpl=&quot;1&quot;&gt;&lt;Group&gt;&lt;References&gt;&lt;Item&gt;&lt;ID&gt;40&lt;/ID&gt;&lt;UID&gt;{F9C0E591-BB82-488D-819E-BDF103908FD2}&lt;/UID&gt;&lt;Title&gt;Corporate Tax Aggressiveness and Insider Trading&lt;/Title&gt;&lt;Template&gt;Journal Article&lt;/Template&gt;&lt;Star&gt;0&lt;/Star&gt;&lt;Tag&gt;0&lt;/Tag&gt;&lt;Author&gt;Chung, Sung Gon; Goh, Beng Wee; Lee, Jimmy; Shevlin, Terry&lt;/Author&gt;&lt;Year&gt;2019&lt;/Year&gt;&lt;Details&gt;&lt;_accessed&gt;62771455&lt;/_accessed&gt;&lt;_collection_scope&gt;SSCI&lt;/_collection_scope&gt;&lt;_created&gt;62771455&lt;/_created&gt;&lt;_db_updated&gt;CrossRef&lt;/_db_updated&gt;&lt;_doi&gt;10.1111/1911-3846.12422&lt;/_doi&gt;&lt;_impact_factor&gt;   2.261&lt;/_impact_factor&gt;&lt;_issue&gt;1&lt;/_issue&gt;&lt;_journal&gt;Contemporary Accounting Research&lt;/_journal&gt;&lt;_modified&gt;62846551&lt;/_modified&gt;&lt;_pages&gt;230-258&lt;/_pages&gt;&lt;_tertiary_title&gt;Contemp Account Res&lt;/_tertiary_title&gt;&lt;_url&gt;http://doi.wiley.com/10.1111/1911-3846.12422_x000d__x000a_http://onlinelibrary.wiley.com/wol1/doi/10.1111/1911-3846.12422/fullpdf&lt;/_url&gt;&lt;_volume&gt;36&lt;/_volume&gt;&lt;/Details&gt;&lt;Extra&gt;&lt;DBUID&gt;{D2579611-BF89-4C7B-83D9-BE1288535D97}&lt;/DBUID&gt;&lt;/Extra&gt;&lt;/Item&gt;&lt;/References&gt;&lt;/Group&gt;&lt;/Citation&gt;_x000a_"/>
    <w:docVar w:name="NE.Ref{DF2E4716-ADD1-434A-A2C3-B4D9111C578A}" w:val=" ADDIN NE.Ref.{DF2E4716-ADD1-434A-A2C3-B4D9111C578A}&lt;Citation SecTmpl=&quot;1&quot;&gt;&lt;Group&gt;&lt;References&gt;&lt;Item&gt;&lt;ID&gt;700&lt;/ID&gt;&lt;UID&gt;{9EC70A45-4C85-485B-A859-673EA47CE3C4}&lt;/UID&gt;&lt;Title&gt;Financial constraints and cash tax savings&lt;/Title&gt;&lt;Template&gt;Journal Article&lt;/Template&gt;&lt;Star&gt;0&lt;/Star&gt;&lt;Tag&gt;0&lt;/Tag&gt;&lt;Author&gt;Edwards, Alexander; Schwab, Casey; Shevlin, Terry&lt;/Author&gt;&lt;Year&gt;2016&lt;/Year&gt;&lt;Details&gt;&lt;_alternate_title&gt;The Accounting Review&lt;/_alternate_title&gt;&lt;_created&gt;63308792&lt;/_created&gt;&lt;_date&gt;2016-01-01&lt;/_date&gt;&lt;_date_display&gt;2016&lt;/_date_display&gt;&lt;_isbn&gt;1558-7967&lt;/_isbn&gt;&lt;_issue&gt;3&lt;/_issue&gt;&lt;_journal&gt;The Accounting Review&lt;/_journal&gt;&lt;_modified&gt;63308792&lt;/_modified&gt;&lt;_ori_publication&gt;American Accounting Association&lt;/_ori_publication&gt;&lt;_pages&gt;859-881&lt;/_pages&gt;&lt;_volume&gt;91&lt;/_volume&gt;&lt;/Details&gt;&lt;Extra&gt;&lt;DBUID&gt;{83AC290F-D6FC-4574-9771-6904EE9C30A4}&lt;/DBUID&gt;&lt;/Extra&gt;&lt;/Item&gt;&lt;/References&gt;&lt;/Group&gt;&lt;/Citation&gt;_x000a_"/>
    <w:docVar w:name="NE.Ref{DF3E37A8-6D0E-4365-9B19-AB22D89BC479}" w:val=" ADDIN NE.Ref.{DF3E37A8-6D0E-4365-9B19-AB22D89BC479}&lt;Citation&gt;&lt;Group&gt;&lt;References&gt;&lt;Item&gt;&lt;ID&gt;130&lt;/ID&gt;&lt;UID&gt;{42C63340-6B54-43C0-9C30-75A208220544}&lt;/UID&gt;&lt;Title&gt;放松卖空管制与大股东“掏空”&lt;/Title&gt;&lt;Template&gt;Journal Article&lt;/Template&gt;&lt;Star&gt;0&lt;/Star&gt;&lt;Tag&gt;0&lt;/Tag&gt;&lt;Author&gt;侯青川; 靳庆鲁; 苏玲; 于潇潇&lt;/Author&gt;&lt;Year&gt;2017&lt;/Year&gt;&lt;Details&gt;&lt;_accessed&gt;62704518&lt;/_accessed&gt;&lt;_author_aff&gt;上海财经大学会计与财务研究院;新疆财经大学会计学院;上海财经大学会计学院;&lt;/_author_aff&gt;&lt;_created&gt;62704518&lt;/_created&gt;&lt;_date&gt;61686720&lt;/_date&gt;&lt;_db_provider&gt;CNKI: 期刊&lt;/_db_provider&gt;&lt;_db_updated&gt;CNKI - Reference&lt;/_db_updated&gt;&lt;_issue&gt;03&lt;/_issue&gt;&lt;_journal&gt;经济学(季刊)&lt;/_journal&gt;&lt;_keywords&gt;放松卖空管制;掏空;外部监督&lt;/_keywords&gt;&lt;_language&gt;Chinese&lt;/_language&gt;&lt;_modified&gt;63241057&lt;/_modified&gt;&lt;_pages&gt;1143-1172&lt;/_pages&gt;&lt;_url&gt;http://kns.cnki.net/KCMS/detail/detail.aspx?FileName=JJXU201703015&amp;amp;DbName=CJFQ2017&lt;/_url&gt;&lt;_volume&gt;16&lt;/_volume&gt;&lt;_translated_author&gt;Hou, Qingchuan;Jin, Qinglu;Su, Ling;Yu, Xiaoxiao&lt;/_translated_author&gt;&lt;/Details&gt;&lt;Extra&gt;&lt;DBUID&gt;{E9F07991-3B72-4492-A7D8-86E559D9F8FE}&lt;/DBUID&gt;&lt;/Extra&gt;&lt;/Item&gt;&lt;/References&gt;&lt;/Group&gt;&lt;/Citation&gt;_x000a_"/>
    <w:docVar w:name="NE.Ref{DF967867-052D-4A06-92F2-3C2B03616EEE}" w:val=" ADDIN NE.Ref.{DF967867-052D-4A06-92F2-3C2B03616EEE}&lt;Citation SecTmpl=&quot;1&quot;&gt;&lt;Group&gt;&lt;References&gt;&lt;Item&gt;&lt;ID&gt;16&lt;/ID&gt;&lt;UID&gt;{B12F4AC2-82DA-4B28-960B-C548E3CED5F5}&lt;/UID&gt;&lt;Title&gt;国有股权、税收优惠与公司税负&lt;/Title&gt;&lt;Template&gt;Journal Article&lt;/Template&gt;&lt;Star&gt;0&lt;/Star&gt;&lt;Tag&gt;0&lt;/Tag&gt;&lt;Author&gt;吴联生&lt;/Author&gt;&lt;Year&gt;2009&lt;/Year&gt;&lt;Details&gt;&lt;_accessed&gt;61697770&lt;/_accessed&gt;&lt;_author_aff&gt;北京大学光华管理学院;&lt;/_author_aff&gt;&lt;_collection_scope&gt;CSSCI;中文核心期刊;&lt;/_collection_scope&gt;&lt;_created&gt;61697769&lt;/_created&gt;&lt;_date&gt;57749760&lt;/_date&gt;&lt;_db_provider&gt;CNKI: 期刊&lt;/_db_provider&gt;&lt;_db_updated&gt;CNKI - Reference&lt;/_db_updated&gt;&lt;_issue&gt;10&lt;/_issue&gt;&lt;_journal&gt;经济研究&lt;/_journal&gt;&lt;_keywords&gt;公司治理;企业所得税;政府干预&lt;/_keywords&gt;&lt;_language&gt;Chinese&lt;/_language&gt;&lt;_modified&gt;61697770&lt;/_modified&gt;&lt;_pages&gt;109-120&lt;/_pages&gt;&lt;_url&gt;http://www.cnki.net/KCMS/detail/detail.aspx?FileName=JJYJ200910010&amp;amp;DbName=CJFQ2009&lt;/_url&gt;&lt;_translated_author&gt;Wu, Liansheng&lt;/_translated_author&gt;&lt;/Details&gt;&lt;Extra&gt;&lt;DBUID&gt;{83AC290F-D6FC-4574-9771-6904EE9C30A4}&lt;/DBUID&gt;&lt;/Extra&gt;&lt;/Item&gt;&lt;/References&gt;&lt;/Group&gt;&lt;/Citation&gt;_x000a_"/>
    <w:docVar w:name="NE.Ref{DFBC0CCE-A983-4B5B-AFAF-3B1E61A16D1B}" w:val=" ADDIN NE.Ref.{DFBC0CCE-A983-4B5B-AFAF-3B1E61A16D1B}&lt;Citation SecTmpl=&quot;1&quot;&gt;&lt;Group&gt;&lt;References&gt;&lt;Item&gt;&lt;ID&gt;19&lt;/ID&gt;&lt;UID&gt;{4610321F-C578-423E-8D44-18E0079B53D6}&lt;/UID&gt;&lt;Title&gt;Do Social Ties between External Auditors and Audit Committee Members Affect Audit Quality?&lt;/Title&gt;&lt;Template&gt;Journal Article&lt;/Template&gt;&lt;Star&gt;0&lt;/Star&gt;&lt;Tag&gt;0&lt;/Tag&gt;&lt;Author&gt;He, Xianjie; Pittman, Jeffrey; Rui, Oliver M; Wu, Donghui&lt;/Author&gt;&lt;Year&gt;2017&lt;/Year&gt;&lt;Details&gt;&lt;_accessed&gt;61958341&lt;/_accessed&gt;&lt;_created&gt;61958340&lt;/_created&gt;&lt;_db_updated&gt;PKU Search&lt;/_db_updated&gt;&lt;_doi&gt;10.2308/accr-51696&lt;/_doi&gt;&lt;_impact_factor&gt;   4.562&lt;/_impact_factor&gt;&lt;_isbn&gt;0001-4826&lt;/_isbn&gt;&lt;_journal&gt;The Accounting Review&lt;/_journal&gt;&lt;_language&gt;English&lt;/_language&gt;&lt;_modified&gt;63219483&lt;/_modified&gt;&lt;_url&gt;http://pku.summon.serialssolutions.com/2.0.0/link/0/eLvHCXMwtV1JT9tAFJ42HFAvCLqoLJUsOCIXezyxxxJQsQShqguHIFAv0WyGsCQI4gP8YH4H73nGdkgRTg-9WMnkG3ui-d543pu3EBLRr4E_sSZIzpg2oA3FhkYMhD1ITBzpVASKZVJg-POfn_zHET3otL_Xlu267b9OPLTB1GMg7T9MfnVTaIDPQAG4AgngOhUN9ofrLgK3Czpx5ZbVccmf13cwKgML7qABvfiCS8R1fzQyIPAGy4Xc4bEPpji2P9usG_cTHoFFcee68sTzI4fDwmp6Cky86FdEOoJnOPOrCyerDn_ywsXg9xX6jNTm2pPc7vgHZ-d5f9xaAW9AdHBOnq3AoLNy6tJfu0W3zf0ktWU5Jpd0UJEwTEEodevjmd4LebMn3meVlyHoN9i7h317ti_mU7_WfTXaejj39361SCtK0BG0s3s8Fk1b1lm0I7VJbfFOG_UoxrYxY_uR7jyZc4qEt2OnfIG8NYP3ZLaMY_jw5nFTegpVo61VdJcV6NBzhZYYmJ7V7f3h5obc9l7FWN4045BYzSjHvGZgSc1mZMndZiSQ2yvQzdCK_c1QJx5TDLSQnyn_UDPMSSACv30k3YNOd-_Qd0VNfJWEka9pSiU1Ogl4BsoND03IhIKdpJA61TrTaQQ6jTSpCLUO4kyFhoPWIE2IiacUiz6RmcFwYD4Tj6eaJUGoFG8LRoVKaSyzQHLFuGjzOFgkayVFezc2dU3vb5FYmgq1TN7V0rxCZka3uflCWjeX-RO5K-ck&lt;/_url&gt;&lt;/Details&gt;&lt;Extra&gt;&lt;DBUID&gt;{E9F07991-3B72-4492-A7D8-86E559D9F8FE}&lt;/DBUID&gt;&lt;/Extra&gt;&lt;/Item&gt;&lt;/References&gt;&lt;/Group&gt;&lt;/Citation&gt;_x000a_"/>
    <w:docVar w:name="NE.Ref{E025DEF2-F71F-4165-BE89-A8A9FE13DB27}" w:val=" ADDIN NE.Ref.{E025DEF2-F71F-4165-BE89-A8A9FE13DB27}&lt;Citation&gt;&lt;Group&gt;&lt;References&gt;&lt;Item&gt;&lt;ID&gt;295&lt;/ID&gt;&lt;UID&gt;{3E82656C-1BAA-427A-A41A-B800418681A5}&lt;/UID&gt;&lt;Title&gt;Tax‐avoidance activities of US multinational corporations&lt;/Title&gt;&lt;Template&gt;Journal Article&lt;/Template&gt;&lt;Star&gt;0&lt;/Star&gt;&lt;Tag&gt;0&lt;/Tag&gt;&lt;Author&gt;Rego, Sonja Olhoft&lt;/Author&gt;&lt;Year&gt;2003&lt;/Year&gt;&lt;Details&gt;&lt;_alternate_title&gt;Contemporary Accounting Research&lt;/_alternate_title&gt;&lt;_collection_scope&gt;SSCI&lt;/_collection_scope&gt;&lt;_created&gt;63308746&lt;/_created&gt;&lt;_date&gt;2003-01-01&lt;/_date&gt;&lt;_date_display&gt;2003&lt;/_date_display&gt;&lt;_impact_factor&gt;   2.261&lt;/_impact_factor&gt;&lt;_isbn&gt;0823-9150&lt;/_isbn&gt;&lt;_issue&gt;4&lt;/_issue&gt;&lt;_journal&gt;Contemporary Accounting Research&lt;/_journal&gt;&lt;_modified&gt;63308746&lt;/_modified&gt;&lt;_ori_publication&gt;Wiley Online Library&lt;/_ori_publication&gt;&lt;_pages&gt;805-833&lt;/_pages&gt;&lt;_volume&gt;20&lt;/_volume&gt;&lt;/Details&gt;&lt;Extra&gt;&lt;DBUID&gt;{E9F07991-3B72-4492-A7D8-86E559D9F8FE}&lt;/DBUID&gt;&lt;/Extra&gt;&lt;/Item&gt;&lt;/References&gt;&lt;/Group&gt;&lt;/Citation&gt;_x000a_"/>
    <w:docVar w:name="NE.Ref{E05FAF02-FC5C-4E4B-93AC-B849C7EA9662}" w:val=" ADDIN NE.Ref.{E05FAF02-FC5C-4E4B-93AC-B849C7EA9662}&lt;Citation SecTmpl=&quot;1&quot;&gt;&lt;Group&gt;&lt;References&gt;&lt;Item&gt;&lt;ID&gt;149&lt;/ID&gt;&lt;UID&gt;{45404A6D-1227-4953-AD65-6AD6398C6470}&lt;/UID&gt;&lt;Title&gt;大股东资金占用与外部审计监督&lt;/Title&gt;&lt;Template&gt;Journal Article&lt;/Template&gt;&lt;Star&gt;0&lt;/Star&gt;&lt;Tag&gt;0&lt;/Tag&gt;&lt;Author&gt;周中胜; 陈汉文&lt;/Author&gt;&lt;Year&gt;2006&lt;/Year&gt;&lt;Details&gt;&lt;_accessed&gt;63258676&lt;/_accessed&gt;&lt;_author_aff&gt;厦门大学会计系;厦门大学会计系 361005;361005&lt;/_author_aff&gt;&lt;_collection_scope&gt;CSSCI-C;PKU&lt;/_collection_scope&gt;&lt;_created&gt;63258676&lt;/_created&gt;&lt;_date&gt;55962720&lt;/_date&gt;&lt;_db_provider&gt;CNKI: 期刊&lt;/_db_provider&gt;&lt;_db_updated&gt;CNKI - Reference&lt;/_db_updated&gt;&lt;_issue&gt;03&lt;/_issue&gt;&lt;_journal&gt;审计研究&lt;/_journal&gt;&lt;_keywords&gt;资金占用;审计需求;审计意见&lt;/_keywords&gt;&lt;_language&gt;Chinese&lt;/_language&gt;&lt;_modified&gt;63258676&lt;/_modified&gt;&lt;_pages&gt;73-81&lt;/_pages&gt;&lt;_url&gt;http://kns.cnki.net/KCMS/detail/detail.aspx?FileName=SJYZ200603015&amp;amp;DbName=CJFQ2006&lt;/_url&gt;&lt;_translated_author&gt;Zhou, Zhongsheng;Chen, Hanwen&lt;/_translated_author&gt;&lt;/Details&gt;&lt;Extra&gt;&lt;DBUID&gt;{E9F07991-3B72-4492-A7D8-86E559D9F8FE}&lt;/DBUID&gt;&lt;/Extra&gt;&lt;/Item&gt;&lt;/References&gt;&lt;/Group&gt;&lt;/Citation&gt;_x000a_"/>
    <w:docVar w:name="NE.Ref{E06BF14F-5F57-4517-9BDC-49A93A2F4377}" w:val=" ADDIN NE.Ref.{E06BF14F-5F57-4517-9BDC-49A93A2F4377}&lt;Citation&gt;&lt;Group&gt;&lt;References&gt;&lt;Item&gt;&lt;ID&gt;13&lt;/ID&gt;&lt;UID&gt;{A5099B35-BA8E-417D-A149-51111DDB8654}&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2751448&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3218053&lt;/_modified&gt;&lt;_pages&gt;127-158&lt;/_pages&gt;&lt;_volume&gt;85&lt;/_volume&gt;&lt;/Details&gt;&lt;Extra&gt;&lt;DBUID&gt;{E9F07991-3B72-4492-A7D8-86E559D9F8FE}&lt;/DBUID&gt;&lt;/Extra&gt;&lt;/Item&gt;&lt;/References&gt;&lt;/Group&gt;&lt;/Citation&gt;_x000a_"/>
    <w:docVar w:name="NE.Ref{E12F74EE-0815-4FC8-85AD-D60A00EB40FD}" w:val=" ADDIN NE.Ref.{E12F74EE-0815-4FC8-85AD-D60A00EB40FD}&lt;Citation SecTmpl=&quot;1&quot;&gt;&lt;Group&gt;&lt;References&gt;&lt;Item&gt;&lt;ID&gt;19&lt;/ID&gt;&lt;UID&gt;{4610321F-C578-423E-8D44-18E0079B53D6}&lt;/UID&gt;&lt;Title&gt;Do Social Ties between External Auditors and Audit Committee Members Affect Audit Quality?&lt;/Title&gt;&lt;Template&gt;Journal Article&lt;/Template&gt;&lt;Star&gt;0&lt;/Star&gt;&lt;Tag&gt;0&lt;/Tag&gt;&lt;Author&gt;He, Xianjie; Pittman, Jeffrey; Rui, Oliver M; Wu, Donghui&lt;/Author&gt;&lt;Year&gt;2017&lt;/Year&gt;&lt;Details&gt;&lt;_accessed&gt;61958341&lt;/_accessed&gt;&lt;_created&gt;61958340&lt;/_created&gt;&lt;_db_updated&gt;PKU Search&lt;/_db_updated&gt;&lt;_doi&gt;10.2308/accr-51696&lt;/_doi&gt;&lt;_impact_factor&gt;   4.562&lt;/_impact_factor&gt;&lt;_isbn&gt;0001-4826&lt;/_isbn&gt;&lt;_journal&gt;The Accounting Review&lt;/_journal&gt;&lt;_language&gt;English&lt;/_language&gt;&lt;_modified&gt;63219483&lt;/_modified&gt;&lt;_url&gt;http://pku.summon.serialssolutions.com/2.0.0/link/0/eLvHCXMwtV1JT9tAFJ42HFAvCLqoLJUsOCIXezyxxxJQsQShqguHIFAv0WyGsCQI4gP8YH4H73nGdkgRTg-9WMnkG3ui-d543pu3EBLRr4E_sSZIzpg2oA3FhkYMhD1ITBzpVASKZVJg-POfn_zHET3otL_Xlu267b9OPLTB1GMg7T9MfnVTaIDPQAG4AgngOhUN9ofrLgK3Czpx5ZbVccmf13cwKgML7qABvfiCS8R1fzQyIPAGy4Xc4bEPpji2P9usG_cTHoFFcee68sTzI4fDwmp6Cky86FdEOoJnOPOrCyerDn_ywsXg9xX6jNTm2pPc7vgHZ-d5f9xaAW9AdHBOnq3AoLNy6tJfu0W3zf0ktWU5Jpd0UJEwTEEodevjmd4LebMn3meVlyHoN9i7h317ti_mU7_WfTXaejj39361SCtK0BG0s3s8Fk1b1lm0I7VJbfFOG_UoxrYxY_uR7jyZc4qEt2OnfIG8NYP3ZLaMY_jw5nFTegpVo61VdJcV6NBzhZYYmJ7V7f3h5obc9l7FWN4045BYzSjHvGZgSc1mZMndZiSQ2yvQzdCK_c1QJx5TDLSQnyn_UDPMSSACv30k3YNOd-_Qd0VNfJWEka9pSiU1Ogl4BsoND03IhIKdpJA61TrTaQQ6jTSpCLUO4kyFhoPWIE2IiacUiz6RmcFwYD4Tj6eaJUGoFG8LRoVKaSyzQHLFuGjzOFgkayVFezc2dU3vb5FYmgq1TN7V0rxCZka3uflCWjeX-RO5K-ck&lt;/_url&gt;&lt;/Details&gt;&lt;Extra&gt;&lt;DBUID&gt;{E9F07991-3B72-4492-A7D8-86E559D9F8FE}&lt;/DBUID&gt;&lt;/Extra&gt;&lt;/Item&gt;&lt;/References&gt;&lt;/Group&gt;&lt;/Citation&gt;_x000a_"/>
    <w:docVar w:name="NE.Ref{E17815C6-7F3A-425D-9984-85C42168D685}" w:val=" ADDIN NE.Ref.{E17815C6-7F3A-425D-9984-85C42168D685}&lt;Citation SecTmpl=&quot;1&quot;&gt;&lt;Group&gt;&lt;References&gt;&lt;Item&gt;&lt;ID&gt;58&lt;/ID&gt;&lt;UID&gt;{BBE49ADC-1D63-4122-9146-675A8D4C9C33}&lt;/UID&gt;&lt;Title&gt;Network ties among low-tax firms&lt;/Title&gt;&lt;Template&gt;Journal Article&lt;/Template&gt;&lt;Star&gt;0&lt;/Star&gt;&lt;Tag&gt;0&lt;/Tag&gt;&lt;Author&gt;Brown, Jennifer L; Drake, Katharine D&lt;/Author&gt;&lt;Year&gt;2014&lt;/Year&gt;&lt;Details&gt;&lt;_alternate_title&gt;The Accounting Review&lt;/_alternate_title&gt;&lt;_created&gt;63225537&lt;/_created&gt;&lt;_date&gt;2014-01-01&lt;/_date&gt;&lt;_date_display&gt;2014&lt;/_date_display&gt;&lt;_isbn&gt;1558-7967&lt;/_isbn&gt;&lt;_issue&gt;2&lt;/_issue&gt;&lt;_journal&gt;The Accounting Review&lt;/_journal&gt;&lt;_modified&gt;63225537&lt;/_modified&gt;&lt;_ori_publication&gt;American Accounting Association&lt;/_ori_publication&gt;&lt;_pages&gt;483-510&lt;/_pages&gt;&lt;_volume&gt;89&lt;/_volume&gt;&lt;/Details&gt;&lt;Extra&gt;&lt;DBUID&gt;{E9F07991-3B72-4492-A7D8-86E559D9F8FE}&lt;/DBUID&gt;&lt;/Extra&gt;&lt;/Item&gt;&lt;/References&gt;&lt;/Group&gt;&lt;/Citation&gt;_x000a_"/>
    <w:docVar w:name="NE.Ref{E31F9FFE-C25F-4DDC-BC63-EE1B7592C044}" w:val=" ADDIN NE.Ref.{E31F9FFE-C25F-4DDC-BC63-EE1B7592C044}&lt;Citation SecTmpl=&quot;1&quot;&gt;&lt;Group&gt;&lt;References&gt;&lt;Item&gt;&lt;ID&gt;73&lt;/ID&gt;&lt;UID&gt;{E8769188-1BE4-4D70-865B-879436B96ABF}&lt;/UID&gt;&lt;Title&gt;审计监督、最终控制人性质与税收激进度&lt;/Title&gt;&lt;Template&gt;Journal Article&lt;/Template&gt;&lt;Star&gt;0&lt;/Star&gt;&lt;Tag&gt;0&lt;/Tag&gt;&lt;Author&gt;金鑫; 雷光勇&lt;/Author&gt;&lt;Year&gt;2011&lt;/Year&gt;&lt;Details&gt;&lt;_accessed&gt;61697770&lt;/_accessed&gt;&lt;_author_aff&gt;对外经济贸易大学;&lt;/_author_aff&gt;&lt;_collection_scope&gt;CSSCI;中文核心期刊;&lt;/_collection_scope&gt;&lt;_created&gt;61697770&lt;/_created&gt;&lt;_date&gt;58769280&lt;/_date&gt;&lt;_db_provider&gt;CNKI: 期刊&lt;/_db_provider&gt;&lt;_db_updated&gt;CNKI - Reference&lt;/_db_updated&gt;&lt;_issue&gt;05&lt;/_issue&gt;&lt;_journal&gt;审计研究&lt;/_journal&gt;&lt;_keywords&gt;审计监督;最终控制人性质;税收激进度;制度环境&lt;/_keywords&gt;&lt;_language&gt;Chinese&lt;/_language&gt;&lt;_modified&gt;63228070&lt;/_modified&gt;&lt;_pages&gt;98-106&lt;/_pages&gt;&lt;_url&gt;http://www.cnki.net/KCMS/detail/detail.aspx?FileName=SJYZ201105015&amp;amp;DbName=CJFQ2011&lt;/_url&gt;&lt;_translated_author&gt;Jin, Xin;Lei, Guangyong&lt;/_translated_author&gt;&lt;/Details&gt;&lt;Extra&gt;&lt;DBUID&gt;{E9F07991-3B72-4492-A7D8-86E559D9F8FE}&lt;/DBUID&gt;&lt;/Extra&gt;&lt;/Item&gt;&lt;/References&gt;&lt;/Group&gt;&lt;/Citation&gt;_x000a_"/>
    <w:docVar w:name="NE.Ref{E32B7879-2203-459D-902A-5CA4BE9124C3}" w:val=" ADDIN NE.Ref.{E32B7879-2203-459D-902A-5CA4BE9124C3}&lt;Citation SecTmpl=&quot;1&quot;&gt;&lt;Group&gt;&lt;References&gt;&lt;Item&gt;&lt;ID&gt;73&lt;/ID&gt;&lt;UID&gt;{E8769188-1BE4-4D70-865B-879436B96ABF}&lt;/UID&gt;&lt;Title&gt;审计监督、最终控制人性质与税收激进度&lt;/Title&gt;&lt;Template&gt;Journal Article&lt;/Template&gt;&lt;Star&gt;0&lt;/Star&gt;&lt;Tag&gt;0&lt;/Tag&gt;&lt;Author&gt;金鑫; 雷光勇&lt;/Author&gt;&lt;Year&gt;2011&lt;/Year&gt;&lt;Details&gt;&lt;_accessed&gt;61697770&lt;/_accessed&gt;&lt;_author_aff&gt;对外经济贸易大学;&lt;/_author_aff&gt;&lt;_collection_scope&gt;CSSCI;中文核心期刊;&lt;/_collection_scope&gt;&lt;_created&gt;61697770&lt;/_created&gt;&lt;_date&gt;58769280&lt;/_date&gt;&lt;_db_provider&gt;CNKI: 期刊&lt;/_db_provider&gt;&lt;_db_updated&gt;CNKI - Reference&lt;/_db_updated&gt;&lt;_issue&gt;05&lt;/_issue&gt;&lt;_journal&gt;审计研究&lt;/_journal&gt;&lt;_keywords&gt;审计监督;最终控制人性质;税收激进度;制度环境&lt;/_keywords&gt;&lt;_language&gt;Chinese&lt;/_language&gt;&lt;_modified&gt;63228070&lt;/_modified&gt;&lt;_pages&gt;98-106&lt;/_pages&gt;&lt;_url&gt;http://www.cnki.net/KCMS/detail/detail.aspx?FileName=SJYZ201105015&amp;amp;DbName=CJFQ2011&lt;/_url&gt;&lt;_translated_author&gt;Jin, Xin;Lei, Guangyong&lt;/_translated_author&gt;&lt;/Details&gt;&lt;Extra&gt;&lt;DBUID&gt;{E9F07991-3B72-4492-A7D8-86E559D9F8FE}&lt;/DBUID&gt;&lt;/Extra&gt;&lt;/Item&gt;&lt;/References&gt;&lt;/Group&gt;&lt;/Citation&gt;_x000a_"/>
    <w:docVar w:name="NE.Ref{E37B269C-9DD5-4326-89A7-D26EBF2A958A}" w:val=" ADDIN NE.Ref.{E37B269C-9DD5-4326-89A7-D26EBF2A958A}&lt;Citation SecTmpl=&quot;1&quot;&gt;&lt;Group&gt;&lt;References&gt;&lt;Item&gt;&lt;ID&gt;310&lt;/ID&gt;&lt;UID&gt;{0BB660BA-180A-4D71-92F4-8B46F8A1F1D0}&lt;/UID&gt;&lt;Title&gt;Do IRS audits deter corporate tax avoidance?&lt;/Title&gt;&lt;Template&gt;Journal Article&lt;/Template&gt;&lt;Star&gt;0&lt;/Star&gt;&lt;Tag&gt;0&lt;/Tag&gt;&lt;Author&gt;Hoopes, Jeffrey L; Mescall, Devan; Pittman, Jeffrey A&lt;/Author&gt;&lt;Year&gt;2012&lt;/Year&gt;&lt;Details&gt;&lt;_alternate_title&gt;The accounting review&lt;/_alternate_title&gt;&lt;_created&gt;63310141&lt;/_created&gt;&lt;_date&gt;2012-01-01&lt;/_date&gt;&lt;_date_display&gt;2012&lt;/_date_display&gt;&lt;_impact_factor&gt;   4.562&lt;/_impact_factor&gt;&lt;_isbn&gt;0001-4826&lt;/_isbn&gt;&lt;_issue&gt;5&lt;/_issue&gt;&lt;_journal&gt;The accounting review&lt;/_journal&gt;&lt;_modified&gt;63310141&lt;/_modified&gt;&lt;_ori_publication&gt;American Accounting Association&lt;/_ori_publication&gt;&lt;_pages&gt;1603-1639&lt;/_pages&gt;&lt;_volume&gt;87&lt;/_volume&gt;&lt;/Details&gt;&lt;Extra&gt;&lt;DBUID&gt;{E9F07991-3B72-4492-A7D8-86E559D9F8FE}&lt;/DBUID&gt;&lt;/Extra&gt;&lt;/Item&gt;&lt;/References&gt;&lt;/Group&gt;&lt;/Citation&gt;_x000a_"/>
    <w:docVar w:name="NE.Ref{E38EE742-51B1-4C31-813F-B16E3BDC56B7}" w:val=" ADDIN NE.Ref.{E38EE742-51B1-4C31-813F-B16E3BDC56B7}&lt;Citation SecTmpl=&quot;1&quot;&gt;&lt;Group&gt;&lt;References&gt;&lt;Item&gt;&lt;ID&gt;233&lt;/ID&gt;&lt;UID&gt;{5DCE100A-A59B-47CB-857A-AC10674AE4AE}&lt;/UID&gt;&lt;Title&gt;Legal regimes, audit quality and investment&lt;/Title&gt;&lt;Template&gt;Journal Article&lt;/Template&gt;&lt;Star&gt;0&lt;/Star&gt;&lt;Tag&gt;0&lt;/Tag&gt;&lt;Author&gt;Schwartz, Rachel&lt;/Author&gt;&lt;Year&gt;1997&lt;/Year&gt;&lt;Details&gt;&lt;_alternate_title&gt;Accounting Review&lt;/_alternate_title&gt;&lt;_collection_scope&gt;SSCI&lt;/_collection_scope&gt;&lt;_created&gt;63302970&lt;/_created&gt;&lt;_date&gt;1997-01-01&lt;/_date&gt;&lt;_date_display&gt;1997&lt;/_date_display&gt;&lt;_impact_factor&gt;   4.562&lt;/_impact_factor&gt;&lt;_isbn&gt;0001-4826&lt;/_isbn&gt;&lt;_journal&gt;Accounting Review&lt;/_journal&gt;&lt;_modified&gt;63302970&lt;/_modified&gt;&lt;_ori_publication&gt;JSTOR&lt;/_ori_publication&gt;&lt;_pages&gt;385-406&lt;/_pages&gt;&lt;/Details&gt;&lt;Extra&gt;&lt;DBUID&gt;{E9F07991-3B72-4492-A7D8-86E559D9F8FE}&lt;/DBUID&gt;&lt;/Extra&gt;&lt;/Item&gt;&lt;/References&gt;&lt;/Group&gt;&lt;/Citation&gt;_x000a_"/>
    <w:docVar w:name="NE.Ref{E4B60874-3358-4337-8DEC-57CEF7499FD7}" w:val=" ADDIN NE.Ref.{E4B60874-3358-4337-8DEC-57CEF7499FD7}&lt;Citation&gt;&lt;Group&gt;&lt;References&gt;&lt;Item&gt;&lt;ID&gt;32&lt;/ID&gt;&lt;UID&gt;{A1EA55FB-908E-4E21-B00C-173EF9A59198}&lt;/UID&gt;&lt;Title&gt;An Analysis of Auditor Litigation and Audit Service Quality&lt;/Title&gt;&lt;Template&gt;Journal Article&lt;/Template&gt;&lt;Star&gt;0&lt;/Star&gt;&lt;Tag&gt;0&lt;/Tag&gt;&lt;Author&gt;Zoe-Vonna, Palmrose&lt;/Author&gt;&lt;Year&gt;1988&lt;/Year&gt;&lt;Details&gt;&lt;_alternate_title&gt;The Accounting Review&lt;/_alternate_title&gt;&lt;_created&gt;63219579&lt;/_created&gt;&lt;_date&gt;1988-01-01&lt;/_date&gt;&lt;_date_display&gt;1988&lt;/_date_display&gt;&lt;_issue&gt;1&lt;/_issue&gt;&lt;_journal&gt;The Accounting Review&lt;/_journal&gt;&lt;_modified&gt;63219579&lt;/_modified&gt;&lt;_pages&gt;55-73&lt;/_pages&gt;&lt;_volume&gt;63&lt;/_volume&gt;&lt;/Details&gt;&lt;Extra&gt;&lt;DBUID&gt;{E9F07991-3B72-4492-A7D8-86E559D9F8FE}&lt;/DBUID&gt;&lt;/Extra&gt;&lt;/Item&gt;&lt;/References&gt;&lt;/Group&gt;&lt;Group&gt;&lt;References&gt;&lt;Item&gt;&lt;ID&gt;33&lt;/ID&gt;&lt;UID&gt;{A424B895-0CA1-444A-9C4E-3ECAAC57D6AA}&lt;/UID&gt;&lt;Title&gt;Big Five audits and accounting fraud&lt;/Title&gt;&lt;Template&gt;Journal Article&lt;/Template&gt;&lt;Star&gt;0&lt;/Star&gt;&lt;Tag&gt;0&lt;/Tag&gt;&lt;Author&gt;Lennox, Clive; Pittman, Jeffrey A&lt;/Author&gt;&lt;Year&gt;2010&lt;/Year&gt;&lt;Details&gt;&lt;_alternate_title&gt;Contemporary Accounting Research&lt;/_alternate_title&gt;&lt;_collection_scope&gt;SSCI&lt;/_collection_scope&gt;&lt;_created&gt;63219583&lt;/_created&gt;&lt;_date&gt;2010-01-01&lt;/_date&gt;&lt;_date_display&gt;2010&lt;/_date_display&gt;&lt;_impact_factor&gt;   2.261&lt;/_impact_factor&gt;&lt;_isbn&gt;0823-9150&lt;/_isbn&gt;&lt;_issue&gt;1&lt;/_issue&gt;&lt;_journal&gt;Contemporary Accounting Research&lt;/_journal&gt;&lt;_modified&gt;63219583&lt;/_modified&gt;&lt;_ori_publication&gt;Wiley Online Library&lt;/_ori_publication&gt;&lt;_pages&gt;209-247&lt;/_pages&gt;&lt;_volume&gt;27&lt;/_volume&gt;&lt;/Details&gt;&lt;Extra&gt;&lt;DBUID&gt;{E9F07991-3B72-4492-A7D8-86E559D9F8FE}&lt;/DBUID&gt;&lt;/Extra&gt;&lt;/Item&gt;&lt;/References&gt;&lt;/Group&gt;&lt;/Citation&gt;_x000a_"/>
    <w:docVar w:name="NE.Ref{E4F93089-BD2C-4613-A9E0-F42F0157590D}" w:val=" ADDIN NE.Ref.{E4F93089-BD2C-4613-A9E0-F42F0157590D}&lt;Citation&gt;&lt;Group&gt;&lt;References&gt;&lt;Item&gt;&lt;ID&gt;180&lt;/ID&gt;&lt;UID&gt;{190B3A92-7AFA-4568-8105-325F4566D515}&lt;/UID&gt;&lt;Title&gt;A framework for understanding and researching audit quality&lt;/Title&gt;&lt;Template&gt;Journal Article&lt;/Template&gt;&lt;Star&gt;0&lt;/Star&gt;&lt;Tag&gt;0&lt;/Tag&gt;&lt;Author&gt;Francis, Jere R&lt;/Author&gt;&lt;Year&gt;2011&lt;/Year&gt;&lt;Details&gt;&lt;_alternate_title&gt;Auditing: A journal of practice &amp;amp; theory&lt;/_alternate_title&gt;&lt;_created&gt;63296424&lt;/_created&gt;&lt;_date&gt;2011-01-01&lt;/_date&gt;&lt;_date_display&gt;2011&lt;/_date_display&gt;&lt;_impact_factor&gt;   2.642&lt;/_impact_factor&gt;&lt;_isbn&gt;0278-0380&lt;/_isbn&gt;&lt;_issue&gt;2&lt;/_issue&gt;&lt;_journal&gt;Auditing: A journal of practice &amp;amp; theory&lt;/_journal&gt;&lt;_modified&gt;63296424&lt;/_modified&gt;&lt;_ori_publication&gt;American Accounting Association&lt;/_ori_publication&gt;&lt;_pages&gt;125-152&lt;/_pages&gt;&lt;_volume&gt;30&lt;/_volume&gt;&lt;/Details&gt;&lt;Extra&gt;&lt;DBUID&gt;{E9F07991-3B72-4492-A7D8-86E559D9F8FE}&lt;/DBUID&gt;&lt;/Extra&gt;&lt;/Item&gt;&lt;/References&gt;&lt;/Group&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E526C534-3B6A-4BEF-BC9A-9CF396B55746}" w:val=" ADDIN NE.Ref.{E526C534-3B6A-4BEF-BC9A-9CF396B55746}&lt;Citation SecTmpl=&quot;1&quot;&gt;&lt;Group&gt;&lt;References&gt;&lt;Item&gt;&lt;ID&gt;164&lt;/ID&gt;&lt;UID&gt;{63B65355-3869-4A40-B0FD-F7F0B2A134E9}&lt;/UID&gt;&lt;Title&gt;Tax Collector or Tax Avoider? An Investigation of Intergovernmental Agency Conflicts&lt;/Title&gt;&lt;Template&gt;Journal Article&lt;/Template&gt;&lt;Star&gt;0&lt;/Star&gt;&lt;Tag&gt;0&lt;/Tag&gt;&lt;Author&gt;Tang, Tanya; Mo, Phyllis Lai Lan; Chan, K Hung&lt;/Author&gt;&lt;Year&gt;2017&lt;/Year&gt;&lt;Details&gt;&lt;_accessed&gt;62417492&lt;/_accessed&gt;&lt;_created&gt;61872208&lt;/_created&gt;&lt;_db_updated&gt;CrossRef&lt;/_db_updated&gt;&lt;_doi&gt;10.2308/accr-51526&lt;/_doi&gt;&lt;_impact_factor&gt;   4.562&lt;/_impact_factor&gt;&lt;_isbn&gt;0001-4826&lt;/_isbn&gt;&lt;_issue&gt;2&lt;/_issue&gt;&lt;_journal&gt;The Accounting Review&lt;/_journal&gt;&lt;_modified&gt;63291358&lt;/_modified&gt;&lt;_pages&gt;247-270&lt;/_pages&gt;&lt;_tertiary_title&gt;The Accounting Review&lt;/_tertiary_title&gt;&lt;_url&gt;http://aaajournals.org/doi/10.2308/accr-51526_x000d__x000a_http://aaajournals.org/doi/pdf/10.2308/accr-51526&lt;/_url&gt;&lt;_volume&gt;92&lt;/_volume&gt;&lt;/Details&gt;&lt;Extra&gt;&lt;DBUID&gt;{E9F07991-3B72-4492-A7D8-86E559D9F8FE}&lt;/DBUID&gt;&lt;/Extra&gt;&lt;/Item&gt;&lt;/References&gt;&lt;/Group&gt;&lt;/Citation&gt;_x000a_"/>
    <w:docVar w:name="NE.Ref{E53A6D90-129A-4C72-9B56-4B27937DCE83}" w:val=" ADDIN NE.Ref.{E53A6D90-129A-4C72-9B56-4B27937DCE83}&lt;Citation&gt;&lt;Group&gt;&lt;References&gt;&lt;Item&gt;&lt;ID&gt;82&lt;/ID&gt;&lt;UID&gt;{31419395-03E6-4F0B-AFB9-C824BB371C8C}&lt;/UID&gt;&lt;Title&gt;The production of audit services: Evidence from a major public accounting firm&lt;/Title&gt;&lt;Template&gt;Journal Article&lt;/Template&gt;&lt;Star&gt;0&lt;/Star&gt;&lt;Tag&gt;0&lt;/Tag&gt;&lt;Author&gt;O&amp;apos;Keefe, Terrence B; Simunic, Dan A; Stein, Michael T&lt;/Author&gt;&lt;Year&gt;1994&lt;/Year&gt;&lt;Details&gt;&lt;_alternate_title&gt;Journal of accounting research&lt;/_alternate_title&gt;&lt;_collection_scope&gt;SSCI&lt;/_collection_scope&gt;&lt;_created&gt;63228178&lt;/_created&gt;&lt;_date&gt;1994-01-01&lt;/_date&gt;&lt;_date_display&gt;1994&lt;/_date_display&gt;&lt;_impact_factor&gt;   4.891&lt;/_impact_factor&gt;&lt;_isbn&gt;0021-8456&lt;/_isbn&gt;&lt;_issue&gt;2&lt;/_issue&gt;&lt;_journal&gt;Journal of accounting research&lt;/_journal&gt;&lt;_modified&gt;63228178&lt;/_modified&gt;&lt;_ori_publication&gt;JSTOR&lt;/_ori_publication&gt;&lt;_pages&gt;241-261&lt;/_pages&gt;&lt;_volume&gt;32&lt;/_volume&gt;&lt;/Details&gt;&lt;Extra&gt;&lt;DBUID&gt;{E9F07991-3B72-4492-A7D8-86E559D9F8FE}&lt;/DBUID&gt;&lt;/Extra&gt;&lt;/Item&gt;&lt;/References&gt;&lt;/Group&gt;&lt;/Citation&gt;_x000a_"/>
    <w:docVar w:name="NE.Ref{E559C5F1-19CB-40BB-94DB-DA98585A956F}" w:val=" ADDIN NE.Ref.{E559C5F1-19CB-40BB-94DB-DA98585A956F}&lt;Citation SecTmpl=&quot;1&quot;&gt;&lt;Group&gt;&lt;References&gt;&lt;Item&gt;&lt;ID&gt;164&lt;/ID&gt;&lt;UID&gt;{FBD48AED-2784-46B0-838B-27DFD3BC66BA}&lt;/UID&gt;&lt;Title&gt;签字会计师-高管乡音关系与审计质量&lt;/Title&gt;&lt;Template&gt;Journal Article&lt;/Template&gt;&lt;Star&gt;0&lt;/Star&gt;&lt;Tag&gt;0&lt;/Tag&gt;&lt;Author&gt;袁德利; 许为宾; 陈小林; 刘小元; 刘广瑞&lt;/Author&gt;&lt;Year&gt;2018&lt;/Year&gt;&lt;Details&gt;&lt;_accessed&gt;63179767&lt;/_accessed&gt;&lt;_author_adr&gt;九江学院会计学院;贵州大学管理学院;中央财经大学商学院;绍兴文理学院经管学院;&lt;/_author_adr&gt;&lt;_collection_scope&gt;CSSCI-C;PKU&lt;/_collection_scope&gt;&lt;_created&gt;62985155&lt;/_created&gt;&lt;_db_provider&gt;CNKI&lt;/_db_provider&gt;&lt;_isbn&gt;1002-4239&lt;/_isbn&gt;&lt;_issue&gt;02&lt;/_issue&gt;&lt;_journal&gt;审计研究&lt;/_journal&gt;&lt;_keywords&gt;签字会计师;;高管;;乡音关系;;审计质量&lt;/_keywords&gt;&lt;_modified&gt;62985159&lt;/_modified&gt;&lt;_pages&gt;113-121&lt;/_pages&gt;&lt;_translated_author&gt;Yuan, Deli;Xu, Weibin;Chen, Xiaolin;Liu, Xiaoyuan;Liu, Guangrui&lt;/_translated_author&gt;&lt;/Details&gt;&lt;Extra&gt;&lt;DBUID&gt;{F39B7CD6-A564-402D-BAB5-A18B512BF6EE}&lt;/DBUID&gt;&lt;/Extra&gt;&lt;/Item&gt;&lt;/References&gt;&lt;/Group&gt;&lt;/Citation&gt;_x000a_"/>
    <w:docVar w:name="NE.Ref{E5893865-E009-4935-85AA-E3B6DC862269}" w:val=" ADDIN NE.Ref.{E5893865-E009-4935-85AA-E3B6DC862269}&lt;Citation&gt;&lt;Group&gt;&lt;References&gt;&lt;Item&gt;&lt;ID&gt;170&lt;/ID&gt;&lt;UID&gt;{A8E26643-3D9B-4688-A99F-3C8E79A065BA}&lt;/UID&gt;&lt;Title&gt;Does corporate tax aggressiveness influence audit pricing?&lt;/Title&gt;&lt;Template&gt;Journal Article&lt;/Template&gt;&lt;Star&gt;0&lt;/Star&gt;&lt;Tag&gt;0&lt;/Tag&gt;&lt;Author&gt;Donohoe, Michael P; Robert Knechel, W&lt;/Author&gt;&lt;Year&gt;2014&lt;/Year&gt;&lt;Details&gt;&lt;_accessed&gt;62701858&lt;/_accessed&gt;&lt;_alternate_title&gt;Contemporary Accounting Research&lt;/_alternate_title&gt;&lt;_collection_scope&gt;SSCI&lt;/_collection_scope&gt;&lt;_created&gt;62649279&lt;/_created&gt;&lt;_date&gt;2014-01-01&lt;/_date&gt;&lt;_date_display&gt;2014&lt;/_date_display&gt;&lt;_impact_factor&gt;   2.261&lt;/_impact_factor&gt;&lt;_isbn&gt;0823-9150&lt;/_isbn&gt;&lt;_issue&gt;1&lt;/_issue&gt;&lt;_journal&gt;Contemporary Accounting Research&lt;/_journal&gt;&lt;_modified&gt;63295786&lt;/_modified&gt;&lt;_ori_publication&gt;Wiley Online Library&lt;/_ori_publication&gt;&lt;_pages&gt;284-308&lt;/_pages&gt;&lt;_volume&gt;31&lt;/_volume&gt;&lt;/Details&gt;&lt;Extra&gt;&lt;DBUID&gt;{E9F07991-3B72-4492-A7D8-86E559D9F8FE}&lt;/DBUID&gt;&lt;/Extra&gt;&lt;/Item&gt;&lt;/References&gt;&lt;/Group&gt;&lt;/Citation&gt;_x000a_"/>
    <w:docVar w:name="NE.Ref{E5949D11-6B30-459A-A8DC-799042DC5C60}" w:val=" ADDIN NE.Ref.{E5949D11-6B30-459A-A8DC-799042DC5C60}&lt;Citation SecTmpl=&quot;1&quot;&gt;&lt;Group&gt;&lt;References&gt;&lt;Item&gt;&lt;ID&gt;20&lt;/ID&gt;&lt;UID&gt;{CFB7563C-B89C-4973-99E3-645781B6A01D}&lt;/UID&gt;&lt;Title&gt;企业的避税活动会影响投资效率吗?&lt;/Title&gt;&lt;Template&gt;Journal Article&lt;/Template&gt;&lt;Star&gt;0&lt;/Star&gt;&lt;Tag&gt;0&lt;/Tag&gt;&lt;Author&gt;刘行; 叶康涛&lt;/Author&gt;&lt;Year&gt;2013&lt;/Year&gt;&lt;Details&gt;&lt;_accessed&gt;61697770&lt;/_accessed&gt;&lt;_author_aff&gt;东北财经大学会计学院;中国人民大学商学院;&lt;/_author_aff&gt;&lt;_collection_scope&gt;CSSCI;中文核心期刊;&lt;/_collection_scope&gt;&lt;_created&gt;61697770&lt;/_created&gt;&lt;_date&gt;59670720&lt;/_date&gt;&lt;_db_provider&gt;CNKI: 期刊&lt;/_db_provider&gt;&lt;_db_updated&gt;CNKI - Reference&lt;/_db_updated&gt;&lt;_issue&gt;06&lt;/_issue&gt;&lt;_journal&gt;会计研究&lt;/_journal&gt;&lt;_keywords&gt;避税;投资效率;代理理论&lt;/_keywords&gt;&lt;_language&gt;Chinese&lt;/_language&gt;&lt;_modified&gt;61697770&lt;/_modified&gt;&lt;_pages&gt;47-53+96&lt;/_pages&gt;&lt;_url&gt;http://www.cnki.net/KCMS/detail/detail.aspx?FileName=KJYJ201306009&amp;amp;DbName=CJFQ2013&lt;/_url&gt;&lt;_translated_author&gt;Liu, Xing;Ye, Kangtao&lt;/_translated_author&gt;&lt;/Details&gt;&lt;Extra&gt;&lt;DBUID&gt;{83AC290F-D6FC-4574-9771-6904EE9C30A4}&lt;/DBUID&gt;&lt;/Extra&gt;&lt;/Item&gt;&lt;/References&gt;&lt;/Group&gt;&lt;/Citation&gt;_x000a_"/>
    <w:docVar w:name="NE.Ref{E5B3253E-002C-493D-ABF1-DD1C9E1ABC03}" w:val=" ADDIN NE.Ref.{E5B3253E-002C-493D-ABF1-DD1C9E1ABC03}&lt;Citation SecTmpl=&quot;1&quot;&gt;&lt;Group&gt;&lt;References&gt;&lt;Item&gt;&lt;ID&gt;170&lt;/ID&gt;&lt;UID&gt;{A8E26643-3D9B-4688-A99F-3C8E79A065BA}&lt;/UID&gt;&lt;Title&gt;Does corporate tax aggressiveness influence audit pricing?&lt;/Title&gt;&lt;Template&gt;Journal Article&lt;/Template&gt;&lt;Star&gt;0&lt;/Star&gt;&lt;Tag&gt;0&lt;/Tag&gt;&lt;Author&gt;Donohoe, Michael P; Robert Knechel, W&lt;/Author&gt;&lt;Year&gt;2014&lt;/Year&gt;&lt;Details&gt;&lt;_accessed&gt;62701858&lt;/_accessed&gt;&lt;_alternate_title&gt;Contemporary Accounting Research&lt;/_alternate_title&gt;&lt;_collection_scope&gt;SSCI&lt;/_collection_scope&gt;&lt;_created&gt;62649279&lt;/_created&gt;&lt;_date&gt;2014-01-01&lt;/_date&gt;&lt;_date_display&gt;2014&lt;/_date_display&gt;&lt;_impact_factor&gt;   2.261&lt;/_impact_factor&gt;&lt;_isbn&gt;0823-9150&lt;/_isbn&gt;&lt;_issue&gt;1&lt;/_issue&gt;&lt;_journal&gt;Contemporary Accounting Research&lt;/_journal&gt;&lt;_modified&gt;63295786&lt;/_modified&gt;&lt;_ori_publication&gt;Wiley Online Library&lt;/_ori_publication&gt;&lt;_pages&gt;284-308&lt;/_pages&gt;&lt;_volume&gt;31&lt;/_volume&gt;&lt;/Details&gt;&lt;Extra&gt;&lt;DBUID&gt;{E9F07991-3B72-4492-A7D8-86E559D9F8FE}&lt;/DBUID&gt;&lt;/Extra&gt;&lt;/Item&gt;&lt;/References&gt;&lt;/Group&gt;&lt;/Citation&gt;_x000a_"/>
    <w:docVar w:name="NE.Ref{E63F2C7B-0738-47CD-9654-B027B94D0AAB}" w:val=" ADDIN NE.Ref.{E63F2C7B-0738-47CD-9654-B027B94D0AAB}&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E69F9239-7CF7-427D-8533-77E73BB8313C}" w:val=" ADDIN NE.Ref.{E69F9239-7CF7-427D-8533-77E73BB8313C}&lt;Citation SecTmpl=&quot;1&quot;&gt;&lt;Group&gt;&lt;References&gt;&lt;Item&gt;&lt;ID&gt;139&lt;/ID&gt;&lt;UID&gt;{4B4C448B-F20E-4A9C-AA2B-54079624D9D2}&lt;/UID&gt;&lt;Title&gt;机构持股、审计师选择与审计意见&lt;/Title&gt;&lt;Template&gt;Journal Article&lt;/Template&gt;&lt;Star&gt;0&lt;/Star&gt;&lt;Tag&gt;0&lt;/Tag&gt;&lt;Author&gt;张敏; 冯虹茜; 张雯&lt;/Author&gt;&lt;Year&gt;2011&lt;/Year&gt;&lt;Details&gt;&lt;_accessed&gt;63245316&lt;/_accessed&gt;&lt;_author_aff&gt;中国人民大学商学院;&lt;/_author_aff&gt;&lt;_collection_scope&gt;CSSCI-C;PKU&lt;/_collection_scope&gt;&lt;_created&gt;63245316&lt;/_created&gt;&lt;_date&gt;58857120&lt;/_date&gt;&lt;_db_provider&gt;CNKI: 期刊&lt;/_db_provider&gt;&lt;_db_updated&gt;CNKI - Reference&lt;/_db_updated&gt;&lt;_issue&gt;06&lt;/_issue&gt;&lt;_journal&gt;审计研究&lt;/_journal&gt;&lt;_keywords&gt;机构投资者;事务所选择;审计意见;法制环境&lt;/_keywords&gt;&lt;_language&gt;Chinese&lt;/_language&gt;&lt;_modified&gt;63245316&lt;/_modified&gt;&lt;_pages&gt;82-88&lt;/_pages&gt;&lt;_url&gt;http://kns.cnki.net/KCMS/detail/detail.aspx?FileName=SJYZ201106016&amp;amp;DbName=CJFQ2011&lt;/_url&gt;&lt;_translated_author&gt;Zhang, Min;Feng, Hongqian;Zhang, Wen&lt;/_translated_author&gt;&lt;/Details&gt;&lt;Extra&gt;&lt;DBUID&gt;{E9F07991-3B72-4492-A7D8-86E559D9F8FE}&lt;/DBUID&gt;&lt;/Extra&gt;&lt;/Item&gt;&lt;/References&gt;&lt;/Group&gt;&lt;/Citation&gt;_x000a_"/>
    <w:docVar w:name="NE.Ref{E6EDD172-5D40-44C5-92A7-DC8E4879087A}" w:val=" ADDIN NE.Ref.{E6EDD172-5D40-44C5-92A7-DC8E4879087A}&lt;Citation&gt;&lt;Group&gt;&lt;References&gt;&lt;Item&gt;&lt;ID&gt;46&lt;/ID&gt;&lt;UID&gt;{F8F0E6D0-BF72-4D48-BBAE-CEAD35B61E12}&lt;/UID&gt;&lt;Title&gt;Tax reporting aggressiveness and its relation to aggressive financial reporting&lt;/Title&gt;&lt;Template&gt;Journal Article&lt;/Template&gt;&lt;Star&gt;0&lt;/Star&gt;&lt;Tag&gt;0&lt;/Tag&gt;&lt;Author&gt;Frank, Mary Margaret; Lynch, Luann J; Rego, Sonja Olhoft&lt;/Author&gt;&lt;Year&gt;2009&lt;/Year&gt;&lt;Details&gt;&lt;_alternate_title&gt;The Accounting Review&lt;/_alternate_title&gt;&lt;_created&gt;63224436&lt;/_created&gt;&lt;_date&gt;2009-01-01&lt;/_date&gt;&lt;_date_display&gt;2009&lt;/_date_display&gt;&lt;_impact_factor&gt;   4.562&lt;/_impact_factor&gt;&lt;_isbn&gt;0001-4826&lt;/_isbn&gt;&lt;_issue&gt;2&lt;/_issue&gt;&lt;_journal&gt;The Accounting Review&lt;/_journal&gt;&lt;_modified&gt;63224436&lt;/_modified&gt;&lt;_pages&gt;467-496&lt;/_pages&gt;&lt;_volume&gt;84&lt;/_volume&gt;&lt;/Details&gt;&lt;Extra&gt;&lt;DBUID&gt;{E9F07991-3B72-4492-A7D8-86E559D9F8FE}&lt;/DBUID&gt;&lt;/Extra&gt;&lt;/Item&gt;&lt;/References&gt;&lt;/Group&gt;&lt;/Citation&gt;_x000a_"/>
    <w:docVar w:name="NE.Ref{E7A87211-49F6-4958-9B2E-988D7ABB33A1}" w:val=" ADDIN NE.Ref.{E7A87211-49F6-4958-9B2E-988D7ABB33A1}&lt;Citation SecTmpl=&quot;1&quot;&gt;&lt;Group&gt;&lt;References&gt;&lt;Item&gt;&lt;ID&gt;23&lt;/ID&gt;&lt;UID&gt;{2B51ED49-6648-43C1-8654-C5A66877B0F2}&lt;/UID&gt;&lt;Title&gt;Who&amp;apos;s Really in Charge? Audit Committee versus CFO Power and Audit Fees&lt;/Title&gt;&lt;Template&gt;Journal Article&lt;/Template&gt;&lt;Star&gt;0&lt;/Star&gt;&lt;Tag&gt;0&lt;/Tag&gt;&lt;Author&gt;Beck, Matthew J; Mauldin, Elaine G&lt;/Author&gt;&lt;Year&gt;2014&lt;/Year&gt;&lt;Details&gt;&lt;_accessed&gt;63303329&lt;/_accessed&gt;&lt;_created&gt;61883550&lt;/_created&gt;&lt;_db_provider&gt;EconLit&lt;/_db_provider&gt;&lt;_db_updated&gt;CrossRef&lt;/_db_updated&gt;&lt;_doi&gt;10.2308/accr-50834&lt;/_doi&gt;&lt;_impact_factor&gt;   4.562&lt;/_impact_factor&gt;&lt;_isbn&gt;0001-4826&lt;/_isbn&gt;&lt;_issue&gt;6&lt;/_issue&gt;&lt;_journal&gt;The Accounting Review&lt;/_journal&gt;&lt;_keywords&gt;Audit; Auditor; Northern America; Financing Policy, Financial Risk and Risk Management, Capital and Ownership Structure, Value of Firms, Goodwill (G32); Mergers, Acquisitions, Restructuring, Voting, Proxy Contests, Corporate Governance (G34); U.S; Auditing (M42); Professional fees; Audit committees; Negotiations; Studies; Regulation; Chief financial officers; Accountant independence&lt;/_keywords&gt;&lt;_language&gt;English&lt;/_language&gt;&lt;_modified&gt;62849414&lt;/_modified&gt;&lt;_pages&gt;2057-2085&lt;/_pages&gt;&lt;_place_published&gt;Sarasota&lt;/_place_published&gt;&lt;_tertiary_title&gt;The Accounting Review&lt;/_tertiary_title&gt;&lt;_url&gt;http://aaajournals.org/doi/10.2308/accr-50834_x000d__x000a_http://aaajournals.org/doi/pdf/10.2308/accr-50834&lt;/_url&gt;&lt;_volume&gt;89&lt;/_volume&gt;&lt;/Details&gt;&lt;Extra&gt;&lt;DBUID&gt;{F39B7CD6-A564-402D-BAB5-A18B512BF6EE}&lt;/DBUID&gt;&lt;/Extra&gt;&lt;/Item&gt;&lt;/References&gt;&lt;/Group&gt;&lt;/Citation&gt;_x000a_"/>
    <w:docVar w:name="NE.Ref{E8A8E995-D641-4C43-AA78-970069B427CF}" w:val=" ADDIN NE.Ref.{E8A8E995-D641-4C43-AA78-970069B427CF}&lt;Citation&gt;&lt;Group&gt;&lt;References&gt;&lt;Item&gt;&lt;ID&gt;51&lt;/ID&gt;&lt;UID&gt;{10BB70B6-845D-416E-A753-F4895B7799AA}&lt;/UID&gt;&lt;Title&gt;The deterrent effect of employee whistleblowing on firms&amp;apos; financial misreporting and tax aggressiveness&lt;/Title&gt;&lt;Template&gt;Journal Article&lt;/Template&gt;&lt;Star&gt;0&lt;/Star&gt;&lt;Tag&gt;0&lt;/Tag&gt;&lt;Author&gt;Wilde, Jaron H&lt;/Author&gt;&lt;Year&gt;2017&lt;/Year&gt;&lt;Details&gt;&lt;_alternate_title&gt;The Accounting Review&lt;/_alternate_title&gt;&lt;_created&gt;63224463&lt;/_created&gt;&lt;_date&gt;2017-01-01&lt;/_date&gt;&lt;_date_display&gt;2017&lt;/_date_display&gt;&lt;_isbn&gt;1558-7967&lt;/_isbn&gt;&lt;_issue&gt;5&lt;/_issue&gt;&lt;_journal&gt;The Accounting Review&lt;/_journal&gt;&lt;_modified&gt;63224463&lt;/_modified&gt;&lt;_ori_publication&gt;American Accounting Association&lt;/_ori_publication&gt;&lt;_pages&gt;247-280&lt;/_pages&gt;&lt;_volume&gt;92&lt;/_volume&gt;&lt;/Details&gt;&lt;Extra&gt;&lt;DBUID&gt;{E9F07991-3B72-4492-A7D8-86E559D9F8FE}&lt;/DBUID&gt;&lt;/Extra&gt;&lt;/Item&gt;&lt;/References&gt;&lt;/Group&gt;&lt;/Citation&gt;_x000a_"/>
    <w:docVar w:name="NE.Ref{E911B434-1242-4670-912D-269DB10A27B3}" w:val=" ADDIN NE.Ref.{E911B434-1242-4670-912D-269DB10A27B3}&lt;Citation SecTmpl=&quot;1&quot;&gt;&lt;Group&gt;&lt;References&gt;&lt;Item&gt;&lt;ID&gt;154&lt;/ID&gt;&lt;UID&gt;{5FD0538C-9733-4329-BD22-8787BCD74484}&lt;/UID&gt;&lt;Title&gt;Auditor industry specialization and earnings quality&lt;/Title&gt;&lt;Template&gt;Journal Article&lt;/Template&gt;&lt;Star&gt;0&lt;/Star&gt;&lt;Tag&gt;0&lt;/Tag&gt;&lt;Author&gt;Balsam, Steven; Krishnan, Jagan; Yang, Joon S&lt;/Author&gt;&lt;Year&gt;2003&lt;/Year&gt;&lt;Details&gt;&lt;_accessed&gt;63304409&lt;/_accessed&gt;&lt;_alternate_title&gt;Auditing: A journal of practice &amp;amp; Theory&lt;/_alternate_title&gt;&lt;_created&gt;62475305&lt;/_created&gt;&lt;_date&gt;2003-01-01&lt;/_date&gt;&lt;_date_display&gt;2003&lt;/_date_display&gt;&lt;_impact_factor&gt;   2.642&lt;/_impact_factor&gt;&lt;_isbn&gt;0278-0380&lt;/_isbn&gt;&lt;_issue&gt;2&lt;/_issue&gt;&lt;_journal&gt;Auditing: A journal of practice &amp;amp; Theory&lt;/_journal&gt;&lt;_modified&gt;62979052&lt;/_modified&gt;&lt;_pages&gt;71-97&lt;/_pages&gt;&lt;_volume&gt;22&lt;/_volume&gt;&lt;/Details&gt;&lt;Extra&gt;&lt;DBUID&gt;{2097646C-7C2F-4992-8A9B-6FF23AE7F1B7}&lt;/DBUID&gt;&lt;/Extra&gt;&lt;/Item&gt;&lt;/References&gt;&lt;/Group&gt;&lt;/Citation&gt;_x000a_"/>
    <w:docVar w:name="NE.Ref{E92935B5-1786-41B2-9775-E79334247BBC}" w:val=" ADDIN NE.Ref.{E92935B5-1786-41B2-9775-E79334247BBC}&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E941AEAA-7E99-4949-858C-7582C0005E9E}" w:val=" ADDIN NE.Ref.{E941AEAA-7E99-4949-858C-7582C0005E9E}&lt;Citation SecTmpl=&quot;1&quot;&gt;&lt;Group&gt;&lt;References&gt;&lt;Item&gt;&lt;ID&gt;163&lt;/ID&gt;&lt;UID&gt;{C0C5ED37-7B86-4E00-ACBE-DE591B40F5DC}&lt;/UID&gt;&lt;Title&gt;A review of tax research&lt;/Title&gt;&lt;Template&gt;Journal Article&lt;/Template&gt;&lt;Star&gt;0&lt;/Star&gt;&lt;Tag&gt;0&lt;/Tag&gt;&lt;Author&gt;Hanlon, Michelle; Heitzman, Shane&lt;/Author&gt;&lt;Year&gt;2010&lt;/Year&gt;&lt;Details&gt;&lt;_accessed&gt;61448337&lt;/_accessed&gt;&lt;_created&gt;61396806&lt;/_created&gt;&lt;_db_updated&gt;CrossRef&lt;/_db_updated&gt;&lt;_doi&gt;10.1016/j.jacceco.2010.09.002&lt;/_doi&gt;&lt;_impact_factor&gt;   3.753&lt;/_impact_factor&gt;&lt;_isbn&gt;01654101&lt;/_isbn&gt;&lt;_issue&gt;2-3&lt;/_issue&gt;&lt;_journal&gt;Journal of Accounting and Economics&lt;/_journal&gt;&lt;_modified&gt;63290450&lt;/_modified&gt;&lt;_pages&gt;127-178&lt;/_pages&gt;&lt;_tertiary_title&gt;Journal of Accounting and Economics&lt;/_tertiary_title&gt;&lt;_url&gt;http://linkinghub.elsevier.com/retrieve/pii/S0165410110000340_x000d__x000a_http://api.elsevier.com/content/article/PII:S0165410110000340?httpAccept=text/xml&lt;/_url&gt;&lt;_volume&gt;50&lt;/_volume&gt;&lt;/Details&gt;&lt;Extra&gt;&lt;DBUID&gt;{E9F07991-3B72-4492-A7D8-86E559D9F8FE}&lt;/DBUID&gt;&lt;/Extra&gt;&lt;/Item&gt;&lt;/References&gt;&lt;/Group&gt;&lt;/Citation&gt;_x000a_"/>
    <w:docVar w:name="NE.Ref{E96ECDE4-2CD9-47FF-B3EE-E5FB3E99B358}" w:val=" ADDIN NE.Ref.{E96ECDE4-2CD9-47FF-B3EE-E5FB3E99B358}&lt;Citation SecTmpl=&quot;1&quot;&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E97E61F6-2DD5-4ACD-BD97-206B059E04D8}" w:val=" ADDIN NE.Ref.{E97E61F6-2DD5-4ACD-BD97-206B059E04D8}&lt;Citation SecTmpl=&quot;1&quot;&gt;&lt;Group&gt;&lt;References&gt;&lt;Item&gt;&lt;ID&gt;35&lt;/ID&gt;&lt;UID&gt;{29AE6756-E64F-4449-BDF7-39A6C7C8F394}&lt;/UID&gt;&lt;Title&gt;Stock liquidity and corporate tax avoidance&lt;/Title&gt;&lt;Template&gt;Journal Article&lt;/Template&gt;&lt;Star&gt;0&lt;/Star&gt;&lt;Tag&gt;0&lt;/Tag&gt;&lt;Author&gt;Chen, Yangyang; Ge, Rui; Louis, Henock; Zolotoy, Leon&lt;/Author&gt;&lt;Year&gt;2019&lt;/Year&gt;&lt;Details&gt;&lt;_accessed&gt;63309111&lt;/_accessed&gt;&lt;_collection_scope&gt;SSCI&lt;/_collection_scope&gt;&lt;_created&gt;62740296&lt;/_created&gt;&lt;_db_updated&gt;CrossRef&lt;/_db_updated&gt;&lt;_doi&gt;10.1007/s11142-018-9479-6&lt;/_doi&gt;&lt;_impact_factor&gt;   2.108&lt;/_impact_factor&gt;&lt;_isbn&gt;1380-6653&lt;/_isbn&gt;&lt;_issue&gt;1&lt;/_issue&gt;&lt;_journal&gt;Review of Accounting Studies&lt;/_journal&gt;&lt;_modified&gt;62861546&lt;/_modified&gt;&lt;_pages&gt;309-340&lt;/_pages&gt;&lt;_tertiary_title&gt;Rev Account Stud&lt;/_tertiary_title&gt;&lt;_url&gt;http://link.springer.com/10.1007/s11142-018-9479-6_x000d__x000a_http://link.springer.com/content/pdf/10.1007/s11142-018-9479-6.pdf&lt;/_url&gt;&lt;_volume&gt;24&lt;/_volume&gt;&lt;/Details&gt;&lt;Extra&gt;&lt;DBUID&gt;{D2579611-BF89-4C7B-83D9-BE1288535D97}&lt;/DBUID&gt;&lt;/Extra&gt;&lt;/Item&gt;&lt;/References&gt;&lt;/Group&gt;&lt;/Citation&gt;_x000a_"/>
    <w:docVar w:name="NE.Ref{EB3D1EC1-ECCD-40BE-BF66-257AD70FB944}" w:val=" ADDIN NE.Ref.{EB3D1EC1-ECCD-40BE-BF66-257AD70FB944}&lt;Citation&gt;&lt;Group&gt;&lt;References&gt;&lt;Item&gt;&lt;ID&gt;5&lt;/ID&gt;&lt;UID&gt;{C8C23CCF-9B62-48AF-8363-6DD252760CB7}&lt;/UID&gt;&lt;Title&gt;年报语调与内部人交易:“表里如一”还是“口是心非”?&lt;/Title&gt;&lt;Template&gt;Journal Article&lt;/Template&gt;&lt;Star&gt;0&lt;/Star&gt;&lt;Tag&gt;0&lt;/Tag&gt;&lt;Author&gt;曾庆生; 周波; 张程; 陈信元&lt;/Author&gt;&lt;Year&gt;2018&lt;/Year&gt;&lt;Details&gt;&lt;_accessed&gt;63270278&lt;/_accessed&gt;&lt;_author_aff&gt;上海财经大学会计学院;&lt;/_author_aff&gt;&lt;_collection_scope&gt;CSSCI-C;PKU&lt;/_collection_scope&gt;&lt;_created&gt;63097440&lt;/_created&gt;&lt;_date&gt;62432640&lt;/_date&gt;&lt;_db_provider&gt;CNKI: 期刊&lt;/_db_provider&gt;&lt;_db_updated&gt;CNKI - Reference&lt;/_db_updated&gt;&lt;_issue&gt;09&lt;/_issue&gt;&lt;_journal&gt;管理世界&lt;/_journal&gt;&lt;_keywords&gt;年报;语调管理;内部人交易;信息不对称&lt;/_keywords&gt;&lt;_language&gt;Chinese&lt;/_language&gt;&lt;_modified&gt;63270278&lt;/_modified&gt;&lt;_pages&gt;143-160&lt;/_pages&gt;&lt;_url&gt;http://kns.cnki.net/KCMS/detail/detail.aspx?FileName=GLSJ201809015&amp;amp;DbName=CJFQ2018&lt;/_url&gt;&lt;_volume&gt;34&lt;/_volume&gt;&lt;_translated_author&gt;Ceng, Qingsheng;Zhou, Bo;Zhang, Cheng;Chen, Xinyuan&lt;/_translated_author&gt;&lt;/Details&gt;&lt;Extra&gt;&lt;DBUID&gt;{439358B4-FA18-4C63-A3A1-0E3BE4066E7A}&lt;/DBUID&gt;&lt;/Extra&gt;&lt;/Item&gt;&lt;/References&gt;&lt;/Group&gt;&lt;/Citation&gt;_x000a_"/>
    <w:docVar w:name="NE.Ref{EB400D1A-E5AA-4EF5-83AE-59188B1D40C4}" w:val=" ADDIN NE.Ref.{EB400D1A-E5AA-4EF5-83AE-59188B1D40C4}&lt;Citation&gt;&lt;Group&gt;&lt;References&gt;&lt;Item&gt;&lt;ID&gt;114&lt;/ID&gt;&lt;UID&gt;{0E4F9C58-C345-46D1-A2FF-01C47173376B}&lt;/UID&gt;&lt;Title&gt;大股东资金占用、外部审计与公司治理&lt;/Title&gt;&lt;Template&gt;Journal Article&lt;/Template&gt;&lt;Star&gt;0&lt;/Star&gt;&lt;Tag&gt;0&lt;/Tag&gt;&lt;Author&gt;杜兴强; 郭剑花; 雷宇&lt;/Author&gt;&lt;Year&gt;2010&lt;/Year&gt;&lt;Details&gt;&lt;_accessed&gt;63241051&lt;/_accessed&gt;&lt;_author_aff&gt;厦门大学管理学院;&lt;/_author_aff&gt;&lt;_collection_scope&gt;CSSCI-C&lt;/_collection_scope&gt;&lt;_created&gt;63240989&lt;/_created&gt;&lt;_date&gt;57860640&lt;/_date&gt;&lt;_db_provider&gt;CNKI: 期刊&lt;/_db_provider&gt;&lt;_db_updated&gt;CNKI - Reference&lt;/_db_updated&gt;&lt;_issue&gt;01&lt;/_issue&gt;&lt;_journal&gt;经济管理&lt;/_journal&gt;&lt;_keywords&gt;大股东资金占用;掏空;外部审计;公司治理&lt;/_keywords&gt;&lt;_language&gt;Chinese&lt;/_language&gt;&lt;_modified&gt;63241051&lt;/_modified&gt;&lt;_pages&gt;111-117&lt;/_pages&gt;&lt;_url&gt;http://kns.cnki.net/KCMS/detail/detail.aspx?FileName=JJGU201001020&amp;amp;DbName=CJFQ2010&lt;/_url&gt;&lt;_volume&gt;32&lt;/_volume&gt;&lt;_translated_author&gt;Du, Xingqiang;Guo, Jianhua;Lei, Yu&lt;/_translated_author&gt;&lt;/Details&gt;&lt;Extra&gt;&lt;DBUID&gt;{E9F07991-3B72-4492-A7D8-86E559D9F8FE}&lt;/DBUID&gt;&lt;/Extra&gt;&lt;/Item&gt;&lt;/References&gt;&lt;/Group&gt;&lt;/Citation&gt;_x000a_"/>
    <w:docVar w:name="NE.Ref{EBBE7933-92F7-4150-BCEC-D88DC430CFDD}" w:val=" ADDIN NE.Ref.{EBBE7933-92F7-4150-BCEC-D88DC430CFDD}&lt;Citation&gt;&lt;Group&gt;&lt;References&gt;&lt;Item&gt;&lt;ID&gt;53&lt;/ID&gt;&lt;UID&gt;{D08EF725-5726-4C98-9D3F-14457B697800}&lt;/UID&gt;&lt;Title&gt;Why do insiders trade? Evidence based on unique data on Swedish insiders&lt;/Title&gt;&lt;Template&gt;Journal Article&lt;/Template&gt;&lt;Star&gt;0&lt;/Star&gt;&lt;Tag&gt;0&lt;/Tag&gt;&lt;Author&gt;Kallunki, Juha-Pekka; Nilsson, Henrik; Hellström, Jörgen&lt;/Author&gt;&lt;Year&gt;2009&lt;/Year&gt;&lt;Details&gt;&lt;_accessed&gt;63269902&lt;/_accessed&gt;&lt;_alternate_title&gt;Journal of Accounting and Economics&lt;/_alternate_title&gt;&lt;_created&gt;63268440&lt;/_created&gt;&lt;_date&gt;2009-01-01&lt;/_date&gt;&lt;_date_display&gt;2009&lt;/_date_display&gt;&lt;_impact_factor&gt;   3.753&lt;/_impact_factor&gt;&lt;_isbn&gt;0165-4101&lt;/_isbn&gt;&lt;_issue&gt;1&lt;/_issue&gt;&lt;_journal&gt;Journal of Accounting and Economics&lt;/_journal&gt;&lt;_modified&gt;63269902&lt;/_modified&gt;&lt;_ori_publication&gt;Elsevier&lt;/_ori_publication&gt;&lt;_pages&gt;37-53&lt;/_pages&gt;&lt;_volume&gt;48&lt;/_volume&gt;&lt;/Details&gt;&lt;Extra&gt;&lt;DBUID&gt;{439358B4-FA18-4C63-A3A1-0E3BE4066E7A}&lt;/DBUID&gt;&lt;/Extra&gt;&lt;/Item&gt;&lt;/References&gt;&lt;/Group&gt;&lt;/Citation&gt;_x000a_"/>
    <w:docVar w:name="NE.Ref{EC7A4ECA-F430-40A2-BB28-12E053D7A7BF}" w:val=" ADDIN NE.Ref.{EC7A4ECA-F430-40A2-BB28-12E053D7A7BF}&lt;Citation&gt;&lt;Group&gt;&lt;References&gt;&lt;Item&gt;&lt;ID&gt;1&lt;/ID&gt;&lt;UID&gt;{85E23C2C-8AD3-4877-BB81-D334E700AAFA}&lt;/UID&gt;&lt;Title&gt;Earnings management, audit adjustments, and the financing of corporate acquisitions: Evidence from China&lt;/Title&gt;&lt;Template&gt;Journal Article&lt;/Template&gt;&lt;Star&gt;0&lt;/Star&gt;&lt;Tag&gt;0&lt;/Tag&gt;&lt;Author&gt;Lennox, Clive; Wang, Zi-Tian; Wu, Xi&lt;/Author&gt;&lt;Year&gt;2018&lt;/Year&gt;&lt;Details&gt;&lt;_accessed&gt;63319095&lt;/_accessed&gt;&lt;_alternate_title&gt;Journal of accounting and economics&lt;/_alternate_title&gt;&lt;_created&gt;63128816&lt;/_created&gt;&lt;_date&gt;2018-01-01&lt;/_date&gt;&lt;_date_display&gt;2018&lt;/_date_display&gt;&lt;_impact_factor&gt;   3.753&lt;/_impact_factor&gt;&lt;_isbn&gt;0165-4101&lt;/_isbn&gt;&lt;_issue&gt;1&lt;/_issue&gt;&lt;_journal&gt;Journal of accounting and economics&lt;/_journal&gt;&lt;_modified&gt;63319095&lt;/_modified&gt;&lt;_ori_publication&gt;Elsevier&lt;/_ori_publication&gt;&lt;_pages&gt;21-40&lt;/_pages&gt;&lt;_volume&gt;65&lt;/_volume&gt;&lt;/Details&gt;&lt;Extra&gt;&lt;DBUID&gt;{E9F07991-3B72-4492-A7D8-86E559D9F8FE}&lt;/DBUID&gt;&lt;/Extra&gt;&lt;/Item&gt;&lt;/References&gt;&lt;/Group&gt;&lt;/Citation&gt;_x000a_"/>
    <w:docVar w:name="NE.Ref{EC8218E3-F2BE-4C66-A866-E6AE07148F69}" w:val=" ADDIN NE.Ref.{EC8218E3-F2BE-4C66-A866-E6AE07148F69}&lt;Citation SecTmpl=&quot;1&quot;&gt;&lt;Group&gt;&lt;References&gt;&lt;Item&gt;&lt;ID&gt;129&lt;/ID&gt;&lt;UID&gt;{E07C49E0-919A-4B4B-9E58-500099B8890F}&lt;/UID&gt;&lt;Title&gt;大股东资金占用与审计师选择的再检验&lt;/Title&gt;&lt;Template&gt;Journal Article&lt;/Template&gt;&lt;Star&gt;0&lt;/Star&gt;&lt;Tag&gt;0&lt;/Tag&gt;&lt;Author&gt;高强; 伍利娜&lt;/Author&gt;&lt;Year&gt;2007&lt;/Year&gt;&lt;Details&gt;&lt;_accessed&gt;63241053&lt;/_accessed&gt;&lt;_author_aff&gt;财政部人事教育司;北京大学光华管理学院;&lt;/_author_aff&gt;&lt;_collection_scope&gt;CSSCI-C;PKU&lt;/_collection_scope&gt;&lt;_created&gt;63241052&lt;/_created&gt;&lt;_date&gt;56665440&lt;/_date&gt;&lt;_db_provider&gt;CNKI: 期刊&lt;/_db_provider&gt;&lt;_db_updated&gt;CNKI - Reference&lt;/_db_updated&gt;&lt;_issue&gt;05&lt;/_issue&gt;&lt;_journal&gt;审计研究&lt;/_journal&gt;&lt;_keywords&gt;大股东资金占用;审计;代理理论&lt;/_keywords&gt;&lt;_language&gt;Chinese&lt;/_language&gt;&lt;_modified&gt;63241053&lt;/_modified&gt;&lt;_pages&gt;84-90&lt;/_pages&gt;&lt;_url&gt;http://kns.cnki.net/KCMS/detail/detail.aspx?FileName=SJYZ200705020&amp;amp;DbName=CJFQ2007&lt;/_url&gt;&lt;_translated_author&gt;Gao, Qiang;Wu, Lina&lt;/_translated_author&gt;&lt;/Details&gt;&lt;Extra&gt;&lt;DBUID&gt;{E9F07991-3B72-4492-A7D8-86E559D9F8FE}&lt;/DBUID&gt;&lt;/Extra&gt;&lt;/Item&gt;&lt;/References&gt;&lt;/Group&gt;&lt;/Citation&gt;_x000a_"/>
    <w:docVar w:name="NE.Ref{ECF06530-A8F8-4C60-94AD-AD7F088A56E0}" w:val=" ADDIN NE.Ref.{ECF06530-A8F8-4C60-94AD-AD7F088A56E0}&lt;Citation&gt;&lt;Group&gt;&lt;References&gt;&lt;Item&gt;&lt;ID&gt;70&lt;/ID&gt;&lt;UID&gt;{A5423FCF-B621-4EE7-B6E4-2CF525BCEE1C}&lt;/UID&gt;&lt;Title&gt;Relation between auditor quality and tax aggressiveness: Implications of cross-country institutional differences&lt;/Title&gt;&lt;Template&gt;Journal Article&lt;/Template&gt;&lt;Star&gt;0&lt;/Star&gt;&lt;Tag&gt;0&lt;/Tag&gt;&lt;Author&gt;Kanagaretnam, Kiridaran; Lee, Jimmy; Lim, Chee Yeow; Lobo, Gerald J&lt;/Author&gt;&lt;Year&gt;2016&lt;/Year&gt;&lt;Details&gt;&lt;_alternate_title&gt;Auditing: A Journal of Practice &amp;amp; Theory&lt;/_alternate_title&gt;&lt;_created&gt;63228061&lt;/_created&gt;&lt;_date&gt;2016-01-01&lt;/_date&gt;&lt;_date_display&gt;2016&lt;/_date_display&gt;&lt;_isbn&gt;1558-7991&lt;/_isbn&gt;&lt;_issue&gt;4&lt;/_issue&gt;&lt;_journal&gt;Auditing: A Journal of Practice &amp;amp; Theory&lt;/_journal&gt;&lt;_modified&gt;63228061&lt;/_modified&gt;&lt;_ori_publication&gt;American Accounting Association&lt;/_ori_publication&gt;&lt;_pages&gt;105-135&lt;/_pages&gt;&lt;_volume&gt;35&lt;/_volume&gt;&lt;/Details&gt;&lt;Extra&gt;&lt;DBUID&gt;{E9F07991-3B72-4492-A7D8-86E559D9F8FE}&lt;/DBUID&gt;&lt;/Extra&gt;&lt;/Item&gt;&lt;/References&gt;&lt;/Group&gt;&lt;/Citation&gt;_x000a_"/>
    <w:docVar w:name="NE.Ref{ED225882-42E7-47E2-9189-AB04BA4FC13E}" w:val=" ADDIN NE.Ref.{ED225882-42E7-47E2-9189-AB04BA4FC13E}&lt;Citation SecTmpl=&quot;1&quot;&gt;&lt;Group&gt;&lt;References&gt;&lt;Item&gt;&lt;ID&gt;4&lt;/ID&gt;&lt;UID&gt;{6D528763-AF6F-4047-B1E7-14D45D1FF859}&lt;/UID&gt;&lt;Title&gt;On the benefits of audit market consolidation: Evidence from merged audit firms&lt;/Title&gt;&lt;Template&gt;Journal Article&lt;/Template&gt;&lt;Star&gt;0&lt;/Star&gt;&lt;Tag&gt;0&lt;/Tag&gt;&lt;Author&gt;Gong, Qihui; Li, Oliver Zhen; Lin, Yupeng; Wu, Liansheng&lt;/Author&gt;&lt;Year&gt;2015&lt;/Year&gt;&lt;Details&gt;&lt;_alternate_title&gt;The Accounting Review&lt;/_alternate_title&gt;&lt;_created&gt;63130137&lt;/_created&gt;&lt;_date&gt;2015-01-01&lt;/_date&gt;&lt;_date_display&gt;2015&lt;/_date_display&gt;&lt;_isbn&gt;1558-7967&lt;/_isbn&gt;&lt;_issue&gt;2&lt;/_issue&gt;&lt;_journal&gt;The Accounting Review&lt;/_journal&gt;&lt;_modified&gt;63130137&lt;/_modified&gt;&lt;_ori_publication&gt;American Accounting Association&lt;/_ori_publication&gt;&lt;_pages&gt;463-488&lt;/_pages&gt;&lt;_volume&gt;91&lt;/_volume&gt;&lt;/Details&gt;&lt;Extra&gt;&lt;DBUID&gt;{E9F07991-3B72-4492-A7D8-86E559D9F8FE}&lt;/DBUID&gt;&lt;/Extra&gt;&lt;/Item&gt;&lt;/References&gt;&lt;/Group&gt;&lt;/Citation&gt;_x000a_"/>
    <w:docVar w:name="NE.Ref{EE89A665-3522-4280-A07A-08434659057D}" w:val=" ADDIN NE.Ref.{EE89A665-3522-4280-A07A-08434659057D}&lt;Citation&gt;&lt;Group&gt;&lt;References&gt;&lt;Item&gt;&lt;ID&gt;142&lt;/ID&gt;&lt;UID&gt;{66789C62-161C-4C06-9137-0E6FCFE96E00}&lt;/UID&gt;&lt;Title&gt;Audit Partner Tenure and Audit Quality&lt;/Title&gt;&lt;Template&gt;Journal Article&lt;/Template&gt;&lt;Star&gt;0&lt;/Star&gt;&lt;Tag&gt;0&lt;/Tag&gt;&lt;Author&gt;Carey, Peter; Simnett, Roger&lt;/Author&gt;&lt;Year&gt;2006&lt;/Year&gt;&lt;Details&gt;&lt;_accessed&gt;62681228&lt;/_accessed&gt;&lt;_collection_scope&gt;SSCI;&lt;/_collection_scope&gt;&lt;_created&gt;62474013&lt;/_created&gt;&lt;_impact_factor&gt;   4.562&lt;/_impact_factor&gt;&lt;_issue&gt;3&lt;/_issue&gt;&lt;_journal&gt;Accounting Review&lt;/_journal&gt;&lt;_keywords&gt;Audit Partner Tenure;Audit Quality;Qualifications;Earnings Management&lt;/_keywords&gt;&lt;_modified&gt;62872456&lt;/_modified&gt;&lt;_pages&gt;653-676&lt;/_pages&gt;&lt;_volume&gt;81&lt;/_volume&gt;&lt;/Details&gt;&lt;Extra&gt;&lt;DBUID&gt;{2097646C-7C2F-4992-8A9B-6FF23AE7F1B7}&lt;/DBUID&gt;&lt;/Extra&gt;&lt;/Item&gt;&lt;/References&gt;&lt;/Group&gt;&lt;Group&gt;&lt;References&gt;&lt;Item&gt;&lt;ID&gt;143&lt;/ID&gt;&lt;UID&gt;{61626F15-AC18-4C11-BA1C-2D131BF189D3}&lt;/UID&gt;&lt;Title&gt;Auditor Tenure and the Ability to Meet or Beat Earnings Forecasts&lt;/Title&gt;&lt;Template&gt;Journal Article&lt;/Template&gt;&lt;Star&gt;0&lt;/Star&gt;&lt;Tag&gt;0&lt;/Tag&gt;&lt;Author&gt;Davis, Larry R; Soo, Billy S; Trompeter, Gregory M&lt;/Author&gt;&lt;Year&gt;2009&lt;/Year&gt;&lt;Details&gt;&lt;_collection_scope&gt;SSCI;&lt;/_collection_scope&gt;&lt;_created&gt;62474013&lt;/_created&gt;&lt;_impact_factor&gt;   2.261&lt;/_impact_factor&gt;&lt;_issue&gt;2&lt;/_issue&gt;&lt;_journal&gt;Contemporary Accounting Research&lt;/_journal&gt;&lt;_keywords&gt;auditor tenure;analysts forecasts;earnings management;discretionary accruals&lt;/_keywords&gt;&lt;_modified&gt;62872438&lt;/_modified&gt;&lt;_pages&gt;517&amp;amp;ndash;548&lt;/_pages&gt;&lt;_volume&gt;26&lt;/_volume&gt;&lt;/Details&gt;&lt;Extra&gt;&lt;DBUID&gt;{2097646C-7C2F-4992-8A9B-6FF23AE7F1B7}&lt;/DBUID&gt;&lt;/Extra&gt;&lt;/Item&gt;&lt;/References&gt;&lt;/Group&gt;&lt;Group&gt;&lt;References&gt;&lt;Item&gt;&lt;ID&gt;144&lt;/ID&gt;&lt;UID&gt;{782E7116-71BE-4E81-A7BC-315F35FECCF2}&lt;/UID&gt;&lt;Title&gt;The Association between Audit‐Firm Tenure and Audit Fees Paid to Successor Auditors: Evidence from Arthur Andersen&lt;/Title&gt;&lt;Template&gt;Journal Article&lt;/Template&gt;&lt;Star&gt;0&lt;/Star&gt;&lt;Tag&gt;0&lt;/Tag&gt;&lt;Author&gt;Kealey, Burch T; Lee, Ho Young; Stein, Michael T&lt;/Author&gt;&lt;Year&gt;2011&lt;/Year&gt;&lt;Details&gt;&lt;_created&gt;62474013&lt;/_created&gt;&lt;_issue&gt;2&lt;/_issue&gt;&lt;_journal&gt;Auditing A Journal of Practice &amp;amp; Theory&lt;/_journal&gt;&lt;_keywords&gt;auditor tenure;Andersen clients;audit fees;audit risk&lt;/_keywords&gt;&lt;_modified&gt;62544143&lt;/_modified&gt;&lt;_pages&gt;95-116&lt;/_pages&gt;&lt;_volume&gt;26&lt;/_volume&gt;&lt;/Details&gt;&lt;Extra&gt;&lt;DBUID&gt;{2097646C-7C2F-4992-8A9B-6FF23AE7F1B7}&lt;/DBUID&gt;&lt;/Extra&gt;&lt;/Item&gt;&lt;/References&gt;&lt;/Group&gt;&lt;/Citation&gt;_x000a_"/>
    <w:docVar w:name="NE.Ref{EE940C0A-82D0-4B27-AE34-C4D59B74EFF0}" w:val=" ADDIN NE.Ref.{EE940C0A-82D0-4B27-AE34-C4D59B74EFF0}&lt;Citation SecTmpl=&quot;1&quot;&gt;&lt;Group&gt;&lt;References&gt;&lt;Item&gt;&lt;ID&gt;55&lt;/ID&gt;&lt;UID&gt;{E458AB47-9FDD-4B47-8574-F6D4AA49E9FC}&lt;/UID&gt;&lt;Title&gt;Auditor choice and its implications for group‐affiliated firms&lt;/Title&gt;&lt;Template&gt;Journal Article&lt;/Template&gt;&lt;Star&gt;0&lt;/Star&gt;&lt;Tag&gt;0&lt;/Tag&gt;&lt;Author&gt;Fang, Junxiong; Pittman, Jeffrey; Zhang, Yinqi; Zhao, Yuping&lt;/Author&gt;&lt;Year&gt;2017&lt;/Year&gt;&lt;Details&gt;&lt;_alternate_title&gt;Contemporary Accounting Research&lt;/_alternate_title&gt;&lt;_collection_scope&gt;SSCI&lt;/_collection_scope&gt;&lt;_created&gt;63225156&lt;/_created&gt;&lt;_date&gt;2017-01-01&lt;/_date&gt;&lt;_date_display&gt;2017&lt;/_date_display&gt;&lt;_impact_factor&gt;   2.261&lt;/_impact_factor&gt;&lt;_isbn&gt;0823-9150&lt;/_isbn&gt;&lt;_issue&gt;1&lt;/_issue&gt;&lt;_journal&gt;Contemporary Accounting Research&lt;/_journal&gt;&lt;_modified&gt;63225156&lt;/_modified&gt;&lt;_ori_publication&gt;Wiley Online Library&lt;/_ori_publication&gt;&lt;_pages&gt;39-82&lt;/_pages&gt;&lt;_volume&gt;34&lt;/_volume&gt;&lt;/Details&gt;&lt;Extra&gt;&lt;DBUID&gt;{E9F07991-3B72-4492-A7D8-86E559D9F8FE}&lt;/DBUID&gt;&lt;/Extra&gt;&lt;/Item&gt;&lt;/References&gt;&lt;/Group&gt;&lt;/Citation&gt;_x000a_"/>
    <w:docVar w:name="NE.Ref{EEE6186E-4AAC-45B6-973B-0A8519AFF065}" w:val=" ADDIN NE.Ref.{EEE6186E-4AAC-45B6-973B-0A8519AFF065}&lt;Citation&gt;&lt;Group&gt;&lt;References&gt;&lt;Item&gt;&lt;ID&gt;223&lt;/ID&gt;&lt;UID&gt;{A86A8201-A4E2-42BD-9DC3-9F6840B69D0A}&lt;/UID&gt;&lt;Title&gt;Client importance, nonaudit services, and abnormal accruals&lt;/Title&gt;&lt;Template&gt;Journal Article&lt;/Template&gt;&lt;Star&gt;0&lt;/Star&gt;&lt;Tag&gt;0&lt;/Tag&gt;&lt;Author&gt;Chung, Hyeesoo; Kallapur, Sanjay&lt;/Author&gt;&lt;Year&gt;2003&lt;/Year&gt;&lt;Details&gt;&lt;_accessed&gt;63303284&lt;/_accessed&gt;&lt;_alternate_title&gt;The Accounting Review&lt;/_alternate_title&gt;&lt;_created&gt;62928622&lt;/_created&gt;&lt;_date&gt;2003-01-01&lt;/_date&gt;&lt;_date_display&gt;2003&lt;/_date_display&gt;&lt;_impact_factor&gt;   4.562&lt;/_impact_factor&gt;&lt;_isbn&gt;0001-4826&lt;/_isbn&gt;&lt;_issue&gt;4&lt;/_issue&gt;&lt;_journal&gt;The Accounting Review&lt;/_journal&gt;&lt;_modified&gt;63218050&lt;/_modified&gt;&lt;_pages&gt;931-955&lt;/_pages&gt;&lt;_volume&gt;78&lt;/_volume&gt;&lt;/Details&gt;&lt;Extra&gt;&lt;DBUID&gt;{2097646C-7C2F-4992-8A9B-6FF23AE7F1B7}&lt;/DBUID&gt;&lt;/Extra&gt;&lt;/Item&gt;&lt;/References&gt;&lt;/Group&gt;&lt;Group&gt;&lt;References&gt;&lt;Item&gt;&lt;ID&gt;26&lt;/ID&gt;&lt;UID&gt;{BF5746CE-36DD-4E09-B2F6-7DE5314FE36C}&lt;/UID&gt;&lt;Title&gt;Auditor independence and fee dependence&lt;/Title&gt;&lt;Template&gt;Journal Article&lt;/Template&gt;&lt;Star&gt;0&lt;/Star&gt;&lt;Tag&gt;0&lt;/Tag&gt;&lt;Author&gt;Craswell, Allen; Stokes, Donald J; Laughton, Janet&lt;/Author&gt;&lt;Year&gt;2002&lt;/Year&gt;&lt;Details&gt;&lt;_alternate_title&gt;Journal of Accounting and Economics&lt;/_alternate_title&gt;&lt;_created&gt;63219549&lt;/_created&gt;&lt;_date&gt;2002-01-01&lt;/_date&gt;&lt;_date_display&gt;2002&lt;/_date_display&gt;&lt;_impact_factor&gt;   3.753&lt;/_impact_factor&gt;&lt;_isbn&gt;0165-4101&lt;/_isbn&gt;&lt;_issue&gt;2&lt;/_issue&gt;&lt;_journal&gt;Journal of Accounting and Economics&lt;/_journal&gt;&lt;_modified&gt;63219549&lt;/_modified&gt;&lt;_ori_publication&gt;Elsevier&lt;/_ori_publication&gt;&lt;_pages&gt;253-275&lt;/_pages&gt;&lt;_volume&gt;33&lt;/_volume&gt;&lt;/Details&gt;&lt;Extra&gt;&lt;DBUID&gt;{E9F07991-3B72-4492-A7D8-86E559D9F8FE}&lt;/DBUID&gt;&lt;/Extra&gt;&lt;/Item&gt;&lt;/References&gt;&lt;/Group&gt;&lt;Group&gt;&lt;References&gt;&lt;Item&gt;&lt;ID&gt;13&lt;/ID&gt;&lt;UID&gt;{A5099B35-BA8E-417D-A149-51111DDB8654}&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2751448&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3218053&lt;/_modified&gt;&lt;_pages&gt;127-158&lt;/_pages&gt;&lt;_volume&gt;85&lt;/_volume&gt;&lt;/Details&gt;&lt;Extra&gt;&lt;DBUID&gt;{E9F07991-3B72-4492-A7D8-86E559D9F8FE}&lt;/DBUID&gt;&lt;/Extra&gt;&lt;/Item&gt;&lt;/References&gt;&lt;/Group&gt;&lt;Group&gt;&lt;References&gt;&lt;Item&gt;&lt;ID&gt;25&lt;/ID&gt;&lt;UID&gt;{8F43A1BD-0102-439A-BB61-B93C06EFD60B}&lt;/UID&gt;&lt;Title&gt;Does size matter? The influence of large clients on office-level auditor reporting decisions&lt;/Title&gt;&lt;Template&gt;Journal Article&lt;/Template&gt;&lt;Star&gt;0&lt;/Star&gt;&lt;Tag&gt;0&lt;/Tag&gt;&lt;Author&gt;Reynolds, J Kenneth; Francis, Jere R&lt;/Author&gt;&lt;Year&gt;2000&lt;/Year&gt;&lt;Details&gt;&lt;_alternate_title&gt;Journal of accounting and economics&lt;/_alternate_title&gt;&lt;_created&gt;63219544&lt;/_created&gt;&lt;_date&gt;2000-01-01&lt;/_date&gt;&lt;_date_display&gt;2000&lt;/_date_display&gt;&lt;_impact_factor&gt;   3.753&lt;/_impact_factor&gt;&lt;_isbn&gt;0165-4101&lt;/_isbn&gt;&lt;_issue&gt;3&lt;/_issue&gt;&lt;_journal&gt;Journal of accounting and economics&lt;/_journal&gt;&lt;_modified&gt;63219544&lt;/_modified&gt;&lt;_ori_publication&gt;Elsevier&lt;/_ori_publication&gt;&lt;_pages&gt;375-400&lt;/_pages&gt;&lt;_volume&gt;30&lt;/_volume&gt;&lt;/Details&gt;&lt;Extra&gt;&lt;DBUID&gt;{E9F07991-3B72-4492-A7D8-86E559D9F8FE}&lt;/DBUID&gt;&lt;/Extra&gt;&lt;/Item&gt;&lt;/References&gt;&lt;/Group&gt;&lt;Group&gt;&lt;References&gt;&lt;Item&gt;&lt;ID&gt;15&lt;/ID&gt;&lt;UID&gt;{E929BB2F-8CD6-48D3-98F6-D4A48FA1FEDE}&lt;/UID&gt;&lt;Title&gt;客户重要性、风险性质与审计质量——基于财务重述视角的经验证据&lt;/Title&gt;&lt;Template&gt;Journal Article&lt;/Template&gt;&lt;Star&gt;0&lt;/Star&gt;&lt;Tag&gt;0&lt;/Tag&gt;&lt;Author&gt;曹强; 胡南薇; 王良成&lt;/Author&gt;&lt;Year&gt;2012&lt;/Year&gt;&lt;Details&gt;&lt;_accessed&gt;63218058&lt;/_accessed&gt;&lt;_author_aff&gt;中央财经大学会计学院;中国矿业大学(北京)管理学院;四川大学工商管理学院;&lt;/_author_aff&gt;&lt;_collection_scope&gt;CSSCI-C;PKU&lt;/_collection_scope&gt;&lt;_created&gt;63218058&lt;/_created&gt;&lt;_date&gt;59384160&lt;/_date&gt;&lt;_db_provider&gt;CNKI: 期刊&lt;/_db_provider&gt;&lt;_db_updated&gt;CNKI - Reference&lt;/_db_updated&gt;&lt;_issue&gt;06&lt;/_issue&gt;&lt;_journal&gt;审计研究&lt;/_journal&gt;&lt;_keywords&gt;客户重要性;财务重述;审计意见;风险性质&lt;/_keywords&gt;&lt;_language&gt;Chinese&lt;/_language&gt;&lt;_modified&gt;63218058&lt;/_modified&gt;&lt;_pages&gt;60-70&lt;/_pages&gt;&lt;_url&gt;http://kns.cnki.net/KCMS/detail/detail.aspx?FileName=SJYZ201206010&amp;amp;DbName=CJFQ2012&lt;/_url&gt;&lt;_translated_author&gt;Cao, Qiang;Hu, Nanwei;Wang, Liangcheng&lt;/_translated_author&gt;&lt;/Details&gt;&lt;Extra&gt;&lt;DBUID&gt;{E9F07991-3B72-4492-A7D8-86E559D9F8FE}&lt;/DBUID&gt;&lt;/Extra&gt;&lt;/Item&gt;&lt;/References&gt;&lt;/Group&gt;&lt;/Citation&gt;_x000a_"/>
    <w:docVar w:name="NE.Ref{F11F7FBE-F22D-42A6-B2AF-9C976D53F16F}" w:val=" ADDIN NE.Ref.{F11F7FBE-F22D-42A6-B2AF-9C976D53F16F}&lt;Citation&gt;&lt;Group&gt;&lt;References&gt;&lt;Item&gt;&lt;ID&gt;65&lt;/ID&gt;&lt;UID&gt;{8BCF9720-2BE7-4C5D-B825-1CD0C4185311}&lt;/UID&gt;&lt;Title&gt;Insider trading laws and stock price informativeness&lt;/Title&gt;&lt;Template&gt;Journal Article&lt;/Template&gt;&lt;Star&gt;0&lt;/Star&gt;&lt;Tag&gt;0&lt;/Tag&gt;&lt;Author&gt;Fernandes, Nuno; Ferreira, Miguel A&lt;/Author&gt;&lt;Year&gt;2009&lt;/Year&gt;&lt;Details&gt;&lt;_alternate_title&gt;The Review of Financial Studies&lt;/_alternate_title&gt;&lt;_created&gt;63285776&lt;/_created&gt;&lt;_date&gt;2009-01-01&lt;/_date&gt;&lt;_date_display&gt;2009&lt;/_date_display&gt;&lt;_isbn&gt;1465-7368&lt;/_isbn&gt;&lt;_issue&gt;5&lt;/_issue&gt;&lt;_journal&gt;The Review of Financial Studies&lt;/_journal&gt;&lt;_modified&gt;63285776&lt;/_modified&gt;&lt;_ori_publication&gt;Oxford University Press&lt;/_ori_publication&gt;&lt;_pages&gt;1845-1887&lt;/_pages&gt;&lt;_volume&gt;22&lt;/_volume&gt;&lt;/Details&gt;&lt;Extra&gt;&lt;DBUID&gt;{439358B4-FA18-4C63-A3A1-0E3BE4066E7A}&lt;/DBUID&gt;&lt;/Extra&gt;&lt;/Item&gt;&lt;/References&gt;&lt;/Group&gt;&lt;Group&gt;&lt;References&gt;&lt;Item&gt;&lt;ID&gt;66&lt;/ID&gt;&lt;UID&gt;{96FBEE36-9418-4B0A-A65F-9570413BCE66}&lt;/UID&gt;&lt;Title&gt;Insider trading, outside search, and resource allocation: Why firms and society may disagree on insider trading restrictions&lt;/Title&gt;&lt;Template&gt;Journal Article&lt;/Template&gt;&lt;Star&gt;0&lt;/Star&gt;&lt;Tag&gt;0&lt;/Tag&gt;&lt;Author&gt;Khanna, Naveen; Slezak, Steve L; Bradley, Michael&lt;/Author&gt;&lt;Year&gt;1994&lt;/Year&gt;&lt;Details&gt;&lt;_alternate_title&gt;Review of Financial Studies&lt;/_alternate_title&gt;&lt;_collection_scope&gt;SSCI&lt;/_collection_scope&gt;&lt;_created&gt;63285777&lt;/_created&gt;&lt;_date&gt;1994-01-01&lt;/_date&gt;&lt;_date_display&gt;1994&lt;/_date_display&gt;&lt;_impact_factor&gt;   4.975&lt;/_impact_factor&gt;&lt;_isbn&gt;1465-7368&lt;/_isbn&gt;&lt;_issue&gt;3&lt;/_issue&gt;&lt;_journal&gt;Review of Financial Studies&lt;/_journal&gt;&lt;_modified&gt;63285777&lt;/_modified&gt;&lt;_ori_publication&gt;Oxford University Press&lt;/_ori_publication&gt;&lt;_pages&gt;575-608&lt;/_pages&gt;&lt;_volume&gt;7&lt;/_volume&gt;&lt;/Details&gt;&lt;Extra&gt;&lt;DBUID&gt;{439358B4-FA18-4C63-A3A1-0E3BE4066E7A}&lt;/DBUID&gt;&lt;/Extra&gt;&lt;/Item&gt;&lt;/References&gt;&lt;/Group&gt;&lt;/Citation&gt;_x000a_"/>
    <w:docVar w:name="NE.Ref{F184DCA8-503D-40C9-8AD4-052C70ED0A9D}" w:val=" ADDIN NE.Ref.{F184DCA8-503D-40C9-8AD4-052C70ED0A9D}&lt;Citation SecTmpl=&quot;1&quot;&gt;&lt;Group&gt;&lt;References&gt;&lt;Item&gt;&lt;ID&gt;188&lt;/ID&gt;&lt;UID&gt;{7281AFD5-346D-450F-B265-DC449A39C2AE}&lt;/UID&gt;&lt;Title&gt;审计师惩戒与审计定价——基于中国证监会2008-2010年行政处罚案的研究&lt;/Title&gt;&lt;Template&gt;Journal Article&lt;/Template&gt;&lt;Star&gt;0&lt;/Star&gt;&lt;Tag&gt;0&lt;/Tag&gt;&lt;Author&gt;刘笑霞&lt;/Author&gt;&lt;Year&gt;2013&lt;/Year&gt;&lt;Details&gt;&lt;_accessed&gt;63303062&lt;/_accessed&gt;&lt;_collection_scope&gt;CSSCI-C;PKU&lt;/_collection_scope&gt;&lt;_created&gt;62681279&lt;/_created&gt;&lt;_date&gt;2013-01-01&lt;/_date&gt;&lt;_date_display&gt;2013&lt;/_date_display&gt;&lt;_issue&gt;2&lt;/_issue&gt;&lt;_journal&gt;审计研究&lt;/_journal&gt;&lt;_modified&gt;63303062&lt;/_modified&gt;&lt;_pages&gt;90-98&lt;/_pages&gt;&lt;_translated_author&gt;Liu, Xiaoxia&lt;/_translated_author&gt;&lt;/Details&gt;&lt;Extra&gt;&lt;DBUID&gt;{2097646C-7C2F-4992-8A9B-6FF23AE7F1B7}&lt;/DBUID&gt;&lt;/Extra&gt;&lt;/Item&gt;&lt;/References&gt;&lt;/Group&gt;&lt;/Citation&gt;_x000a_"/>
    <w:docVar w:name="NE.Ref{F2093BE3-F944-4FC3-813B-0D952E8DD0CB}" w:val=" ADDIN NE.Ref.{F2093BE3-F944-4FC3-813B-0D952E8DD0CB}&lt;Citation SecTmpl=&quot;1&quot;&gt;&lt;Group&gt;&lt;References&gt;&lt;Item&gt;&lt;ID&gt;58&lt;/ID&gt;&lt;UID&gt;{BBE49ADC-1D63-4122-9146-675A8D4C9C33}&lt;/UID&gt;&lt;Title&gt;Network ties among low-tax firms&lt;/Title&gt;&lt;Template&gt;Journal Article&lt;/Template&gt;&lt;Star&gt;0&lt;/Star&gt;&lt;Tag&gt;0&lt;/Tag&gt;&lt;Author&gt;Brown, Jennifer L; Drake, Katharine D&lt;/Author&gt;&lt;Year&gt;2014&lt;/Year&gt;&lt;Details&gt;&lt;_alternate_title&gt;The Accounting Review&lt;/_alternate_title&gt;&lt;_created&gt;63225537&lt;/_created&gt;&lt;_date&gt;2014-01-01&lt;/_date&gt;&lt;_date_display&gt;2014&lt;/_date_display&gt;&lt;_isbn&gt;1558-7967&lt;/_isbn&gt;&lt;_issue&gt;2&lt;/_issue&gt;&lt;_journal&gt;The Accounting Review&lt;/_journal&gt;&lt;_modified&gt;63225537&lt;/_modified&gt;&lt;_ori_publication&gt;American Accounting Association&lt;/_ori_publication&gt;&lt;_pages&gt;483-510&lt;/_pages&gt;&lt;_volume&gt;89&lt;/_volume&gt;&lt;/Details&gt;&lt;Extra&gt;&lt;DBUID&gt;{E9F07991-3B72-4492-A7D8-86E559D9F8FE}&lt;/DBUID&gt;&lt;/Extra&gt;&lt;/Item&gt;&lt;/References&gt;&lt;/Group&gt;&lt;/Citation&gt;_x000a_"/>
    <w:docVar w:name="NE.Ref{F21AD70E-7877-40A2-A00A-9D3A5257C91F}" w:val=" ADDIN NE.Ref.{F21AD70E-7877-40A2-A00A-9D3A5257C91F}&lt;Citation SecTmpl=&quot;1&quot;&gt;&lt;Group&gt;&lt;References&gt;&lt;Item&gt;&lt;ID&gt;73&lt;/ID&gt;&lt;UID&gt;{E8769188-1BE4-4D70-865B-879436B96ABF}&lt;/UID&gt;&lt;Title&gt;审计监督、最终控制人性质与税收激进度&lt;/Title&gt;&lt;Template&gt;Journal Article&lt;/Template&gt;&lt;Star&gt;0&lt;/Star&gt;&lt;Tag&gt;0&lt;/Tag&gt;&lt;Author&gt;金鑫; 雷光勇&lt;/Author&gt;&lt;Year&gt;2011&lt;/Year&gt;&lt;Details&gt;&lt;_accessed&gt;61697770&lt;/_accessed&gt;&lt;_author_aff&gt;对外经济贸易大学;&lt;/_author_aff&gt;&lt;_collection_scope&gt;CSSCI;中文核心期刊;&lt;/_collection_scope&gt;&lt;_created&gt;61697770&lt;/_created&gt;&lt;_date&gt;58769280&lt;/_date&gt;&lt;_db_provider&gt;CNKI: 期刊&lt;/_db_provider&gt;&lt;_db_updated&gt;CNKI - Reference&lt;/_db_updated&gt;&lt;_issue&gt;05&lt;/_issue&gt;&lt;_journal&gt;审计研究&lt;/_journal&gt;&lt;_keywords&gt;审计监督;最终控制人性质;税收激进度;制度环境&lt;/_keywords&gt;&lt;_language&gt;Chinese&lt;/_language&gt;&lt;_modified&gt;63228070&lt;/_modified&gt;&lt;_pages&gt;98-106&lt;/_pages&gt;&lt;_url&gt;http://www.cnki.net/KCMS/detail/detail.aspx?FileName=SJYZ201105015&amp;amp;DbName=CJFQ2011&lt;/_url&gt;&lt;_translated_author&gt;Jin, Xin;Lei, Guangyong&lt;/_translated_author&gt;&lt;/Details&gt;&lt;Extra&gt;&lt;DBUID&gt;{E9F07991-3B72-4492-A7D8-86E559D9F8FE}&lt;/DBUID&gt;&lt;/Extra&gt;&lt;/Item&gt;&lt;/References&gt;&lt;/Group&gt;&lt;/Citation&gt;_x000a_"/>
    <w:docVar w:name="NE.Ref{F26694F2-B5A4-49AC-BE43-2ABC49A556B9}" w:val=" ADDIN NE.Ref.{F26694F2-B5A4-49AC-BE43-2ABC49A556B9}&lt;Citation SecTmpl=&quot;1&quot;&gt;&lt;Group&gt;&lt;References&gt;&lt;Item&gt;&lt;ID&gt;207&lt;/ID&gt;&lt;UID&gt;{11FDCD74-5EF8-470E-9AB6-35BFA5F03DAA}&lt;/UID&gt;&lt;Title&gt;State ownership, the institutional environment, and auditor choice: Evidence from China&lt;/Title&gt;&lt;Template&gt;Journal Article&lt;/Template&gt;&lt;Star&gt;0&lt;/Star&gt;&lt;Tag&gt;0&lt;/Tag&gt;&lt;Author&gt;Wang, Qian; Wong, Tak-Jun; Xia, Lijun&lt;/Author&gt;&lt;Year&gt;2008&lt;/Year&gt;&lt;Details&gt;&lt;_alternate_title&gt;Journal of accounting and economics&lt;/_alternate_title&gt;&lt;_created&gt;63301700&lt;/_created&gt;&lt;_date&gt;2008-01-01&lt;/_date&gt;&lt;_date_display&gt;2008&lt;/_date_display&gt;&lt;_impact_factor&gt;   3.753&lt;/_impact_factor&gt;&lt;_isbn&gt;0165-4101&lt;/_isbn&gt;&lt;_issue&gt;1&lt;/_issue&gt;&lt;_journal&gt;Journal of accounting and economics&lt;/_journal&gt;&lt;_modified&gt;63301700&lt;/_modified&gt;&lt;_ori_publication&gt;Elsevier&lt;/_ori_publication&gt;&lt;_pages&gt;112-134&lt;/_pages&gt;&lt;_volume&gt;46&lt;/_volume&gt;&lt;/Details&gt;&lt;Extra&gt;&lt;DBUID&gt;{E9F07991-3B72-4492-A7D8-86E559D9F8FE}&lt;/DBUID&gt;&lt;/Extra&gt;&lt;/Item&gt;&lt;/References&gt;&lt;/Group&gt;&lt;/Citation&gt;_x000a_"/>
    <w:docVar w:name="NE.Ref{F27B4AF2-A34D-4B6B-8E34-C51EF4A620A3}" w:val=" ADDIN NE.Ref.{F27B4AF2-A34D-4B6B-8E34-C51EF4A620A3}&lt;Citation SecTmpl=&quot;1&quot;&gt;&lt;Group&gt;&lt;References&gt;&lt;Item&gt;&lt;ID&gt;189&lt;/ID&gt;&lt;UID&gt;{83A5446F-8F45-468E-84E7-74D85714A377}&lt;/UID&gt;&lt;Title&gt;异常收费与审计质量:来自中国资本市场的经验证据&lt;/Title&gt;&lt;Template&gt;Journal Article&lt;/Template&gt;&lt;Star&gt;0&lt;/Star&gt;&lt;Tag&gt;0&lt;/Tag&gt;&lt;Author&gt;李明辉; 沈真真&lt;/Author&gt;&lt;Year&gt;2016&lt;/Year&gt;&lt;Details&gt;&lt;_accessed&gt;63297931&lt;/_accessed&gt;&lt;_author_aff&gt;南京大学商学院;&lt;/_author_aff&gt;&lt;_collection_scope&gt;CSSCI-C;PKU&lt;/_collection_scope&gt;&lt;_created&gt;63297931&lt;/_created&gt;&lt;_date&gt;61161120&lt;/_date&gt;&lt;_db_provider&gt;CNKI: 期刊&lt;/_db_provider&gt;&lt;_db_updated&gt;CNKI - Reference&lt;/_db_updated&gt;&lt;_issue&gt;02&lt;/_issue&gt;&lt;_journal&gt;管理工程学报&lt;/_journal&gt;&lt;_keywords&gt;异常审计收费;审计质量;操控性应计;法治环境&lt;/_keywords&gt;&lt;_language&gt;Chinese&lt;/_language&gt;&lt;_modified&gt;63297931&lt;/_modified&gt;&lt;_pages&gt;166-174&lt;/_pages&gt;&lt;_url&gt;http://kns.cnki.net/KCMS/detail/detail.aspx?FileName=GLGU201602020&amp;amp;DbName=CJFQ2016&lt;/_url&gt;&lt;_volume&gt;30&lt;/_volume&gt;&lt;_translated_author&gt;Li, Minghui;Shen, Zhenzhen&lt;/_translated_author&gt;&lt;/Details&gt;&lt;Extra&gt;&lt;DBUID&gt;{E9F07991-3B72-4492-A7D8-86E559D9F8FE}&lt;/DBUID&gt;&lt;/Extra&gt;&lt;/Item&gt;&lt;/References&gt;&lt;/Group&gt;&lt;/Citation&gt;_x000a_"/>
    <w:docVar w:name="NE.Ref{F2CB9DE0-078D-4191-A074-D223BF812B37}" w:val=" ADDIN NE.Ref.{F2CB9DE0-078D-4191-A074-D223BF812B37}&lt;Citation SecTmpl=&quot;1&quot;&gt;&lt;Group&gt;&lt;References&gt;&lt;Item&gt;&lt;ID&gt;149&lt;/ID&gt;&lt;UID&gt;{45404A6D-1227-4953-AD65-6AD6398C6470}&lt;/UID&gt;&lt;Title&gt;大股东资金占用与外部审计监督&lt;/Title&gt;&lt;Template&gt;Journal Article&lt;/Template&gt;&lt;Star&gt;0&lt;/Star&gt;&lt;Tag&gt;0&lt;/Tag&gt;&lt;Author&gt;周中胜; 陈汉文&lt;/Author&gt;&lt;Year&gt;2006&lt;/Year&gt;&lt;Details&gt;&lt;_accessed&gt;63258676&lt;/_accessed&gt;&lt;_author_aff&gt;厦门大学会计系;厦门大学会计系 361005;361005&lt;/_author_aff&gt;&lt;_collection_scope&gt;CSSCI-C;PKU&lt;/_collection_scope&gt;&lt;_created&gt;63258676&lt;/_created&gt;&lt;_date&gt;55962720&lt;/_date&gt;&lt;_db_provider&gt;CNKI: 期刊&lt;/_db_provider&gt;&lt;_db_updated&gt;CNKI - Reference&lt;/_db_updated&gt;&lt;_issue&gt;03&lt;/_issue&gt;&lt;_journal&gt;审计研究&lt;/_journal&gt;&lt;_keywords&gt;资金占用;审计需求;审计意见&lt;/_keywords&gt;&lt;_language&gt;Chinese&lt;/_language&gt;&lt;_modified&gt;63258676&lt;/_modified&gt;&lt;_pages&gt;73-81&lt;/_pages&gt;&lt;_url&gt;http://kns.cnki.net/KCMS/detail/detail.aspx?FileName=SJYZ200603015&amp;amp;DbName=CJFQ2006&lt;/_url&gt;&lt;_translated_author&gt;Zhou, Zhongsheng;Chen, Hanwen&lt;/_translated_author&gt;&lt;/Details&gt;&lt;Extra&gt;&lt;DBUID&gt;{E9F07991-3B72-4492-A7D8-86E559D9F8FE}&lt;/DBUID&gt;&lt;/Extra&gt;&lt;/Item&gt;&lt;/References&gt;&lt;/Group&gt;&lt;/Citation&gt;_x000a_"/>
    <w:docVar w:name="NE.Ref{F2F57F21-630C-4C08-B020-9D51FBC82C38}" w:val=" ADDIN NE.Ref.{F2F57F21-630C-4C08-B020-9D51FBC82C38}&lt;Citation SecTmpl=&quot;1&quot;&gt;&lt;Group&gt;&lt;References&gt;&lt;Item&gt;&lt;ID&gt;17&lt;/ID&gt;&lt;UID&gt;{D806C374-F3F6-407E-988C-1065F90AE89D}&lt;/UID&gt;&lt;Title&gt;A review of archival auditing research&lt;/Title&gt;&lt;Template&gt;Journal Article&lt;/Template&gt;&lt;Star&gt;0&lt;/Star&gt;&lt;Tag&gt;0&lt;/Tag&gt;&lt;Author&gt;DeFond, Mark; Zhang, Jieying&lt;/Author&gt;&lt;Year&gt;2014&lt;/Year&gt;&lt;Details&gt;&lt;_accessed&gt;62202901&lt;/_accessed&gt;&lt;_created&gt;61900709&lt;/_created&gt;&lt;_db_updated&gt;CrossRef&lt;/_db_updated&gt;&lt;_doi&gt;10.1016/j.jacceco.2014.09.002&lt;/_doi&gt;&lt;_impact_factor&gt;   3.753&lt;/_impact_factor&gt;&lt;_isbn&gt;01654101&lt;/_isbn&gt;&lt;_issue&gt;2-3&lt;/_issue&gt;&lt;_journal&gt;Journal of Accounting and Economics&lt;/_journal&gt;&lt;_modified&gt;63219456&lt;/_modified&gt;&lt;_pages&gt;275-326&lt;/_pages&gt;&lt;_tertiary_title&gt;Journal of Accounting and Economics&lt;/_tertiary_title&gt;&lt;_url&gt;http://linkinghub.elsevier.com/retrieve/pii/S0165410114000536_x000d__x000a_http://api.elsevier.com/content/article/PII:S0165410114000536?httpAccept=text/xml&lt;/_url&gt;&lt;_volume&gt;58&lt;/_volume&gt;&lt;/Details&gt;&lt;Extra&gt;&lt;DBUID&gt;{E9F07991-3B72-4492-A7D8-86E559D9F8FE}&lt;/DBUID&gt;&lt;/Extra&gt;&lt;/Item&gt;&lt;/References&gt;&lt;/Group&gt;&lt;/Citation&gt;_x000a_"/>
    <w:docVar w:name="NE.Ref{F3493B09-B1D4-43B2-969A-F8B46A8E33B8}" w:val=" ADDIN NE.Ref.{F3493B09-B1D4-43B2-969A-F8B46A8E33B8}&lt;Citation SecTmpl=&quot;1&quot;&gt;&lt;Group&gt;&lt;References&gt;&lt;Item&gt;&lt;ID&gt;47&lt;/ID&gt;&lt;UID&gt;{C788D399-4373-41DA-A969-410EBB2E9439}&lt;/UID&gt;&lt;Title&gt;Are family firms more tax aggressive than non-family firms?&lt;/Title&gt;&lt;Template&gt;Journal Article&lt;/Template&gt;&lt;Star&gt;0&lt;/Star&gt;&lt;Tag&gt;0&lt;/Tag&gt;&lt;Author&gt;Chen, Shuping; Chen, Xia; Cheng, Qiang; Shevlin, Terry&lt;/Author&gt;&lt;Year&gt;2010&lt;/Year&gt;&lt;Details&gt;&lt;_alternate_title&gt;Journal of Financial Economics&lt;/_alternate_title&gt;&lt;_collection_scope&gt;SSCI&lt;/_collection_scope&gt;&lt;_created&gt;63224439&lt;/_created&gt;&lt;_date&gt;2010-01-01&lt;/_date&gt;&lt;_date_display&gt;2010&lt;/_date_display&gt;&lt;_impact_factor&gt;   4.693&lt;/_impact_factor&gt;&lt;_isbn&gt;0304-405X&lt;/_isbn&gt;&lt;_issue&gt;1&lt;/_issue&gt;&lt;_journal&gt;Journal of Financial Economics&lt;/_journal&gt;&lt;_modified&gt;63224439&lt;/_modified&gt;&lt;_ori_publication&gt;Elsevier&lt;/_ori_publication&gt;&lt;_pages&gt;41-61&lt;/_pages&gt;&lt;_volume&gt;95&lt;/_volume&gt;&lt;/Details&gt;&lt;Extra&gt;&lt;DBUID&gt;{E9F07991-3B72-4492-A7D8-86E559D9F8FE}&lt;/DBUID&gt;&lt;/Extra&gt;&lt;/Item&gt;&lt;/References&gt;&lt;/Group&gt;&lt;/Citation&gt;_x000a_"/>
    <w:docVar w:name="NE.Ref{F381CCBB-A396-4C29-A706-9535F504C79D}" w:val=" ADDIN NE.Ref.{F381CCBB-A396-4C29-A706-9535F504C79D}&lt;Citation SecTmpl=&quot;1&quot;&gt;&lt;Group&gt;&lt;References&gt;&lt;Item&gt;&lt;ID&gt;286&lt;/ID&gt;&lt;UID&gt;{C9A5794E-E61E-4D6E-B4F0-36E11F92F0AF}&lt;/UID&gt;&lt;Title&gt;Corporate tax avoidance and firm value&lt;/Title&gt;&lt;Template&gt;Journal Article&lt;/Template&gt;&lt;Star&gt;0&lt;/Star&gt;&lt;Tag&gt;0&lt;/Tag&gt;&lt;Author&gt;Desai, Mihir A; Dharmapala, Dhammika&lt;/Author&gt;&lt;Year&gt;2009&lt;/Year&gt;&lt;Details&gt;&lt;_accessed&gt;63309308&lt;/_accessed&gt;&lt;_alternate_title&gt;The review of Economics and Statistics&lt;/_alternate_title&gt;&lt;_created&gt;63307372&lt;/_created&gt;&lt;_date&gt;2009-01-01&lt;/_date&gt;&lt;_date_display&gt;2009&lt;/_date_display&gt;&lt;_impact_factor&gt;   3.636&lt;/_impact_factor&gt;&lt;_isbn&gt;0034-6535&lt;/_isbn&gt;&lt;_issue&gt;3&lt;/_issue&gt;&lt;_journal&gt;The review of Economics and Statistics&lt;/_journal&gt;&lt;_modified&gt;63309308&lt;/_modified&gt;&lt;_ori_publication&gt;MIT Press&lt;/_ori_publication&gt;&lt;_pages&gt;537-546&lt;/_pages&gt;&lt;_volume&gt;91&lt;/_volume&gt;&lt;/Details&gt;&lt;Extra&gt;&lt;DBUID&gt;{E9F07991-3B72-4492-A7D8-86E559D9F8FE}&lt;/DBUID&gt;&lt;/Extra&gt;&lt;/Item&gt;&lt;/References&gt;&lt;/Group&gt;&lt;/Citation&gt;_x000a_"/>
    <w:docVar w:name="NE.Ref{F38DDDD6-EB11-4B36-92E6-37E19DDB6EF8}" w:val=" ADDIN NE.Ref.{F38DDDD6-EB11-4B36-92E6-37E19DDB6EF8}&lt;Citation SecTmpl=&quot;1&quot;&gt;&lt;Group&gt;&lt;References&gt;&lt;Item&gt;&lt;ID&gt;128&lt;/ID&gt;&lt;UID&gt;{C9759D89-D911-4DDD-8D68-05772AD204D9}&lt;/UID&gt;&lt;Title&gt;公司治理与掏空&lt;/Title&gt;&lt;Template&gt;Journal Article&lt;/Template&gt;&lt;Star&gt;0&lt;/Star&gt;&lt;Tag&gt;0&lt;/Tag&gt;&lt;Author&gt;高雷; 何少华; 黄志忠&lt;/Author&gt;&lt;Year&gt;2006&lt;/Year&gt;&lt;Details&gt;&lt;_accessed&gt;63241056&lt;/_accessed&gt;&lt;_author_aff&gt;汕头大学商学院;汕头大学商学院;汕头大学商学院;&lt;/_author_aff&gt;&lt;_created&gt;63241052&lt;/_created&gt;&lt;_date&gt;56031840&lt;/_date&gt;&lt;_db_provider&gt;CNKI: 期刊&lt;/_db_provider&gt;&lt;_db_updated&gt;CNKI - Reference&lt;/_db_updated&gt;&lt;_issue&gt;03&lt;/_issue&gt;&lt;_journal&gt;经济学(季刊)&lt;/_journal&gt;&lt;_keywords&gt;公司治理;掏空;资金占用&lt;/_keywords&gt;&lt;_language&gt;Chinese&lt;/_language&gt;&lt;_modified&gt;63241056&lt;/_modified&gt;&lt;_pages&gt;1157-1178&lt;/_pages&gt;&lt;_url&gt;http://kns.cnki.net/KCMS/detail/detail.aspx?FileName=JJXU200603008&amp;amp;DbName=CJFQ2006&lt;/_url&gt;&lt;_translated_author&gt;Gao, Lei;He, Shaohua;Huang, Zhizhong&lt;/_translated_author&gt;&lt;/Details&gt;&lt;Extra&gt;&lt;DBUID&gt;{E9F07991-3B72-4492-A7D8-86E559D9F8FE}&lt;/DBUID&gt;&lt;/Extra&gt;&lt;/Item&gt;&lt;/References&gt;&lt;/Group&gt;&lt;/Citation&gt;_x000a_"/>
    <w:docVar w:name="NE.Ref{F3CF2A42-5080-4CDB-9BF1-67D3E980DFC1}" w:val=" ADDIN NE.Ref.{F3CF2A42-5080-4CDB-9BF1-67D3E980DFC1}&lt;Citation SecTmpl=&quot;1&quot;&gt;&lt;Group&gt;&lt;References&gt;&lt;Item&gt;&lt;ID&gt;182&lt;/ID&gt;&lt;UID&gt;{AE720F2D-C5F6-4D88-B208-D3E27176D00D}&lt;/UID&gt;&lt;Title&gt;Audit quality: Insights from the academic literature&lt;/Title&gt;&lt;Template&gt;Journal Article&lt;/Template&gt;&lt;Star&gt;0&lt;/Star&gt;&lt;Tag&gt;0&lt;/Tag&gt;&lt;Author&gt;Knechel, W Robert; Krishnan, Gopal V; Pevzner, Mikhail; Bhaskar, Lori Shefchik; Velury, Uma&lt;/Author&gt;&lt;Year&gt;2013&lt;/Year&gt;&lt;Details&gt;&lt;_alternate_title&gt;Auditing: A journal of practice &amp;amp; theory&lt;/_alternate_title&gt;&lt;_created&gt;63297266&lt;/_created&gt;&lt;_date&gt;2013-01-01&lt;/_date&gt;&lt;_date_display&gt;2013&lt;/_date_display&gt;&lt;_issue&gt;1&lt;/_issue&gt;&lt;_journal&gt;Auditing: A journal of practice &amp;amp; theory&lt;/_journal&gt;&lt;_modified&gt;63297266&lt;/_modified&gt;&lt;_volume&gt;32&lt;/_volume&gt;&lt;/Details&gt;&lt;Extra&gt;&lt;DBUID&gt;{E9F07991-3B72-4492-A7D8-86E559D9F8FE}&lt;/DBUID&gt;&lt;/Extra&gt;&lt;/Item&gt;&lt;/References&gt;&lt;/Group&gt;&lt;/Citation&gt;_x000a_"/>
    <w:docVar w:name="NE.Ref{F45BD40B-226F-45DB-8AC1-9DEDDABCB9C1}" w:val=" ADDIN NE.Ref.{F45BD40B-226F-45DB-8AC1-9DEDDABCB9C1}&lt;Citation&gt;&lt;Group&gt;&lt;References&gt;&lt;Item&gt;&lt;ID&gt;80&lt;/ID&gt;&lt;UID&gt;{5C9767C4-EDE7-4C7F-99C1-11350DAD7A91}&lt;/UID&gt;&lt;Title&gt;The role of auditors, non-auditors, and internal tax departments in corporate tax aggressiveness&lt;/Title&gt;&lt;Template&gt;Journal Article&lt;/Template&gt;&lt;Star&gt;0&lt;/Star&gt;&lt;Tag&gt;0&lt;/Tag&gt;&lt;Author&gt;Klassen, Kenneth J; Lisowsky, Petro; Mescall, Devan&lt;/Author&gt;&lt;Year&gt;2015&lt;/Year&gt;&lt;Details&gt;&lt;_alternate_title&gt;The Accounting Review&lt;/_alternate_title&gt;&lt;_created&gt;62649258&lt;/_created&gt;&lt;_date&gt;2015-01-01&lt;/_date&gt;&lt;_date_display&gt;2015&lt;/_date_display&gt;&lt;_isbn&gt;1558-7967&lt;/_isbn&gt;&lt;_issue&gt;1&lt;/_issue&gt;&lt;_journal&gt;The Accounting Review&lt;/_journal&gt;&lt;_modified&gt;63228167&lt;/_modified&gt;&lt;_ori_publication&gt;American Accounting Association&lt;/_ori_publication&gt;&lt;_pages&gt;179-205&lt;/_pages&gt;&lt;_volume&gt;91&lt;/_volume&gt;&lt;/Details&gt;&lt;Extra&gt;&lt;DBUID&gt;{E9F07991-3B72-4492-A7D8-86E559D9F8FE}&lt;/DBUID&gt;&lt;/Extra&gt;&lt;/Item&gt;&lt;/References&gt;&lt;/Group&gt;&lt;Group&gt;&lt;References&gt;&lt;Item&gt;&lt;ID&gt;81&lt;/ID&gt;&lt;UID&gt;{6D78AC12-FB5E-4317-BAB6-D16592E9D043}&lt;/UID&gt;&lt;Title&gt;税收激进行为的外溢效应——来自共同审计师的证据&lt;/Title&gt;&lt;Template&gt;Journal Article&lt;/Template&gt;&lt;Star&gt;0&lt;/Star&gt;&lt;Tag&gt;0&lt;/Tag&gt;&lt;Author&gt;曾姝; 李青原&lt;/Author&gt;&lt;Year&gt;2016&lt;/Year&gt;&lt;Details&gt;&lt;_accessed&gt;61697771&lt;/_accessed&gt;&lt;_author_adr&gt;武汉大学经济与管理学院 430072&lt;/_author_adr&gt;&lt;_author_aff&gt;武汉大学经济与管理学院 430072&lt;/_author_aff&gt;&lt;_collection_scope&gt;CSSCI;中文核心期刊;&lt;/_collection_scope&gt;&lt;_created&gt;61697771&lt;/_created&gt;&lt;_db_provider&gt;北京万方数据股份有限公司&lt;/_db_provider&gt;&lt;_db_updated&gt;Wanfangdata&lt;/_db_updated&gt;&lt;_doi&gt;10.3969/j.issn.1003-2886.2016.06.010&lt;/_doi&gt;&lt;_isbn&gt;1003-2886&lt;/_isbn&gt;&lt;_issue&gt;6&lt;/_issue&gt;&lt;_journal&gt;会计研究&lt;/_journal&gt;&lt;_keywords&gt;共同审计师; 税收激进; 外溢效应; 代理问题&lt;/_keywords&gt;&lt;_language&gt;chi&lt;/_language&gt;&lt;_modified&gt;63228170&lt;/_modified&gt;&lt;_pages&gt;70-76&lt;/_pages&gt;&lt;_tertiary_title&gt;Accounting Research&lt;/_tertiary_title&gt;&lt;_url&gt;http://d.g.wanfangdata.com.cn/Periodical_kjyj201606010.aspx&lt;/_url&gt;&lt;_translated_author&gt;Ceng, Shu;Li, Qingyuan&lt;/_translated_author&gt;&lt;/Details&gt;&lt;Extra&gt;&lt;DBUID&gt;{E9F07991-3B72-4492-A7D8-86E559D9F8FE}&lt;/DBUID&gt;&lt;/Extra&gt;&lt;/Item&gt;&lt;/References&gt;&lt;/Group&gt;&lt;/Citation&gt;_x000a_"/>
    <w:docVar w:name="NE.Ref{F4BB0CA8-661A-48DC-8B1C-9E2359FADE53}" w:val=" ADDIN NE.Ref.{F4BB0CA8-661A-48DC-8B1C-9E2359FADE53}&lt;Citation SecTmpl=&quot;1&quot;&gt;&lt;Group&gt;&lt;References&gt;&lt;Item&gt;&lt;ID&gt;180&lt;/ID&gt;&lt;UID&gt;{190B3A92-7AFA-4568-8105-325F4566D515}&lt;/UID&gt;&lt;Title&gt;A framework for understanding and researching audit quality&lt;/Title&gt;&lt;Template&gt;Journal Article&lt;/Template&gt;&lt;Star&gt;0&lt;/Star&gt;&lt;Tag&gt;0&lt;/Tag&gt;&lt;Author&gt;Francis, Jere R&lt;/Author&gt;&lt;Year&gt;2011&lt;/Year&gt;&lt;Details&gt;&lt;_alternate_title&gt;Auditing: A journal of practice &amp;amp; theory&lt;/_alternate_title&gt;&lt;_created&gt;63296424&lt;/_created&gt;&lt;_date&gt;2011-01-01&lt;/_date&gt;&lt;_date_display&gt;2011&lt;/_date_display&gt;&lt;_impact_factor&gt;   2.642&lt;/_impact_factor&gt;&lt;_isbn&gt;0278-0380&lt;/_isbn&gt;&lt;_issue&gt;2&lt;/_issue&gt;&lt;_journal&gt;Auditing: A journal of practice &amp;amp; theory&lt;/_journal&gt;&lt;_modified&gt;63296424&lt;/_modified&gt;&lt;_ori_publication&gt;American Accounting Association&lt;/_ori_publication&gt;&lt;_pages&gt;125-152&lt;/_pages&gt;&lt;_volume&gt;30&lt;/_volume&gt;&lt;/Details&gt;&lt;Extra&gt;&lt;DBUID&gt;{E9F07991-3B72-4492-A7D8-86E559D9F8FE}&lt;/DBUID&gt;&lt;/Extra&gt;&lt;/Item&gt;&lt;/References&gt;&lt;/Group&gt;&lt;/Citation&gt;_x000a_"/>
    <w:docVar w:name="NE.Ref{F65E0040-8F1E-41FC-90C8-EF8EF2B47987}" w:val=" ADDIN NE.Ref.{F65E0040-8F1E-41FC-90C8-EF8EF2B47987}&lt;Citation SecTmpl=&quot;1&quot;&gt;&lt;Group&gt;&lt;References&gt;&lt;Item&gt;&lt;ID&gt;226&lt;/ID&gt;&lt;UID&gt;{CFF5C493-2B4F-4AAF-85E0-FCF85C905E3F}&lt;/UID&gt;&lt;Title&gt;Client importance, institutional improvements, and audit quality in China: An office and individual auditor level analysis&lt;/Title&gt;&lt;Template&gt;Journal Article&lt;/Template&gt;&lt;Star&gt;0&lt;/Star&gt;&lt;Tag&gt;0&lt;/Tag&gt;&lt;Author&gt;Chen, Shimin; Sun, Sunny YJ; Wu, Donghui&lt;/Author&gt;&lt;Year&gt;2010&lt;/Year&gt;&lt;Details&gt;&lt;_accessed&gt;63303290&lt;/_accessed&gt;&lt;_alternate_title&gt;The Accounting Review&lt;/_alternate_title&gt;&lt;_created&gt;62547338&lt;/_created&gt;&lt;_date&gt;2010-01-01&lt;/_date&gt;&lt;_date_display&gt;2010&lt;/_date_display&gt;&lt;_impact_factor&gt;   4.562&lt;/_impact_factor&gt;&lt;_isbn&gt;0001-4826&lt;/_isbn&gt;&lt;_issue&gt;1&lt;/_issue&gt;&lt;_journal&gt;The Accounting Review&lt;/_journal&gt;&lt;_modified&gt;62928632&lt;/_modified&gt;&lt;_pages&gt;127-158&lt;/_pages&gt;&lt;_volume&gt;85&lt;/_volume&gt;&lt;/Details&gt;&lt;Extra&gt;&lt;DBUID&gt;{2097646C-7C2F-4992-8A9B-6FF23AE7F1B7}&lt;/DBUID&gt;&lt;/Extra&gt;&lt;/Item&gt;&lt;/References&gt;&lt;/Group&gt;&lt;/Citation&gt;_x000a_"/>
    <w:docVar w:name="NE.Ref{F6A22ED2-F9E4-4C9A-9CAE-D25E9D9F5013}" w:val=" ADDIN NE.Ref.{F6A22ED2-F9E4-4C9A-9CAE-D25E9D9F5013}&lt;Citation SecTmpl=&quot;1&quot;&gt;&lt;Group&gt;&lt;References&gt;&lt;Item&gt;&lt;ID&gt;68&lt;/ID&gt;&lt;UID&gt;{AE1851CD-7B74-4A02-9FD0-89618E826976}&lt;/UID&gt;&lt;Title&gt;Tax avoidance: Does tax-specific industry expertise make a difference?&lt;/Title&gt;&lt;Template&gt;Journal Article&lt;/Template&gt;&lt;Star&gt;0&lt;/Star&gt;&lt;Tag&gt;0&lt;/Tag&gt;&lt;Author&gt;McGuire, Sean T; Omer, Thomas C; Wang, Dechun&lt;/Author&gt;&lt;Year&gt;2012&lt;/Year&gt;&lt;Details&gt;&lt;_created&gt;61742028&lt;/_created&gt;&lt;_impact_factor&gt;   4.562&lt;/_impact_factor&gt;&lt;_isbn&gt;0001-4826&lt;/_isbn&gt;&lt;_issue&gt;3&lt;/_issue&gt;&lt;_journal&gt;The Accounting Review&lt;/_journal&gt;&lt;_modified&gt;62877170&lt;/_modified&gt;&lt;_pages&gt;975-1003&lt;/_pages&gt;&lt;_volume&gt;87&lt;/_volume&gt;&lt;/Details&gt;&lt;Extra&gt;&lt;DBUID&gt;{83AC290F-D6FC-4574-9771-6904EE9C30A4}&lt;/DBUID&gt;&lt;/Extra&gt;&lt;/Item&gt;&lt;/References&gt;&lt;/Group&gt;&lt;/Citation&gt;_x000a_"/>
    <w:docVar w:name="NE.Ref{F6AD8D8C-18E1-4E21-B041-CA77D5DE699B}" w:val=" ADDIN NE.Ref.{F6AD8D8C-18E1-4E21-B041-CA77D5DE699B}&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F6DBC48A-6CC2-4739-B68D-458371497D28}" w:val=" ADDIN NE.Ref.{F6DBC48A-6CC2-4739-B68D-458371497D28}&lt;Citation SecTmpl=&quot;1&quot;&gt;&lt;Group&gt;&lt;References&gt;&lt;Item&gt;&lt;ID&gt;685&lt;/ID&gt;&lt;UID&gt;{DA57B631-55E8-4AC0-BD31-3BB1F0C6E20D}&lt;/UID&gt;&lt;Title&gt;Earnings management using the valuation allowance for deferred tax assets under SFAS No. 109&lt;/Title&gt;&lt;Template&gt;Journal Article&lt;/Template&gt;&lt;Star&gt;0&lt;/Star&gt;&lt;Tag&gt;0&lt;/Tag&gt;&lt;Author&gt;Schrand, Catherine M; Wong, MH Franco&lt;/Author&gt;&lt;Year&gt;2003&lt;/Year&gt;&lt;Details&gt;&lt;_alternate_title&gt;Contemporary Accounting Research&lt;/_alternate_title&gt;&lt;_collection_scope&gt;SSCI&lt;/_collection_scope&gt;&lt;_created&gt;63284328&lt;/_created&gt;&lt;_date&gt;2003-01-01&lt;/_date&gt;&lt;_date_display&gt;2003&lt;/_date_display&gt;&lt;_impact_factor&gt;   2.261&lt;/_impact_factor&gt;&lt;_isbn&gt;0823-9150&lt;/_isbn&gt;&lt;_issue&gt;3&lt;/_issue&gt;&lt;_journal&gt;Contemporary Accounting Research&lt;/_journal&gt;&lt;_modified&gt;63284328&lt;/_modified&gt;&lt;_ori_publication&gt;Wiley Online Library&lt;/_ori_publication&gt;&lt;_pages&gt;579-611&lt;/_pages&gt;&lt;_volume&gt;20&lt;/_volume&gt;&lt;/Details&gt;&lt;Extra&gt;&lt;DBUID&gt;{83AC290F-D6FC-4574-9771-6904EE9C30A4}&lt;/DBUID&gt;&lt;/Extra&gt;&lt;/Item&gt;&lt;/References&gt;&lt;/Group&gt;&lt;/Citation&gt;_x000a_"/>
    <w:docVar w:name="NE.Ref{F73EEEB9-FD5F-4721-A9CE-7E31F606C55B}" w:val=" ADDIN NE.Ref.{F73EEEB9-FD5F-4721-A9CE-7E31F606C55B}&lt;Citation&gt;&lt;Group&gt;&lt;References&gt;&lt;Item&gt;&lt;ID&gt;249&lt;/ID&gt;&lt;UID&gt;{DD1A61B6-8C31-431A-A123-854555C7DCA5}&lt;/UID&gt;&lt;Title&gt;Taxes and off-balance-sheet financing: research and development limited partnerships&lt;/Title&gt;&lt;Template&gt;Journal Article&lt;/Template&gt;&lt;Star&gt;0&lt;/Star&gt;&lt;Tag&gt;0&lt;/Tag&gt;&lt;Author&gt;Shevlin, Terry&lt;/Author&gt;&lt;Year&gt;1987&lt;/Year&gt;&lt;Details&gt;&lt;_accessed&gt;62150898&lt;/_accessed&gt;&lt;_alternate_title&gt;Accounting Review&lt;/_alternate_title&gt;&lt;_collection_scope&gt;SSCI;&lt;/_collection_scope&gt;&lt;_created&gt;61914846&lt;/_created&gt;&lt;_date&gt;1987-01-01&lt;/_date&gt;&lt;_date_display&gt;1987&lt;/_date_display&gt;&lt;_impact_factor&gt;   4.562&lt;/_impact_factor&gt;&lt;_isbn&gt;0001-4826&lt;/_isbn&gt;&lt;_journal&gt;Accounting Review&lt;/_journal&gt;&lt;_modified&gt;62877365&lt;/_modified&gt;&lt;_ori_publication&gt;JSTOR&lt;/_ori_publication&gt;&lt;_pages&gt;480-509&lt;/_pages&gt;&lt;/Details&gt;&lt;Extra&gt;&lt;DBUID&gt;{83AC290F-D6FC-4574-9771-6904EE9C30A4}&lt;/DBUID&gt;&lt;/Extra&gt;&lt;/Item&gt;&lt;/References&gt;&lt;/Group&gt;&lt;/Citation&gt;_x000a_"/>
    <w:docVar w:name="NE.Ref{F7527EC0-6486-4091-B950-E7B0903826BE}" w:val=" ADDIN NE.Ref.{F7527EC0-6486-4091-B950-E7B0903826BE}&lt;Citation&gt;&lt;Group&gt;&lt;References&gt;&lt;Item&gt;&lt;ID&gt;198&lt;/ID&gt;&lt;UID&gt;{7DC3BBBA-6C92-41D3-8018-3008BDFA075F}&lt;/UID&gt;&lt;Title&gt;Auditors’ liability, investments, and capital markets: A potential unintended consequence of the Sarbanes‐Oxley Act&lt;/Title&gt;&lt;Template&gt;Journal Article&lt;/Template&gt;&lt;Star&gt;0&lt;/Star&gt;&lt;Tag&gt;0&lt;/Tag&gt;&lt;Author&gt;Deng, Mingcherng; Melumad, Nahum; Shibano, Toshi&lt;/Author&gt;&lt;Year&gt;2012&lt;/Year&gt;&lt;Details&gt;&lt;_alternate_title&gt;Journal of Accounting Research&lt;/_alternate_title&gt;&lt;_collection_scope&gt;SSCI&lt;/_collection_scope&gt;&lt;_created&gt;63300592&lt;/_created&gt;&lt;_date&gt;2012-01-01&lt;/_date&gt;&lt;_date_display&gt;2012&lt;/_date_display&gt;&lt;_impact_factor&gt;   4.891&lt;/_impact_factor&gt;&lt;_isbn&gt;0021-8456&lt;/_isbn&gt;&lt;_issue&gt;5&lt;/_issue&gt;&lt;_journal&gt;Journal of Accounting Research&lt;/_journal&gt;&lt;_modified&gt;63300592&lt;/_modified&gt;&lt;_ori_publication&gt;Wiley Online Library&lt;/_ori_publication&gt;&lt;_pages&gt;1179-1215&lt;/_pages&gt;&lt;_volume&gt;50&lt;/_volume&gt;&lt;/Details&gt;&lt;Extra&gt;&lt;DBUID&gt;{E9F07991-3B72-4492-A7D8-86E559D9F8FE}&lt;/DBUID&gt;&lt;/Extra&gt;&lt;/Item&gt;&lt;/References&gt;&lt;/Group&gt;&lt;/Citation&gt;_x000a_"/>
    <w:docVar w:name="NE.Ref{F7B75529-DEFF-4AEA-A58D-3D8AE9936DF5}" w:val=" ADDIN NE.Ref.{F7B75529-DEFF-4AEA-A58D-3D8AE9936DF5}&lt;Citation SecTmpl=&quot;1&quot;&gt;&lt;Group&gt;&lt;References&gt;&lt;Item&gt;&lt;ID&gt;186&lt;/ID&gt;&lt;UID&gt;{E95280EA-7BF6-44F1-BDD8-8EF243D89023}&lt;/UID&gt;&lt;Title&gt;Audit Quality and Specialist Tenure&lt;/Title&gt;&lt;Template&gt;Journal Article&lt;/Template&gt;&lt;Star&gt;0&lt;/Star&gt;&lt;Tag&gt;0&lt;/Tag&gt;&lt;Author&gt;Gaver, Jennifer J; Utke, Steven&lt;/Author&gt;&lt;Year&gt;2019&lt;/Year&gt;&lt;Details&gt;&lt;_accessed&gt;62851484&lt;/_accessed&gt;&lt;_created&gt;62851484&lt;/_created&gt;&lt;_db_updated&gt;CrossRef&lt;/_db_updated&gt;&lt;_doi&gt;10.2308/accr-52206&lt;/_doi&gt;&lt;_impact_factor&gt;   4.562&lt;/_impact_factor&gt;&lt;_isbn&gt;0001-4826&lt;/_isbn&gt;&lt;_issue&gt;3&lt;/_issue&gt;&lt;_journal&gt;The Accounting Review&lt;/_journal&gt;&lt;_modified&gt;63297783&lt;/_modified&gt;&lt;_pages&gt;113-147&lt;/_pages&gt;&lt;_tertiary_title&gt;The Accounting Review&lt;/_tertiary_title&gt;&lt;_url&gt;http://aaajournals.org/doi/10.2308/accr-52206&lt;/_url&gt;&lt;_volume&gt;94&lt;/_volume&gt;&lt;/Details&gt;&lt;Extra&gt;&lt;DBUID&gt;{E9F07991-3B72-4492-A7D8-86E559D9F8FE}&lt;/DBUID&gt;&lt;/Extra&gt;&lt;/Item&gt;&lt;/References&gt;&lt;/Group&gt;&lt;/Citation&gt;_x000a_"/>
    <w:docVar w:name="NE.Ref{F7DE7F9F-62C5-4818-867C-5F5E5BD4BDC2}" w:val=" ADDIN NE.Ref.{F7DE7F9F-62C5-4818-867C-5F5E5BD4BDC2}&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F7F1AE84-21AD-4B45-ADA6-28E8890A131E}" w:val=" ADDIN NE.Ref.{F7F1AE84-21AD-4B45-ADA6-28E8890A131E}&lt;Citation SecTmpl=&quot;1&quot;&gt;&lt;Group&gt;&lt;References&gt;&lt;Item&gt;&lt;ID&gt;152&lt;/ID&gt;&lt;UID&gt;{5A35155B-BB3E-4D83-ABB6-045B6B7E50F1}&lt;/UID&gt;&lt;Title&gt;How Aggressive Tax Planning Facilitates the Diversion of Corporate Resources: Evidence from Path Analysis&lt;/Title&gt;&lt;Template&gt;Journal Article&lt;/Template&gt;&lt;Star&gt;0&lt;/Star&gt;&lt;Tag&gt;0&lt;/Tag&gt;&lt;Author&gt;Bauer, Andrew M; Fang, Junxiong; Pittman, Jeffrey; Zhang, Yinqi; Zhao, Yuping&lt;/Author&gt;&lt;Year&gt;2019&lt;/Year&gt;&lt;Details&gt;&lt;_accessed&gt;63260255&lt;/_accessed&gt;&lt;_alternate_title&gt;Contemporary Accounting Research&lt;/_alternate_title&gt;&lt;_collection_scope&gt;SSCI&lt;/_collection_scope&gt;&lt;_created&gt;63260159&lt;/_created&gt;&lt;_date&gt;2019-01-01&lt;/_date&gt;&lt;_date_display&gt;2019&lt;/_date_display&gt;&lt;_impact_factor&gt;   2.261&lt;/_impact_factor&gt;&lt;_isbn&gt;0823-9150&lt;/_isbn&gt;&lt;_journal&gt;Contemporary Accounting Research&lt;/_journal&gt;&lt;_modified&gt;63260255&lt;/_modified&gt;&lt;_ori_publication&gt;Wiley Online Library&lt;/_ori_publication&gt;&lt;/Details&gt;&lt;Extra&gt;&lt;DBUID&gt;{E9F07991-3B72-4492-A7D8-86E559D9F8FE}&lt;/DBUID&gt;&lt;/Extra&gt;&lt;/Item&gt;&lt;/References&gt;&lt;/Group&gt;&lt;/Citation&gt;_x000a_"/>
    <w:docVar w:name="NE.Ref{F8A2781A-A5CF-4FC7-BFFB-13AB7A998E1C}" w:val=" ADDIN NE.Ref.{F8A2781A-A5CF-4FC7-BFFB-13AB7A998E1C}&lt;Citation SecTmpl=&quot;1&quot;&gt;&lt;Group&gt;&lt;References&gt;&lt;Item&gt;&lt;ID&gt;87&lt;/ID&gt;&lt;UID&gt;{3C0BA038-8A77-41FD-8D6A-C5EAD214A0BF}&lt;/UID&gt;&lt;Title&gt;On the Benefits of Audit Market Consolidation: Evidence from Merged Audit Firms&lt;/Title&gt;&lt;Template&gt;Journal Article&lt;/Template&gt;&lt;Star&gt;0&lt;/Star&gt;&lt;Tag&gt;0&lt;/Tag&gt;&lt;Author&gt;Gong, Qihui; Li, Oliver Zhen; Lin, Yupeng; Wu, Liansheng&lt;/Author&gt;&lt;Year&gt;2015&lt;/Year&gt;&lt;Details&gt;&lt;_accessed&gt;62452318&lt;/_accessed&gt;&lt;_created&gt;61742092&lt;/_created&gt;&lt;_isbn&gt;1558-7967&lt;/_isbn&gt;&lt;_issue&gt;2&lt;/_issue&gt;&lt;_journal&gt;The Accounting Review&lt;/_journal&gt;&lt;_modified&gt;61745274&lt;/_modified&gt;&lt;_pages&gt;463-488&lt;/_pages&gt;&lt;_volume&gt;91&lt;/_volume&gt;&lt;/Details&gt;&lt;Extra&gt;&lt;DBUID&gt;{83AC290F-D6FC-4574-9771-6904EE9C30A4}&lt;/DBUID&gt;&lt;/Extra&gt;&lt;/Item&gt;&lt;/References&gt;&lt;/Group&gt;&lt;/Citation&gt;_x000a_"/>
    <w:docVar w:name="NE.Ref{F8DAE316-82F9-423B-9CAA-3B017794651D}" w:val=" ADDIN NE.Ref.{F8DAE316-82F9-423B-9CAA-3B017794651D}&lt;Citation SecTmpl=&quot;1&quot;&gt;&lt;Group&gt;&lt;References&gt;&lt;Item&gt;&lt;ID&gt;138&lt;/ID&gt;&lt;UID&gt;{303140BE-B047-4A5F-8530-8E81BD19E767}&lt;/UID&gt;&lt;Title&gt;客户重要性与审计质量关系研究:公司治理的调节作用&lt;/Title&gt;&lt;Template&gt;Journal Article&lt;/Template&gt;&lt;Star&gt;0&lt;/Star&gt;&lt;Tag&gt;0&lt;/Tag&gt;&lt;Author&gt;李明辉; 刘笑霞&lt;/Author&gt;&lt;Year&gt;2013&lt;/Year&gt;&lt;Details&gt;&lt;_accessed&gt;63245310&lt;/_accessed&gt;&lt;_author_aff&gt;南京大学商学院;河海大学商学院;&lt;/_author_aff&gt;&lt;_collection_scope&gt;CSSCI-C;PKU&lt;/_collection_scope&gt;&lt;_created&gt;63245308&lt;/_created&gt;&lt;_date&gt;59520960&lt;/_date&gt;&lt;_db_provider&gt;CNKI: 期刊&lt;/_db_provider&gt;&lt;_db_updated&gt;CNKI - Reference&lt;/_db_updated&gt;&lt;_issue&gt;03&lt;/_issue&gt;&lt;_journal&gt;财经研究&lt;/_journal&gt;&lt;_keywords&gt;公司治理;客户重要性;审计质量;审计独立性&lt;/_keywords&gt;&lt;_language&gt;Chinese&lt;/_language&gt;&lt;_modified&gt;63245310&lt;/_modified&gt;&lt;_pages&gt;64-74&lt;/_pages&gt;&lt;_url&gt;http://kns.cnki.net/KCMS/detail/detail.aspx?FileName=CJYJ201303005&amp;amp;DbName=CJFQ2013&lt;/_url&gt;&lt;_volume&gt;39&lt;/_volume&gt;&lt;_translated_author&gt;Li, Minghui;Liu, Xiaoxia&lt;/_translated_author&gt;&lt;/Details&gt;&lt;Extra&gt;&lt;DBUID&gt;{E9F07991-3B72-4492-A7D8-86E559D9F8FE}&lt;/DBUID&gt;&lt;/Extra&gt;&lt;/Item&gt;&lt;/References&gt;&lt;/Group&gt;&lt;/Citation&gt;_x000a_"/>
    <w:docVar w:name="NE.Ref{F8E6CDC4-6761-4DEB-9059-FC2ED7EAF560}" w:val=" ADDIN NE.Ref.{F8E6CDC4-6761-4DEB-9059-FC2ED7EAF560}&lt;Citation SecTmpl=&quot;1&quot;&gt;&lt;Group&gt;&lt;References&gt;&lt;Item&gt;&lt;ID&gt;38&lt;/ID&gt;&lt;UID&gt;{DE5487CB-7043-4510-A48F-5C542661EA12}&lt;/UID&gt;&lt;Title&gt;Does mandatory rotation of audit partners improve audit quality?&lt;/Title&gt;&lt;Template&gt;Journal Article&lt;/Template&gt;&lt;Star&gt;0&lt;/Star&gt;&lt;Tag&gt;0&lt;/Tag&gt;&lt;Author&gt;Lennox, Clive S; Wu, Xi; Zhang, Tianyu&lt;/Author&gt;&lt;Year&gt;2014&lt;/Year&gt;&lt;Details&gt;&lt;_alternate_title&gt;The accounting review&lt;/_alternate_title&gt;&lt;_created&gt;63224357&lt;/_created&gt;&lt;_date&gt;2014-01-01&lt;/_date&gt;&lt;_date_display&gt;2014&lt;/_date_display&gt;&lt;_isbn&gt;1558-7967&lt;/_isbn&gt;&lt;_issue&gt;5&lt;/_issue&gt;&lt;_journal&gt;The accounting review&lt;/_journal&gt;&lt;_modified&gt;63224357&lt;/_modified&gt;&lt;_ori_publication&gt;American Accounting Association&lt;/_ori_publication&gt;&lt;_pages&gt;1775-1803&lt;/_pages&gt;&lt;_volume&gt;89&lt;/_volume&gt;&lt;/Details&gt;&lt;Extra&gt;&lt;DBUID&gt;{E9F07991-3B72-4492-A7D8-86E559D9F8FE}&lt;/DBUID&gt;&lt;/Extra&gt;&lt;/Item&gt;&lt;/References&gt;&lt;/Group&gt;&lt;/Citation&gt;_x000a_"/>
    <w:docVar w:name="NE.Ref{F9348A0D-847F-4809-92B6-D7B8DCEBABE4}" w:val=" ADDIN NE.Ref.{F9348A0D-847F-4809-92B6-D7B8DCEBABE4}&lt;Citation&gt;&lt;Group&gt;&lt;References&gt;&lt;Item&gt;&lt;ID&gt;636&lt;/ID&gt;&lt;UID&gt;{63AD15BF-0C5B-461F-A5EA-9FA73678FF73}&lt;/UID&gt;&lt;Title&gt;Expertise and its relation to audit decision quality&lt;/Title&gt;&lt;Template&gt;Journal Article&lt;/Template&gt;&lt;Star&gt;0&lt;/Star&gt;&lt;Tag&gt;0&lt;/Tag&gt;&lt;Author&gt;Bedard, Jean&lt;/Author&gt;&lt;Year&gt;1991&lt;/Year&gt;&lt;Details&gt;&lt;_alternate_title&gt;Contemporary Accounting Research&lt;/_alternate_title&gt;&lt;_collection_scope&gt;SSCI&lt;/_collection_scope&gt;&lt;_created&gt;63179538&lt;/_created&gt;&lt;_date&gt;1991-01-01&lt;/_date&gt;&lt;_date_display&gt;1991&lt;/_date_display&gt;&lt;_impact_factor&gt;   2.261&lt;/_impact_factor&gt;&lt;_isbn&gt;0823-9150&lt;/_isbn&gt;&lt;_issue&gt;1&lt;/_issue&gt;&lt;_journal&gt;Contemporary Accounting Research&lt;/_journal&gt;&lt;_modified&gt;63179538&lt;/_modified&gt;&lt;_ori_publication&gt;Wiley Online Library&lt;/_ori_publication&gt;&lt;_pages&gt;198-222&lt;/_pages&gt;&lt;_volume&gt;8&lt;/_volume&gt;&lt;/Details&gt;&lt;Extra&gt;&lt;DBUID&gt;{83AC290F-D6FC-4574-9771-6904EE9C30A4}&lt;/DBUID&gt;&lt;/Extra&gt;&lt;/Item&gt;&lt;/References&gt;&lt;/Group&gt;&lt;Group&gt;&lt;References&gt;&lt;Item&gt;&lt;ID&gt;637&lt;/ID&gt;&lt;UID&gt;{267FE1D8-0FA5-4F31-A9F7-D4C46DF85F7A}&lt;/UID&gt;&lt;Title&gt;Pattern identification and industry-specialist auditors&lt;/Title&gt;&lt;Template&gt;Journal Article&lt;/Template&gt;&lt;Star&gt;0&lt;/Star&gt;&lt;Tag&gt;0&lt;/Tag&gt;&lt;Author&gt;Hammersley, Jacqueline S&lt;/Author&gt;&lt;Year&gt;2006&lt;/Year&gt;&lt;Details&gt;&lt;_alternate_title&gt;The Accounting Review&lt;/_alternate_title&gt;&lt;_created&gt;63179539&lt;/_created&gt;&lt;_date&gt;2006-01-01&lt;/_date&gt;&lt;_date_display&gt;2006&lt;/_date_display&gt;&lt;_impact_factor&gt;   4.562&lt;/_impact_factor&gt;&lt;_isbn&gt;0001-4826&lt;/_isbn&gt;&lt;_issue&gt;2&lt;/_issue&gt;&lt;_journal&gt;The Accounting Review&lt;/_journal&gt;&lt;_modified&gt;63179539&lt;/_modified&gt;&lt;_pages&gt;309-336&lt;/_pages&gt;&lt;_volume&gt;81&lt;/_volume&gt;&lt;/Details&gt;&lt;Extra&gt;&lt;DBUID&gt;{83AC290F-D6FC-4574-9771-6904EE9C30A4}&lt;/DBUID&gt;&lt;/Extra&gt;&lt;/Item&gt;&lt;/References&gt;&lt;/Group&gt;&lt;Group&gt;&lt;References&gt;&lt;Item&gt;&lt;ID&gt;638&lt;/ID&gt;&lt;UID&gt;{F560FEC8-976F-4E4A-84B5-2D413AF1A695}&lt;/UID&gt;&lt;Title&gt;Does industry expertise improve the efficiency of audit judgment?&lt;/Title&gt;&lt;Template&gt;Journal Article&lt;/Template&gt;&lt;Star&gt;0&lt;/Star&gt;&lt;Tag&gt;0&lt;/Tag&gt;&lt;Author&gt;Moroney, Robyn&lt;/Author&gt;&lt;Year&gt;2007&lt;/Year&gt;&lt;Details&gt;&lt;_alternate_title&gt;Auditing: A Journal of Practice &amp;amp; Theory&lt;/_alternate_title&gt;&lt;_created&gt;63179540&lt;/_created&gt;&lt;_date&gt;2007-01-01&lt;/_date&gt;&lt;_date_display&gt;2007&lt;/_date_display&gt;&lt;_impact_factor&gt;   2.642&lt;/_impact_factor&gt;&lt;_isbn&gt;0278-0380&lt;/_isbn&gt;&lt;_issue&gt;2&lt;/_issue&gt;&lt;_journal&gt;Auditing: A Journal of Practice &amp;amp; Theory&lt;/_journal&gt;&lt;_modified&gt;63179540&lt;/_modified&gt;&lt;_pages&gt;69-94&lt;/_pages&gt;&lt;_volume&gt;26&lt;/_volume&gt;&lt;/Details&gt;&lt;Extra&gt;&lt;DBUID&gt;{83AC290F-D6FC-4574-9771-6904EE9C30A4}&lt;/DBUID&gt;&lt;/Extra&gt;&lt;/Item&gt;&lt;/References&gt;&lt;/Group&gt;&lt;/Citation&gt;_x000a_"/>
    <w:docVar w:name="NE.Ref{F9524245-BBEA-420A-9B06-A7F72E955BBC}" w:val=" ADDIN NE.Ref.{F9524245-BBEA-420A-9B06-A7F72E955BBC}&lt;Citation SecTmpl=&quot;1&quot;&gt;&lt;Group&gt;&lt;References&gt;&lt;Item&gt;&lt;ID&gt;63&lt;/ID&gt;&lt;UID&gt;{3104F94A-D263-48C7-BD66-A394878F8608}&lt;/UID&gt;&lt;Title&gt;The effect of audit adjustments on earnings quality: Evidence from China&lt;/Title&gt;&lt;Template&gt;Journal Article&lt;/Template&gt;&lt;Star&gt;0&lt;/Star&gt;&lt;Tag&gt;0&lt;/Tag&gt;&lt;Author&gt;Lennox, Clive; Wu, Xi; Zhang, Tianyu&lt;/Author&gt;&lt;Year&gt;2016&lt;/Year&gt;&lt;Details&gt;&lt;_accessed&gt;63294360&lt;/_accessed&gt;&lt;_alternate_title&gt;Journal of Accounting and Economics&lt;/_alternate_title&gt;&lt;_created&gt;63225912&lt;/_created&gt;&lt;_date&gt;2016-01-01&lt;/_date&gt;&lt;_date_display&gt;2016&lt;/_date_display&gt;&lt;_impact_factor&gt;   3.753&lt;/_impact_factor&gt;&lt;_isbn&gt;0165-4101&lt;/_isbn&gt;&lt;_issue&gt;2-3&lt;/_issue&gt;&lt;_journal&gt;Journal of Accounting and Economics&lt;/_journal&gt;&lt;_modified&gt;63294360&lt;/_modified&gt;&lt;_ori_publication&gt;Elsevier&lt;/_ori_publication&gt;&lt;_pages&gt;545-562&lt;/_pages&gt;&lt;_volume&gt;61&lt;/_volume&gt;&lt;/Details&gt;&lt;Extra&gt;&lt;DBUID&gt;{E9F07991-3B72-4492-A7D8-86E559D9F8FE}&lt;/DBUID&gt;&lt;/Extra&gt;&lt;/Item&gt;&lt;/References&gt;&lt;/Group&gt;&lt;/Citation&gt;_x000a_"/>
    <w:docVar w:name="NE.Ref{F9C03C8A-6DAC-40B1-BCE9-A750607B550B}" w:val=" ADDIN NE.Ref.{F9C03C8A-6DAC-40B1-BCE9-A750607B550B}&lt;Citation SecTmpl=&quot;1&quot;&gt;&lt;Group&gt;&lt;References&gt;&lt;Item&gt;&lt;ID&gt;92&lt;/ID&gt;&lt;UID&gt;{BE5FECD0-035E-433A-8201-0BD8E3272CD4}&lt;/UID&gt;&lt;Title&gt;及时披露的年报信息可靠吗?&lt;/Title&gt;&lt;Template&gt;Journal Article&lt;/Template&gt;&lt;Star&gt;0&lt;/Star&gt;&lt;Tag&gt;0&lt;/Tag&gt;&lt;Author&gt;李丹; 宋衍蘅&lt;/Author&gt;&lt;Year&gt;2010&lt;/Year&gt;&lt;Details&gt;&lt;_accessed&gt;62704510&lt;/_accessed&gt;&lt;_author_aff&gt;清华大学经济管理学院会计系;浙江大学管理学院会计与财务管理系;&lt;/_author_aff&gt;&lt;_collection_scope&gt;CSSCI-C;PKU&lt;/_collection_scope&gt;&lt;_created&gt;62704509&lt;/_created&gt;&lt;_date&gt;58224960&lt;/_date&gt;&lt;_db_provider&gt;CNKI: 期刊&lt;/_db_provider&gt;&lt;_db_updated&gt;CNKI - Reference&lt;/_db_updated&gt;&lt;_issue&gt;09&lt;/_issue&gt;&lt;_journal&gt;管理世界&lt;/_journal&gt;&lt;_keywords&gt;会计信息;及时性;可靠性;时间压力;审计质量&lt;/_keywords&gt;&lt;_modified&gt;63228804&lt;/_modified&gt;&lt;_pages&gt;129-137+188&lt;/_pages&gt;&lt;_url&gt;http://kns.cnki.net/KCMS/detail/detail.aspx?FileName=GLSJ201009014&amp;amp;DbName=CJFQ2010&lt;/_url&gt;&lt;_translated_author&gt;Li, Dan;Song, Yanheng&lt;/_translated_author&gt;&lt;/Details&gt;&lt;Extra&gt;&lt;DBUID&gt;{E9F07991-3B72-4492-A7D8-86E559D9F8FE}&lt;/DBUID&gt;&lt;/Extra&gt;&lt;/Item&gt;&lt;/References&gt;&lt;/Group&gt;&lt;/Citation&gt;_x000a_"/>
    <w:docVar w:name="NE.Ref{F9CBB4C2-3A71-41AA-88BD-D91102B58E2C}" w:val=" ADDIN NE.Ref.{F9CBB4C2-3A71-41AA-88BD-D91102B58E2C}&lt;Citation SecTmpl=&quot;1&quot;&gt;&lt;Group&gt;&lt;References&gt;&lt;Item&gt;&lt;ID&gt;55&lt;/ID&gt;&lt;UID&gt;{E458AB47-9FDD-4B47-8574-F6D4AA49E9FC}&lt;/UID&gt;&lt;Title&gt;Auditor choice and its implications for group‐affiliated firms&lt;/Title&gt;&lt;Template&gt;Journal Article&lt;/Template&gt;&lt;Star&gt;0&lt;/Star&gt;&lt;Tag&gt;0&lt;/Tag&gt;&lt;Author&gt;Fang, Junxiong; Pittman, Jeffrey; Zhang, Yinqi; Zhao, Yuping&lt;/Author&gt;&lt;Year&gt;2017&lt;/Year&gt;&lt;Details&gt;&lt;_alternate_title&gt;Contemporary Accounting Research&lt;/_alternate_title&gt;&lt;_collection_scope&gt;SSCI&lt;/_collection_scope&gt;&lt;_created&gt;63225156&lt;/_created&gt;&lt;_date&gt;2017-01-01&lt;/_date&gt;&lt;_date_display&gt;2017&lt;/_date_display&gt;&lt;_impact_factor&gt;   2.261&lt;/_impact_factor&gt;&lt;_isbn&gt;0823-9150&lt;/_isbn&gt;&lt;_issue&gt;1&lt;/_issue&gt;&lt;_journal&gt;Contemporary Accounting Research&lt;/_journal&gt;&lt;_modified&gt;63225156&lt;/_modified&gt;&lt;_ori_publication&gt;Wiley Online Library&lt;/_ori_publication&gt;&lt;_pages&gt;39-82&lt;/_pages&gt;&lt;_volume&gt;34&lt;/_volume&gt;&lt;/Details&gt;&lt;Extra&gt;&lt;DBUID&gt;{E9F07991-3B72-4492-A7D8-86E559D9F8FE}&lt;/DBUID&gt;&lt;/Extra&gt;&lt;/Item&gt;&lt;/References&gt;&lt;/Group&gt;&lt;/Citation&gt;_x000a_"/>
    <w:docVar w:name="NE.Ref{FAA32433-18DA-4F40-9025-1B0E9C819F2A}" w:val=" ADDIN NE.Ref.{FAA32433-18DA-4F40-9025-1B0E9C819F2A}&lt;Citation SecTmpl=&quot;1&quot;&gt;&lt;Group&gt;&lt;References&gt;&lt;Item&gt;&lt;ID&gt;8&lt;/ID&gt;&lt;UID&gt;{26112459-B100-4CF5-B4BB-D1147BD5BB27}&lt;/UID&gt;&lt;Title&gt;内部控制与关联交易:基于效率促进观和掏空观分析&lt;/Title&gt;&lt;Template&gt;Journal Article&lt;/Template&gt;&lt;Star&gt;0&lt;/Star&gt;&lt;Tag&gt;0&lt;/Tag&gt;&lt;Author&gt;张洪辉; 章琳一; 张蕊&lt;/Author&gt;&lt;Year&gt;2016&lt;/Year&gt;&lt;Details&gt;&lt;_accessed&gt;63210826&lt;/_accessed&gt;&lt;_author_aff&gt;江西财经大学会计学院、会计发展研究中心;&lt;/_author_aff&gt;&lt;_collection_scope&gt;CSSCI-C;PKU&lt;/_collection_scope&gt;&lt;_created&gt;63210825&lt;/_created&gt;&lt;_date&gt;61400160&lt;/_date&gt;&lt;_db_provider&gt;CNKI: 期刊&lt;/_db_provider&gt;&lt;_db_updated&gt;CNKI - Reference&lt;/_db_updated&gt;&lt;_issue&gt;05&lt;/_issue&gt;&lt;_journal&gt;审计研究&lt;/_journal&gt;&lt;_keywords&gt;内部控制;关联交易;效率促进;掏空&lt;/_keywords&gt;&lt;_language&gt;Chinese&lt;/_language&gt;&lt;_modified&gt;63210826&lt;/_modified&gt;&lt;_pages&gt;89-97&lt;/_pages&gt;&lt;_url&gt;http://kns.cnki.net/KCMS/detail/detail.aspx?FileName=SJYZ201605014&amp;amp;DbName=CJFQ2016&lt;/_url&gt;&lt;_translated_author&gt;Zhang, Honghui;Zhang, Linyi;Zhang, Rui&lt;/_translated_author&gt;&lt;/Details&gt;&lt;Extra&gt;&lt;DBUID&gt;{5C468024-F265-4275-853A-7E297F15ECC4}&lt;/DBUID&gt;&lt;/Extra&gt;&lt;/Item&gt;&lt;/References&gt;&lt;/Group&gt;&lt;/Citation&gt;_x000a_"/>
    <w:docVar w:name="NE.Ref{FAC45EE1-DE48-4B4F-AFAA-30202DEBA531}" w:val=" ADDIN NE.Ref.{FAC45EE1-DE48-4B4F-AFAA-30202DEBA531}&lt;Citation SecTmpl=&quot;1&quot;&gt;&lt;Group&gt;&lt;References&gt;&lt;Item&gt;&lt;ID&gt;81&lt;/ID&gt;&lt;UID&gt;{6D78AC12-FB5E-4317-BAB6-D16592E9D043}&lt;/UID&gt;&lt;Title&gt;税收激进行为的外溢效应——来自共同审计师的证据&lt;/Title&gt;&lt;Template&gt;Journal Article&lt;/Template&gt;&lt;Star&gt;0&lt;/Star&gt;&lt;Tag&gt;0&lt;/Tag&gt;&lt;Author&gt;曾姝; 李青原&lt;/Author&gt;&lt;Year&gt;2016&lt;/Year&gt;&lt;Details&gt;&lt;_accessed&gt;61697771&lt;/_accessed&gt;&lt;_author_adr&gt;武汉大学经济与管理学院 430072&lt;/_author_adr&gt;&lt;_author_aff&gt;武汉大学经济与管理学院 430072&lt;/_author_aff&gt;&lt;_collection_scope&gt;CSSCI;中文核心期刊;&lt;/_collection_scope&gt;&lt;_created&gt;61697771&lt;/_created&gt;&lt;_db_provider&gt;北京万方数据股份有限公司&lt;/_db_provider&gt;&lt;_db_updated&gt;Wanfangdata&lt;/_db_updated&gt;&lt;_doi&gt;10.3969/j.issn.1003-2886.2016.06.010&lt;/_doi&gt;&lt;_isbn&gt;1003-2886&lt;/_isbn&gt;&lt;_issue&gt;6&lt;/_issue&gt;&lt;_journal&gt;会计研究&lt;/_journal&gt;&lt;_keywords&gt;共同审计师; 税收激进; 外溢效应; 代理问题&lt;/_keywords&gt;&lt;_language&gt;chi&lt;/_language&gt;&lt;_modified&gt;63228170&lt;/_modified&gt;&lt;_pages&gt;70-76&lt;/_pages&gt;&lt;_tertiary_title&gt;Accounting Research&lt;/_tertiary_title&gt;&lt;_url&gt;http://d.g.wanfangdata.com.cn/Periodical_kjyj201606010.aspx&lt;/_url&gt;&lt;_translated_author&gt;Ceng, Shu;Li, Qingyuan&lt;/_translated_author&gt;&lt;/Details&gt;&lt;Extra&gt;&lt;DBUID&gt;{E9F07991-3B72-4492-A7D8-86E559D9F8FE}&lt;/DBUID&gt;&lt;/Extra&gt;&lt;/Item&gt;&lt;/References&gt;&lt;/Group&gt;&lt;/Citation&gt;_x000a_"/>
    <w:docVar w:name="NE.Ref{FADF758E-63F1-40AB-818A-5C112A2D180D}" w:val=" ADDIN NE.Ref.{FADF758E-63F1-40AB-818A-5C112A2D180D}&lt;Citation SecTmpl=&quot;1&quot;&gt;&lt;Group&gt;&lt;References&gt;&lt;Item&gt;&lt;ID&gt;335&lt;/ID&gt;&lt;UID&gt;{68FEB774-A16F-4163-8695-0760EDD9195F}&lt;/UID&gt;&lt;Title&gt;企业与税务局为邻：便利避税还是便利征税？&lt;/Title&gt;&lt;Template&gt;Journal Article&lt;/Template&gt;&lt;Star&gt;0&lt;/Star&gt;&lt;Tag&gt;0&lt;/Tag&gt;&lt;Author&gt;张敏; 刘耀淞; 王欣; 何萱&lt;/Author&gt;&lt;Year&gt;2018&lt;/Year&gt;&lt;Details&gt;&lt;_accessed&gt;63310155&lt;/_accessed&gt;&lt;_collection_scope&gt;CSSCI-C;PKU&lt;/_collection_scope&gt;&lt;_created&gt;62681313&lt;/_created&gt;&lt;_date&gt;2018-01-01&lt;/_date&gt;&lt;_date_display&gt;2018&lt;/_date_display&gt;&lt;_issue&gt;5&lt;/_issue&gt;&lt;_journal&gt;管理世界&lt;/_journal&gt;&lt;_modified&gt;62681339&lt;/_modified&gt;&lt;_volume&gt;34&lt;/_volume&gt;&lt;_translated_author&gt;Zhang, Min;Liu, Yaosong;Wang, Xin;He, Xuan&lt;/_translated_author&gt;&lt;/Details&gt;&lt;Extra&gt;&lt;DBUID&gt;{83AC290F-D6FC-4574-9771-6904EE9C30A4}&lt;/DBUID&gt;&lt;/Extra&gt;&lt;/Item&gt;&lt;/References&gt;&lt;/Group&gt;&lt;/Citation&gt;_x000a_"/>
    <w:docVar w:name="NE.Ref{FB565555-3807-47A8-8664-AD7ED2A8E526}" w:val=" ADDIN NE.Ref.{FB565555-3807-47A8-8664-AD7ED2A8E526}&lt;Citation SecTmpl=&quot;1&quot;&gt;&lt;Group&gt;&lt;References&gt;&lt;Item&gt;&lt;ID&gt;286&lt;/ID&gt;&lt;UID&gt;{C9A5794E-E61E-4D6E-B4F0-36E11F92F0AF}&lt;/UID&gt;&lt;Title&gt;Corporate tax avoidance and firm value&lt;/Title&gt;&lt;Template&gt;Journal Article&lt;/Template&gt;&lt;Star&gt;0&lt;/Star&gt;&lt;Tag&gt;0&lt;/Tag&gt;&lt;Author&gt;Desai, Mihir A; Dharmapala, Dhammika&lt;/Author&gt;&lt;Year&gt;2009&lt;/Year&gt;&lt;Details&gt;&lt;_accessed&gt;63309308&lt;/_accessed&gt;&lt;_alternate_title&gt;The review of Economics and Statistics&lt;/_alternate_title&gt;&lt;_created&gt;63307372&lt;/_created&gt;&lt;_date&gt;2009-01-01&lt;/_date&gt;&lt;_date_display&gt;2009&lt;/_date_display&gt;&lt;_impact_factor&gt;   3.636&lt;/_impact_factor&gt;&lt;_isbn&gt;0034-6535&lt;/_isbn&gt;&lt;_issue&gt;3&lt;/_issue&gt;&lt;_journal&gt;The review of Economics and Statistics&lt;/_journal&gt;&lt;_modified&gt;63309308&lt;/_modified&gt;&lt;_ori_publication&gt;MIT Press&lt;/_ori_publication&gt;&lt;_pages&gt;537-546&lt;/_pages&gt;&lt;_volume&gt;91&lt;/_volume&gt;&lt;/Details&gt;&lt;Extra&gt;&lt;DBUID&gt;{E9F07991-3B72-4492-A7D8-86E559D9F8FE}&lt;/DBUID&gt;&lt;/Extra&gt;&lt;/Item&gt;&lt;/References&gt;&lt;/Group&gt;&lt;/Citation&gt;_x000a_"/>
    <w:docVar w:name="NE.Ref{FB93ABAD-D38C-45EA-BF1B-34713D8EB260}" w:val=" ADDIN NE.Ref.{FB93ABAD-D38C-45EA-BF1B-34713D8EB260}&lt;Citation&gt;&lt;Group&gt;&lt;References&gt;&lt;Item&gt;&lt;ID&gt;319&lt;/ID&gt;&lt;UID&gt;{03C28457-D853-4861-B798-39BBCFB5710B}&lt;/UID&gt;&lt;Title&gt;The Economics of Corporate Tax Selfishness&lt;/Title&gt;&lt;Template&gt;Journal Article&lt;/Template&gt;&lt;Star&gt;0&lt;/Star&gt;&lt;Tag&gt;0&lt;/Tag&gt;&lt;Author&gt;Slemrod, Joel&lt;/Author&gt;&lt;Year&gt;2004&lt;/Year&gt;&lt;Details&gt;&lt;_alternate_title&gt;National Tax Journal&lt;/_alternate_title&gt;&lt;_collection_scope&gt;SSCI&lt;/_collection_scope&gt;&lt;_created&gt;63311636&lt;/_created&gt;&lt;_date&gt;2004-01-01&lt;/_date&gt;&lt;_date_display&gt;2004&lt;/_date_display&gt;&lt;_doi&gt;10.17310/ntj.2004.4.06&lt;/_doi&gt;&lt;_impact_factor&gt;   0.806&lt;/_impact_factor&gt;&lt;_issue&gt;4&lt;/_issue&gt;&lt;_journal&gt;National Tax Journal&lt;/_journal&gt;&lt;_modified&gt;63311636&lt;/_modified&gt;&lt;_pages&gt;877-899&lt;/_pages&gt;&lt;_volume&gt;57&lt;/_volume&gt;&lt;/Details&gt;&lt;Extra&gt;&lt;DBUID&gt;{E9F07991-3B72-4492-A7D8-86E559D9F8FE}&lt;/DBUID&gt;&lt;/Extra&gt;&lt;/Item&gt;&lt;/References&gt;&lt;/Group&gt;&lt;/Citation&gt;_x000a_"/>
    <w:docVar w:name="NE.Ref{FCD343CF-41DC-4305-9798-92E3F0B4D2D5}" w:val=" ADDIN NE.Ref.{FCD343CF-41DC-4305-9798-92E3F0B4D2D5}&lt;Citation SecTmpl=&quot;1&quot;&gt;&lt;Group&gt;&lt;References&gt;&lt;Item&gt;&lt;ID&gt;122&lt;/ID&gt;&lt;UID&gt;{29AA4BB2-5AF7-42EB-B2C9-8E2206D156B4}&lt;/UID&gt;&lt;Title&gt;审计师行业专长与审计质量——来自财务舞弊公司的经验证据&lt;/Title&gt;&lt;Template&gt;Journal Article&lt;/Template&gt;&lt;Star&gt;0&lt;/Star&gt;&lt;Tag&gt;0&lt;/Tag&gt;&lt;Author&gt;刘文军; 米莉; 傅倞轩&lt;/Author&gt;&lt;Year&gt;2010&lt;/Year&gt;&lt;Details&gt;&lt;_accessed&gt;62473593&lt;/_accessed&gt;&lt;_author_aff&gt;内蒙古财经学院会计学院;内蒙古大学经济管理学院;&lt;/_author_aff&gt;&lt;_collection_scope&gt;CSSCI;中文核心期刊;&lt;/_collection_scope&gt;&lt;_created&gt;62473593&lt;/_created&gt;&lt;_date&gt;57893760&lt;/_date&gt;&lt;_db_provider&gt;CNKI: 期刊&lt;/_db_provider&gt;&lt;_db_updated&gt;CNKI - Reference&lt;/_db_updated&gt;&lt;_issue&gt;01&lt;/_issue&gt;&lt;_journal&gt;审计研究&lt;/_journal&gt;&lt;_keywords&gt;行业专长;审计质量;财务舞弊;审计意见&lt;/_keywords&gt;&lt;_language&gt;Chinese&lt;/_language&gt;&lt;_modified&gt;62475291&lt;/_modified&gt;&lt;_pages&gt;47-54&lt;/_pages&gt;&lt;_url&gt;http://kns.cnki.net/KCMS/detail/detail.aspx?FileName=SJYZ201001009&amp;amp;DbName=CJFQ2010&lt;/_url&gt;&lt;_translated_author&gt;Liu, Wenjun;Mi, Li;Fu, Jingxuan&lt;/_translated_author&gt;&lt;/Details&gt;&lt;Extra&gt;&lt;DBUID&gt;{2097646C-7C2F-4992-8A9B-6FF23AE7F1B7}&lt;/DBUID&gt;&lt;/Extra&gt;&lt;/Item&gt;&lt;/References&gt;&lt;/Group&gt;&lt;/Citation&gt;_x000a_"/>
    <w:docVar w:name="NE.Ref{FCD6C89E-2D6A-4E61-836F-A7D7465D0032}" w:val=" ADDIN NE.Ref.{FCD6C89E-2D6A-4E61-836F-A7D7465D0032}&lt;Citation SecTmpl=&quot;1&quot;&gt;&lt;Group&gt;&lt;References&gt;&lt;Item&gt;&lt;ID&gt;669&lt;/ID&gt;&lt;UID&gt;{33801685-1D7D-4943-87BD-C56DA2A4E4DB}&lt;/UID&gt;&lt;Title&gt;Auditing standards, legal liability, and auditor wealth&lt;/Title&gt;&lt;Template&gt;Journal Article&lt;/Template&gt;&lt;Star&gt;0&lt;/Star&gt;&lt;Tag&gt;0&lt;/Tag&gt;&lt;Author&gt;Dye, Ronald A&lt;/Author&gt;&lt;Year&gt;1993&lt;/Year&gt;&lt;Details&gt;&lt;_alternate_title&gt;Journal of political Economy&lt;/_alternate_title&gt;&lt;_collection_scope&gt;SSCI&lt;/_collection_scope&gt;&lt;_created&gt;63228769&lt;/_created&gt;&lt;_date&gt;1993-01-01&lt;/_date&gt;&lt;_date_display&gt;1993&lt;/_date_display&gt;&lt;_impact_factor&gt;   6.342&lt;/_impact_factor&gt;&lt;_isbn&gt;0022-3808&lt;/_isbn&gt;&lt;_issue&gt;5&lt;/_issue&gt;&lt;_journal&gt;Journal of political Economy&lt;/_journal&gt;&lt;_modified&gt;63228769&lt;/_modified&gt;&lt;_ori_publication&gt;The University of Chicago Press&lt;/_ori_publication&gt;&lt;_pages&gt;887-914&lt;/_pages&gt;&lt;_volume&gt;101&lt;/_volume&gt;&lt;/Details&gt;&lt;Extra&gt;&lt;DBUID&gt;{83AC290F-D6FC-4574-9771-6904EE9C30A4}&lt;/DBUID&gt;&lt;/Extra&gt;&lt;/Item&gt;&lt;/References&gt;&lt;/Group&gt;&lt;/Citation&gt;_x000a_"/>
    <w:docVar w:name="NE.Ref{FCDEC798-2FA3-494E-B077-BE63D926A753}" w:val=" ADDIN NE.Ref.{FCDEC798-2FA3-494E-B077-BE63D926A753}&lt;Citation SecTmpl=&quot;1&quot;&gt;&lt;Group&gt;&lt;References&gt;&lt;Item&gt;&lt;ID&gt;469&lt;/ID&gt;&lt;UID&gt;{FCCDA5E9-57BE-45D0-B008-43C9622AE50A}&lt;/UID&gt;&lt;Title&gt;审计师个人经验与审计质量&lt;/Title&gt;&lt;Template&gt;Journal Article&lt;/Template&gt;&lt;Star&gt;0&lt;/Star&gt;&lt;Tag&gt;0&lt;/Tag&gt;&lt;Author&gt;王晓珂; 王艳艳; 于李胜; 赵玉萍; 张震宇&lt;/Author&gt;&lt;Year&gt;2016&lt;/Year&gt;&lt;Details&gt;&lt;_accessed&gt;63176308&lt;/_accessed&gt;&lt;_author_adr&gt;北京工商大学; 厦门大学; 美国休斯敦大学&lt;/_author_adr&gt;&lt;_author_aff&gt;北京工商大学; 厦门大学; 美国休斯敦大学&lt;/_author_aff&gt;&lt;_collection_scope&gt;CSSCI-C;PKU&lt;/_collection_scope&gt;&lt;_created&gt;63176307&lt;/_created&gt;&lt;_db_provider&gt;北京万方数据股份有限公司&lt;/_db_provider&gt;&lt;_db_updated&gt;Wanfangdata&lt;/_db_updated&gt;&lt;_doi&gt;10.3969/j.issn.1003-2886.2016.09.011&lt;/_doi&gt;&lt;_isbn&gt;1003-2886&lt;/_isbn&gt;&lt;_issue&gt;9&lt;/_issue&gt;&lt;_journal&gt;会计研究&lt;/_journal&gt;&lt;_keywords&gt;审计师个人经验; 盈余管理; 审计质量; 盈余反应系数&lt;/_keywords&gt;&lt;_language&gt;chi&lt;/_language&gt;&lt;_modified&gt;63176308&lt;/_modified&gt;&lt;_pages&gt;75-81&lt;/_pages&gt;&lt;_tertiary_title&gt;Accounting Research&lt;/_tertiary_title&gt;&lt;_url&gt;http://www.wanfangdata.com.cn/details/detail.do?_type=perio&amp;amp;id=kjyj201609011&lt;/_url&gt;&lt;_translated_author&gt;Wang, Xiaoke;Wang, Yanyan;Yu, Lisheng;Zhao, Yuping;Zhang, Zhenyu&lt;/_translated_author&gt;&lt;/Details&gt;&lt;Extra&gt;&lt;DBUID&gt;{83AC290F-D6FC-4574-9771-6904EE9C30A4}&lt;/DBUID&gt;&lt;/Extra&gt;&lt;/Item&gt;&lt;/References&gt;&lt;/Group&gt;&lt;/Citation&gt;_x000a_"/>
    <w:docVar w:name="NE.Ref{FD5E9251-F3AF-4FC0-884F-FD4E5035C4FC}" w:val=" ADDIN NE.Ref.{FD5E9251-F3AF-4FC0-884F-FD4E5035C4FC}&lt;Citation&gt;&lt;Group&gt;&lt;References&gt;&lt;Item&gt;&lt;ID&gt;174&lt;/ID&gt;&lt;UID&gt;{658ACE29-E1AC-4892-8F96-ECD5EB8E5472}&lt;/UID&gt;&lt;Title&gt;Using financial and market information to identify pre-engagement factors associated with lawsuits against auditors&lt;/Title&gt;&lt;Template&gt;Journal Article&lt;/Template&gt;&lt;Star&gt;0&lt;/Star&gt;&lt;Tag&gt;0&lt;/Tag&gt;&lt;Author&gt;Stice, James D&lt;/Author&gt;&lt;Year&gt;1991&lt;/Year&gt;&lt;Details&gt;&lt;_alternate_title&gt;Accounting Review&lt;/_alternate_title&gt;&lt;_collection_scope&gt;SSCI&lt;/_collection_scope&gt;&lt;_created&gt;63295814&lt;/_created&gt;&lt;_date&gt;1991-01-01&lt;/_date&gt;&lt;_date_display&gt;1991&lt;/_date_display&gt;&lt;_impact_factor&gt;   4.562&lt;/_impact_factor&gt;&lt;_isbn&gt;0001-4826&lt;/_isbn&gt;&lt;_journal&gt;Accounting Review&lt;/_journal&gt;&lt;_modified&gt;63295814&lt;/_modified&gt;&lt;_ori_publication&gt;JSTOR&lt;/_ori_publication&gt;&lt;_pages&gt;516-533&lt;/_pages&gt;&lt;/Details&gt;&lt;Extra&gt;&lt;DBUID&gt;{E9F07991-3B72-4492-A7D8-86E559D9F8FE}&lt;/DBUID&gt;&lt;/Extra&gt;&lt;/Item&gt;&lt;/References&gt;&lt;/Group&gt;&lt;Group&gt;&lt;References&gt;&lt;Item&gt;&lt;ID&gt;175&lt;/ID&gt;&lt;UID&gt;{BF213AA3-0192-41DB-9551-5DA7928ED630}&lt;/UID&gt;&lt;Title&gt;Determinants and market consequences of auditor dismissals after accounting restatements&lt;/Title&gt;&lt;Template&gt;Journal Article&lt;/Template&gt;&lt;Star&gt;0&lt;/Star&gt;&lt;Tag&gt;0&lt;/Tag&gt;&lt;Author&gt;Hennes, Karen M; Leone, Andrew J; Miller, Brian P&lt;/Author&gt;&lt;Year&gt;2014&lt;/Year&gt;&lt;Details&gt;&lt;_alternate_title&gt;The Accounting Review&lt;/_alternate_title&gt;&lt;_created&gt;63295820&lt;/_created&gt;&lt;_date&gt;2014-01-01&lt;/_date&gt;&lt;_date_display&gt;2014&lt;/_date_display&gt;&lt;_isbn&gt;1558-7967&lt;/_isbn&gt;&lt;_issue&gt;3&lt;/_issue&gt;&lt;_journal&gt;The Accounting Review&lt;/_journal&gt;&lt;_modified&gt;63295820&lt;/_modified&gt;&lt;_ori_publication&gt;American Accounting Association&lt;/_ori_publication&gt;&lt;_pages&gt;1051-1082&lt;/_pages&gt;&lt;_volume&gt;89&lt;/_volume&gt;&lt;/Details&gt;&lt;Extra&gt;&lt;DBUID&gt;{E9F07991-3B72-4492-A7D8-86E559D9F8FE}&lt;/DBUID&gt;&lt;/Extra&gt;&lt;/Item&gt;&lt;/References&gt;&lt;/Group&gt;&lt;/Citation&gt;_x000a_"/>
    <w:docVar w:name="NE.Ref{FD8DD169-255B-44E9-94C5-511BBA4638BE}" w:val=" ADDIN NE.Ref.{FD8DD169-255B-44E9-94C5-511BBA4638BE}&lt;Citation&gt;&lt;Group&gt;&lt;References&gt;&lt;Item&gt;&lt;ID&gt;9&lt;/ID&gt;&lt;UID&gt;{D74D4C21-385D-4AF9-ACDE-39F03308CB82}&lt;/UID&gt;&lt;Title&gt;Auditors&amp;apos; governance functions and legal environments: An international investigation&lt;/Title&gt;&lt;Template&gt;Journal Article&lt;/Template&gt;&lt;Star&gt;0&lt;/Star&gt;&lt;Tag&gt;0&lt;/Tag&gt;&lt;Author&gt;Choi, Jong Hag; Wong, Tak Jun&lt;/Author&gt;&lt;Year&gt;2007&lt;/Year&gt;&lt;Details&gt;&lt;_alternate_title&gt;Contemporary accounting research&lt;/_alternate_title&gt;&lt;_collection_scope&gt;SSCI&lt;/_collection_scope&gt;&lt;_created&gt;63217155&lt;/_created&gt;&lt;_date&gt;2007-01-01&lt;/_date&gt;&lt;_date_display&gt;2007&lt;/_date_display&gt;&lt;_impact_factor&gt;   2.261&lt;/_impact_factor&gt;&lt;_isbn&gt;0823-9150&lt;/_isbn&gt;&lt;_issue&gt;1&lt;/_issue&gt;&lt;_journal&gt;Contemporary accounting research&lt;/_journal&gt;&lt;_modified&gt;63217155&lt;/_modified&gt;&lt;_ori_publication&gt;Wiley Online Library&lt;/_ori_publication&gt;&lt;_pages&gt;13-46&lt;/_pages&gt;&lt;_volume&gt;24&lt;/_volume&gt;&lt;/Details&gt;&lt;Extra&gt;&lt;DBUID&gt;{E9F07991-3B72-4492-A7D8-86E559D9F8FE}&lt;/DBUID&gt;&lt;/Extra&gt;&lt;/Item&gt;&lt;/References&gt;&lt;/Group&gt;&lt;Group&gt;&lt;References&gt;&lt;Item&gt;&lt;ID&gt;12&lt;/ID&gt;&lt;UID&gt;{4D33E358-3201-499A-88D8-201F2ED8F8CB}&lt;/UID&gt;&lt;Title&gt;制度环境、审计声誉机制与收费溢价&lt;/Title&gt;&lt;Template&gt;Journal Article&lt;/Template&gt;&lt;Star&gt;0&lt;/Star&gt;&lt;Tag&gt;0&lt;/Tag&gt;&lt;Author&gt;郑莉莉; 郑建明&lt;/Author&gt;&lt;Year&gt;2017&lt;/Year&gt;&lt;Details&gt;&lt;_accessed&gt;63217166&lt;/_accessed&gt;&lt;_author_aff&gt;中央财经大学保险学院;对外经济贸易大学国际商学院;&lt;/_author_aff&gt;&lt;_collection_scope&gt;CSSCI-C;PKU&lt;/_collection_scope&gt;&lt;_created&gt;63217166&lt;/_created&gt;&lt;_date&gt;61925760&lt;/_date&gt;&lt;_db_provider&gt;CNKI: 期刊&lt;/_db_provider&gt;&lt;_db_updated&gt;CNKI - Reference&lt;/_db_updated&gt;&lt;_issue&gt;05&lt;/_issue&gt;&lt;_journal&gt;审计研究&lt;/_journal&gt;&lt;_keywords&gt;制度环境;审计声誉机制;收费溢价&lt;/_keywords&gt;&lt;_language&gt;Chinese&lt;/_language&gt;&lt;_modified&gt;63217166&lt;/_modified&gt;&lt;_pages&gt;78-86&lt;/_pages&gt;&lt;_url&gt;http://kns.cnki.net/KCMS/detail/detail.aspx?FileName=SJYZ201705013&amp;amp;DbName=CJFQ2017&lt;/_url&gt;&lt;_translated_author&gt;Zheng, Lili;Zheng, Jianming&lt;/_translated_author&gt;&lt;/Details&gt;&lt;Extra&gt;&lt;DBUID&gt;{E9F07991-3B72-4492-A7D8-86E559D9F8FE}&lt;/DBUID&gt;&lt;/Extra&gt;&lt;/Item&gt;&lt;/References&gt;&lt;/Group&gt;&lt;Group&gt;&lt;References&gt;&lt;Item&gt;&lt;ID&gt;10&lt;/ID&gt;&lt;UID&gt;{B71E3E73-DA28-400A-B8A6-8240745DAB2A}&lt;/UID&gt;&lt;Title&gt;Legal systems and earnings quality: The role of auditor industry specialization&lt;/Title&gt;&lt;Template&gt;Journal Article&lt;/Template&gt;&lt;Star&gt;0&lt;/Star&gt;&lt;Tag&gt;0&lt;/Tag&gt;&lt;Author&gt;Kwon, Soo Young; Lim, Chee Yeow; Tan, Patricia Mui-Siang&lt;/Author&gt;&lt;Year&gt;2007&lt;/Year&gt;&lt;Details&gt;&lt;_alternate_title&gt;Auditing: A Journal of Practice &amp;amp; Theory&lt;/_alternate_title&gt;&lt;_created&gt;63217157&lt;/_created&gt;&lt;_date&gt;2007-01-01&lt;/_date&gt;&lt;_date_display&gt;2007&lt;/_date_display&gt;&lt;_impact_factor&gt;   2.642&lt;/_impact_factor&gt;&lt;_isbn&gt;0278-0380&lt;/_isbn&gt;&lt;_issue&gt;2&lt;/_issue&gt;&lt;_journal&gt;Auditing: A Journal of Practice &amp;amp; Theory&lt;/_journal&gt;&lt;_modified&gt;63217157&lt;/_modified&gt;&lt;_pages&gt;25-55&lt;/_pages&gt;&lt;_volume&gt;26&lt;/_volume&gt;&lt;/Details&gt;&lt;Extra&gt;&lt;DBUID&gt;{E9F07991-3B72-4492-A7D8-86E559D9F8FE}&lt;/DBUID&gt;&lt;/Extra&gt;&lt;/Item&gt;&lt;/References&gt;&lt;/Group&gt;&lt;/Citation&gt;_x000a_"/>
    <w:docVar w:name="NE.Ref{FDEED6E7-F08D-40F2-9FBC-5384A37FDB6A}" w:val=" ADDIN NE.Ref.{FDEED6E7-F08D-40F2-9FBC-5384A37FDB6A}&lt;Citation SecTmpl=&quot;1&quot;&gt;&lt;Group&gt;&lt;References&gt;&lt;Item&gt;&lt;ID&gt;53&lt;/ID&gt;&lt;UID&gt;{D12C3C0C-2A93-424F-B93F-52F0F731F1D7}&lt;/UID&gt;&lt;Title&gt;The importance of the internal information environment for tax avoidance&lt;/Title&gt;&lt;Template&gt;Journal Article&lt;/Template&gt;&lt;Star&gt;0&lt;/Star&gt;&lt;Tag&gt;0&lt;/Tag&gt;&lt;Author&gt;Gallemore, John; Labro, Eva&lt;/Author&gt;&lt;Year&gt;2015&lt;/Year&gt;&lt;Details&gt;&lt;_accessed&gt;63308750&lt;/_accessed&gt;&lt;_alternate_title&gt;Journal of Accounting and Economics&lt;/_alternate_title&gt;&lt;_created&gt;63225150&lt;/_created&gt;&lt;_date&gt;2015-01-01&lt;/_date&gt;&lt;_date_display&gt;2015&lt;/_date_display&gt;&lt;_impact_factor&gt;   3.753&lt;/_impact_factor&gt;&lt;_isbn&gt;0165-4101&lt;/_isbn&gt;&lt;_issue&gt;1&lt;/_issue&gt;&lt;_journal&gt;Journal of Accounting and Economics&lt;/_journal&gt;&lt;_modified&gt;63308750&lt;/_modified&gt;&lt;_ori_publication&gt;Elsevier&lt;/_ori_publication&gt;&lt;_pages&gt;149-167&lt;/_pages&gt;&lt;_volume&gt;60&lt;/_volume&gt;&lt;/Details&gt;&lt;Extra&gt;&lt;DBUID&gt;{E9F07991-3B72-4492-A7D8-86E559D9F8FE}&lt;/DBUID&gt;&lt;/Extra&gt;&lt;/Item&gt;&lt;/References&gt;&lt;/Group&gt;&lt;/Citation&gt;_x000a_"/>
    <w:docVar w:name="NE.Ref{FE547EC8-A26E-4327-A1F1-D5B5CFD95629}" w:val=" ADDIN NE.Ref.{FE547EC8-A26E-4327-A1F1-D5B5CFD95629}&lt;Citation&gt;&lt;Group&gt;&lt;References&gt;&lt;Item&gt;&lt;ID&gt;687&lt;/ID&gt;&lt;UID&gt;{EA87ABF3-6155-4802-B00F-D8E8C92A6FF9}&lt;/UID&gt;&lt;Title&gt;Tax aggressiveness and corporate transparency&lt;/Title&gt;&lt;Template&gt;Journal Article&lt;/Template&gt;&lt;Star&gt;0&lt;/Star&gt;&lt;Tag&gt;0&lt;/Tag&gt;&lt;Author&gt;Balakrishnan, Karthik; Blouin, Jennifer L; Guay, Wayne R&lt;/Author&gt;&lt;Year&gt;2019&lt;/Year&gt;&lt;Details&gt;&lt;_accessed&gt;63295859&lt;/_accessed&gt;&lt;_alternate_title&gt;The Accounting Review&lt;/_alternate_title&gt;&lt;_created&gt;63284683&lt;/_created&gt;&lt;_date&gt;2019-01-01&lt;/_date&gt;&lt;_date_display&gt;2019&lt;/_date_display&gt;&lt;_isbn&gt;1558-7967&lt;/_isbn&gt;&lt;_issue&gt;1&lt;/_issue&gt;&lt;_journal&gt;The Accounting Review&lt;/_journal&gt;&lt;_modified&gt;63295859&lt;/_modified&gt;&lt;_ori_publication&gt;American Accounting Association&lt;/_ori_publication&gt;&lt;_pages&gt;45-69&lt;/_pages&gt;&lt;_volume&gt;94&lt;/_volume&gt;&lt;/Details&gt;&lt;Extra&gt;&lt;DBUID&gt;{83AC290F-D6FC-4574-9771-6904EE9C30A4}&lt;/DBUID&gt;&lt;/Extra&gt;&lt;/Item&gt;&lt;/References&gt;&lt;/Group&gt;&lt;Group&gt;&lt;References&gt;&lt;Item&gt;&lt;ID&gt;688&lt;/ID&gt;&lt;UID&gt;{C118B4F3-0503-46A6-9618-F1EE9B56CC00}&lt;/UID&gt;&lt;Title&gt;What determines corporate transparency?&lt;/Title&gt;&lt;Template&gt;Journal Article&lt;/Template&gt;&lt;Star&gt;0&lt;/Star&gt;&lt;Tag&gt;0&lt;/Tag&gt;&lt;Author&gt;Bushman, Robert M; Piotroski, Joseph D; Smith, Abbie J&lt;/Author&gt;&lt;Year&gt;2004&lt;/Year&gt;&lt;Details&gt;&lt;_alternate_title&gt;Journal of accounting research&lt;/_alternate_title&gt;&lt;_collection_scope&gt;SSCI&lt;/_collection_scope&gt;&lt;_created&gt;63284688&lt;/_created&gt;&lt;_date&gt;2004-01-01&lt;/_date&gt;&lt;_date_display&gt;2004&lt;/_date_display&gt;&lt;_impact_factor&gt;   4.891&lt;/_impact_factor&gt;&lt;_isbn&gt;0021-8456&lt;/_isbn&gt;&lt;_issue&gt;2&lt;/_issue&gt;&lt;_journal&gt;Journal of accounting research&lt;/_journal&gt;&lt;_modified&gt;63284688&lt;/_modified&gt;&lt;_ori_publication&gt;Wiley Online Library&lt;/_ori_publication&gt;&lt;_pages&gt;207-252&lt;/_pages&gt;&lt;_volume&gt;42&lt;/_volume&gt;&lt;/Details&gt;&lt;Extra&gt;&lt;DBUID&gt;{83AC290F-D6FC-4574-9771-6904EE9C30A4}&lt;/DBUID&gt;&lt;/Extra&gt;&lt;/Item&gt;&lt;/References&gt;&lt;/Group&gt;&lt;/Citation&gt;_x000a_"/>
    <w:docVar w:name="NE.Ref{FF4C649C-DE12-498C-953F-4F3394930AEE}" w:val=" ADDIN NE.Ref.{FF4C649C-DE12-498C-953F-4F3394930AEE}&lt;Citation SecTmpl=&quot;1&quot;&gt;&lt;Group&gt;&lt;References&gt;&lt;Item&gt;&lt;ID&gt;231&lt;/ID&gt;&lt;UID&gt;{D95CD15B-B401-4B27-AB32-516137525845}&lt;/UID&gt;&lt;Title&gt;The Impact of Litigation Risk on Auditor Pricing Behavior: Evidence From Reverse Mergers&lt;/Title&gt;&lt;Template&gt;Journal Article&lt;/Template&gt;&lt;Star&gt;0&lt;/Star&gt;&lt;Tag&gt;0&lt;/Tag&gt;&lt;Author&gt;Abbott, Lawrence J; Gunny, Katherine; Pollard, Troy J&lt;/Author&gt;&lt;Year&gt;2017&lt;/Year&gt;&lt;Details&gt;&lt;_alternate_title&gt;Contemporary Accounting Research&lt;/_alternate_title&gt;&lt;_collection_scope&gt;SSCI&lt;/_collection_scope&gt;&lt;_created&gt;63302948&lt;/_created&gt;&lt;_date&gt;2017-01-01&lt;/_date&gt;&lt;_date_display&gt;2017&lt;/_date_display&gt;&lt;_doi&gt;10.1111/1911-3846.12300&lt;/_doi&gt;&lt;_impact_factor&gt;   2.261&lt;/_impact_factor&gt;&lt;_issue&gt;2&lt;/_issue&gt;&lt;_journal&gt;Contemporary Accounting Research&lt;/_journal&gt;&lt;_modified&gt;63302948&lt;/_modified&gt;&lt;_pages&gt;1103-1127&lt;/_pages&gt;&lt;_volume&gt;34&lt;/_volume&gt;&lt;/Details&gt;&lt;Extra&gt;&lt;DBUID&gt;{E9F07991-3B72-4492-A7D8-86E559D9F8FE}&lt;/DBUID&gt;&lt;/Extra&gt;&lt;/Item&gt;&lt;/References&gt;&lt;/Group&gt;&lt;/Citation&gt;_x000a_"/>
    <w:docVar w:name="NE.Ref{FFE77894-CCDA-4050-A7F3-DBE1068502AB}" w:val=" ADDIN NE.Ref.{FFE77894-CCDA-4050-A7F3-DBE1068502AB}&lt;Citation&gt;&lt;Group&gt;&lt;References&gt;&lt;Item&gt;&lt;ID&gt;133&lt;/ID&gt;&lt;UID&gt;{F8307B5E-1704-49F5-A3AB-80122EF47FB1}&lt;/UID&gt;&lt;Title&gt;The central role of the propensity score in observational studies for causal effects&lt;/Title&gt;&lt;Template&gt;Journal Article&lt;/Template&gt;&lt;Star&gt;0&lt;/Star&gt;&lt;Tag&gt;0&lt;/Tag&gt;&lt;Author&gt;Rosenbaum, Paul R; Rubin, Donald B&lt;/Author&gt;&lt;Year&gt;1983&lt;/Year&gt;&lt;Details&gt;&lt;_alternate_title&gt;Biometrika&lt;/_alternate_title&gt;&lt;_collection_scope&gt;SCI;SCIE&lt;/_collection_scope&gt;&lt;_created&gt;63242932&lt;/_created&gt;&lt;_date&gt;1983-01-01&lt;/_date&gt;&lt;_date_display&gt;1983&lt;/_date_display&gt;&lt;_impact_factor&gt;   1.641&lt;/_impact_factor&gt;&lt;_isbn&gt;0006-3444&lt;/_isbn&gt;&lt;_issue&gt;1&lt;/_issue&gt;&lt;_journal&gt;Biometrika&lt;/_journal&gt;&lt;_modified&gt;63242932&lt;/_modified&gt;&lt;_ori_publication&gt;Oxford University Press&lt;/_ori_publication&gt;&lt;_pages&gt;41-55&lt;/_pages&gt;&lt;_volume&gt;70&lt;/_volume&gt;&lt;/Details&gt;&lt;Extra&gt;&lt;DBUID&gt;{E9F07991-3B72-4492-A7D8-86E559D9F8FE}&lt;/DBUID&gt;&lt;/Extra&gt;&lt;/Item&gt;&lt;/References&gt;&lt;/Group&gt;&lt;/Citation&gt;_x000a_"/>
    <w:docVar w:name="ne_docsoft" w:val="MSWord"/>
    <w:docVar w:name="ne_docversion" w:val="NoteExpress 2.0"/>
    <w:docVar w:name="ne_stylename" w:val="GB7714-87 xqh"/>
  </w:docVars>
  <w:rsids>
    <w:rsidRoot w:val="00910A68"/>
    <w:rsid w:val="00000360"/>
    <w:rsid w:val="000004DB"/>
    <w:rsid w:val="0000050A"/>
    <w:rsid w:val="0000057A"/>
    <w:rsid w:val="000005C2"/>
    <w:rsid w:val="0000089D"/>
    <w:rsid w:val="000008B5"/>
    <w:rsid w:val="00000933"/>
    <w:rsid w:val="00000A70"/>
    <w:rsid w:val="00000B0C"/>
    <w:rsid w:val="00000BD4"/>
    <w:rsid w:val="00000DA7"/>
    <w:rsid w:val="00000FF0"/>
    <w:rsid w:val="00001200"/>
    <w:rsid w:val="0000136F"/>
    <w:rsid w:val="000013FC"/>
    <w:rsid w:val="000014ED"/>
    <w:rsid w:val="00001719"/>
    <w:rsid w:val="0000198C"/>
    <w:rsid w:val="00001A6A"/>
    <w:rsid w:val="00001A96"/>
    <w:rsid w:val="00001D28"/>
    <w:rsid w:val="00001DA9"/>
    <w:rsid w:val="00001EC5"/>
    <w:rsid w:val="00002111"/>
    <w:rsid w:val="00002567"/>
    <w:rsid w:val="0000257B"/>
    <w:rsid w:val="00002666"/>
    <w:rsid w:val="0000277B"/>
    <w:rsid w:val="000029B0"/>
    <w:rsid w:val="000029F2"/>
    <w:rsid w:val="00002B21"/>
    <w:rsid w:val="00002B56"/>
    <w:rsid w:val="00002C52"/>
    <w:rsid w:val="0000317D"/>
    <w:rsid w:val="000033B3"/>
    <w:rsid w:val="000035E2"/>
    <w:rsid w:val="000036C8"/>
    <w:rsid w:val="0000377C"/>
    <w:rsid w:val="000040C1"/>
    <w:rsid w:val="00004163"/>
    <w:rsid w:val="000042D6"/>
    <w:rsid w:val="000049B1"/>
    <w:rsid w:val="00004B37"/>
    <w:rsid w:val="00004BE7"/>
    <w:rsid w:val="00004CB4"/>
    <w:rsid w:val="00004DA8"/>
    <w:rsid w:val="00005316"/>
    <w:rsid w:val="000054BB"/>
    <w:rsid w:val="000054F6"/>
    <w:rsid w:val="00005799"/>
    <w:rsid w:val="00005926"/>
    <w:rsid w:val="00005AB3"/>
    <w:rsid w:val="00005B07"/>
    <w:rsid w:val="00005CC6"/>
    <w:rsid w:val="0000619C"/>
    <w:rsid w:val="0000665A"/>
    <w:rsid w:val="00006752"/>
    <w:rsid w:val="0000696D"/>
    <w:rsid w:val="000069BF"/>
    <w:rsid w:val="00006DEB"/>
    <w:rsid w:val="00006ED7"/>
    <w:rsid w:val="00006FC7"/>
    <w:rsid w:val="000074FB"/>
    <w:rsid w:val="000077CF"/>
    <w:rsid w:val="00007B86"/>
    <w:rsid w:val="00007D60"/>
    <w:rsid w:val="00007E4B"/>
    <w:rsid w:val="00007FFB"/>
    <w:rsid w:val="0001024A"/>
    <w:rsid w:val="00010316"/>
    <w:rsid w:val="00010912"/>
    <w:rsid w:val="00010BAA"/>
    <w:rsid w:val="00010D77"/>
    <w:rsid w:val="00010DA8"/>
    <w:rsid w:val="00010ED5"/>
    <w:rsid w:val="0001107A"/>
    <w:rsid w:val="0001109E"/>
    <w:rsid w:val="00011363"/>
    <w:rsid w:val="00011615"/>
    <w:rsid w:val="00011722"/>
    <w:rsid w:val="000117DE"/>
    <w:rsid w:val="000118A0"/>
    <w:rsid w:val="00011923"/>
    <w:rsid w:val="00011A21"/>
    <w:rsid w:val="00011ABC"/>
    <w:rsid w:val="00011C3F"/>
    <w:rsid w:val="00011C70"/>
    <w:rsid w:val="00011E07"/>
    <w:rsid w:val="00011E85"/>
    <w:rsid w:val="00012162"/>
    <w:rsid w:val="00012294"/>
    <w:rsid w:val="000122CB"/>
    <w:rsid w:val="000126E9"/>
    <w:rsid w:val="000129D1"/>
    <w:rsid w:val="00012DCF"/>
    <w:rsid w:val="00012E53"/>
    <w:rsid w:val="00012E6C"/>
    <w:rsid w:val="00012EA8"/>
    <w:rsid w:val="000132C7"/>
    <w:rsid w:val="000133AB"/>
    <w:rsid w:val="00013518"/>
    <w:rsid w:val="00013540"/>
    <w:rsid w:val="0001365E"/>
    <w:rsid w:val="000136E1"/>
    <w:rsid w:val="000139D8"/>
    <w:rsid w:val="00013DF5"/>
    <w:rsid w:val="00013E30"/>
    <w:rsid w:val="0001439C"/>
    <w:rsid w:val="00014705"/>
    <w:rsid w:val="00014919"/>
    <w:rsid w:val="00014CB5"/>
    <w:rsid w:val="00014D15"/>
    <w:rsid w:val="00014F18"/>
    <w:rsid w:val="00015061"/>
    <w:rsid w:val="00015331"/>
    <w:rsid w:val="0001537B"/>
    <w:rsid w:val="00015387"/>
    <w:rsid w:val="00015463"/>
    <w:rsid w:val="0001549F"/>
    <w:rsid w:val="00015677"/>
    <w:rsid w:val="000156CA"/>
    <w:rsid w:val="000157CD"/>
    <w:rsid w:val="00015BCB"/>
    <w:rsid w:val="00015F37"/>
    <w:rsid w:val="0001602F"/>
    <w:rsid w:val="00016409"/>
    <w:rsid w:val="000164CC"/>
    <w:rsid w:val="00016BA3"/>
    <w:rsid w:val="00016EC8"/>
    <w:rsid w:val="00016F57"/>
    <w:rsid w:val="00017341"/>
    <w:rsid w:val="000173A4"/>
    <w:rsid w:val="0001756F"/>
    <w:rsid w:val="0001758D"/>
    <w:rsid w:val="0001762E"/>
    <w:rsid w:val="000176E3"/>
    <w:rsid w:val="00017A56"/>
    <w:rsid w:val="00017CD5"/>
    <w:rsid w:val="00017E1C"/>
    <w:rsid w:val="00017F8E"/>
    <w:rsid w:val="00017FD6"/>
    <w:rsid w:val="0002013E"/>
    <w:rsid w:val="000202DA"/>
    <w:rsid w:val="000204AA"/>
    <w:rsid w:val="0002060C"/>
    <w:rsid w:val="000207BE"/>
    <w:rsid w:val="00020B99"/>
    <w:rsid w:val="00020E6B"/>
    <w:rsid w:val="000210B1"/>
    <w:rsid w:val="000210B3"/>
    <w:rsid w:val="000211A5"/>
    <w:rsid w:val="0002128B"/>
    <w:rsid w:val="00021539"/>
    <w:rsid w:val="000215CB"/>
    <w:rsid w:val="000218A2"/>
    <w:rsid w:val="000218A9"/>
    <w:rsid w:val="000219C8"/>
    <w:rsid w:val="00021C93"/>
    <w:rsid w:val="00021E07"/>
    <w:rsid w:val="00021E4C"/>
    <w:rsid w:val="00021E7E"/>
    <w:rsid w:val="00021F04"/>
    <w:rsid w:val="00021F10"/>
    <w:rsid w:val="00022130"/>
    <w:rsid w:val="000224A4"/>
    <w:rsid w:val="00022529"/>
    <w:rsid w:val="00022752"/>
    <w:rsid w:val="00022A38"/>
    <w:rsid w:val="00022C96"/>
    <w:rsid w:val="00023052"/>
    <w:rsid w:val="0002333A"/>
    <w:rsid w:val="00023360"/>
    <w:rsid w:val="0002389A"/>
    <w:rsid w:val="00023A21"/>
    <w:rsid w:val="00023B47"/>
    <w:rsid w:val="00023B9C"/>
    <w:rsid w:val="00023BBE"/>
    <w:rsid w:val="00024180"/>
    <w:rsid w:val="0002492D"/>
    <w:rsid w:val="00024B03"/>
    <w:rsid w:val="00024EE3"/>
    <w:rsid w:val="00024F6D"/>
    <w:rsid w:val="000250E1"/>
    <w:rsid w:val="000255B7"/>
    <w:rsid w:val="00025778"/>
    <w:rsid w:val="000257E8"/>
    <w:rsid w:val="000258C2"/>
    <w:rsid w:val="00025A61"/>
    <w:rsid w:val="00025A85"/>
    <w:rsid w:val="00025B10"/>
    <w:rsid w:val="00025D38"/>
    <w:rsid w:val="00025F71"/>
    <w:rsid w:val="000260A4"/>
    <w:rsid w:val="0002618A"/>
    <w:rsid w:val="000263E1"/>
    <w:rsid w:val="000264FF"/>
    <w:rsid w:val="00026780"/>
    <w:rsid w:val="00026990"/>
    <w:rsid w:val="00026A12"/>
    <w:rsid w:val="00026A98"/>
    <w:rsid w:val="00026C69"/>
    <w:rsid w:val="00026E07"/>
    <w:rsid w:val="00027126"/>
    <w:rsid w:val="00027220"/>
    <w:rsid w:val="00027224"/>
    <w:rsid w:val="000276D1"/>
    <w:rsid w:val="0002794E"/>
    <w:rsid w:val="00027956"/>
    <w:rsid w:val="00027B99"/>
    <w:rsid w:val="00027CAE"/>
    <w:rsid w:val="00027D52"/>
    <w:rsid w:val="00027DC1"/>
    <w:rsid w:val="00027FC2"/>
    <w:rsid w:val="000300B8"/>
    <w:rsid w:val="000301F1"/>
    <w:rsid w:val="000302EF"/>
    <w:rsid w:val="0003037A"/>
    <w:rsid w:val="000304E8"/>
    <w:rsid w:val="00030618"/>
    <w:rsid w:val="0003089A"/>
    <w:rsid w:val="00030932"/>
    <w:rsid w:val="00030B16"/>
    <w:rsid w:val="00030C9D"/>
    <w:rsid w:val="00030EC9"/>
    <w:rsid w:val="00031067"/>
    <w:rsid w:val="00031174"/>
    <w:rsid w:val="000311F1"/>
    <w:rsid w:val="00031255"/>
    <w:rsid w:val="00031307"/>
    <w:rsid w:val="00031327"/>
    <w:rsid w:val="000314E6"/>
    <w:rsid w:val="00031821"/>
    <w:rsid w:val="00031892"/>
    <w:rsid w:val="000319DD"/>
    <w:rsid w:val="00031BC4"/>
    <w:rsid w:val="00031BF7"/>
    <w:rsid w:val="00031C4E"/>
    <w:rsid w:val="00031CBF"/>
    <w:rsid w:val="00031ED1"/>
    <w:rsid w:val="00032366"/>
    <w:rsid w:val="000323EE"/>
    <w:rsid w:val="0003246E"/>
    <w:rsid w:val="0003271F"/>
    <w:rsid w:val="00032785"/>
    <w:rsid w:val="0003282A"/>
    <w:rsid w:val="00032A84"/>
    <w:rsid w:val="00032AF6"/>
    <w:rsid w:val="00032C2B"/>
    <w:rsid w:val="00032E8A"/>
    <w:rsid w:val="00032ED3"/>
    <w:rsid w:val="00032F7C"/>
    <w:rsid w:val="000330DB"/>
    <w:rsid w:val="000332A0"/>
    <w:rsid w:val="00033346"/>
    <w:rsid w:val="00033516"/>
    <w:rsid w:val="00033605"/>
    <w:rsid w:val="0003364E"/>
    <w:rsid w:val="0003372B"/>
    <w:rsid w:val="0003373B"/>
    <w:rsid w:val="0003373D"/>
    <w:rsid w:val="000338D8"/>
    <w:rsid w:val="00033C73"/>
    <w:rsid w:val="00033D28"/>
    <w:rsid w:val="0003404E"/>
    <w:rsid w:val="00034120"/>
    <w:rsid w:val="000343F1"/>
    <w:rsid w:val="0003443B"/>
    <w:rsid w:val="00034500"/>
    <w:rsid w:val="00034519"/>
    <w:rsid w:val="000347AB"/>
    <w:rsid w:val="000348D2"/>
    <w:rsid w:val="000348E3"/>
    <w:rsid w:val="00034F05"/>
    <w:rsid w:val="00034F42"/>
    <w:rsid w:val="000352B5"/>
    <w:rsid w:val="000352BE"/>
    <w:rsid w:val="000357AA"/>
    <w:rsid w:val="00035806"/>
    <w:rsid w:val="00035898"/>
    <w:rsid w:val="0003594D"/>
    <w:rsid w:val="00035D10"/>
    <w:rsid w:val="00035DA6"/>
    <w:rsid w:val="00035DAF"/>
    <w:rsid w:val="00035DD6"/>
    <w:rsid w:val="00035ED0"/>
    <w:rsid w:val="0003618E"/>
    <w:rsid w:val="000362DA"/>
    <w:rsid w:val="0003660E"/>
    <w:rsid w:val="0003676F"/>
    <w:rsid w:val="00036B13"/>
    <w:rsid w:val="00036B1E"/>
    <w:rsid w:val="00036DB6"/>
    <w:rsid w:val="000371D4"/>
    <w:rsid w:val="00037314"/>
    <w:rsid w:val="000373BF"/>
    <w:rsid w:val="000375E5"/>
    <w:rsid w:val="00037746"/>
    <w:rsid w:val="000378F2"/>
    <w:rsid w:val="00037DCF"/>
    <w:rsid w:val="00037FD5"/>
    <w:rsid w:val="00040140"/>
    <w:rsid w:val="000401E3"/>
    <w:rsid w:val="000402C9"/>
    <w:rsid w:val="00040557"/>
    <w:rsid w:val="00040565"/>
    <w:rsid w:val="000406DF"/>
    <w:rsid w:val="000408C3"/>
    <w:rsid w:val="000409CE"/>
    <w:rsid w:val="00040A63"/>
    <w:rsid w:val="00040BC0"/>
    <w:rsid w:val="00040CEA"/>
    <w:rsid w:val="00040DC5"/>
    <w:rsid w:val="00040F02"/>
    <w:rsid w:val="00041012"/>
    <w:rsid w:val="0004126F"/>
    <w:rsid w:val="000412D8"/>
    <w:rsid w:val="000413BD"/>
    <w:rsid w:val="000415D3"/>
    <w:rsid w:val="000417CC"/>
    <w:rsid w:val="00041ABB"/>
    <w:rsid w:val="00041B8D"/>
    <w:rsid w:val="000421F1"/>
    <w:rsid w:val="00042376"/>
    <w:rsid w:val="000425C6"/>
    <w:rsid w:val="0004272B"/>
    <w:rsid w:val="00042A28"/>
    <w:rsid w:val="00042D03"/>
    <w:rsid w:val="00042F07"/>
    <w:rsid w:val="000430B9"/>
    <w:rsid w:val="00043203"/>
    <w:rsid w:val="000436DA"/>
    <w:rsid w:val="000436F8"/>
    <w:rsid w:val="00043946"/>
    <w:rsid w:val="00043986"/>
    <w:rsid w:val="00043C6D"/>
    <w:rsid w:val="00043E70"/>
    <w:rsid w:val="00043E9F"/>
    <w:rsid w:val="00044771"/>
    <w:rsid w:val="00044985"/>
    <w:rsid w:val="00044A48"/>
    <w:rsid w:val="00044ACE"/>
    <w:rsid w:val="00044BBC"/>
    <w:rsid w:val="00044D20"/>
    <w:rsid w:val="00045103"/>
    <w:rsid w:val="00045388"/>
    <w:rsid w:val="000453EC"/>
    <w:rsid w:val="00045523"/>
    <w:rsid w:val="000457C9"/>
    <w:rsid w:val="00045841"/>
    <w:rsid w:val="000458C7"/>
    <w:rsid w:val="00045CCB"/>
    <w:rsid w:val="000466BA"/>
    <w:rsid w:val="00046759"/>
    <w:rsid w:val="00046933"/>
    <w:rsid w:val="000469B2"/>
    <w:rsid w:val="00046ABE"/>
    <w:rsid w:val="00046AC8"/>
    <w:rsid w:val="000473B1"/>
    <w:rsid w:val="000473B2"/>
    <w:rsid w:val="00047509"/>
    <w:rsid w:val="0004794D"/>
    <w:rsid w:val="00047A18"/>
    <w:rsid w:val="00047AC1"/>
    <w:rsid w:val="00047DD6"/>
    <w:rsid w:val="00050008"/>
    <w:rsid w:val="000502F2"/>
    <w:rsid w:val="0005031C"/>
    <w:rsid w:val="0005044D"/>
    <w:rsid w:val="000504B3"/>
    <w:rsid w:val="0005066F"/>
    <w:rsid w:val="00050766"/>
    <w:rsid w:val="00050828"/>
    <w:rsid w:val="000509CE"/>
    <w:rsid w:val="00050B3B"/>
    <w:rsid w:val="00050C8C"/>
    <w:rsid w:val="00050D96"/>
    <w:rsid w:val="00050E0F"/>
    <w:rsid w:val="00050EFD"/>
    <w:rsid w:val="0005118D"/>
    <w:rsid w:val="000512A3"/>
    <w:rsid w:val="00051343"/>
    <w:rsid w:val="000515A8"/>
    <w:rsid w:val="0005178C"/>
    <w:rsid w:val="00051A9A"/>
    <w:rsid w:val="00051D48"/>
    <w:rsid w:val="00051DA9"/>
    <w:rsid w:val="0005247F"/>
    <w:rsid w:val="000527DD"/>
    <w:rsid w:val="00052A63"/>
    <w:rsid w:val="00052B54"/>
    <w:rsid w:val="00052B79"/>
    <w:rsid w:val="00052E22"/>
    <w:rsid w:val="00052E30"/>
    <w:rsid w:val="00052F16"/>
    <w:rsid w:val="00053070"/>
    <w:rsid w:val="00053111"/>
    <w:rsid w:val="00053201"/>
    <w:rsid w:val="000536A2"/>
    <w:rsid w:val="0005375C"/>
    <w:rsid w:val="00053783"/>
    <w:rsid w:val="00053B91"/>
    <w:rsid w:val="00053BCB"/>
    <w:rsid w:val="00053E26"/>
    <w:rsid w:val="000540C4"/>
    <w:rsid w:val="0005425A"/>
    <w:rsid w:val="00054263"/>
    <w:rsid w:val="00054267"/>
    <w:rsid w:val="000543BA"/>
    <w:rsid w:val="00054645"/>
    <w:rsid w:val="00054CFA"/>
    <w:rsid w:val="00054D3A"/>
    <w:rsid w:val="00054DE1"/>
    <w:rsid w:val="00054F81"/>
    <w:rsid w:val="00055071"/>
    <w:rsid w:val="000550A3"/>
    <w:rsid w:val="00055107"/>
    <w:rsid w:val="00055545"/>
    <w:rsid w:val="000555A2"/>
    <w:rsid w:val="0005575E"/>
    <w:rsid w:val="000557AC"/>
    <w:rsid w:val="00055922"/>
    <w:rsid w:val="000559D0"/>
    <w:rsid w:val="00055A2B"/>
    <w:rsid w:val="00055C24"/>
    <w:rsid w:val="00055DFC"/>
    <w:rsid w:val="000560D6"/>
    <w:rsid w:val="00056127"/>
    <w:rsid w:val="000561B1"/>
    <w:rsid w:val="000561ED"/>
    <w:rsid w:val="000563DF"/>
    <w:rsid w:val="00056492"/>
    <w:rsid w:val="0005653B"/>
    <w:rsid w:val="00056B5C"/>
    <w:rsid w:val="00056C80"/>
    <w:rsid w:val="00056DF3"/>
    <w:rsid w:val="00056EDD"/>
    <w:rsid w:val="00056F2D"/>
    <w:rsid w:val="00056F51"/>
    <w:rsid w:val="00056FE1"/>
    <w:rsid w:val="0005702A"/>
    <w:rsid w:val="00057124"/>
    <w:rsid w:val="000571D7"/>
    <w:rsid w:val="000576EE"/>
    <w:rsid w:val="0005798A"/>
    <w:rsid w:val="00057D1B"/>
    <w:rsid w:val="00057D54"/>
    <w:rsid w:val="000600DF"/>
    <w:rsid w:val="00060235"/>
    <w:rsid w:val="0006043C"/>
    <w:rsid w:val="00060539"/>
    <w:rsid w:val="00060593"/>
    <w:rsid w:val="000606B1"/>
    <w:rsid w:val="00060790"/>
    <w:rsid w:val="000607AA"/>
    <w:rsid w:val="000610A3"/>
    <w:rsid w:val="00061214"/>
    <w:rsid w:val="000614F1"/>
    <w:rsid w:val="00061526"/>
    <w:rsid w:val="00061BD9"/>
    <w:rsid w:val="00061CBF"/>
    <w:rsid w:val="00061E6D"/>
    <w:rsid w:val="000620C5"/>
    <w:rsid w:val="00062271"/>
    <w:rsid w:val="00062275"/>
    <w:rsid w:val="00062360"/>
    <w:rsid w:val="000625D3"/>
    <w:rsid w:val="00062712"/>
    <w:rsid w:val="0006296D"/>
    <w:rsid w:val="00062A8C"/>
    <w:rsid w:val="00062BCD"/>
    <w:rsid w:val="00062C87"/>
    <w:rsid w:val="00062D1B"/>
    <w:rsid w:val="00062F19"/>
    <w:rsid w:val="0006323E"/>
    <w:rsid w:val="0006345C"/>
    <w:rsid w:val="00063811"/>
    <w:rsid w:val="00063917"/>
    <w:rsid w:val="00063943"/>
    <w:rsid w:val="00063DFD"/>
    <w:rsid w:val="00063EA8"/>
    <w:rsid w:val="00063EC4"/>
    <w:rsid w:val="00063EDA"/>
    <w:rsid w:val="00064024"/>
    <w:rsid w:val="00064447"/>
    <w:rsid w:val="000644D3"/>
    <w:rsid w:val="00064B2E"/>
    <w:rsid w:val="00064B4E"/>
    <w:rsid w:val="00064DB5"/>
    <w:rsid w:val="00065066"/>
    <w:rsid w:val="00065081"/>
    <w:rsid w:val="000650E6"/>
    <w:rsid w:val="0006520A"/>
    <w:rsid w:val="00065413"/>
    <w:rsid w:val="0006549F"/>
    <w:rsid w:val="000654D2"/>
    <w:rsid w:val="00065513"/>
    <w:rsid w:val="00065586"/>
    <w:rsid w:val="0006597D"/>
    <w:rsid w:val="00065A38"/>
    <w:rsid w:val="00065F7C"/>
    <w:rsid w:val="0006613C"/>
    <w:rsid w:val="0006613E"/>
    <w:rsid w:val="00066426"/>
    <w:rsid w:val="00066801"/>
    <w:rsid w:val="0006683D"/>
    <w:rsid w:val="00066876"/>
    <w:rsid w:val="00066A68"/>
    <w:rsid w:val="00066B72"/>
    <w:rsid w:val="00066BC2"/>
    <w:rsid w:val="00066C33"/>
    <w:rsid w:val="00067110"/>
    <w:rsid w:val="0006714A"/>
    <w:rsid w:val="000672F2"/>
    <w:rsid w:val="000672F5"/>
    <w:rsid w:val="00067347"/>
    <w:rsid w:val="000673A3"/>
    <w:rsid w:val="0006747A"/>
    <w:rsid w:val="000676DA"/>
    <w:rsid w:val="0006770C"/>
    <w:rsid w:val="00067790"/>
    <w:rsid w:val="00067987"/>
    <w:rsid w:val="000679A2"/>
    <w:rsid w:val="000679D4"/>
    <w:rsid w:val="00067A27"/>
    <w:rsid w:val="00067C59"/>
    <w:rsid w:val="00067CC9"/>
    <w:rsid w:val="00067DB9"/>
    <w:rsid w:val="00067FDD"/>
    <w:rsid w:val="00070536"/>
    <w:rsid w:val="000705A0"/>
    <w:rsid w:val="00070661"/>
    <w:rsid w:val="0007088D"/>
    <w:rsid w:val="00070C4B"/>
    <w:rsid w:val="00070D75"/>
    <w:rsid w:val="00070F28"/>
    <w:rsid w:val="00071A68"/>
    <w:rsid w:val="00071E5D"/>
    <w:rsid w:val="00071E7C"/>
    <w:rsid w:val="000720D6"/>
    <w:rsid w:val="000722BC"/>
    <w:rsid w:val="0007231C"/>
    <w:rsid w:val="00072385"/>
    <w:rsid w:val="00072465"/>
    <w:rsid w:val="00072492"/>
    <w:rsid w:val="000725EB"/>
    <w:rsid w:val="00072B12"/>
    <w:rsid w:val="00072B1D"/>
    <w:rsid w:val="00072BA0"/>
    <w:rsid w:val="00072CA2"/>
    <w:rsid w:val="00072CEE"/>
    <w:rsid w:val="00073025"/>
    <w:rsid w:val="00073134"/>
    <w:rsid w:val="000732C9"/>
    <w:rsid w:val="00073381"/>
    <w:rsid w:val="000733D8"/>
    <w:rsid w:val="0007349A"/>
    <w:rsid w:val="00073790"/>
    <w:rsid w:val="000738CF"/>
    <w:rsid w:val="00073B63"/>
    <w:rsid w:val="00073C6A"/>
    <w:rsid w:val="00073E0C"/>
    <w:rsid w:val="00074145"/>
    <w:rsid w:val="00074191"/>
    <w:rsid w:val="000745E3"/>
    <w:rsid w:val="00074852"/>
    <w:rsid w:val="000748CA"/>
    <w:rsid w:val="00074A03"/>
    <w:rsid w:val="00074BCD"/>
    <w:rsid w:val="00074E84"/>
    <w:rsid w:val="00075477"/>
    <w:rsid w:val="00075481"/>
    <w:rsid w:val="000754A2"/>
    <w:rsid w:val="0007551C"/>
    <w:rsid w:val="00075640"/>
    <w:rsid w:val="00075749"/>
    <w:rsid w:val="0007579F"/>
    <w:rsid w:val="000757DB"/>
    <w:rsid w:val="00075988"/>
    <w:rsid w:val="00075AC0"/>
    <w:rsid w:val="00075E75"/>
    <w:rsid w:val="00075EC9"/>
    <w:rsid w:val="00075ED9"/>
    <w:rsid w:val="00075EF9"/>
    <w:rsid w:val="00075F25"/>
    <w:rsid w:val="0007606C"/>
    <w:rsid w:val="00076098"/>
    <w:rsid w:val="00076555"/>
    <w:rsid w:val="0007662F"/>
    <w:rsid w:val="00076760"/>
    <w:rsid w:val="00076877"/>
    <w:rsid w:val="000768BB"/>
    <w:rsid w:val="0007697D"/>
    <w:rsid w:val="000769EF"/>
    <w:rsid w:val="000769FB"/>
    <w:rsid w:val="00076A38"/>
    <w:rsid w:val="00076D6A"/>
    <w:rsid w:val="00076E09"/>
    <w:rsid w:val="00076EC0"/>
    <w:rsid w:val="00077081"/>
    <w:rsid w:val="000772DA"/>
    <w:rsid w:val="000772EF"/>
    <w:rsid w:val="0007749D"/>
    <w:rsid w:val="0007776C"/>
    <w:rsid w:val="0007786B"/>
    <w:rsid w:val="000779CB"/>
    <w:rsid w:val="00077B74"/>
    <w:rsid w:val="00077CAD"/>
    <w:rsid w:val="00077E98"/>
    <w:rsid w:val="00080049"/>
    <w:rsid w:val="0008015A"/>
    <w:rsid w:val="000802EB"/>
    <w:rsid w:val="0008039F"/>
    <w:rsid w:val="00080589"/>
    <w:rsid w:val="00080642"/>
    <w:rsid w:val="000806EE"/>
    <w:rsid w:val="000806FB"/>
    <w:rsid w:val="00080A82"/>
    <w:rsid w:val="00080CB7"/>
    <w:rsid w:val="00080D5B"/>
    <w:rsid w:val="00080EF7"/>
    <w:rsid w:val="000812C5"/>
    <w:rsid w:val="000814CA"/>
    <w:rsid w:val="0008168B"/>
    <w:rsid w:val="000816F6"/>
    <w:rsid w:val="00081985"/>
    <w:rsid w:val="0008230B"/>
    <w:rsid w:val="00082337"/>
    <w:rsid w:val="0008235C"/>
    <w:rsid w:val="000823FA"/>
    <w:rsid w:val="00082422"/>
    <w:rsid w:val="0008282C"/>
    <w:rsid w:val="00082A85"/>
    <w:rsid w:val="00082C23"/>
    <w:rsid w:val="00082FC8"/>
    <w:rsid w:val="00083154"/>
    <w:rsid w:val="0008319D"/>
    <w:rsid w:val="000831D1"/>
    <w:rsid w:val="000833C7"/>
    <w:rsid w:val="0008351A"/>
    <w:rsid w:val="000835B6"/>
    <w:rsid w:val="00083747"/>
    <w:rsid w:val="000839B0"/>
    <w:rsid w:val="00083BBD"/>
    <w:rsid w:val="00083DEB"/>
    <w:rsid w:val="000840FF"/>
    <w:rsid w:val="00084244"/>
    <w:rsid w:val="000843C6"/>
    <w:rsid w:val="000843D6"/>
    <w:rsid w:val="00084407"/>
    <w:rsid w:val="00084A48"/>
    <w:rsid w:val="00084CBE"/>
    <w:rsid w:val="00084E4C"/>
    <w:rsid w:val="00085258"/>
    <w:rsid w:val="000854BD"/>
    <w:rsid w:val="00085639"/>
    <w:rsid w:val="00085A88"/>
    <w:rsid w:val="00085BF5"/>
    <w:rsid w:val="00085E17"/>
    <w:rsid w:val="00085FD8"/>
    <w:rsid w:val="0008601C"/>
    <w:rsid w:val="000860F5"/>
    <w:rsid w:val="0008668E"/>
    <w:rsid w:val="00086768"/>
    <w:rsid w:val="000867B3"/>
    <w:rsid w:val="00086821"/>
    <w:rsid w:val="00086904"/>
    <w:rsid w:val="00086A24"/>
    <w:rsid w:val="00086A81"/>
    <w:rsid w:val="00086D08"/>
    <w:rsid w:val="00086D5A"/>
    <w:rsid w:val="00086D9D"/>
    <w:rsid w:val="00086E05"/>
    <w:rsid w:val="00086E5D"/>
    <w:rsid w:val="0008729F"/>
    <w:rsid w:val="000872D9"/>
    <w:rsid w:val="000873B2"/>
    <w:rsid w:val="00087775"/>
    <w:rsid w:val="00087C03"/>
    <w:rsid w:val="00087F18"/>
    <w:rsid w:val="00087FFC"/>
    <w:rsid w:val="0009010A"/>
    <w:rsid w:val="00090191"/>
    <w:rsid w:val="00090198"/>
    <w:rsid w:val="000901ED"/>
    <w:rsid w:val="0009022E"/>
    <w:rsid w:val="00090310"/>
    <w:rsid w:val="00090528"/>
    <w:rsid w:val="00090807"/>
    <w:rsid w:val="00090A8A"/>
    <w:rsid w:val="00090B5F"/>
    <w:rsid w:val="00090BEF"/>
    <w:rsid w:val="00090C21"/>
    <w:rsid w:val="00090D51"/>
    <w:rsid w:val="00090F12"/>
    <w:rsid w:val="0009124C"/>
    <w:rsid w:val="00091419"/>
    <w:rsid w:val="00091484"/>
    <w:rsid w:val="0009150B"/>
    <w:rsid w:val="000915F8"/>
    <w:rsid w:val="0009167C"/>
    <w:rsid w:val="0009169D"/>
    <w:rsid w:val="0009195A"/>
    <w:rsid w:val="00091AAC"/>
    <w:rsid w:val="00091D77"/>
    <w:rsid w:val="00092156"/>
    <w:rsid w:val="000925A2"/>
    <w:rsid w:val="00092607"/>
    <w:rsid w:val="0009275A"/>
    <w:rsid w:val="00092783"/>
    <w:rsid w:val="00093132"/>
    <w:rsid w:val="000933FD"/>
    <w:rsid w:val="00093549"/>
    <w:rsid w:val="000939CE"/>
    <w:rsid w:val="00093A17"/>
    <w:rsid w:val="00093A66"/>
    <w:rsid w:val="00093A78"/>
    <w:rsid w:val="00093B43"/>
    <w:rsid w:val="00093B53"/>
    <w:rsid w:val="00093B87"/>
    <w:rsid w:val="00093BAB"/>
    <w:rsid w:val="00093EE0"/>
    <w:rsid w:val="00093FF4"/>
    <w:rsid w:val="0009420F"/>
    <w:rsid w:val="00094374"/>
    <w:rsid w:val="000945AF"/>
    <w:rsid w:val="000946AD"/>
    <w:rsid w:val="00094D26"/>
    <w:rsid w:val="00094E61"/>
    <w:rsid w:val="00094EB4"/>
    <w:rsid w:val="00094FEF"/>
    <w:rsid w:val="00095089"/>
    <w:rsid w:val="0009510B"/>
    <w:rsid w:val="00095131"/>
    <w:rsid w:val="0009537C"/>
    <w:rsid w:val="00095435"/>
    <w:rsid w:val="0009550B"/>
    <w:rsid w:val="0009558B"/>
    <w:rsid w:val="0009594C"/>
    <w:rsid w:val="00095B13"/>
    <w:rsid w:val="00095FFF"/>
    <w:rsid w:val="00096020"/>
    <w:rsid w:val="00096025"/>
    <w:rsid w:val="00096051"/>
    <w:rsid w:val="0009611B"/>
    <w:rsid w:val="0009614B"/>
    <w:rsid w:val="00096729"/>
    <w:rsid w:val="00096A9E"/>
    <w:rsid w:val="00096B11"/>
    <w:rsid w:val="00096B69"/>
    <w:rsid w:val="00096BAF"/>
    <w:rsid w:val="00096C3E"/>
    <w:rsid w:val="00096F53"/>
    <w:rsid w:val="00096F8A"/>
    <w:rsid w:val="00097023"/>
    <w:rsid w:val="0009704E"/>
    <w:rsid w:val="0009729C"/>
    <w:rsid w:val="00097387"/>
    <w:rsid w:val="000973F6"/>
    <w:rsid w:val="000975DD"/>
    <w:rsid w:val="000978E0"/>
    <w:rsid w:val="00097955"/>
    <w:rsid w:val="00097BC7"/>
    <w:rsid w:val="00097E7F"/>
    <w:rsid w:val="00097F53"/>
    <w:rsid w:val="000A05EC"/>
    <w:rsid w:val="000A07FA"/>
    <w:rsid w:val="000A0A99"/>
    <w:rsid w:val="000A0F83"/>
    <w:rsid w:val="000A12ED"/>
    <w:rsid w:val="000A1333"/>
    <w:rsid w:val="000A133D"/>
    <w:rsid w:val="000A1418"/>
    <w:rsid w:val="000A1491"/>
    <w:rsid w:val="000A1546"/>
    <w:rsid w:val="000A15F4"/>
    <w:rsid w:val="000A18AD"/>
    <w:rsid w:val="000A192F"/>
    <w:rsid w:val="000A1A62"/>
    <w:rsid w:val="000A1BDC"/>
    <w:rsid w:val="000A1CE7"/>
    <w:rsid w:val="000A1F95"/>
    <w:rsid w:val="000A2029"/>
    <w:rsid w:val="000A2186"/>
    <w:rsid w:val="000A219A"/>
    <w:rsid w:val="000A21BA"/>
    <w:rsid w:val="000A24C1"/>
    <w:rsid w:val="000A2521"/>
    <w:rsid w:val="000A2834"/>
    <w:rsid w:val="000A28EF"/>
    <w:rsid w:val="000A2CF6"/>
    <w:rsid w:val="000A2E58"/>
    <w:rsid w:val="000A3087"/>
    <w:rsid w:val="000A3387"/>
    <w:rsid w:val="000A33E7"/>
    <w:rsid w:val="000A3472"/>
    <w:rsid w:val="000A3480"/>
    <w:rsid w:val="000A37C6"/>
    <w:rsid w:val="000A380C"/>
    <w:rsid w:val="000A3CCC"/>
    <w:rsid w:val="000A41BB"/>
    <w:rsid w:val="000A41D5"/>
    <w:rsid w:val="000A4251"/>
    <w:rsid w:val="000A42D2"/>
    <w:rsid w:val="000A488C"/>
    <w:rsid w:val="000A4ABE"/>
    <w:rsid w:val="000A4B07"/>
    <w:rsid w:val="000A4B47"/>
    <w:rsid w:val="000A4B66"/>
    <w:rsid w:val="000A4CAD"/>
    <w:rsid w:val="000A4DE5"/>
    <w:rsid w:val="000A4FB5"/>
    <w:rsid w:val="000A503A"/>
    <w:rsid w:val="000A5149"/>
    <w:rsid w:val="000A5247"/>
    <w:rsid w:val="000A5306"/>
    <w:rsid w:val="000A5527"/>
    <w:rsid w:val="000A5602"/>
    <w:rsid w:val="000A5D4A"/>
    <w:rsid w:val="000A5E5B"/>
    <w:rsid w:val="000A5F2B"/>
    <w:rsid w:val="000A636C"/>
    <w:rsid w:val="000A6716"/>
    <w:rsid w:val="000A690B"/>
    <w:rsid w:val="000A692A"/>
    <w:rsid w:val="000A69EE"/>
    <w:rsid w:val="000A69F5"/>
    <w:rsid w:val="000A6C02"/>
    <w:rsid w:val="000A6C83"/>
    <w:rsid w:val="000A6E77"/>
    <w:rsid w:val="000A6F6A"/>
    <w:rsid w:val="000A70F9"/>
    <w:rsid w:val="000A7249"/>
    <w:rsid w:val="000A737C"/>
    <w:rsid w:val="000A752F"/>
    <w:rsid w:val="000A7914"/>
    <w:rsid w:val="000A793C"/>
    <w:rsid w:val="000A7963"/>
    <w:rsid w:val="000A7BDA"/>
    <w:rsid w:val="000A7D20"/>
    <w:rsid w:val="000B0096"/>
    <w:rsid w:val="000B010C"/>
    <w:rsid w:val="000B0117"/>
    <w:rsid w:val="000B030A"/>
    <w:rsid w:val="000B041F"/>
    <w:rsid w:val="000B057C"/>
    <w:rsid w:val="000B07E0"/>
    <w:rsid w:val="000B0B0B"/>
    <w:rsid w:val="000B0BEF"/>
    <w:rsid w:val="000B0F3A"/>
    <w:rsid w:val="000B0FDE"/>
    <w:rsid w:val="000B1108"/>
    <w:rsid w:val="000B1118"/>
    <w:rsid w:val="000B119E"/>
    <w:rsid w:val="000B14D9"/>
    <w:rsid w:val="000B17CB"/>
    <w:rsid w:val="000B18A3"/>
    <w:rsid w:val="000B1EB6"/>
    <w:rsid w:val="000B1F60"/>
    <w:rsid w:val="000B206E"/>
    <w:rsid w:val="000B21DC"/>
    <w:rsid w:val="000B22F1"/>
    <w:rsid w:val="000B2356"/>
    <w:rsid w:val="000B23DF"/>
    <w:rsid w:val="000B245C"/>
    <w:rsid w:val="000B2932"/>
    <w:rsid w:val="000B2A75"/>
    <w:rsid w:val="000B3047"/>
    <w:rsid w:val="000B30C3"/>
    <w:rsid w:val="000B31F5"/>
    <w:rsid w:val="000B339F"/>
    <w:rsid w:val="000B3402"/>
    <w:rsid w:val="000B3449"/>
    <w:rsid w:val="000B3938"/>
    <w:rsid w:val="000B3B11"/>
    <w:rsid w:val="000B3BC9"/>
    <w:rsid w:val="000B3C5D"/>
    <w:rsid w:val="000B44D0"/>
    <w:rsid w:val="000B4AF6"/>
    <w:rsid w:val="000B4B73"/>
    <w:rsid w:val="000B4D2A"/>
    <w:rsid w:val="000B4F2F"/>
    <w:rsid w:val="000B51E4"/>
    <w:rsid w:val="000B53A7"/>
    <w:rsid w:val="000B552B"/>
    <w:rsid w:val="000B552C"/>
    <w:rsid w:val="000B55DF"/>
    <w:rsid w:val="000B567F"/>
    <w:rsid w:val="000B598A"/>
    <w:rsid w:val="000B5B82"/>
    <w:rsid w:val="000B5CEA"/>
    <w:rsid w:val="000B5E9C"/>
    <w:rsid w:val="000B61DB"/>
    <w:rsid w:val="000B63EA"/>
    <w:rsid w:val="000B6692"/>
    <w:rsid w:val="000B6935"/>
    <w:rsid w:val="000B6AC7"/>
    <w:rsid w:val="000B6BAF"/>
    <w:rsid w:val="000B6E4E"/>
    <w:rsid w:val="000B7058"/>
    <w:rsid w:val="000B7062"/>
    <w:rsid w:val="000B707D"/>
    <w:rsid w:val="000B729A"/>
    <w:rsid w:val="000B72EE"/>
    <w:rsid w:val="000B7827"/>
    <w:rsid w:val="000B7B50"/>
    <w:rsid w:val="000B7BC8"/>
    <w:rsid w:val="000B7BED"/>
    <w:rsid w:val="000B7F34"/>
    <w:rsid w:val="000C0AC4"/>
    <w:rsid w:val="000C0AC9"/>
    <w:rsid w:val="000C0DCE"/>
    <w:rsid w:val="000C0EE2"/>
    <w:rsid w:val="000C0FFD"/>
    <w:rsid w:val="000C1002"/>
    <w:rsid w:val="000C1470"/>
    <w:rsid w:val="000C148A"/>
    <w:rsid w:val="000C14B1"/>
    <w:rsid w:val="000C18AF"/>
    <w:rsid w:val="000C18FD"/>
    <w:rsid w:val="000C1CED"/>
    <w:rsid w:val="000C1DDB"/>
    <w:rsid w:val="000C1E9A"/>
    <w:rsid w:val="000C1F7A"/>
    <w:rsid w:val="000C202A"/>
    <w:rsid w:val="000C20A0"/>
    <w:rsid w:val="000C213B"/>
    <w:rsid w:val="000C2153"/>
    <w:rsid w:val="000C216D"/>
    <w:rsid w:val="000C22C2"/>
    <w:rsid w:val="000C22DD"/>
    <w:rsid w:val="000C2331"/>
    <w:rsid w:val="000C23C7"/>
    <w:rsid w:val="000C2625"/>
    <w:rsid w:val="000C2629"/>
    <w:rsid w:val="000C26CD"/>
    <w:rsid w:val="000C29F6"/>
    <w:rsid w:val="000C2CA7"/>
    <w:rsid w:val="000C2EB0"/>
    <w:rsid w:val="000C2EE7"/>
    <w:rsid w:val="000C2FBC"/>
    <w:rsid w:val="000C31A1"/>
    <w:rsid w:val="000C3397"/>
    <w:rsid w:val="000C33F5"/>
    <w:rsid w:val="000C3455"/>
    <w:rsid w:val="000C3517"/>
    <w:rsid w:val="000C384B"/>
    <w:rsid w:val="000C3C1F"/>
    <w:rsid w:val="000C3ECF"/>
    <w:rsid w:val="000C3F98"/>
    <w:rsid w:val="000C401D"/>
    <w:rsid w:val="000C40BC"/>
    <w:rsid w:val="000C48C9"/>
    <w:rsid w:val="000C4BBA"/>
    <w:rsid w:val="000C4F7B"/>
    <w:rsid w:val="000C4F7E"/>
    <w:rsid w:val="000C4FC2"/>
    <w:rsid w:val="000C5238"/>
    <w:rsid w:val="000C52D4"/>
    <w:rsid w:val="000C536A"/>
    <w:rsid w:val="000C55B4"/>
    <w:rsid w:val="000C58B2"/>
    <w:rsid w:val="000C591E"/>
    <w:rsid w:val="000C597B"/>
    <w:rsid w:val="000C5A73"/>
    <w:rsid w:val="000C5C4E"/>
    <w:rsid w:val="000C5C6B"/>
    <w:rsid w:val="000C5E47"/>
    <w:rsid w:val="000C5EC3"/>
    <w:rsid w:val="000C5FC8"/>
    <w:rsid w:val="000C6106"/>
    <w:rsid w:val="000C622E"/>
    <w:rsid w:val="000C6710"/>
    <w:rsid w:val="000C68E8"/>
    <w:rsid w:val="000C6936"/>
    <w:rsid w:val="000C6A1E"/>
    <w:rsid w:val="000C6A62"/>
    <w:rsid w:val="000C6D84"/>
    <w:rsid w:val="000C6E30"/>
    <w:rsid w:val="000C70D5"/>
    <w:rsid w:val="000C716E"/>
    <w:rsid w:val="000C71A5"/>
    <w:rsid w:val="000C72A7"/>
    <w:rsid w:val="000C7318"/>
    <w:rsid w:val="000C7494"/>
    <w:rsid w:val="000C769F"/>
    <w:rsid w:val="000C76B3"/>
    <w:rsid w:val="000C7760"/>
    <w:rsid w:val="000C79BA"/>
    <w:rsid w:val="000C7CD4"/>
    <w:rsid w:val="000C7E20"/>
    <w:rsid w:val="000C7E6B"/>
    <w:rsid w:val="000C7E70"/>
    <w:rsid w:val="000D004B"/>
    <w:rsid w:val="000D00DA"/>
    <w:rsid w:val="000D01BC"/>
    <w:rsid w:val="000D0601"/>
    <w:rsid w:val="000D07CF"/>
    <w:rsid w:val="000D0822"/>
    <w:rsid w:val="000D0DB9"/>
    <w:rsid w:val="000D0F94"/>
    <w:rsid w:val="000D11CD"/>
    <w:rsid w:val="000D1425"/>
    <w:rsid w:val="000D1461"/>
    <w:rsid w:val="000D1662"/>
    <w:rsid w:val="000D1738"/>
    <w:rsid w:val="000D1746"/>
    <w:rsid w:val="000D197A"/>
    <w:rsid w:val="000D1A6D"/>
    <w:rsid w:val="000D1B25"/>
    <w:rsid w:val="000D1B54"/>
    <w:rsid w:val="000D1D39"/>
    <w:rsid w:val="000D1DDD"/>
    <w:rsid w:val="000D1FF2"/>
    <w:rsid w:val="000D20E4"/>
    <w:rsid w:val="000D2154"/>
    <w:rsid w:val="000D2180"/>
    <w:rsid w:val="000D22CC"/>
    <w:rsid w:val="000D2326"/>
    <w:rsid w:val="000D24A0"/>
    <w:rsid w:val="000D2737"/>
    <w:rsid w:val="000D2A61"/>
    <w:rsid w:val="000D2C18"/>
    <w:rsid w:val="000D2CC1"/>
    <w:rsid w:val="000D33CD"/>
    <w:rsid w:val="000D34E2"/>
    <w:rsid w:val="000D358D"/>
    <w:rsid w:val="000D35B5"/>
    <w:rsid w:val="000D3A3B"/>
    <w:rsid w:val="000D3A80"/>
    <w:rsid w:val="000D3B50"/>
    <w:rsid w:val="000D3C8B"/>
    <w:rsid w:val="000D3D50"/>
    <w:rsid w:val="000D3FEE"/>
    <w:rsid w:val="000D4024"/>
    <w:rsid w:val="000D40ED"/>
    <w:rsid w:val="000D4113"/>
    <w:rsid w:val="000D4191"/>
    <w:rsid w:val="000D475C"/>
    <w:rsid w:val="000D4A60"/>
    <w:rsid w:val="000D4C21"/>
    <w:rsid w:val="000D4E30"/>
    <w:rsid w:val="000D4E4F"/>
    <w:rsid w:val="000D5284"/>
    <w:rsid w:val="000D56B4"/>
    <w:rsid w:val="000D579A"/>
    <w:rsid w:val="000D5854"/>
    <w:rsid w:val="000D586D"/>
    <w:rsid w:val="000D5B8C"/>
    <w:rsid w:val="000D5F63"/>
    <w:rsid w:val="000D601B"/>
    <w:rsid w:val="000D6343"/>
    <w:rsid w:val="000D6380"/>
    <w:rsid w:val="000D63E8"/>
    <w:rsid w:val="000D652C"/>
    <w:rsid w:val="000D691E"/>
    <w:rsid w:val="000D6B7C"/>
    <w:rsid w:val="000D6BCD"/>
    <w:rsid w:val="000D6BE6"/>
    <w:rsid w:val="000D6BE7"/>
    <w:rsid w:val="000D6C4B"/>
    <w:rsid w:val="000D6EA4"/>
    <w:rsid w:val="000D70A7"/>
    <w:rsid w:val="000D7110"/>
    <w:rsid w:val="000D71B7"/>
    <w:rsid w:val="000D72DC"/>
    <w:rsid w:val="000D7837"/>
    <w:rsid w:val="000D798D"/>
    <w:rsid w:val="000D79CF"/>
    <w:rsid w:val="000D7ABF"/>
    <w:rsid w:val="000D7BCE"/>
    <w:rsid w:val="000D7F1A"/>
    <w:rsid w:val="000E01F0"/>
    <w:rsid w:val="000E0343"/>
    <w:rsid w:val="000E04C1"/>
    <w:rsid w:val="000E08F1"/>
    <w:rsid w:val="000E0B5C"/>
    <w:rsid w:val="000E0C96"/>
    <w:rsid w:val="000E0FB2"/>
    <w:rsid w:val="000E10E6"/>
    <w:rsid w:val="000E13C8"/>
    <w:rsid w:val="000E1704"/>
    <w:rsid w:val="000E17BF"/>
    <w:rsid w:val="000E17DA"/>
    <w:rsid w:val="000E17E9"/>
    <w:rsid w:val="000E1844"/>
    <w:rsid w:val="000E18FA"/>
    <w:rsid w:val="000E198F"/>
    <w:rsid w:val="000E1B04"/>
    <w:rsid w:val="000E1D1E"/>
    <w:rsid w:val="000E21D9"/>
    <w:rsid w:val="000E27A4"/>
    <w:rsid w:val="000E288E"/>
    <w:rsid w:val="000E28B8"/>
    <w:rsid w:val="000E28E2"/>
    <w:rsid w:val="000E2917"/>
    <w:rsid w:val="000E2A81"/>
    <w:rsid w:val="000E2BD3"/>
    <w:rsid w:val="000E2C43"/>
    <w:rsid w:val="000E2D1F"/>
    <w:rsid w:val="000E335F"/>
    <w:rsid w:val="000E3436"/>
    <w:rsid w:val="000E34FF"/>
    <w:rsid w:val="000E3536"/>
    <w:rsid w:val="000E36BC"/>
    <w:rsid w:val="000E3797"/>
    <w:rsid w:val="000E37C2"/>
    <w:rsid w:val="000E38FA"/>
    <w:rsid w:val="000E3988"/>
    <w:rsid w:val="000E3B3A"/>
    <w:rsid w:val="000E3D8C"/>
    <w:rsid w:val="000E3FF8"/>
    <w:rsid w:val="000E40CC"/>
    <w:rsid w:val="000E4217"/>
    <w:rsid w:val="000E44EE"/>
    <w:rsid w:val="000E458D"/>
    <w:rsid w:val="000E45DE"/>
    <w:rsid w:val="000E47A0"/>
    <w:rsid w:val="000E47DB"/>
    <w:rsid w:val="000E4812"/>
    <w:rsid w:val="000E4C59"/>
    <w:rsid w:val="000E5131"/>
    <w:rsid w:val="000E536B"/>
    <w:rsid w:val="000E53BB"/>
    <w:rsid w:val="000E55D6"/>
    <w:rsid w:val="000E57A8"/>
    <w:rsid w:val="000E5A53"/>
    <w:rsid w:val="000E5A71"/>
    <w:rsid w:val="000E5B41"/>
    <w:rsid w:val="000E5E47"/>
    <w:rsid w:val="000E5ED4"/>
    <w:rsid w:val="000E61E4"/>
    <w:rsid w:val="000E6456"/>
    <w:rsid w:val="000E65A0"/>
    <w:rsid w:val="000E674C"/>
    <w:rsid w:val="000E6A3B"/>
    <w:rsid w:val="000E6ADA"/>
    <w:rsid w:val="000E6CF6"/>
    <w:rsid w:val="000E739E"/>
    <w:rsid w:val="000E743D"/>
    <w:rsid w:val="000E766C"/>
    <w:rsid w:val="000E7A56"/>
    <w:rsid w:val="000E7B6C"/>
    <w:rsid w:val="000E7C23"/>
    <w:rsid w:val="000E7DB4"/>
    <w:rsid w:val="000E7DEC"/>
    <w:rsid w:val="000E7F49"/>
    <w:rsid w:val="000E7F91"/>
    <w:rsid w:val="000E7FEB"/>
    <w:rsid w:val="000F011C"/>
    <w:rsid w:val="000F0546"/>
    <w:rsid w:val="000F0630"/>
    <w:rsid w:val="000F0A00"/>
    <w:rsid w:val="000F0EDD"/>
    <w:rsid w:val="000F1248"/>
    <w:rsid w:val="000F1340"/>
    <w:rsid w:val="000F14FC"/>
    <w:rsid w:val="000F1665"/>
    <w:rsid w:val="000F17BE"/>
    <w:rsid w:val="000F1A1D"/>
    <w:rsid w:val="000F1C3C"/>
    <w:rsid w:val="000F1CF1"/>
    <w:rsid w:val="000F1D41"/>
    <w:rsid w:val="000F1DD1"/>
    <w:rsid w:val="000F1E8F"/>
    <w:rsid w:val="000F1EE6"/>
    <w:rsid w:val="000F1F1A"/>
    <w:rsid w:val="000F1F53"/>
    <w:rsid w:val="000F21BA"/>
    <w:rsid w:val="000F23BA"/>
    <w:rsid w:val="000F2500"/>
    <w:rsid w:val="000F2718"/>
    <w:rsid w:val="000F2778"/>
    <w:rsid w:val="000F2988"/>
    <w:rsid w:val="000F2BF2"/>
    <w:rsid w:val="000F2E79"/>
    <w:rsid w:val="000F2FE8"/>
    <w:rsid w:val="000F3491"/>
    <w:rsid w:val="000F3AD1"/>
    <w:rsid w:val="000F3E22"/>
    <w:rsid w:val="000F4034"/>
    <w:rsid w:val="000F4245"/>
    <w:rsid w:val="000F43A0"/>
    <w:rsid w:val="000F462C"/>
    <w:rsid w:val="000F499B"/>
    <w:rsid w:val="000F49AE"/>
    <w:rsid w:val="000F5384"/>
    <w:rsid w:val="000F5564"/>
    <w:rsid w:val="000F575C"/>
    <w:rsid w:val="000F5962"/>
    <w:rsid w:val="000F59CD"/>
    <w:rsid w:val="000F5A51"/>
    <w:rsid w:val="000F5B42"/>
    <w:rsid w:val="000F5BA0"/>
    <w:rsid w:val="000F5DBF"/>
    <w:rsid w:val="000F5F0D"/>
    <w:rsid w:val="000F611C"/>
    <w:rsid w:val="000F61E5"/>
    <w:rsid w:val="000F6494"/>
    <w:rsid w:val="000F68A5"/>
    <w:rsid w:val="000F6E1E"/>
    <w:rsid w:val="000F6F91"/>
    <w:rsid w:val="000F6FA8"/>
    <w:rsid w:val="000F6FD7"/>
    <w:rsid w:val="000F7176"/>
    <w:rsid w:val="000F77CD"/>
    <w:rsid w:val="000F7889"/>
    <w:rsid w:val="000F78FD"/>
    <w:rsid w:val="000F7D8F"/>
    <w:rsid w:val="000F7DBA"/>
    <w:rsid w:val="000F7DCD"/>
    <w:rsid w:val="000F7F59"/>
    <w:rsid w:val="0010006F"/>
    <w:rsid w:val="001000C1"/>
    <w:rsid w:val="00100328"/>
    <w:rsid w:val="0010052B"/>
    <w:rsid w:val="00100565"/>
    <w:rsid w:val="001006A3"/>
    <w:rsid w:val="001007E8"/>
    <w:rsid w:val="001009B1"/>
    <w:rsid w:val="001009BB"/>
    <w:rsid w:val="00100A48"/>
    <w:rsid w:val="00100BF9"/>
    <w:rsid w:val="00100D2F"/>
    <w:rsid w:val="00101188"/>
    <w:rsid w:val="001013FD"/>
    <w:rsid w:val="001016E7"/>
    <w:rsid w:val="00101A01"/>
    <w:rsid w:val="00101A7F"/>
    <w:rsid w:val="00101D1C"/>
    <w:rsid w:val="00101DC5"/>
    <w:rsid w:val="00101DE3"/>
    <w:rsid w:val="00101EA9"/>
    <w:rsid w:val="00101F74"/>
    <w:rsid w:val="001021F1"/>
    <w:rsid w:val="001022E1"/>
    <w:rsid w:val="0010238F"/>
    <w:rsid w:val="001023BA"/>
    <w:rsid w:val="0010246F"/>
    <w:rsid w:val="0010258E"/>
    <w:rsid w:val="00102696"/>
    <w:rsid w:val="001029B4"/>
    <w:rsid w:val="00102AE8"/>
    <w:rsid w:val="00102C90"/>
    <w:rsid w:val="00102F6D"/>
    <w:rsid w:val="00103009"/>
    <w:rsid w:val="00103088"/>
    <w:rsid w:val="00103168"/>
    <w:rsid w:val="001033F7"/>
    <w:rsid w:val="001035CC"/>
    <w:rsid w:val="001039DC"/>
    <w:rsid w:val="00103E24"/>
    <w:rsid w:val="00103E25"/>
    <w:rsid w:val="001040A5"/>
    <w:rsid w:val="001040EF"/>
    <w:rsid w:val="001044ED"/>
    <w:rsid w:val="001045CD"/>
    <w:rsid w:val="0010469D"/>
    <w:rsid w:val="0010472E"/>
    <w:rsid w:val="00104BC7"/>
    <w:rsid w:val="00104C11"/>
    <w:rsid w:val="00104EEA"/>
    <w:rsid w:val="00104FD9"/>
    <w:rsid w:val="001051EF"/>
    <w:rsid w:val="001052D0"/>
    <w:rsid w:val="001054DA"/>
    <w:rsid w:val="001055F0"/>
    <w:rsid w:val="001055F2"/>
    <w:rsid w:val="001057BA"/>
    <w:rsid w:val="001057C2"/>
    <w:rsid w:val="001057DD"/>
    <w:rsid w:val="00105A4C"/>
    <w:rsid w:val="00105BB4"/>
    <w:rsid w:val="00105DAE"/>
    <w:rsid w:val="00105E4C"/>
    <w:rsid w:val="00105EBF"/>
    <w:rsid w:val="001060E0"/>
    <w:rsid w:val="001062CE"/>
    <w:rsid w:val="00106390"/>
    <w:rsid w:val="001064EF"/>
    <w:rsid w:val="00106694"/>
    <w:rsid w:val="00106828"/>
    <w:rsid w:val="00106902"/>
    <w:rsid w:val="00106CE8"/>
    <w:rsid w:val="00106DB8"/>
    <w:rsid w:val="00106E1C"/>
    <w:rsid w:val="00106F33"/>
    <w:rsid w:val="00106FC3"/>
    <w:rsid w:val="0010712A"/>
    <w:rsid w:val="00107202"/>
    <w:rsid w:val="00107794"/>
    <w:rsid w:val="001077B7"/>
    <w:rsid w:val="00107DF5"/>
    <w:rsid w:val="00107E0B"/>
    <w:rsid w:val="00107F78"/>
    <w:rsid w:val="00110169"/>
    <w:rsid w:val="00110501"/>
    <w:rsid w:val="001105DE"/>
    <w:rsid w:val="0011074D"/>
    <w:rsid w:val="00110A49"/>
    <w:rsid w:val="00110B8C"/>
    <w:rsid w:val="00110C3B"/>
    <w:rsid w:val="00110CB4"/>
    <w:rsid w:val="00110CF7"/>
    <w:rsid w:val="00110DAA"/>
    <w:rsid w:val="00110E2A"/>
    <w:rsid w:val="00110E80"/>
    <w:rsid w:val="00110FCE"/>
    <w:rsid w:val="00111101"/>
    <w:rsid w:val="001111A0"/>
    <w:rsid w:val="001112F9"/>
    <w:rsid w:val="0011166F"/>
    <w:rsid w:val="00111875"/>
    <w:rsid w:val="001118B7"/>
    <w:rsid w:val="001118FE"/>
    <w:rsid w:val="001119F4"/>
    <w:rsid w:val="00111B8F"/>
    <w:rsid w:val="00111C59"/>
    <w:rsid w:val="00111D1D"/>
    <w:rsid w:val="00111DD0"/>
    <w:rsid w:val="0011216C"/>
    <w:rsid w:val="0011220A"/>
    <w:rsid w:val="00112441"/>
    <w:rsid w:val="001125E6"/>
    <w:rsid w:val="001128E8"/>
    <w:rsid w:val="001128F7"/>
    <w:rsid w:val="001129FC"/>
    <w:rsid w:val="00112C49"/>
    <w:rsid w:val="00112E1D"/>
    <w:rsid w:val="001130AA"/>
    <w:rsid w:val="001130B5"/>
    <w:rsid w:val="001136C4"/>
    <w:rsid w:val="00113884"/>
    <w:rsid w:val="0011388C"/>
    <w:rsid w:val="00113A81"/>
    <w:rsid w:val="00113B7F"/>
    <w:rsid w:val="00113BB8"/>
    <w:rsid w:val="00113CD7"/>
    <w:rsid w:val="00113CE0"/>
    <w:rsid w:val="0011401D"/>
    <w:rsid w:val="001140F2"/>
    <w:rsid w:val="00114148"/>
    <w:rsid w:val="001141F8"/>
    <w:rsid w:val="00114229"/>
    <w:rsid w:val="00114295"/>
    <w:rsid w:val="0011433C"/>
    <w:rsid w:val="001144E5"/>
    <w:rsid w:val="0011453B"/>
    <w:rsid w:val="00114571"/>
    <w:rsid w:val="001146BC"/>
    <w:rsid w:val="001147DE"/>
    <w:rsid w:val="00114885"/>
    <w:rsid w:val="0011493C"/>
    <w:rsid w:val="00114A09"/>
    <w:rsid w:val="00114A36"/>
    <w:rsid w:val="00114C09"/>
    <w:rsid w:val="00114E83"/>
    <w:rsid w:val="00114F05"/>
    <w:rsid w:val="0011527D"/>
    <w:rsid w:val="001152CE"/>
    <w:rsid w:val="001153B4"/>
    <w:rsid w:val="001153C9"/>
    <w:rsid w:val="001153E8"/>
    <w:rsid w:val="001154B5"/>
    <w:rsid w:val="001155C6"/>
    <w:rsid w:val="0011578C"/>
    <w:rsid w:val="00115863"/>
    <w:rsid w:val="00115AF2"/>
    <w:rsid w:val="00115BA3"/>
    <w:rsid w:val="00115DAD"/>
    <w:rsid w:val="00115DE4"/>
    <w:rsid w:val="00115F98"/>
    <w:rsid w:val="00116076"/>
    <w:rsid w:val="0011608C"/>
    <w:rsid w:val="001161A3"/>
    <w:rsid w:val="00116357"/>
    <w:rsid w:val="00116502"/>
    <w:rsid w:val="001165CB"/>
    <w:rsid w:val="0011660E"/>
    <w:rsid w:val="0011678C"/>
    <w:rsid w:val="001167B5"/>
    <w:rsid w:val="00116945"/>
    <w:rsid w:val="00116C74"/>
    <w:rsid w:val="00116E2D"/>
    <w:rsid w:val="00116E6D"/>
    <w:rsid w:val="00116E7E"/>
    <w:rsid w:val="00116ECD"/>
    <w:rsid w:val="00116FB8"/>
    <w:rsid w:val="0011732E"/>
    <w:rsid w:val="0011755D"/>
    <w:rsid w:val="0011758D"/>
    <w:rsid w:val="001176A5"/>
    <w:rsid w:val="001179CB"/>
    <w:rsid w:val="00117B53"/>
    <w:rsid w:val="00117CA0"/>
    <w:rsid w:val="00117DC5"/>
    <w:rsid w:val="00117DDE"/>
    <w:rsid w:val="00117E8C"/>
    <w:rsid w:val="00120181"/>
    <w:rsid w:val="001201FA"/>
    <w:rsid w:val="001203DF"/>
    <w:rsid w:val="001204C7"/>
    <w:rsid w:val="0012094E"/>
    <w:rsid w:val="00120B89"/>
    <w:rsid w:val="00120BCE"/>
    <w:rsid w:val="001210A4"/>
    <w:rsid w:val="001210C9"/>
    <w:rsid w:val="00121201"/>
    <w:rsid w:val="0012128F"/>
    <w:rsid w:val="001213C9"/>
    <w:rsid w:val="00121714"/>
    <w:rsid w:val="0012192E"/>
    <w:rsid w:val="0012193C"/>
    <w:rsid w:val="0012195F"/>
    <w:rsid w:val="001219DF"/>
    <w:rsid w:val="00121AEF"/>
    <w:rsid w:val="00121B09"/>
    <w:rsid w:val="00121F26"/>
    <w:rsid w:val="00122423"/>
    <w:rsid w:val="00122530"/>
    <w:rsid w:val="001225F9"/>
    <w:rsid w:val="00122681"/>
    <w:rsid w:val="001227D1"/>
    <w:rsid w:val="001228A0"/>
    <w:rsid w:val="001229EF"/>
    <w:rsid w:val="00122A28"/>
    <w:rsid w:val="00122D5D"/>
    <w:rsid w:val="00123093"/>
    <w:rsid w:val="0012332D"/>
    <w:rsid w:val="00123426"/>
    <w:rsid w:val="00123729"/>
    <w:rsid w:val="0012376D"/>
    <w:rsid w:val="001238A1"/>
    <w:rsid w:val="00123D01"/>
    <w:rsid w:val="00123D07"/>
    <w:rsid w:val="00123D7B"/>
    <w:rsid w:val="00123E04"/>
    <w:rsid w:val="00124091"/>
    <w:rsid w:val="0012415C"/>
    <w:rsid w:val="001246EF"/>
    <w:rsid w:val="00124A09"/>
    <w:rsid w:val="00124C82"/>
    <w:rsid w:val="00124FA7"/>
    <w:rsid w:val="00125001"/>
    <w:rsid w:val="00125577"/>
    <w:rsid w:val="00125785"/>
    <w:rsid w:val="001257D1"/>
    <w:rsid w:val="00125832"/>
    <w:rsid w:val="001259E1"/>
    <w:rsid w:val="00125A17"/>
    <w:rsid w:val="00125AA8"/>
    <w:rsid w:val="00125AF8"/>
    <w:rsid w:val="00125B71"/>
    <w:rsid w:val="00125CE5"/>
    <w:rsid w:val="00125E84"/>
    <w:rsid w:val="00126020"/>
    <w:rsid w:val="00126134"/>
    <w:rsid w:val="0012613F"/>
    <w:rsid w:val="0012634C"/>
    <w:rsid w:val="001263C1"/>
    <w:rsid w:val="001264DF"/>
    <w:rsid w:val="00126592"/>
    <w:rsid w:val="001265C1"/>
    <w:rsid w:val="001265EA"/>
    <w:rsid w:val="001267EA"/>
    <w:rsid w:val="00126970"/>
    <w:rsid w:val="00126B34"/>
    <w:rsid w:val="00126B37"/>
    <w:rsid w:val="00126BAC"/>
    <w:rsid w:val="00126BDF"/>
    <w:rsid w:val="00126FDF"/>
    <w:rsid w:val="00126FE4"/>
    <w:rsid w:val="001270EA"/>
    <w:rsid w:val="00127358"/>
    <w:rsid w:val="001273FC"/>
    <w:rsid w:val="0012753D"/>
    <w:rsid w:val="00127545"/>
    <w:rsid w:val="00127626"/>
    <w:rsid w:val="00127777"/>
    <w:rsid w:val="00127833"/>
    <w:rsid w:val="001278B6"/>
    <w:rsid w:val="00127A21"/>
    <w:rsid w:val="00127A83"/>
    <w:rsid w:val="00127CEE"/>
    <w:rsid w:val="00127DCE"/>
    <w:rsid w:val="00127DE0"/>
    <w:rsid w:val="00127E40"/>
    <w:rsid w:val="00130134"/>
    <w:rsid w:val="00130165"/>
    <w:rsid w:val="0013021E"/>
    <w:rsid w:val="001303C5"/>
    <w:rsid w:val="001304C0"/>
    <w:rsid w:val="0013076D"/>
    <w:rsid w:val="0013093E"/>
    <w:rsid w:val="00130A35"/>
    <w:rsid w:val="00130AF6"/>
    <w:rsid w:val="00130B1E"/>
    <w:rsid w:val="00130DF6"/>
    <w:rsid w:val="001313D0"/>
    <w:rsid w:val="001314F4"/>
    <w:rsid w:val="001316B0"/>
    <w:rsid w:val="0013170A"/>
    <w:rsid w:val="0013185E"/>
    <w:rsid w:val="00131EEF"/>
    <w:rsid w:val="0013230B"/>
    <w:rsid w:val="00132385"/>
    <w:rsid w:val="001323BC"/>
    <w:rsid w:val="0013269B"/>
    <w:rsid w:val="0013287C"/>
    <w:rsid w:val="00132C21"/>
    <w:rsid w:val="00132DE9"/>
    <w:rsid w:val="00133346"/>
    <w:rsid w:val="00133517"/>
    <w:rsid w:val="00133606"/>
    <w:rsid w:val="0013382A"/>
    <w:rsid w:val="00133C60"/>
    <w:rsid w:val="00133F11"/>
    <w:rsid w:val="001340D5"/>
    <w:rsid w:val="0013431C"/>
    <w:rsid w:val="00134381"/>
    <w:rsid w:val="00134941"/>
    <w:rsid w:val="00134C05"/>
    <w:rsid w:val="00134D0E"/>
    <w:rsid w:val="00134E27"/>
    <w:rsid w:val="00134F2A"/>
    <w:rsid w:val="0013514B"/>
    <w:rsid w:val="0013516D"/>
    <w:rsid w:val="00135225"/>
    <w:rsid w:val="001354F7"/>
    <w:rsid w:val="0013551A"/>
    <w:rsid w:val="001355B9"/>
    <w:rsid w:val="00135605"/>
    <w:rsid w:val="001357E5"/>
    <w:rsid w:val="001357E7"/>
    <w:rsid w:val="00135814"/>
    <w:rsid w:val="00135AC6"/>
    <w:rsid w:val="00136081"/>
    <w:rsid w:val="001360DF"/>
    <w:rsid w:val="001361F1"/>
    <w:rsid w:val="0013624B"/>
    <w:rsid w:val="001362DF"/>
    <w:rsid w:val="00136365"/>
    <w:rsid w:val="0013659B"/>
    <w:rsid w:val="00136677"/>
    <w:rsid w:val="00136855"/>
    <w:rsid w:val="00136B0E"/>
    <w:rsid w:val="00136D2A"/>
    <w:rsid w:val="00136E91"/>
    <w:rsid w:val="0013728E"/>
    <w:rsid w:val="0013739E"/>
    <w:rsid w:val="0013763F"/>
    <w:rsid w:val="001376C5"/>
    <w:rsid w:val="00137764"/>
    <w:rsid w:val="001379CC"/>
    <w:rsid w:val="00137AB8"/>
    <w:rsid w:val="00137BB9"/>
    <w:rsid w:val="00137EBC"/>
    <w:rsid w:val="00140818"/>
    <w:rsid w:val="00140860"/>
    <w:rsid w:val="00140A71"/>
    <w:rsid w:val="00140BC4"/>
    <w:rsid w:val="00140C03"/>
    <w:rsid w:val="00140CCC"/>
    <w:rsid w:val="00141286"/>
    <w:rsid w:val="0014175B"/>
    <w:rsid w:val="00141A23"/>
    <w:rsid w:val="00141A33"/>
    <w:rsid w:val="00141BD0"/>
    <w:rsid w:val="00141C40"/>
    <w:rsid w:val="00141C84"/>
    <w:rsid w:val="00141F0E"/>
    <w:rsid w:val="0014200D"/>
    <w:rsid w:val="0014203F"/>
    <w:rsid w:val="00142060"/>
    <w:rsid w:val="00142066"/>
    <w:rsid w:val="0014221B"/>
    <w:rsid w:val="001422A4"/>
    <w:rsid w:val="001422B6"/>
    <w:rsid w:val="00142BAB"/>
    <w:rsid w:val="0014301B"/>
    <w:rsid w:val="001431E2"/>
    <w:rsid w:val="001431E4"/>
    <w:rsid w:val="001431F9"/>
    <w:rsid w:val="00143308"/>
    <w:rsid w:val="001434A1"/>
    <w:rsid w:val="00143804"/>
    <w:rsid w:val="0014396F"/>
    <w:rsid w:val="00143AB2"/>
    <w:rsid w:val="00143B41"/>
    <w:rsid w:val="00143CE5"/>
    <w:rsid w:val="00143D26"/>
    <w:rsid w:val="00143F0C"/>
    <w:rsid w:val="00143F70"/>
    <w:rsid w:val="00143FD0"/>
    <w:rsid w:val="00144444"/>
    <w:rsid w:val="0014445F"/>
    <w:rsid w:val="00144469"/>
    <w:rsid w:val="001444ED"/>
    <w:rsid w:val="001448FA"/>
    <w:rsid w:val="0014508F"/>
    <w:rsid w:val="001450FD"/>
    <w:rsid w:val="001453D2"/>
    <w:rsid w:val="00145591"/>
    <w:rsid w:val="001458D1"/>
    <w:rsid w:val="00145975"/>
    <w:rsid w:val="001459BB"/>
    <w:rsid w:val="00146110"/>
    <w:rsid w:val="00146422"/>
    <w:rsid w:val="001464BA"/>
    <w:rsid w:val="00146517"/>
    <w:rsid w:val="001466BA"/>
    <w:rsid w:val="0014687C"/>
    <w:rsid w:val="00146903"/>
    <w:rsid w:val="00146AC6"/>
    <w:rsid w:val="00146B83"/>
    <w:rsid w:val="00146C57"/>
    <w:rsid w:val="00146D99"/>
    <w:rsid w:val="00146EE9"/>
    <w:rsid w:val="00146F3F"/>
    <w:rsid w:val="00146F9D"/>
    <w:rsid w:val="00147074"/>
    <w:rsid w:val="001472BB"/>
    <w:rsid w:val="0014741B"/>
    <w:rsid w:val="00147428"/>
    <w:rsid w:val="001474D7"/>
    <w:rsid w:val="00147649"/>
    <w:rsid w:val="00147868"/>
    <w:rsid w:val="00147A66"/>
    <w:rsid w:val="00147B39"/>
    <w:rsid w:val="00147C75"/>
    <w:rsid w:val="00147EDC"/>
    <w:rsid w:val="0015000E"/>
    <w:rsid w:val="0015047C"/>
    <w:rsid w:val="00150516"/>
    <w:rsid w:val="00150564"/>
    <w:rsid w:val="001505E5"/>
    <w:rsid w:val="00150627"/>
    <w:rsid w:val="001507F0"/>
    <w:rsid w:val="00150EAB"/>
    <w:rsid w:val="00150FCF"/>
    <w:rsid w:val="00151451"/>
    <w:rsid w:val="00151471"/>
    <w:rsid w:val="0015184B"/>
    <w:rsid w:val="0015195B"/>
    <w:rsid w:val="00151B45"/>
    <w:rsid w:val="00151D51"/>
    <w:rsid w:val="00151E6E"/>
    <w:rsid w:val="00151EEC"/>
    <w:rsid w:val="00151FC4"/>
    <w:rsid w:val="001520DF"/>
    <w:rsid w:val="00152230"/>
    <w:rsid w:val="001522E0"/>
    <w:rsid w:val="00152354"/>
    <w:rsid w:val="0015248E"/>
    <w:rsid w:val="00152776"/>
    <w:rsid w:val="0015278E"/>
    <w:rsid w:val="00152B5F"/>
    <w:rsid w:val="00152C7B"/>
    <w:rsid w:val="00152DBE"/>
    <w:rsid w:val="00152EC4"/>
    <w:rsid w:val="00152F3D"/>
    <w:rsid w:val="00153440"/>
    <w:rsid w:val="00153443"/>
    <w:rsid w:val="00153452"/>
    <w:rsid w:val="001536E1"/>
    <w:rsid w:val="001538D1"/>
    <w:rsid w:val="001539F1"/>
    <w:rsid w:val="00153AE3"/>
    <w:rsid w:val="00153B53"/>
    <w:rsid w:val="00153D6F"/>
    <w:rsid w:val="00153DB5"/>
    <w:rsid w:val="00153FB7"/>
    <w:rsid w:val="00154075"/>
    <w:rsid w:val="001540E3"/>
    <w:rsid w:val="0015434A"/>
    <w:rsid w:val="0015469F"/>
    <w:rsid w:val="001546EF"/>
    <w:rsid w:val="001546F7"/>
    <w:rsid w:val="001548A0"/>
    <w:rsid w:val="0015498C"/>
    <w:rsid w:val="00154C65"/>
    <w:rsid w:val="00154E1E"/>
    <w:rsid w:val="001551B2"/>
    <w:rsid w:val="001551CA"/>
    <w:rsid w:val="0015579F"/>
    <w:rsid w:val="0015582A"/>
    <w:rsid w:val="0015595E"/>
    <w:rsid w:val="00155B9E"/>
    <w:rsid w:val="00155F03"/>
    <w:rsid w:val="0015609D"/>
    <w:rsid w:val="0015620F"/>
    <w:rsid w:val="00156542"/>
    <w:rsid w:val="00156778"/>
    <w:rsid w:val="0015690C"/>
    <w:rsid w:val="00156A09"/>
    <w:rsid w:val="00156BD2"/>
    <w:rsid w:val="00156EE2"/>
    <w:rsid w:val="001571C4"/>
    <w:rsid w:val="00157563"/>
    <w:rsid w:val="001579C7"/>
    <w:rsid w:val="00157A84"/>
    <w:rsid w:val="00157D2A"/>
    <w:rsid w:val="00157E6F"/>
    <w:rsid w:val="00157EC5"/>
    <w:rsid w:val="0016034B"/>
    <w:rsid w:val="00160495"/>
    <w:rsid w:val="0016051E"/>
    <w:rsid w:val="001606F8"/>
    <w:rsid w:val="001607B8"/>
    <w:rsid w:val="001608D2"/>
    <w:rsid w:val="00160960"/>
    <w:rsid w:val="001609B0"/>
    <w:rsid w:val="00160A27"/>
    <w:rsid w:val="00160B22"/>
    <w:rsid w:val="00160F07"/>
    <w:rsid w:val="00160F6D"/>
    <w:rsid w:val="001612DF"/>
    <w:rsid w:val="00161627"/>
    <w:rsid w:val="0016181B"/>
    <w:rsid w:val="00161856"/>
    <w:rsid w:val="001618CA"/>
    <w:rsid w:val="0016190E"/>
    <w:rsid w:val="00161917"/>
    <w:rsid w:val="001619A8"/>
    <w:rsid w:val="00162038"/>
    <w:rsid w:val="001620DB"/>
    <w:rsid w:val="001622ED"/>
    <w:rsid w:val="0016240A"/>
    <w:rsid w:val="00162527"/>
    <w:rsid w:val="0016270F"/>
    <w:rsid w:val="001627C9"/>
    <w:rsid w:val="0016280A"/>
    <w:rsid w:val="0016298B"/>
    <w:rsid w:val="00162EF7"/>
    <w:rsid w:val="001632C1"/>
    <w:rsid w:val="00163414"/>
    <w:rsid w:val="0016341A"/>
    <w:rsid w:val="001634D8"/>
    <w:rsid w:val="00163579"/>
    <w:rsid w:val="001635CF"/>
    <w:rsid w:val="001636D8"/>
    <w:rsid w:val="0016380F"/>
    <w:rsid w:val="00163BFE"/>
    <w:rsid w:val="00163FBF"/>
    <w:rsid w:val="00164076"/>
    <w:rsid w:val="001641A8"/>
    <w:rsid w:val="00164255"/>
    <w:rsid w:val="001642F0"/>
    <w:rsid w:val="001643E5"/>
    <w:rsid w:val="001644C7"/>
    <w:rsid w:val="0016461D"/>
    <w:rsid w:val="001647A2"/>
    <w:rsid w:val="001647C7"/>
    <w:rsid w:val="0016490C"/>
    <w:rsid w:val="00164968"/>
    <w:rsid w:val="001649FC"/>
    <w:rsid w:val="00165268"/>
    <w:rsid w:val="001653E3"/>
    <w:rsid w:val="001655F4"/>
    <w:rsid w:val="00165751"/>
    <w:rsid w:val="0016580E"/>
    <w:rsid w:val="00165B5A"/>
    <w:rsid w:val="00165BAA"/>
    <w:rsid w:val="00165BC9"/>
    <w:rsid w:val="00165D14"/>
    <w:rsid w:val="00165EEB"/>
    <w:rsid w:val="001666EA"/>
    <w:rsid w:val="00166793"/>
    <w:rsid w:val="0016684D"/>
    <w:rsid w:val="00166A2C"/>
    <w:rsid w:val="00166B04"/>
    <w:rsid w:val="00166CAD"/>
    <w:rsid w:val="00167652"/>
    <w:rsid w:val="001677A5"/>
    <w:rsid w:val="001677B4"/>
    <w:rsid w:val="0016780A"/>
    <w:rsid w:val="0016795A"/>
    <w:rsid w:val="00167CAA"/>
    <w:rsid w:val="00167EB3"/>
    <w:rsid w:val="00170211"/>
    <w:rsid w:val="00170232"/>
    <w:rsid w:val="001703DE"/>
    <w:rsid w:val="00170490"/>
    <w:rsid w:val="00170496"/>
    <w:rsid w:val="00170565"/>
    <w:rsid w:val="001706F1"/>
    <w:rsid w:val="00170724"/>
    <w:rsid w:val="00170A11"/>
    <w:rsid w:val="00170CC1"/>
    <w:rsid w:val="00170D31"/>
    <w:rsid w:val="00170D4D"/>
    <w:rsid w:val="00170D7B"/>
    <w:rsid w:val="00170FFA"/>
    <w:rsid w:val="001711C5"/>
    <w:rsid w:val="001711E3"/>
    <w:rsid w:val="00171367"/>
    <w:rsid w:val="001713FC"/>
    <w:rsid w:val="0017141E"/>
    <w:rsid w:val="00171519"/>
    <w:rsid w:val="001715B8"/>
    <w:rsid w:val="00171ACB"/>
    <w:rsid w:val="00171B19"/>
    <w:rsid w:val="00171DB7"/>
    <w:rsid w:val="00172045"/>
    <w:rsid w:val="00172178"/>
    <w:rsid w:val="00172203"/>
    <w:rsid w:val="001725C9"/>
    <w:rsid w:val="00172689"/>
    <w:rsid w:val="00172695"/>
    <w:rsid w:val="001726F2"/>
    <w:rsid w:val="00172790"/>
    <w:rsid w:val="001727B4"/>
    <w:rsid w:val="001727D3"/>
    <w:rsid w:val="00172A2B"/>
    <w:rsid w:val="00172A60"/>
    <w:rsid w:val="00172A6B"/>
    <w:rsid w:val="00172B20"/>
    <w:rsid w:val="00172F77"/>
    <w:rsid w:val="001734D8"/>
    <w:rsid w:val="00173568"/>
    <w:rsid w:val="001736A9"/>
    <w:rsid w:val="001737CD"/>
    <w:rsid w:val="00173B5A"/>
    <w:rsid w:val="00173D5D"/>
    <w:rsid w:val="00173DDE"/>
    <w:rsid w:val="001740A8"/>
    <w:rsid w:val="00174149"/>
    <w:rsid w:val="00174367"/>
    <w:rsid w:val="001743E6"/>
    <w:rsid w:val="001744B2"/>
    <w:rsid w:val="00174A03"/>
    <w:rsid w:val="00174D85"/>
    <w:rsid w:val="00175193"/>
    <w:rsid w:val="0017523F"/>
    <w:rsid w:val="00175326"/>
    <w:rsid w:val="001755FC"/>
    <w:rsid w:val="00175FE0"/>
    <w:rsid w:val="00176029"/>
    <w:rsid w:val="0017618E"/>
    <w:rsid w:val="001763B9"/>
    <w:rsid w:val="00176696"/>
    <w:rsid w:val="001767C7"/>
    <w:rsid w:val="001769DC"/>
    <w:rsid w:val="00176A71"/>
    <w:rsid w:val="00176B46"/>
    <w:rsid w:val="00176BBB"/>
    <w:rsid w:val="00176BF7"/>
    <w:rsid w:val="00176D49"/>
    <w:rsid w:val="00176E97"/>
    <w:rsid w:val="00176FED"/>
    <w:rsid w:val="0017722C"/>
    <w:rsid w:val="001772EC"/>
    <w:rsid w:val="0017734B"/>
    <w:rsid w:val="001773A5"/>
    <w:rsid w:val="00177643"/>
    <w:rsid w:val="00177661"/>
    <w:rsid w:val="0017772E"/>
    <w:rsid w:val="00177850"/>
    <w:rsid w:val="0017787D"/>
    <w:rsid w:val="001778B5"/>
    <w:rsid w:val="001778FE"/>
    <w:rsid w:val="00177EE8"/>
    <w:rsid w:val="00177F68"/>
    <w:rsid w:val="00177F85"/>
    <w:rsid w:val="00180104"/>
    <w:rsid w:val="0018021E"/>
    <w:rsid w:val="001802B4"/>
    <w:rsid w:val="00180319"/>
    <w:rsid w:val="0018038F"/>
    <w:rsid w:val="001804B0"/>
    <w:rsid w:val="00180941"/>
    <w:rsid w:val="00180996"/>
    <w:rsid w:val="00180AF0"/>
    <w:rsid w:val="00180C7D"/>
    <w:rsid w:val="0018101C"/>
    <w:rsid w:val="00181086"/>
    <w:rsid w:val="00181168"/>
    <w:rsid w:val="001811C1"/>
    <w:rsid w:val="00181233"/>
    <w:rsid w:val="0018138D"/>
    <w:rsid w:val="00181688"/>
    <w:rsid w:val="001816C5"/>
    <w:rsid w:val="001817B4"/>
    <w:rsid w:val="00181968"/>
    <w:rsid w:val="00181A75"/>
    <w:rsid w:val="00181AC0"/>
    <w:rsid w:val="00181E35"/>
    <w:rsid w:val="00182234"/>
    <w:rsid w:val="00182315"/>
    <w:rsid w:val="0018251C"/>
    <w:rsid w:val="00182532"/>
    <w:rsid w:val="0018268D"/>
    <w:rsid w:val="00182790"/>
    <w:rsid w:val="00182C21"/>
    <w:rsid w:val="00182F44"/>
    <w:rsid w:val="00182F75"/>
    <w:rsid w:val="00183076"/>
    <w:rsid w:val="0018349B"/>
    <w:rsid w:val="00183867"/>
    <w:rsid w:val="00183C74"/>
    <w:rsid w:val="00183E94"/>
    <w:rsid w:val="0018405C"/>
    <w:rsid w:val="0018454D"/>
    <w:rsid w:val="00184791"/>
    <w:rsid w:val="0018499D"/>
    <w:rsid w:val="001849A4"/>
    <w:rsid w:val="00184DE0"/>
    <w:rsid w:val="00184F85"/>
    <w:rsid w:val="001851D9"/>
    <w:rsid w:val="001855AC"/>
    <w:rsid w:val="00185753"/>
    <w:rsid w:val="00185B0D"/>
    <w:rsid w:val="00185B2B"/>
    <w:rsid w:val="00185DE6"/>
    <w:rsid w:val="00185FA4"/>
    <w:rsid w:val="00185FAC"/>
    <w:rsid w:val="00186181"/>
    <w:rsid w:val="001861BC"/>
    <w:rsid w:val="0018678C"/>
    <w:rsid w:val="00186A55"/>
    <w:rsid w:val="00186AF6"/>
    <w:rsid w:val="00186B24"/>
    <w:rsid w:val="00186E6C"/>
    <w:rsid w:val="00186E93"/>
    <w:rsid w:val="00187161"/>
    <w:rsid w:val="00190053"/>
    <w:rsid w:val="00190784"/>
    <w:rsid w:val="0019082C"/>
    <w:rsid w:val="00190A64"/>
    <w:rsid w:val="00190BCB"/>
    <w:rsid w:val="00190DA0"/>
    <w:rsid w:val="00191065"/>
    <w:rsid w:val="001911A2"/>
    <w:rsid w:val="00191263"/>
    <w:rsid w:val="0019131B"/>
    <w:rsid w:val="00191341"/>
    <w:rsid w:val="0019186A"/>
    <w:rsid w:val="00191A31"/>
    <w:rsid w:val="00191A7E"/>
    <w:rsid w:val="00191F14"/>
    <w:rsid w:val="001920C0"/>
    <w:rsid w:val="0019222B"/>
    <w:rsid w:val="00192552"/>
    <w:rsid w:val="00192562"/>
    <w:rsid w:val="001926FE"/>
    <w:rsid w:val="00192876"/>
    <w:rsid w:val="00192DAB"/>
    <w:rsid w:val="0019331D"/>
    <w:rsid w:val="0019345C"/>
    <w:rsid w:val="0019349F"/>
    <w:rsid w:val="001936A2"/>
    <w:rsid w:val="001939B6"/>
    <w:rsid w:val="00193FFF"/>
    <w:rsid w:val="0019411D"/>
    <w:rsid w:val="001945B3"/>
    <w:rsid w:val="001945D6"/>
    <w:rsid w:val="001948E9"/>
    <w:rsid w:val="00194C71"/>
    <w:rsid w:val="001951D6"/>
    <w:rsid w:val="0019522A"/>
    <w:rsid w:val="00195DAB"/>
    <w:rsid w:val="00195DDE"/>
    <w:rsid w:val="00196154"/>
    <w:rsid w:val="001963C7"/>
    <w:rsid w:val="00196893"/>
    <w:rsid w:val="001968F6"/>
    <w:rsid w:val="00196956"/>
    <w:rsid w:val="00196D38"/>
    <w:rsid w:val="00196E3D"/>
    <w:rsid w:val="00196EAB"/>
    <w:rsid w:val="00196F15"/>
    <w:rsid w:val="0019711F"/>
    <w:rsid w:val="00197240"/>
    <w:rsid w:val="0019729B"/>
    <w:rsid w:val="001973B7"/>
    <w:rsid w:val="001973BF"/>
    <w:rsid w:val="0019763D"/>
    <w:rsid w:val="00197786"/>
    <w:rsid w:val="00197E74"/>
    <w:rsid w:val="00197EDB"/>
    <w:rsid w:val="00197F45"/>
    <w:rsid w:val="00197F47"/>
    <w:rsid w:val="00197FA1"/>
    <w:rsid w:val="001A01E4"/>
    <w:rsid w:val="001A030B"/>
    <w:rsid w:val="001A0830"/>
    <w:rsid w:val="001A0864"/>
    <w:rsid w:val="001A08D5"/>
    <w:rsid w:val="001A0911"/>
    <w:rsid w:val="001A0A33"/>
    <w:rsid w:val="001A0C52"/>
    <w:rsid w:val="001A0EC8"/>
    <w:rsid w:val="001A0EF3"/>
    <w:rsid w:val="001A0F10"/>
    <w:rsid w:val="001A1056"/>
    <w:rsid w:val="001A1175"/>
    <w:rsid w:val="001A11B4"/>
    <w:rsid w:val="001A1448"/>
    <w:rsid w:val="001A15ED"/>
    <w:rsid w:val="001A1784"/>
    <w:rsid w:val="001A17E5"/>
    <w:rsid w:val="001A1986"/>
    <w:rsid w:val="001A1B3E"/>
    <w:rsid w:val="001A1FDE"/>
    <w:rsid w:val="001A20F1"/>
    <w:rsid w:val="001A244D"/>
    <w:rsid w:val="001A2477"/>
    <w:rsid w:val="001A2556"/>
    <w:rsid w:val="001A29D9"/>
    <w:rsid w:val="001A2D28"/>
    <w:rsid w:val="001A2EDD"/>
    <w:rsid w:val="001A2F58"/>
    <w:rsid w:val="001A2FC2"/>
    <w:rsid w:val="001A3191"/>
    <w:rsid w:val="001A34EE"/>
    <w:rsid w:val="001A3995"/>
    <w:rsid w:val="001A43A1"/>
    <w:rsid w:val="001A4573"/>
    <w:rsid w:val="001A4710"/>
    <w:rsid w:val="001A4811"/>
    <w:rsid w:val="001A49C0"/>
    <w:rsid w:val="001A4B62"/>
    <w:rsid w:val="001A5273"/>
    <w:rsid w:val="001A533A"/>
    <w:rsid w:val="001A5492"/>
    <w:rsid w:val="001A576B"/>
    <w:rsid w:val="001A5B17"/>
    <w:rsid w:val="001A5BC4"/>
    <w:rsid w:val="001A5C8E"/>
    <w:rsid w:val="001A604C"/>
    <w:rsid w:val="001A60FD"/>
    <w:rsid w:val="001A6172"/>
    <w:rsid w:val="001A6247"/>
    <w:rsid w:val="001A6349"/>
    <w:rsid w:val="001A6593"/>
    <w:rsid w:val="001A65DD"/>
    <w:rsid w:val="001A6683"/>
    <w:rsid w:val="001A67A4"/>
    <w:rsid w:val="001A689B"/>
    <w:rsid w:val="001A6A3D"/>
    <w:rsid w:val="001A6CBB"/>
    <w:rsid w:val="001A6CC7"/>
    <w:rsid w:val="001A6D30"/>
    <w:rsid w:val="001A6EDD"/>
    <w:rsid w:val="001A7039"/>
    <w:rsid w:val="001A70F6"/>
    <w:rsid w:val="001A7532"/>
    <w:rsid w:val="001A767F"/>
    <w:rsid w:val="001A76E1"/>
    <w:rsid w:val="001A770A"/>
    <w:rsid w:val="001A77A5"/>
    <w:rsid w:val="001A7903"/>
    <w:rsid w:val="001A791B"/>
    <w:rsid w:val="001A7992"/>
    <w:rsid w:val="001A7EBB"/>
    <w:rsid w:val="001A7F21"/>
    <w:rsid w:val="001A7F48"/>
    <w:rsid w:val="001A7FD0"/>
    <w:rsid w:val="001B0334"/>
    <w:rsid w:val="001B03BC"/>
    <w:rsid w:val="001B10D2"/>
    <w:rsid w:val="001B1143"/>
    <w:rsid w:val="001B11C7"/>
    <w:rsid w:val="001B12FB"/>
    <w:rsid w:val="001B16A9"/>
    <w:rsid w:val="001B1945"/>
    <w:rsid w:val="001B1981"/>
    <w:rsid w:val="001B19CC"/>
    <w:rsid w:val="001B2207"/>
    <w:rsid w:val="001B22BF"/>
    <w:rsid w:val="001B2452"/>
    <w:rsid w:val="001B2552"/>
    <w:rsid w:val="001B2685"/>
    <w:rsid w:val="001B2799"/>
    <w:rsid w:val="001B27AA"/>
    <w:rsid w:val="001B27C2"/>
    <w:rsid w:val="001B2817"/>
    <w:rsid w:val="001B2A23"/>
    <w:rsid w:val="001B2A60"/>
    <w:rsid w:val="001B2AB6"/>
    <w:rsid w:val="001B2C52"/>
    <w:rsid w:val="001B2C96"/>
    <w:rsid w:val="001B2DF0"/>
    <w:rsid w:val="001B329A"/>
    <w:rsid w:val="001B32B3"/>
    <w:rsid w:val="001B349F"/>
    <w:rsid w:val="001B369A"/>
    <w:rsid w:val="001B3AAF"/>
    <w:rsid w:val="001B3B22"/>
    <w:rsid w:val="001B42AF"/>
    <w:rsid w:val="001B4321"/>
    <w:rsid w:val="001B4513"/>
    <w:rsid w:val="001B4530"/>
    <w:rsid w:val="001B45E5"/>
    <w:rsid w:val="001B4A08"/>
    <w:rsid w:val="001B4C31"/>
    <w:rsid w:val="001B4C99"/>
    <w:rsid w:val="001B4D64"/>
    <w:rsid w:val="001B5060"/>
    <w:rsid w:val="001B5159"/>
    <w:rsid w:val="001B52D0"/>
    <w:rsid w:val="001B5640"/>
    <w:rsid w:val="001B56FE"/>
    <w:rsid w:val="001B5B84"/>
    <w:rsid w:val="001B5C23"/>
    <w:rsid w:val="001B5F8A"/>
    <w:rsid w:val="001B6030"/>
    <w:rsid w:val="001B624C"/>
    <w:rsid w:val="001B6660"/>
    <w:rsid w:val="001B6667"/>
    <w:rsid w:val="001B6710"/>
    <w:rsid w:val="001B6825"/>
    <w:rsid w:val="001B691A"/>
    <w:rsid w:val="001B69B4"/>
    <w:rsid w:val="001B6BC0"/>
    <w:rsid w:val="001B6BF1"/>
    <w:rsid w:val="001B6C74"/>
    <w:rsid w:val="001B6E75"/>
    <w:rsid w:val="001B6FAF"/>
    <w:rsid w:val="001B75C3"/>
    <w:rsid w:val="001B769F"/>
    <w:rsid w:val="001B7700"/>
    <w:rsid w:val="001B7751"/>
    <w:rsid w:val="001B79AD"/>
    <w:rsid w:val="001B7E0D"/>
    <w:rsid w:val="001B7E41"/>
    <w:rsid w:val="001B7E93"/>
    <w:rsid w:val="001B7EAF"/>
    <w:rsid w:val="001B7FE1"/>
    <w:rsid w:val="001C0201"/>
    <w:rsid w:val="001C0251"/>
    <w:rsid w:val="001C05F3"/>
    <w:rsid w:val="001C06AF"/>
    <w:rsid w:val="001C079D"/>
    <w:rsid w:val="001C08AB"/>
    <w:rsid w:val="001C08ED"/>
    <w:rsid w:val="001C0928"/>
    <w:rsid w:val="001C09EA"/>
    <w:rsid w:val="001C0E55"/>
    <w:rsid w:val="001C1300"/>
    <w:rsid w:val="001C15E3"/>
    <w:rsid w:val="001C1663"/>
    <w:rsid w:val="001C1680"/>
    <w:rsid w:val="001C1B80"/>
    <w:rsid w:val="001C1CBB"/>
    <w:rsid w:val="001C1D16"/>
    <w:rsid w:val="001C1D64"/>
    <w:rsid w:val="001C231A"/>
    <w:rsid w:val="001C238C"/>
    <w:rsid w:val="001C2546"/>
    <w:rsid w:val="001C2727"/>
    <w:rsid w:val="001C2AEA"/>
    <w:rsid w:val="001C2B12"/>
    <w:rsid w:val="001C2CDB"/>
    <w:rsid w:val="001C2DE3"/>
    <w:rsid w:val="001C2EC3"/>
    <w:rsid w:val="001C2F39"/>
    <w:rsid w:val="001C3440"/>
    <w:rsid w:val="001C3500"/>
    <w:rsid w:val="001C3614"/>
    <w:rsid w:val="001C36C1"/>
    <w:rsid w:val="001C36DC"/>
    <w:rsid w:val="001C3767"/>
    <w:rsid w:val="001C3969"/>
    <w:rsid w:val="001C3A73"/>
    <w:rsid w:val="001C3EED"/>
    <w:rsid w:val="001C3F75"/>
    <w:rsid w:val="001C4066"/>
    <w:rsid w:val="001C40BB"/>
    <w:rsid w:val="001C4118"/>
    <w:rsid w:val="001C426B"/>
    <w:rsid w:val="001C45C2"/>
    <w:rsid w:val="001C4655"/>
    <w:rsid w:val="001C47FB"/>
    <w:rsid w:val="001C481D"/>
    <w:rsid w:val="001C4B5E"/>
    <w:rsid w:val="001C4BA9"/>
    <w:rsid w:val="001C4C4B"/>
    <w:rsid w:val="001C4D8A"/>
    <w:rsid w:val="001C4E43"/>
    <w:rsid w:val="001C4E74"/>
    <w:rsid w:val="001C510A"/>
    <w:rsid w:val="001C5142"/>
    <w:rsid w:val="001C51A9"/>
    <w:rsid w:val="001C51C7"/>
    <w:rsid w:val="001C5439"/>
    <w:rsid w:val="001C546F"/>
    <w:rsid w:val="001C55D4"/>
    <w:rsid w:val="001C57CD"/>
    <w:rsid w:val="001C5933"/>
    <w:rsid w:val="001C5D6A"/>
    <w:rsid w:val="001C5F0D"/>
    <w:rsid w:val="001C6220"/>
    <w:rsid w:val="001C6297"/>
    <w:rsid w:val="001C6488"/>
    <w:rsid w:val="001C6498"/>
    <w:rsid w:val="001C64A7"/>
    <w:rsid w:val="001C6558"/>
    <w:rsid w:val="001C66FA"/>
    <w:rsid w:val="001C6D45"/>
    <w:rsid w:val="001C6D70"/>
    <w:rsid w:val="001C6EBD"/>
    <w:rsid w:val="001C6FF7"/>
    <w:rsid w:val="001C7025"/>
    <w:rsid w:val="001C704A"/>
    <w:rsid w:val="001C7270"/>
    <w:rsid w:val="001C73F1"/>
    <w:rsid w:val="001C741A"/>
    <w:rsid w:val="001C76E5"/>
    <w:rsid w:val="001C7741"/>
    <w:rsid w:val="001C776B"/>
    <w:rsid w:val="001C77AD"/>
    <w:rsid w:val="001C7AF9"/>
    <w:rsid w:val="001C7D56"/>
    <w:rsid w:val="001C7E23"/>
    <w:rsid w:val="001C7E89"/>
    <w:rsid w:val="001C7EAA"/>
    <w:rsid w:val="001D008E"/>
    <w:rsid w:val="001D0A12"/>
    <w:rsid w:val="001D0C34"/>
    <w:rsid w:val="001D0D76"/>
    <w:rsid w:val="001D0E5A"/>
    <w:rsid w:val="001D0EEE"/>
    <w:rsid w:val="001D0F53"/>
    <w:rsid w:val="001D10F8"/>
    <w:rsid w:val="001D1313"/>
    <w:rsid w:val="001D1401"/>
    <w:rsid w:val="001D14C5"/>
    <w:rsid w:val="001D152A"/>
    <w:rsid w:val="001D155C"/>
    <w:rsid w:val="001D16FB"/>
    <w:rsid w:val="001D1721"/>
    <w:rsid w:val="001D1B1E"/>
    <w:rsid w:val="001D1E34"/>
    <w:rsid w:val="001D1EC9"/>
    <w:rsid w:val="001D1F04"/>
    <w:rsid w:val="001D1F70"/>
    <w:rsid w:val="001D209C"/>
    <w:rsid w:val="001D219A"/>
    <w:rsid w:val="001D2335"/>
    <w:rsid w:val="001D2360"/>
    <w:rsid w:val="001D25E4"/>
    <w:rsid w:val="001D2C94"/>
    <w:rsid w:val="001D2DC9"/>
    <w:rsid w:val="001D2F3D"/>
    <w:rsid w:val="001D2FEA"/>
    <w:rsid w:val="001D3312"/>
    <w:rsid w:val="001D341B"/>
    <w:rsid w:val="001D343D"/>
    <w:rsid w:val="001D3517"/>
    <w:rsid w:val="001D3580"/>
    <w:rsid w:val="001D36BF"/>
    <w:rsid w:val="001D3AB4"/>
    <w:rsid w:val="001D3C98"/>
    <w:rsid w:val="001D3D1C"/>
    <w:rsid w:val="001D3E26"/>
    <w:rsid w:val="001D3FD2"/>
    <w:rsid w:val="001D428D"/>
    <w:rsid w:val="001D42FE"/>
    <w:rsid w:val="001D4342"/>
    <w:rsid w:val="001D4469"/>
    <w:rsid w:val="001D4507"/>
    <w:rsid w:val="001D4853"/>
    <w:rsid w:val="001D48FE"/>
    <w:rsid w:val="001D4925"/>
    <w:rsid w:val="001D499D"/>
    <w:rsid w:val="001D4C99"/>
    <w:rsid w:val="001D4CAC"/>
    <w:rsid w:val="001D4FFA"/>
    <w:rsid w:val="001D5105"/>
    <w:rsid w:val="001D54BE"/>
    <w:rsid w:val="001D5700"/>
    <w:rsid w:val="001D57CF"/>
    <w:rsid w:val="001D5846"/>
    <w:rsid w:val="001D58A0"/>
    <w:rsid w:val="001D5B35"/>
    <w:rsid w:val="001D5D22"/>
    <w:rsid w:val="001D5ECA"/>
    <w:rsid w:val="001D5F6E"/>
    <w:rsid w:val="001D5FCC"/>
    <w:rsid w:val="001D61E9"/>
    <w:rsid w:val="001D6228"/>
    <w:rsid w:val="001D632C"/>
    <w:rsid w:val="001D661D"/>
    <w:rsid w:val="001D6A22"/>
    <w:rsid w:val="001D6A4B"/>
    <w:rsid w:val="001D6C54"/>
    <w:rsid w:val="001D6D24"/>
    <w:rsid w:val="001D6E28"/>
    <w:rsid w:val="001D6F1F"/>
    <w:rsid w:val="001D6F50"/>
    <w:rsid w:val="001D7146"/>
    <w:rsid w:val="001D71B2"/>
    <w:rsid w:val="001D7455"/>
    <w:rsid w:val="001D7590"/>
    <w:rsid w:val="001D7674"/>
    <w:rsid w:val="001D78DA"/>
    <w:rsid w:val="001D78FC"/>
    <w:rsid w:val="001D79B5"/>
    <w:rsid w:val="001D7A95"/>
    <w:rsid w:val="001D7B21"/>
    <w:rsid w:val="001E0477"/>
    <w:rsid w:val="001E04AA"/>
    <w:rsid w:val="001E0518"/>
    <w:rsid w:val="001E076D"/>
    <w:rsid w:val="001E07A4"/>
    <w:rsid w:val="001E0F26"/>
    <w:rsid w:val="001E0F75"/>
    <w:rsid w:val="001E0F87"/>
    <w:rsid w:val="001E1042"/>
    <w:rsid w:val="001E10B0"/>
    <w:rsid w:val="001E10F7"/>
    <w:rsid w:val="001E1266"/>
    <w:rsid w:val="001E170F"/>
    <w:rsid w:val="001E184B"/>
    <w:rsid w:val="001E1BD6"/>
    <w:rsid w:val="001E1C67"/>
    <w:rsid w:val="001E1CD7"/>
    <w:rsid w:val="001E1D9E"/>
    <w:rsid w:val="001E1E59"/>
    <w:rsid w:val="001E1F50"/>
    <w:rsid w:val="001E212D"/>
    <w:rsid w:val="001E217C"/>
    <w:rsid w:val="001E21D6"/>
    <w:rsid w:val="001E23C7"/>
    <w:rsid w:val="001E23F5"/>
    <w:rsid w:val="001E24F8"/>
    <w:rsid w:val="001E2627"/>
    <w:rsid w:val="001E29E0"/>
    <w:rsid w:val="001E2AB1"/>
    <w:rsid w:val="001E2CB9"/>
    <w:rsid w:val="001E2D0D"/>
    <w:rsid w:val="001E2E2E"/>
    <w:rsid w:val="001E2E5D"/>
    <w:rsid w:val="001E31F5"/>
    <w:rsid w:val="001E32A5"/>
    <w:rsid w:val="001E33A0"/>
    <w:rsid w:val="001E3466"/>
    <w:rsid w:val="001E35BF"/>
    <w:rsid w:val="001E369E"/>
    <w:rsid w:val="001E39AE"/>
    <w:rsid w:val="001E3EDD"/>
    <w:rsid w:val="001E3EF0"/>
    <w:rsid w:val="001E3F70"/>
    <w:rsid w:val="001E4092"/>
    <w:rsid w:val="001E40BE"/>
    <w:rsid w:val="001E4468"/>
    <w:rsid w:val="001E446F"/>
    <w:rsid w:val="001E47EE"/>
    <w:rsid w:val="001E494B"/>
    <w:rsid w:val="001E4AAC"/>
    <w:rsid w:val="001E4CFD"/>
    <w:rsid w:val="001E4E45"/>
    <w:rsid w:val="001E4EF8"/>
    <w:rsid w:val="001E503A"/>
    <w:rsid w:val="001E50C6"/>
    <w:rsid w:val="001E54AD"/>
    <w:rsid w:val="001E5529"/>
    <w:rsid w:val="001E5635"/>
    <w:rsid w:val="001E5883"/>
    <w:rsid w:val="001E5B04"/>
    <w:rsid w:val="001E5D4F"/>
    <w:rsid w:val="001E5E10"/>
    <w:rsid w:val="001E5FC5"/>
    <w:rsid w:val="001E6079"/>
    <w:rsid w:val="001E6151"/>
    <w:rsid w:val="001E622F"/>
    <w:rsid w:val="001E64F7"/>
    <w:rsid w:val="001E67F2"/>
    <w:rsid w:val="001E67F9"/>
    <w:rsid w:val="001E6835"/>
    <w:rsid w:val="001E68DC"/>
    <w:rsid w:val="001E68FB"/>
    <w:rsid w:val="001E69EC"/>
    <w:rsid w:val="001E6B73"/>
    <w:rsid w:val="001E6FB3"/>
    <w:rsid w:val="001E726B"/>
    <w:rsid w:val="001E726E"/>
    <w:rsid w:val="001E7290"/>
    <w:rsid w:val="001E73D4"/>
    <w:rsid w:val="001E73DA"/>
    <w:rsid w:val="001E742C"/>
    <w:rsid w:val="001E790E"/>
    <w:rsid w:val="001E79A3"/>
    <w:rsid w:val="001E7A75"/>
    <w:rsid w:val="001E7E1C"/>
    <w:rsid w:val="001F02BD"/>
    <w:rsid w:val="001F03B0"/>
    <w:rsid w:val="001F0410"/>
    <w:rsid w:val="001F06FB"/>
    <w:rsid w:val="001F0788"/>
    <w:rsid w:val="001F07A8"/>
    <w:rsid w:val="001F0D91"/>
    <w:rsid w:val="001F0EE2"/>
    <w:rsid w:val="001F11AB"/>
    <w:rsid w:val="001F1264"/>
    <w:rsid w:val="001F1436"/>
    <w:rsid w:val="001F14D5"/>
    <w:rsid w:val="001F18BD"/>
    <w:rsid w:val="001F19D3"/>
    <w:rsid w:val="001F19EF"/>
    <w:rsid w:val="001F1B3E"/>
    <w:rsid w:val="001F1C2A"/>
    <w:rsid w:val="001F1C76"/>
    <w:rsid w:val="001F1F4F"/>
    <w:rsid w:val="001F21F6"/>
    <w:rsid w:val="001F2558"/>
    <w:rsid w:val="001F2663"/>
    <w:rsid w:val="001F26FE"/>
    <w:rsid w:val="001F2885"/>
    <w:rsid w:val="001F28F9"/>
    <w:rsid w:val="001F2911"/>
    <w:rsid w:val="001F2997"/>
    <w:rsid w:val="001F2BAC"/>
    <w:rsid w:val="001F2CF8"/>
    <w:rsid w:val="001F2E31"/>
    <w:rsid w:val="001F2E4C"/>
    <w:rsid w:val="001F2E5D"/>
    <w:rsid w:val="001F2EAA"/>
    <w:rsid w:val="001F3243"/>
    <w:rsid w:val="001F32FF"/>
    <w:rsid w:val="001F3332"/>
    <w:rsid w:val="001F33E0"/>
    <w:rsid w:val="001F3624"/>
    <w:rsid w:val="001F386D"/>
    <w:rsid w:val="001F3B03"/>
    <w:rsid w:val="001F3BC5"/>
    <w:rsid w:val="001F3F9D"/>
    <w:rsid w:val="001F4128"/>
    <w:rsid w:val="001F4465"/>
    <w:rsid w:val="001F4486"/>
    <w:rsid w:val="001F46BB"/>
    <w:rsid w:val="001F4791"/>
    <w:rsid w:val="001F48A4"/>
    <w:rsid w:val="001F48AE"/>
    <w:rsid w:val="001F4BAD"/>
    <w:rsid w:val="001F4C26"/>
    <w:rsid w:val="001F4D7E"/>
    <w:rsid w:val="001F4DFD"/>
    <w:rsid w:val="001F4F1A"/>
    <w:rsid w:val="001F50FC"/>
    <w:rsid w:val="001F51B8"/>
    <w:rsid w:val="001F533D"/>
    <w:rsid w:val="001F53E2"/>
    <w:rsid w:val="001F5982"/>
    <w:rsid w:val="001F5EBF"/>
    <w:rsid w:val="001F61C1"/>
    <w:rsid w:val="001F6440"/>
    <w:rsid w:val="001F64C2"/>
    <w:rsid w:val="001F6656"/>
    <w:rsid w:val="001F6831"/>
    <w:rsid w:val="001F6D5D"/>
    <w:rsid w:val="001F7349"/>
    <w:rsid w:val="001F747D"/>
    <w:rsid w:val="001F74EE"/>
    <w:rsid w:val="001F7A2C"/>
    <w:rsid w:val="001F7AD0"/>
    <w:rsid w:val="001F7B2C"/>
    <w:rsid w:val="001F7B95"/>
    <w:rsid w:val="001F7C64"/>
    <w:rsid w:val="00200228"/>
    <w:rsid w:val="00200322"/>
    <w:rsid w:val="002003D2"/>
    <w:rsid w:val="002003D3"/>
    <w:rsid w:val="00200477"/>
    <w:rsid w:val="00200530"/>
    <w:rsid w:val="00200946"/>
    <w:rsid w:val="00200A8A"/>
    <w:rsid w:val="00200E32"/>
    <w:rsid w:val="00201490"/>
    <w:rsid w:val="00201725"/>
    <w:rsid w:val="0020180B"/>
    <w:rsid w:val="002018A6"/>
    <w:rsid w:val="00201B15"/>
    <w:rsid w:val="00201B48"/>
    <w:rsid w:val="00201C35"/>
    <w:rsid w:val="00201F8F"/>
    <w:rsid w:val="00201FA9"/>
    <w:rsid w:val="00202049"/>
    <w:rsid w:val="00202477"/>
    <w:rsid w:val="0020250F"/>
    <w:rsid w:val="00202618"/>
    <w:rsid w:val="002028B8"/>
    <w:rsid w:val="002029E3"/>
    <w:rsid w:val="00202AB8"/>
    <w:rsid w:val="00202D75"/>
    <w:rsid w:val="00202EA2"/>
    <w:rsid w:val="00203231"/>
    <w:rsid w:val="00203267"/>
    <w:rsid w:val="0020369E"/>
    <w:rsid w:val="002036B3"/>
    <w:rsid w:val="002038C7"/>
    <w:rsid w:val="00203978"/>
    <w:rsid w:val="00203E70"/>
    <w:rsid w:val="00204356"/>
    <w:rsid w:val="00204375"/>
    <w:rsid w:val="00204456"/>
    <w:rsid w:val="002044BB"/>
    <w:rsid w:val="00204762"/>
    <w:rsid w:val="002047E9"/>
    <w:rsid w:val="00204946"/>
    <w:rsid w:val="0020498D"/>
    <w:rsid w:val="00204D0C"/>
    <w:rsid w:val="00205082"/>
    <w:rsid w:val="002056B8"/>
    <w:rsid w:val="00205D2E"/>
    <w:rsid w:val="002061F0"/>
    <w:rsid w:val="002065CF"/>
    <w:rsid w:val="00206A05"/>
    <w:rsid w:val="00206A14"/>
    <w:rsid w:val="00206D0A"/>
    <w:rsid w:val="00206D8F"/>
    <w:rsid w:val="00206FAF"/>
    <w:rsid w:val="00206FE4"/>
    <w:rsid w:val="0020719A"/>
    <w:rsid w:val="00207259"/>
    <w:rsid w:val="002073F5"/>
    <w:rsid w:val="00207641"/>
    <w:rsid w:val="00207687"/>
    <w:rsid w:val="00207A18"/>
    <w:rsid w:val="00207D9A"/>
    <w:rsid w:val="00207DE5"/>
    <w:rsid w:val="00207E92"/>
    <w:rsid w:val="00207F10"/>
    <w:rsid w:val="00207F40"/>
    <w:rsid w:val="00210216"/>
    <w:rsid w:val="002106EB"/>
    <w:rsid w:val="00210715"/>
    <w:rsid w:val="00210A47"/>
    <w:rsid w:val="00210D56"/>
    <w:rsid w:val="002110BD"/>
    <w:rsid w:val="0021136F"/>
    <w:rsid w:val="00211652"/>
    <w:rsid w:val="002117BC"/>
    <w:rsid w:val="002117C0"/>
    <w:rsid w:val="002119AB"/>
    <w:rsid w:val="00211BA0"/>
    <w:rsid w:val="00211F53"/>
    <w:rsid w:val="00212060"/>
    <w:rsid w:val="00212107"/>
    <w:rsid w:val="002121AE"/>
    <w:rsid w:val="0021270B"/>
    <w:rsid w:val="002127CD"/>
    <w:rsid w:val="00212833"/>
    <w:rsid w:val="002128A8"/>
    <w:rsid w:val="00212969"/>
    <w:rsid w:val="00212D6E"/>
    <w:rsid w:val="00213008"/>
    <w:rsid w:val="002130BA"/>
    <w:rsid w:val="002130C9"/>
    <w:rsid w:val="0021313B"/>
    <w:rsid w:val="002132B2"/>
    <w:rsid w:val="002137F5"/>
    <w:rsid w:val="0021389E"/>
    <w:rsid w:val="00213CC1"/>
    <w:rsid w:val="00213E44"/>
    <w:rsid w:val="00214028"/>
    <w:rsid w:val="002140A1"/>
    <w:rsid w:val="002140FB"/>
    <w:rsid w:val="00214104"/>
    <w:rsid w:val="00214294"/>
    <w:rsid w:val="002142B1"/>
    <w:rsid w:val="002143D8"/>
    <w:rsid w:val="002144E3"/>
    <w:rsid w:val="00214681"/>
    <w:rsid w:val="002147DD"/>
    <w:rsid w:val="00214B4F"/>
    <w:rsid w:val="00214BD4"/>
    <w:rsid w:val="00214D9F"/>
    <w:rsid w:val="00214F13"/>
    <w:rsid w:val="00214F6F"/>
    <w:rsid w:val="00215140"/>
    <w:rsid w:val="00215158"/>
    <w:rsid w:val="00215270"/>
    <w:rsid w:val="002153F4"/>
    <w:rsid w:val="0021565F"/>
    <w:rsid w:val="002157A7"/>
    <w:rsid w:val="00215813"/>
    <w:rsid w:val="00215A5F"/>
    <w:rsid w:val="0021600E"/>
    <w:rsid w:val="0021603E"/>
    <w:rsid w:val="00216097"/>
    <w:rsid w:val="0021615F"/>
    <w:rsid w:val="002161C4"/>
    <w:rsid w:val="00216207"/>
    <w:rsid w:val="002162A8"/>
    <w:rsid w:val="0021646C"/>
    <w:rsid w:val="0021657A"/>
    <w:rsid w:val="00216634"/>
    <w:rsid w:val="00216732"/>
    <w:rsid w:val="002167BC"/>
    <w:rsid w:val="00216824"/>
    <w:rsid w:val="00216940"/>
    <w:rsid w:val="00216C6B"/>
    <w:rsid w:val="00216C9F"/>
    <w:rsid w:val="00216CDD"/>
    <w:rsid w:val="00216CFB"/>
    <w:rsid w:val="00216EAF"/>
    <w:rsid w:val="00216F87"/>
    <w:rsid w:val="00216FAF"/>
    <w:rsid w:val="00216FCA"/>
    <w:rsid w:val="00217164"/>
    <w:rsid w:val="002175A1"/>
    <w:rsid w:val="0021792E"/>
    <w:rsid w:val="00217950"/>
    <w:rsid w:val="002179C9"/>
    <w:rsid w:val="002179CF"/>
    <w:rsid w:val="00217D4B"/>
    <w:rsid w:val="0022006D"/>
    <w:rsid w:val="00220105"/>
    <w:rsid w:val="00220273"/>
    <w:rsid w:val="00220493"/>
    <w:rsid w:val="00220498"/>
    <w:rsid w:val="002205E8"/>
    <w:rsid w:val="00220662"/>
    <w:rsid w:val="002209EB"/>
    <w:rsid w:val="00220BD7"/>
    <w:rsid w:val="00221001"/>
    <w:rsid w:val="002212CC"/>
    <w:rsid w:val="00221432"/>
    <w:rsid w:val="00221456"/>
    <w:rsid w:val="002214E9"/>
    <w:rsid w:val="00221515"/>
    <w:rsid w:val="00221592"/>
    <w:rsid w:val="002217B1"/>
    <w:rsid w:val="00221A06"/>
    <w:rsid w:val="00221DFD"/>
    <w:rsid w:val="00221F72"/>
    <w:rsid w:val="00222255"/>
    <w:rsid w:val="002222E6"/>
    <w:rsid w:val="002226D2"/>
    <w:rsid w:val="0022286D"/>
    <w:rsid w:val="002229BE"/>
    <w:rsid w:val="00222AD0"/>
    <w:rsid w:val="00222B40"/>
    <w:rsid w:val="00222F9C"/>
    <w:rsid w:val="002232ED"/>
    <w:rsid w:val="002232FC"/>
    <w:rsid w:val="0022335D"/>
    <w:rsid w:val="002234F1"/>
    <w:rsid w:val="00223573"/>
    <w:rsid w:val="002236A3"/>
    <w:rsid w:val="00223860"/>
    <w:rsid w:val="0022391F"/>
    <w:rsid w:val="00223A42"/>
    <w:rsid w:val="00223AAF"/>
    <w:rsid w:val="00223B9A"/>
    <w:rsid w:val="00223F2A"/>
    <w:rsid w:val="00224005"/>
    <w:rsid w:val="00224277"/>
    <w:rsid w:val="00224515"/>
    <w:rsid w:val="0022462A"/>
    <w:rsid w:val="0022463D"/>
    <w:rsid w:val="002246F1"/>
    <w:rsid w:val="00224779"/>
    <w:rsid w:val="00224CAE"/>
    <w:rsid w:val="00224D14"/>
    <w:rsid w:val="00224EE4"/>
    <w:rsid w:val="00225089"/>
    <w:rsid w:val="0022513C"/>
    <w:rsid w:val="002251B5"/>
    <w:rsid w:val="00225664"/>
    <w:rsid w:val="0022575D"/>
    <w:rsid w:val="0022599E"/>
    <w:rsid w:val="00225C38"/>
    <w:rsid w:val="00225D7D"/>
    <w:rsid w:val="00225EB5"/>
    <w:rsid w:val="00226226"/>
    <w:rsid w:val="002262B0"/>
    <w:rsid w:val="0022633D"/>
    <w:rsid w:val="00226495"/>
    <w:rsid w:val="00226734"/>
    <w:rsid w:val="002268BA"/>
    <w:rsid w:val="00226BC2"/>
    <w:rsid w:val="00226BDB"/>
    <w:rsid w:val="00226D13"/>
    <w:rsid w:val="00227091"/>
    <w:rsid w:val="002271DA"/>
    <w:rsid w:val="00227232"/>
    <w:rsid w:val="00227260"/>
    <w:rsid w:val="0022740B"/>
    <w:rsid w:val="002278DE"/>
    <w:rsid w:val="00227912"/>
    <w:rsid w:val="00227A52"/>
    <w:rsid w:val="00227AE3"/>
    <w:rsid w:val="00227BC1"/>
    <w:rsid w:val="00227E2A"/>
    <w:rsid w:val="00230541"/>
    <w:rsid w:val="002308FD"/>
    <w:rsid w:val="00230A02"/>
    <w:rsid w:val="00230A4A"/>
    <w:rsid w:val="00230CC3"/>
    <w:rsid w:val="002312A8"/>
    <w:rsid w:val="00231323"/>
    <w:rsid w:val="00231852"/>
    <w:rsid w:val="002319D0"/>
    <w:rsid w:val="00231B43"/>
    <w:rsid w:val="00231CDC"/>
    <w:rsid w:val="00231D04"/>
    <w:rsid w:val="002320C7"/>
    <w:rsid w:val="002320D6"/>
    <w:rsid w:val="002324E1"/>
    <w:rsid w:val="002327F9"/>
    <w:rsid w:val="002328A5"/>
    <w:rsid w:val="00232AE2"/>
    <w:rsid w:val="00232BC7"/>
    <w:rsid w:val="00232F77"/>
    <w:rsid w:val="0023310F"/>
    <w:rsid w:val="00233173"/>
    <w:rsid w:val="00233379"/>
    <w:rsid w:val="00233543"/>
    <w:rsid w:val="00233580"/>
    <w:rsid w:val="002335DB"/>
    <w:rsid w:val="0023367F"/>
    <w:rsid w:val="00233685"/>
    <w:rsid w:val="0023389D"/>
    <w:rsid w:val="00233A6A"/>
    <w:rsid w:val="00233B66"/>
    <w:rsid w:val="00234160"/>
    <w:rsid w:val="0023417F"/>
    <w:rsid w:val="00234481"/>
    <w:rsid w:val="00234712"/>
    <w:rsid w:val="00234742"/>
    <w:rsid w:val="00234984"/>
    <w:rsid w:val="00234AEF"/>
    <w:rsid w:val="00234F10"/>
    <w:rsid w:val="00234F2E"/>
    <w:rsid w:val="00234F3C"/>
    <w:rsid w:val="00235138"/>
    <w:rsid w:val="0023547A"/>
    <w:rsid w:val="0023556E"/>
    <w:rsid w:val="00235635"/>
    <w:rsid w:val="00235832"/>
    <w:rsid w:val="00235D43"/>
    <w:rsid w:val="00235D8D"/>
    <w:rsid w:val="00235E26"/>
    <w:rsid w:val="00235F60"/>
    <w:rsid w:val="00235F62"/>
    <w:rsid w:val="00235FAA"/>
    <w:rsid w:val="0023618F"/>
    <w:rsid w:val="0023655E"/>
    <w:rsid w:val="0023662E"/>
    <w:rsid w:val="0023682C"/>
    <w:rsid w:val="00236B02"/>
    <w:rsid w:val="00236C4C"/>
    <w:rsid w:val="00236D3B"/>
    <w:rsid w:val="00236E70"/>
    <w:rsid w:val="00236E8C"/>
    <w:rsid w:val="00236FCB"/>
    <w:rsid w:val="0023700C"/>
    <w:rsid w:val="00237019"/>
    <w:rsid w:val="00237291"/>
    <w:rsid w:val="002372C9"/>
    <w:rsid w:val="00237497"/>
    <w:rsid w:val="0023776E"/>
    <w:rsid w:val="002377EC"/>
    <w:rsid w:val="002378FF"/>
    <w:rsid w:val="002379E4"/>
    <w:rsid w:val="00237B1B"/>
    <w:rsid w:val="00237DAA"/>
    <w:rsid w:val="00237F19"/>
    <w:rsid w:val="002401F3"/>
    <w:rsid w:val="002404E7"/>
    <w:rsid w:val="00240500"/>
    <w:rsid w:val="00240645"/>
    <w:rsid w:val="0024073D"/>
    <w:rsid w:val="00240A2D"/>
    <w:rsid w:val="00241136"/>
    <w:rsid w:val="0024133B"/>
    <w:rsid w:val="002417DD"/>
    <w:rsid w:val="002418D4"/>
    <w:rsid w:val="002419B7"/>
    <w:rsid w:val="00241A9C"/>
    <w:rsid w:val="00241AEB"/>
    <w:rsid w:val="00241B21"/>
    <w:rsid w:val="00241D18"/>
    <w:rsid w:val="00241E32"/>
    <w:rsid w:val="002420C5"/>
    <w:rsid w:val="002426F7"/>
    <w:rsid w:val="002426FD"/>
    <w:rsid w:val="00242AF5"/>
    <w:rsid w:val="00242FA6"/>
    <w:rsid w:val="002431CB"/>
    <w:rsid w:val="002431D3"/>
    <w:rsid w:val="00243210"/>
    <w:rsid w:val="00243287"/>
    <w:rsid w:val="0024374D"/>
    <w:rsid w:val="00243771"/>
    <w:rsid w:val="00243A25"/>
    <w:rsid w:val="00243AA3"/>
    <w:rsid w:val="00243F8D"/>
    <w:rsid w:val="00244176"/>
    <w:rsid w:val="00244360"/>
    <w:rsid w:val="00244440"/>
    <w:rsid w:val="00244653"/>
    <w:rsid w:val="00244724"/>
    <w:rsid w:val="00244799"/>
    <w:rsid w:val="002447E2"/>
    <w:rsid w:val="00244846"/>
    <w:rsid w:val="00244B39"/>
    <w:rsid w:val="00244D23"/>
    <w:rsid w:val="00245006"/>
    <w:rsid w:val="00245080"/>
    <w:rsid w:val="0024515A"/>
    <w:rsid w:val="0024554A"/>
    <w:rsid w:val="002459E1"/>
    <w:rsid w:val="00245AFD"/>
    <w:rsid w:val="00245CA8"/>
    <w:rsid w:val="00245FF7"/>
    <w:rsid w:val="002460FE"/>
    <w:rsid w:val="002468D1"/>
    <w:rsid w:val="00246986"/>
    <w:rsid w:val="00246D01"/>
    <w:rsid w:val="00246DF0"/>
    <w:rsid w:val="00246E10"/>
    <w:rsid w:val="00246E38"/>
    <w:rsid w:val="00247010"/>
    <w:rsid w:val="002474C5"/>
    <w:rsid w:val="00247570"/>
    <w:rsid w:val="002478A2"/>
    <w:rsid w:val="00247BD2"/>
    <w:rsid w:val="00247C32"/>
    <w:rsid w:val="00247CAA"/>
    <w:rsid w:val="00247DC2"/>
    <w:rsid w:val="00247F02"/>
    <w:rsid w:val="00247F63"/>
    <w:rsid w:val="002500E9"/>
    <w:rsid w:val="002500F7"/>
    <w:rsid w:val="00250194"/>
    <w:rsid w:val="002501E6"/>
    <w:rsid w:val="00250350"/>
    <w:rsid w:val="00250420"/>
    <w:rsid w:val="0025043E"/>
    <w:rsid w:val="002505B2"/>
    <w:rsid w:val="002509BC"/>
    <w:rsid w:val="00250A66"/>
    <w:rsid w:val="00250B34"/>
    <w:rsid w:val="00250C11"/>
    <w:rsid w:val="00250FD6"/>
    <w:rsid w:val="00251099"/>
    <w:rsid w:val="002511C1"/>
    <w:rsid w:val="0025183F"/>
    <w:rsid w:val="0025189F"/>
    <w:rsid w:val="00251AAE"/>
    <w:rsid w:val="00251C97"/>
    <w:rsid w:val="00251E79"/>
    <w:rsid w:val="00251FB5"/>
    <w:rsid w:val="002520D2"/>
    <w:rsid w:val="00252376"/>
    <w:rsid w:val="0025237D"/>
    <w:rsid w:val="00252438"/>
    <w:rsid w:val="00252442"/>
    <w:rsid w:val="0025247B"/>
    <w:rsid w:val="0025281A"/>
    <w:rsid w:val="0025282A"/>
    <w:rsid w:val="002528CB"/>
    <w:rsid w:val="00252993"/>
    <w:rsid w:val="00252A1C"/>
    <w:rsid w:val="00252A26"/>
    <w:rsid w:val="00252C23"/>
    <w:rsid w:val="00252ED1"/>
    <w:rsid w:val="00252F10"/>
    <w:rsid w:val="00253187"/>
    <w:rsid w:val="002531A9"/>
    <w:rsid w:val="002531DC"/>
    <w:rsid w:val="00253268"/>
    <w:rsid w:val="0025352D"/>
    <w:rsid w:val="00253C01"/>
    <w:rsid w:val="00253D30"/>
    <w:rsid w:val="00253D6D"/>
    <w:rsid w:val="0025420A"/>
    <w:rsid w:val="002542B5"/>
    <w:rsid w:val="002543A1"/>
    <w:rsid w:val="00254616"/>
    <w:rsid w:val="00254943"/>
    <w:rsid w:val="00254950"/>
    <w:rsid w:val="002549E9"/>
    <w:rsid w:val="00254AFB"/>
    <w:rsid w:val="00254BC5"/>
    <w:rsid w:val="00254F7F"/>
    <w:rsid w:val="00255010"/>
    <w:rsid w:val="002550F2"/>
    <w:rsid w:val="0025544B"/>
    <w:rsid w:val="002554A6"/>
    <w:rsid w:val="00255A1C"/>
    <w:rsid w:val="00255A30"/>
    <w:rsid w:val="00255B39"/>
    <w:rsid w:val="00255C71"/>
    <w:rsid w:val="00256002"/>
    <w:rsid w:val="002560F0"/>
    <w:rsid w:val="00256541"/>
    <w:rsid w:val="00256956"/>
    <w:rsid w:val="00256A10"/>
    <w:rsid w:val="00256C1B"/>
    <w:rsid w:val="00256C1E"/>
    <w:rsid w:val="00256E3E"/>
    <w:rsid w:val="00256E42"/>
    <w:rsid w:val="00256E68"/>
    <w:rsid w:val="00256F19"/>
    <w:rsid w:val="0025706C"/>
    <w:rsid w:val="0025713E"/>
    <w:rsid w:val="00257298"/>
    <w:rsid w:val="002572CB"/>
    <w:rsid w:val="002573D1"/>
    <w:rsid w:val="002579D5"/>
    <w:rsid w:val="00257A67"/>
    <w:rsid w:val="00257AC9"/>
    <w:rsid w:val="00257AF4"/>
    <w:rsid w:val="00257CDB"/>
    <w:rsid w:val="00257EC5"/>
    <w:rsid w:val="00260215"/>
    <w:rsid w:val="00260413"/>
    <w:rsid w:val="00260683"/>
    <w:rsid w:val="002608A0"/>
    <w:rsid w:val="00260AE9"/>
    <w:rsid w:val="00260B89"/>
    <w:rsid w:val="00260C29"/>
    <w:rsid w:val="00260D7D"/>
    <w:rsid w:val="00260DD7"/>
    <w:rsid w:val="00260E1E"/>
    <w:rsid w:val="00260F5A"/>
    <w:rsid w:val="00260FB9"/>
    <w:rsid w:val="00260FE2"/>
    <w:rsid w:val="002613B8"/>
    <w:rsid w:val="002613E8"/>
    <w:rsid w:val="0026142B"/>
    <w:rsid w:val="002615BD"/>
    <w:rsid w:val="002615CF"/>
    <w:rsid w:val="002615F3"/>
    <w:rsid w:val="00261857"/>
    <w:rsid w:val="00261A43"/>
    <w:rsid w:val="00261A71"/>
    <w:rsid w:val="00261D63"/>
    <w:rsid w:val="00261E1D"/>
    <w:rsid w:val="00261FA2"/>
    <w:rsid w:val="002622B3"/>
    <w:rsid w:val="002626B0"/>
    <w:rsid w:val="0026272C"/>
    <w:rsid w:val="00262A95"/>
    <w:rsid w:val="00262C35"/>
    <w:rsid w:val="00262C94"/>
    <w:rsid w:val="002632A2"/>
    <w:rsid w:val="00263459"/>
    <w:rsid w:val="0026349B"/>
    <w:rsid w:val="00263596"/>
    <w:rsid w:val="00263683"/>
    <w:rsid w:val="002636D8"/>
    <w:rsid w:val="00263889"/>
    <w:rsid w:val="002638C7"/>
    <w:rsid w:val="00263A67"/>
    <w:rsid w:val="00263AC7"/>
    <w:rsid w:val="00263BD2"/>
    <w:rsid w:val="00263C55"/>
    <w:rsid w:val="00263C6B"/>
    <w:rsid w:val="00263E48"/>
    <w:rsid w:val="00264020"/>
    <w:rsid w:val="00264216"/>
    <w:rsid w:val="00264264"/>
    <w:rsid w:val="00264522"/>
    <w:rsid w:val="0026492D"/>
    <w:rsid w:val="002649CA"/>
    <w:rsid w:val="00264A02"/>
    <w:rsid w:val="00264AB4"/>
    <w:rsid w:val="00264B17"/>
    <w:rsid w:val="00264D0A"/>
    <w:rsid w:val="00264DBC"/>
    <w:rsid w:val="00264E74"/>
    <w:rsid w:val="00265006"/>
    <w:rsid w:val="002659C4"/>
    <w:rsid w:val="00265A0A"/>
    <w:rsid w:val="00265ACF"/>
    <w:rsid w:val="00265B92"/>
    <w:rsid w:val="00266057"/>
    <w:rsid w:val="00266AD9"/>
    <w:rsid w:val="00266AE9"/>
    <w:rsid w:val="00266D0C"/>
    <w:rsid w:val="00266D46"/>
    <w:rsid w:val="00266F62"/>
    <w:rsid w:val="00266FEB"/>
    <w:rsid w:val="0026751D"/>
    <w:rsid w:val="002675F6"/>
    <w:rsid w:val="002677F0"/>
    <w:rsid w:val="002679C9"/>
    <w:rsid w:val="002679DC"/>
    <w:rsid w:val="00267A98"/>
    <w:rsid w:val="00267BEB"/>
    <w:rsid w:val="00267C7A"/>
    <w:rsid w:val="00267DBD"/>
    <w:rsid w:val="00267E39"/>
    <w:rsid w:val="00267F57"/>
    <w:rsid w:val="00270106"/>
    <w:rsid w:val="0027012C"/>
    <w:rsid w:val="002701E5"/>
    <w:rsid w:val="002702F5"/>
    <w:rsid w:val="002704BD"/>
    <w:rsid w:val="002708E4"/>
    <w:rsid w:val="00270A42"/>
    <w:rsid w:val="00270FC4"/>
    <w:rsid w:val="00271066"/>
    <w:rsid w:val="00271143"/>
    <w:rsid w:val="0027114A"/>
    <w:rsid w:val="0027123C"/>
    <w:rsid w:val="00271317"/>
    <w:rsid w:val="00271749"/>
    <w:rsid w:val="002719A4"/>
    <w:rsid w:val="00271A49"/>
    <w:rsid w:val="00271B09"/>
    <w:rsid w:val="00271B0A"/>
    <w:rsid w:val="00271D96"/>
    <w:rsid w:val="00272158"/>
    <w:rsid w:val="0027283F"/>
    <w:rsid w:val="002728C4"/>
    <w:rsid w:val="00272D9B"/>
    <w:rsid w:val="00272DC3"/>
    <w:rsid w:val="00272EE9"/>
    <w:rsid w:val="00272F97"/>
    <w:rsid w:val="00273007"/>
    <w:rsid w:val="0027339D"/>
    <w:rsid w:val="00273466"/>
    <w:rsid w:val="0027355E"/>
    <w:rsid w:val="002738B8"/>
    <w:rsid w:val="00273967"/>
    <w:rsid w:val="0027397B"/>
    <w:rsid w:val="00273A47"/>
    <w:rsid w:val="00273AA6"/>
    <w:rsid w:val="0027401A"/>
    <w:rsid w:val="00274067"/>
    <w:rsid w:val="00274159"/>
    <w:rsid w:val="00274194"/>
    <w:rsid w:val="0027463C"/>
    <w:rsid w:val="00274641"/>
    <w:rsid w:val="00274731"/>
    <w:rsid w:val="0027488B"/>
    <w:rsid w:val="00274993"/>
    <w:rsid w:val="002749E9"/>
    <w:rsid w:val="00274CB9"/>
    <w:rsid w:val="00274CDE"/>
    <w:rsid w:val="00274E40"/>
    <w:rsid w:val="00275059"/>
    <w:rsid w:val="002752EE"/>
    <w:rsid w:val="00275490"/>
    <w:rsid w:val="002756F5"/>
    <w:rsid w:val="00275C12"/>
    <w:rsid w:val="00275DE9"/>
    <w:rsid w:val="002763AA"/>
    <w:rsid w:val="002763DC"/>
    <w:rsid w:val="00276447"/>
    <w:rsid w:val="002764B1"/>
    <w:rsid w:val="00276891"/>
    <w:rsid w:val="0027691E"/>
    <w:rsid w:val="00276C21"/>
    <w:rsid w:val="00276DE8"/>
    <w:rsid w:val="002770A1"/>
    <w:rsid w:val="0027711F"/>
    <w:rsid w:val="00277164"/>
    <w:rsid w:val="002777B4"/>
    <w:rsid w:val="002778D9"/>
    <w:rsid w:val="002779D1"/>
    <w:rsid w:val="002779F7"/>
    <w:rsid w:val="00277ABE"/>
    <w:rsid w:val="00277D8C"/>
    <w:rsid w:val="00277E17"/>
    <w:rsid w:val="002803F1"/>
    <w:rsid w:val="00280529"/>
    <w:rsid w:val="00280830"/>
    <w:rsid w:val="002808CA"/>
    <w:rsid w:val="00280AE8"/>
    <w:rsid w:val="00280B33"/>
    <w:rsid w:val="00280D15"/>
    <w:rsid w:val="00280E9D"/>
    <w:rsid w:val="00280F31"/>
    <w:rsid w:val="0028130F"/>
    <w:rsid w:val="00281340"/>
    <w:rsid w:val="00281482"/>
    <w:rsid w:val="002815C3"/>
    <w:rsid w:val="00281732"/>
    <w:rsid w:val="002817E9"/>
    <w:rsid w:val="002818BC"/>
    <w:rsid w:val="00281CAC"/>
    <w:rsid w:val="00281D34"/>
    <w:rsid w:val="00281E01"/>
    <w:rsid w:val="00281F27"/>
    <w:rsid w:val="0028204F"/>
    <w:rsid w:val="002820AA"/>
    <w:rsid w:val="0028217C"/>
    <w:rsid w:val="002828EC"/>
    <w:rsid w:val="00282A46"/>
    <w:rsid w:val="00282B09"/>
    <w:rsid w:val="00282BC2"/>
    <w:rsid w:val="00282BC4"/>
    <w:rsid w:val="00282CC7"/>
    <w:rsid w:val="00282E92"/>
    <w:rsid w:val="0028334F"/>
    <w:rsid w:val="00283353"/>
    <w:rsid w:val="00283511"/>
    <w:rsid w:val="00283583"/>
    <w:rsid w:val="002835D8"/>
    <w:rsid w:val="002836E9"/>
    <w:rsid w:val="00283B0C"/>
    <w:rsid w:val="00283C9C"/>
    <w:rsid w:val="00283D92"/>
    <w:rsid w:val="00283DAF"/>
    <w:rsid w:val="00283F5C"/>
    <w:rsid w:val="002840C6"/>
    <w:rsid w:val="00284638"/>
    <w:rsid w:val="002848DA"/>
    <w:rsid w:val="002848F7"/>
    <w:rsid w:val="00284A10"/>
    <w:rsid w:val="002853D8"/>
    <w:rsid w:val="0028543F"/>
    <w:rsid w:val="002854A8"/>
    <w:rsid w:val="00285556"/>
    <w:rsid w:val="002855F2"/>
    <w:rsid w:val="00285D59"/>
    <w:rsid w:val="00285F3A"/>
    <w:rsid w:val="0028616D"/>
    <w:rsid w:val="00286278"/>
    <w:rsid w:val="00286425"/>
    <w:rsid w:val="00286592"/>
    <w:rsid w:val="00286757"/>
    <w:rsid w:val="0028697F"/>
    <w:rsid w:val="00286E93"/>
    <w:rsid w:val="00287407"/>
    <w:rsid w:val="00287945"/>
    <w:rsid w:val="00287CCE"/>
    <w:rsid w:val="00287FD2"/>
    <w:rsid w:val="00290065"/>
    <w:rsid w:val="002900ED"/>
    <w:rsid w:val="002904BC"/>
    <w:rsid w:val="0029058B"/>
    <w:rsid w:val="0029059B"/>
    <w:rsid w:val="002905F3"/>
    <w:rsid w:val="00290717"/>
    <w:rsid w:val="00290742"/>
    <w:rsid w:val="00290B66"/>
    <w:rsid w:val="00290BAA"/>
    <w:rsid w:val="002911D3"/>
    <w:rsid w:val="0029144D"/>
    <w:rsid w:val="0029144E"/>
    <w:rsid w:val="0029147C"/>
    <w:rsid w:val="002914FA"/>
    <w:rsid w:val="0029158F"/>
    <w:rsid w:val="0029169B"/>
    <w:rsid w:val="00291898"/>
    <w:rsid w:val="00291BFA"/>
    <w:rsid w:val="00291D14"/>
    <w:rsid w:val="00291D97"/>
    <w:rsid w:val="00291DBD"/>
    <w:rsid w:val="00291E22"/>
    <w:rsid w:val="002920E1"/>
    <w:rsid w:val="00292110"/>
    <w:rsid w:val="002924C1"/>
    <w:rsid w:val="00292A02"/>
    <w:rsid w:val="00292D23"/>
    <w:rsid w:val="00292D73"/>
    <w:rsid w:val="00292DD8"/>
    <w:rsid w:val="00293084"/>
    <w:rsid w:val="002931B4"/>
    <w:rsid w:val="00293454"/>
    <w:rsid w:val="002935B5"/>
    <w:rsid w:val="00293622"/>
    <w:rsid w:val="00293642"/>
    <w:rsid w:val="00293881"/>
    <w:rsid w:val="002938CE"/>
    <w:rsid w:val="00293FF5"/>
    <w:rsid w:val="0029466C"/>
    <w:rsid w:val="0029467C"/>
    <w:rsid w:val="0029483C"/>
    <w:rsid w:val="002948AE"/>
    <w:rsid w:val="00295017"/>
    <w:rsid w:val="0029559D"/>
    <w:rsid w:val="002955AF"/>
    <w:rsid w:val="002955BE"/>
    <w:rsid w:val="0029572E"/>
    <w:rsid w:val="002959A6"/>
    <w:rsid w:val="00295ABF"/>
    <w:rsid w:val="00295C85"/>
    <w:rsid w:val="00295CAA"/>
    <w:rsid w:val="00295CDE"/>
    <w:rsid w:val="00295D6B"/>
    <w:rsid w:val="00295E73"/>
    <w:rsid w:val="00295E93"/>
    <w:rsid w:val="00295FC7"/>
    <w:rsid w:val="00296132"/>
    <w:rsid w:val="00296225"/>
    <w:rsid w:val="0029628D"/>
    <w:rsid w:val="00296304"/>
    <w:rsid w:val="002963FA"/>
    <w:rsid w:val="0029644F"/>
    <w:rsid w:val="002966C1"/>
    <w:rsid w:val="002967D8"/>
    <w:rsid w:val="0029690D"/>
    <w:rsid w:val="00296B0A"/>
    <w:rsid w:val="00296BBF"/>
    <w:rsid w:val="00296D52"/>
    <w:rsid w:val="00296FD9"/>
    <w:rsid w:val="002971C1"/>
    <w:rsid w:val="002972D7"/>
    <w:rsid w:val="0029754A"/>
    <w:rsid w:val="002978ED"/>
    <w:rsid w:val="002979E2"/>
    <w:rsid w:val="00297C3D"/>
    <w:rsid w:val="002A011C"/>
    <w:rsid w:val="002A03E4"/>
    <w:rsid w:val="002A04DF"/>
    <w:rsid w:val="002A0500"/>
    <w:rsid w:val="002A0590"/>
    <w:rsid w:val="002A05E5"/>
    <w:rsid w:val="002A067D"/>
    <w:rsid w:val="002A079A"/>
    <w:rsid w:val="002A087D"/>
    <w:rsid w:val="002A0AD5"/>
    <w:rsid w:val="002A0B90"/>
    <w:rsid w:val="002A0C95"/>
    <w:rsid w:val="002A0F21"/>
    <w:rsid w:val="002A0F3C"/>
    <w:rsid w:val="002A0FB1"/>
    <w:rsid w:val="002A1251"/>
    <w:rsid w:val="002A155B"/>
    <w:rsid w:val="002A1718"/>
    <w:rsid w:val="002A176E"/>
    <w:rsid w:val="002A1987"/>
    <w:rsid w:val="002A19EA"/>
    <w:rsid w:val="002A1B84"/>
    <w:rsid w:val="002A1E77"/>
    <w:rsid w:val="002A2040"/>
    <w:rsid w:val="002A28F6"/>
    <w:rsid w:val="002A29D0"/>
    <w:rsid w:val="002A2C97"/>
    <w:rsid w:val="002A2EB5"/>
    <w:rsid w:val="002A2EFB"/>
    <w:rsid w:val="002A2FE6"/>
    <w:rsid w:val="002A3281"/>
    <w:rsid w:val="002A33AB"/>
    <w:rsid w:val="002A33F6"/>
    <w:rsid w:val="002A354E"/>
    <w:rsid w:val="002A3A27"/>
    <w:rsid w:val="002A3AAF"/>
    <w:rsid w:val="002A3BBB"/>
    <w:rsid w:val="002A3D71"/>
    <w:rsid w:val="002A3E11"/>
    <w:rsid w:val="002A3E31"/>
    <w:rsid w:val="002A3F3C"/>
    <w:rsid w:val="002A3F7F"/>
    <w:rsid w:val="002A4243"/>
    <w:rsid w:val="002A435D"/>
    <w:rsid w:val="002A44F9"/>
    <w:rsid w:val="002A479E"/>
    <w:rsid w:val="002A488B"/>
    <w:rsid w:val="002A49B9"/>
    <w:rsid w:val="002A4A0F"/>
    <w:rsid w:val="002A4C5E"/>
    <w:rsid w:val="002A4D6B"/>
    <w:rsid w:val="002A4DA2"/>
    <w:rsid w:val="002A4E5F"/>
    <w:rsid w:val="002A4FAD"/>
    <w:rsid w:val="002A506A"/>
    <w:rsid w:val="002A523D"/>
    <w:rsid w:val="002A537B"/>
    <w:rsid w:val="002A5526"/>
    <w:rsid w:val="002A56D6"/>
    <w:rsid w:val="002A57DF"/>
    <w:rsid w:val="002A59F9"/>
    <w:rsid w:val="002A5E43"/>
    <w:rsid w:val="002A5FD1"/>
    <w:rsid w:val="002A6123"/>
    <w:rsid w:val="002A62E2"/>
    <w:rsid w:val="002A6337"/>
    <w:rsid w:val="002A657D"/>
    <w:rsid w:val="002A67B8"/>
    <w:rsid w:val="002A69CD"/>
    <w:rsid w:val="002A6DF2"/>
    <w:rsid w:val="002A6E2A"/>
    <w:rsid w:val="002A6FE3"/>
    <w:rsid w:val="002A7242"/>
    <w:rsid w:val="002A7248"/>
    <w:rsid w:val="002A72D8"/>
    <w:rsid w:val="002A72EF"/>
    <w:rsid w:val="002A7366"/>
    <w:rsid w:val="002A73A1"/>
    <w:rsid w:val="002A73AF"/>
    <w:rsid w:val="002A73E0"/>
    <w:rsid w:val="002A756E"/>
    <w:rsid w:val="002A75BE"/>
    <w:rsid w:val="002A7727"/>
    <w:rsid w:val="002A787A"/>
    <w:rsid w:val="002A7AFB"/>
    <w:rsid w:val="002A7B66"/>
    <w:rsid w:val="002A7C73"/>
    <w:rsid w:val="002A7E50"/>
    <w:rsid w:val="002B0127"/>
    <w:rsid w:val="002B0171"/>
    <w:rsid w:val="002B029B"/>
    <w:rsid w:val="002B03C4"/>
    <w:rsid w:val="002B052D"/>
    <w:rsid w:val="002B0599"/>
    <w:rsid w:val="002B067E"/>
    <w:rsid w:val="002B06E3"/>
    <w:rsid w:val="002B0845"/>
    <w:rsid w:val="002B0B88"/>
    <w:rsid w:val="002B0F11"/>
    <w:rsid w:val="002B10A1"/>
    <w:rsid w:val="002B1259"/>
    <w:rsid w:val="002B12A5"/>
    <w:rsid w:val="002B14E3"/>
    <w:rsid w:val="002B1553"/>
    <w:rsid w:val="002B15F7"/>
    <w:rsid w:val="002B17A9"/>
    <w:rsid w:val="002B1962"/>
    <w:rsid w:val="002B1C72"/>
    <w:rsid w:val="002B1D29"/>
    <w:rsid w:val="002B1E79"/>
    <w:rsid w:val="002B23C9"/>
    <w:rsid w:val="002B25CA"/>
    <w:rsid w:val="002B268E"/>
    <w:rsid w:val="002B26FD"/>
    <w:rsid w:val="002B28A2"/>
    <w:rsid w:val="002B2A18"/>
    <w:rsid w:val="002B2A25"/>
    <w:rsid w:val="002B2A49"/>
    <w:rsid w:val="002B2B07"/>
    <w:rsid w:val="002B2EA2"/>
    <w:rsid w:val="002B2FFE"/>
    <w:rsid w:val="002B3323"/>
    <w:rsid w:val="002B34F7"/>
    <w:rsid w:val="002B3521"/>
    <w:rsid w:val="002B3567"/>
    <w:rsid w:val="002B385C"/>
    <w:rsid w:val="002B3AEB"/>
    <w:rsid w:val="002B3C29"/>
    <w:rsid w:val="002B3D9E"/>
    <w:rsid w:val="002B4134"/>
    <w:rsid w:val="002B4203"/>
    <w:rsid w:val="002B426B"/>
    <w:rsid w:val="002B4501"/>
    <w:rsid w:val="002B472D"/>
    <w:rsid w:val="002B4A6C"/>
    <w:rsid w:val="002B4BB4"/>
    <w:rsid w:val="002B4C7F"/>
    <w:rsid w:val="002B503D"/>
    <w:rsid w:val="002B50F8"/>
    <w:rsid w:val="002B520B"/>
    <w:rsid w:val="002B53AF"/>
    <w:rsid w:val="002B5510"/>
    <w:rsid w:val="002B5602"/>
    <w:rsid w:val="002B5617"/>
    <w:rsid w:val="002B5A42"/>
    <w:rsid w:val="002B5A4E"/>
    <w:rsid w:val="002B5A55"/>
    <w:rsid w:val="002B5A5A"/>
    <w:rsid w:val="002B5C17"/>
    <w:rsid w:val="002B5EF0"/>
    <w:rsid w:val="002B60C1"/>
    <w:rsid w:val="002B6164"/>
    <w:rsid w:val="002B62F0"/>
    <w:rsid w:val="002B647E"/>
    <w:rsid w:val="002B66B9"/>
    <w:rsid w:val="002B6797"/>
    <w:rsid w:val="002B68DF"/>
    <w:rsid w:val="002B69A5"/>
    <w:rsid w:val="002B6AD8"/>
    <w:rsid w:val="002B6FC3"/>
    <w:rsid w:val="002B7039"/>
    <w:rsid w:val="002B7237"/>
    <w:rsid w:val="002B7242"/>
    <w:rsid w:val="002B74F6"/>
    <w:rsid w:val="002B75C3"/>
    <w:rsid w:val="002B77D8"/>
    <w:rsid w:val="002B7888"/>
    <w:rsid w:val="002B7A8F"/>
    <w:rsid w:val="002B7D82"/>
    <w:rsid w:val="002B7DE0"/>
    <w:rsid w:val="002B7F0F"/>
    <w:rsid w:val="002B7F5B"/>
    <w:rsid w:val="002C0218"/>
    <w:rsid w:val="002C026D"/>
    <w:rsid w:val="002C0287"/>
    <w:rsid w:val="002C040F"/>
    <w:rsid w:val="002C05F7"/>
    <w:rsid w:val="002C0668"/>
    <w:rsid w:val="002C0758"/>
    <w:rsid w:val="002C0A0B"/>
    <w:rsid w:val="002C0A18"/>
    <w:rsid w:val="002C0B3A"/>
    <w:rsid w:val="002C0C88"/>
    <w:rsid w:val="002C0DDE"/>
    <w:rsid w:val="002C1117"/>
    <w:rsid w:val="002C1233"/>
    <w:rsid w:val="002C13DE"/>
    <w:rsid w:val="002C1438"/>
    <w:rsid w:val="002C1441"/>
    <w:rsid w:val="002C1569"/>
    <w:rsid w:val="002C16B5"/>
    <w:rsid w:val="002C16E6"/>
    <w:rsid w:val="002C1727"/>
    <w:rsid w:val="002C18D7"/>
    <w:rsid w:val="002C1A01"/>
    <w:rsid w:val="002C1AD4"/>
    <w:rsid w:val="002C1C5A"/>
    <w:rsid w:val="002C1DFD"/>
    <w:rsid w:val="002C1E38"/>
    <w:rsid w:val="002C1E97"/>
    <w:rsid w:val="002C2720"/>
    <w:rsid w:val="002C2757"/>
    <w:rsid w:val="002C2C82"/>
    <w:rsid w:val="002C2EB4"/>
    <w:rsid w:val="002C2FE9"/>
    <w:rsid w:val="002C30CF"/>
    <w:rsid w:val="002C30DA"/>
    <w:rsid w:val="002C3481"/>
    <w:rsid w:val="002C3565"/>
    <w:rsid w:val="002C35B4"/>
    <w:rsid w:val="002C3798"/>
    <w:rsid w:val="002C3DE3"/>
    <w:rsid w:val="002C3E15"/>
    <w:rsid w:val="002C43F3"/>
    <w:rsid w:val="002C47FD"/>
    <w:rsid w:val="002C4C9F"/>
    <w:rsid w:val="002C4DDA"/>
    <w:rsid w:val="002C5470"/>
    <w:rsid w:val="002C56E7"/>
    <w:rsid w:val="002C573B"/>
    <w:rsid w:val="002C58EE"/>
    <w:rsid w:val="002C5986"/>
    <w:rsid w:val="002C5996"/>
    <w:rsid w:val="002C5C4C"/>
    <w:rsid w:val="002C5D20"/>
    <w:rsid w:val="002C6099"/>
    <w:rsid w:val="002C6269"/>
    <w:rsid w:val="002C631A"/>
    <w:rsid w:val="002C63E2"/>
    <w:rsid w:val="002C6431"/>
    <w:rsid w:val="002C6478"/>
    <w:rsid w:val="002C662E"/>
    <w:rsid w:val="002C663C"/>
    <w:rsid w:val="002C66C5"/>
    <w:rsid w:val="002C6705"/>
    <w:rsid w:val="002C68E4"/>
    <w:rsid w:val="002C69E5"/>
    <w:rsid w:val="002C6B57"/>
    <w:rsid w:val="002C6BBA"/>
    <w:rsid w:val="002C6ECC"/>
    <w:rsid w:val="002C6F2A"/>
    <w:rsid w:val="002C70DE"/>
    <w:rsid w:val="002C717E"/>
    <w:rsid w:val="002C76E7"/>
    <w:rsid w:val="002C7D3E"/>
    <w:rsid w:val="002C7D68"/>
    <w:rsid w:val="002C7DBD"/>
    <w:rsid w:val="002C7E7B"/>
    <w:rsid w:val="002C7EE3"/>
    <w:rsid w:val="002D012E"/>
    <w:rsid w:val="002D0177"/>
    <w:rsid w:val="002D0227"/>
    <w:rsid w:val="002D087B"/>
    <w:rsid w:val="002D0929"/>
    <w:rsid w:val="002D09C3"/>
    <w:rsid w:val="002D09CF"/>
    <w:rsid w:val="002D09F0"/>
    <w:rsid w:val="002D0BDC"/>
    <w:rsid w:val="002D0C95"/>
    <w:rsid w:val="002D10B3"/>
    <w:rsid w:val="002D11A4"/>
    <w:rsid w:val="002D139D"/>
    <w:rsid w:val="002D14AC"/>
    <w:rsid w:val="002D158A"/>
    <w:rsid w:val="002D15E3"/>
    <w:rsid w:val="002D1729"/>
    <w:rsid w:val="002D1A38"/>
    <w:rsid w:val="002D1AEC"/>
    <w:rsid w:val="002D1AFC"/>
    <w:rsid w:val="002D1C0B"/>
    <w:rsid w:val="002D1D5C"/>
    <w:rsid w:val="002D20B9"/>
    <w:rsid w:val="002D20FD"/>
    <w:rsid w:val="002D2173"/>
    <w:rsid w:val="002D2228"/>
    <w:rsid w:val="002D22DF"/>
    <w:rsid w:val="002D2443"/>
    <w:rsid w:val="002D24CA"/>
    <w:rsid w:val="002D26F8"/>
    <w:rsid w:val="002D2DEA"/>
    <w:rsid w:val="002D3337"/>
    <w:rsid w:val="002D3338"/>
    <w:rsid w:val="002D3565"/>
    <w:rsid w:val="002D3584"/>
    <w:rsid w:val="002D35D0"/>
    <w:rsid w:val="002D36BA"/>
    <w:rsid w:val="002D37C7"/>
    <w:rsid w:val="002D3813"/>
    <w:rsid w:val="002D39A6"/>
    <w:rsid w:val="002D3A3F"/>
    <w:rsid w:val="002D3A43"/>
    <w:rsid w:val="002D3AC2"/>
    <w:rsid w:val="002D3B0D"/>
    <w:rsid w:val="002D3D32"/>
    <w:rsid w:val="002D3E39"/>
    <w:rsid w:val="002D4082"/>
    <w:rsid w:val="002D40ED"/>
    <w:rsid w:val="002D4122"/>
    <w:rsid w:val="002D4304"/>
    <w:rsid w:val="002D4501"/>
    <w:rsid w:val="002D45C7"/>
    <w:rsid w:val="002D45E4"/>
    <w:rsid w:val="002D478F"/>
    <w:rsid w:val="002D47A4"/>
    <w:rsid w:val="002D4A4F"/>
    <w:rsid w:val="002D4B11"/>
    <w:rsid w:val="002D4C84"/>
    <w:rsid w:val="002D4F91"/>
    <w:rsid w:val="002D50C2"/>
    <w:rsid w:val="002D5344"/>
    <w:rsid w:val="002D5496"/>
    <w:rsid w:val="002D54CC"/>
    <w:rsid w:val="002D554B"/>
    <w:rsid w:val="002D5810"/>
    <w:rsid w:val="002D584E"/>
    <w:rsid w:val="002D5ABB"/>
    <w:rsid w:val="002D5B3E"/>
    <w:rsid w:val="002D5BC6"/>
    <w:rsid w:val="002D5CC7"/>
    <w:rsid w:val="002D5E7F"/>
    <w:rsid w:val="002D5EBC"/>
    <w:rsid w:val="002D633C"/>
    <w:rsid w:val="002D638A"/>
    <w:rsid w:val="002D66BF"/>
    <w:rsid w:val="002D6736"/>
    <w:rsid w:val="002D67F6"/>
    <w:rsid w:val="002D68BE"/>
    <w:rsid w:val="002D68F3"/>
    <w:rsid w:val="002D6902"/>
    <w:rsid w:val="002D6CE9"/>
    <w:rsid w:val="002D6FF2"/>
    <w:rsid w:val="002D708D"/>
    <w:rsid w:val="002D70C5"/>
    <w:rsid w:val="002D7107"/>
    <w:rsid w:val="002D71BE"/>
    <w:rsid w:val="002D7295"/>
    <w:rsid w:val="002D7315"/>
    <w:rsid w:val="002D7581"/>
    <w:rsid w:val="002D75EA"/>
    <w:rsid w:val="002D78C5"/>
    <w:rsid w:val="002D7AEF"/>
    <w:rsid w:val="002D7D0B"/>
    <w:rsid w:val="002E00DB"/>
    <w:rsid w:val="002E014A"/>
    <w:rsid w:val="002E0251"/>
    <w:rsid w:val="002E0468"/>
    <w:rsid w:val="002E04C6"/>
    <w:rsid w:val="002E04E7"/>
    <w:rsid w:val="002E06C5"/>
    <w:rsid w:val="002E09CD"/>
    <w:rsid w:val="002E0D61"/>
    <w:rsid w:val="002E0F2C"/>
    <w:rsid w:val="002E0F85"/>
    <w:rsid w:val="002E1025"/>
    <w:rsid w:val="002E127B"/>
    <w:rsid w:val="002E1423"/>
    <w:rsid w:val="002E188F"/>
    <w:rsid w:val="002E1B96"/>
    <w:rsid w:val="002E1ECB"/>
    <w:rsid w:val="002E1FDA"/>
    <w:rsid w:val="002E2001"/>
    <w:rsid w:val="002E205B"/>
    <w:rsid w:val="002E20CA"/>
    <w:rsid w:val="002E2425"/>
    <w:rsid w:val="002E249A"/>
    <w:rsid w:val="002E25A7"/>
    <w:rsid w:val="002E27F5"/>
    <w:rsid w:val="002E2A0A"/>
    <w:rsid w:val="002E2B90"/>
    <w:rsid w:val="002E2F9A"/>
    <w:rsid w:val="002E2FFA"/>
    <w:rsid w:val="002E312B"/>
    <w:rsid w:val="002E32DC"/>
    <w:rsid w:val="002E340D"/>
    <w:rsid w:val="002E34E5"/>
    <w:rsid w:val="002E35A5"/>
    <w:rsid w:val="002E36D2"/>
    <w:rsid w:val="002E3755"/>
    <w:rsid w:val="002E387A"/>
    <w:rsid w:val="002E3908"/>
    <w:rsid w:val="002E3F83"/>
    <w:rsid w:val="002E4138"/>
    <w:rsid w:val="002E4160"/>
    <w:rsid w:val="002E41B5"/>
    <w:rsid w:val="002E45A5"/>
    <w:rsid w:val="002E4AE5"/>
    <w:rsid w:val="002E4D25"/>
    <w:rsid w:val="002E4D36"/>
    <w:rsid w:val="002E516E"/>
    <w:rsid w:val="002E5248"/>
    <w:rsid w:val="002E553E"/>
    <w:rsid w:val="002E5694"/>
    <w:rsid w:val="002E58A8"/>
    <w:rsid w:val="002E595F"/>
    <w:rsid w:val="002E5A74"/>
    <w:rsid w:val="002E5AE0"/>
    <w:rsid w:val="002E5B33"/>
    <w:rsid w:val="002E5F7F"/>
    <w:rsid w:val="002E6006"/>
    <w:rsid w:val="002E6767"/>
    <w:rsid w:val="002E6AAC"/>
    <w:rsid w:val="002E703C"/>
    <w:rsid w:val="002E718B"/>
    <w:rsid w:val="002E71D7"/>
    <w:rsid w:val="002E7288"/>
    <w:rsid w:val="002E768F"/>
    <w:rsid w:val="002E7D56"/>
    <w:rsid w:val="002E7D62"/>
    <w:rsid w:val="002E7F09"/>
    <w:rsid w:val="002E7F6A"/>
    <w:rsid w:val="002F0005"/>
    <w:rsid w:val="002F013C"/>
    <w:rsid w:val="002F02E1"/>
    <w:rsid w:val="002F02E6"/>
    <w:rsid w:val="002F0516"/>
    <w:rsid w:val="002F0538"/>
    <w:rsid w:val="002F0561"/>
    <w:rsid w:val="002F060A"/>
    <w:rsid w:val="002F07B1"/>
    <w:rsid w:val="002F0A80"/>
    <w:rsid w:val="002F0B2C"/>
    <w:rsid w:val="002F0B2E"/>
    <w:rsid w:val="002F111E"/>
    <w:rsid w:val="002F1461"/>
    <w:rsid w:val="002F1657"/>
    <w:rsid w:val="002F1896"/>
    <w:rsid w:val="002F19B8"/>
    <w:rsid w:val="002F1AD1"/>
    <w:rsid w:val="002F1B0F"/>
    <w:rsid w:val="002F1BD2"/>
    <w:rsid w:val="002F1DF5"/>
    <w:rsid w:val="002F1E7F"/>
    <w:rsid w:val="002F215D"/>
    <w:rsid w:val="002F22C3"/>
    <w:rsid w:val="002F22D5"/>
    <w:rsid w:val="002F22FE"/>
    <w:rsid w:val="002F2795"/>
    <w:rsid w:val="002F2AAB"/>
    <w:rsid w:val="002F3005"/>
    <w:rsid w:val="002F305F"/>
    <w:rsid w:val="002F30D3"/>
    <w:rsid w:val="002F32BF"/>
    <w:rsid w:val="002F33A3"/>
    <w:rsid w:val="002F3530"/>
    <w:rsid w:val="002F3617"/>
    <w:rsid w:val="002F3C47"/>
    <w:rsid w:val="002F4570"/>
    <w:rsid w:val="002F45A4"/>
    <w:rsid w:val="002F46A1"/>
    <w:rsid w:val="002F49FF"/>
    <w:rsid w:val="002F4B21"/>
    <w:rsid w:val="002F4E29"/>
    <w:rsid w:val="002F4E84"/>
    <w:rsid w:val="002F4F33"/>
    <w:rsid w:val="002F4F9D"/>
    <w:rsid w:val="002F52F9"/>
    <w:rsid w:val="002F532E"/>
    <w:rsid w:val="002F59DF"/>
    <w:rsid w:val="002F5A0A"/>
    <w:rsid w:val="002F5AAA"/>
    <w:rsid w:val="002F5CED"/>
    <w:rsid w:val="002F5D10"/>
    <w:rsid w:val="002F5D66"/>
    <w:rsid w:val="002F5D8A"/>
    <w:rsid w:val="002F5F64"/>
    <w:rsid w:val="002F5FDD"/>
    <w:rsid w:val="002F61E8"/>
    <w:rsid w:val="002F649B"/>
    <w:rsid w:val="002F69D0"/>
    <w:rsid w:val="002F6A99"/>
    <w:rsid w:val="002F6ECC"/>
    <w:rsid w:val="002F7183"/>
    <w:rsid w:val="002F726B"/>
    <w:rsid w:val="002F7434"/>
    <w:rsid w:val="002F74A8"/>
    <w:rsid w:val="002F76D0"/>
    <w:rsid w:val="002F798A"/>
    <w:rsid w:val="002F7C7D"/>
    <w:rsid w:val="002F7D2E"/>
    <w:rsid w:val="002F7ECF"/>
    <w:rsid w:val="003002E7"/>
    <w:rsid w:val="00300626"/>
    <w:rsid w:val="00300D34"/>
    <w:rsid w:val="00300DB5"/>
    <w:rsid w:val="00301105"/>
    <w:rsid w:val="00301585"/>
    <w:rsid w:val="003016A7"/>
    <w:rsid w:val="003016C9"/>
    <w:rsid w:val="00301A30"/>
    <w:rsid w:val="00301BE0"/>
    <w:rsid w:val="00302064"/>
    <w:rsid w:val="0030213B"/>
    <w:rsid w:val="003024A7"/>
    <w:rsid w:val="00302724"/>
    <w:rsid w:val="0030279D"/>
    <w:rsid w:val="00302B57"/>
    <w:rsid w:val="00302DC5"/>
    <w:rsid w:val="00302E3E"/>
    <w:rsid w:val="00302F00"/>
    <w:rsid w:val="0030322D"/>
    <w:rsid w:val="003032DC"/>
    <w:rsid w:val="00303392"/>
    <w:rsid w:val="003033F5"/>
    <w:rsid w:val="0030347F"/>
    <w:rsid w:val="003034AD"/>
    <w:rsid w:val="00303590"/>
    <w:rsid w:val="0030398F"/>
    <w:rsid w:val="00303A1D"/>
    <w:rsid w:val="00303CA3"/>
    <w:rsid w:val="00303E55"/>
    <w:rsid w:val="00304072"/>
    <w:rsid w:val="00304145"/>
    <w:rsid w:val="003042F2"/>
    <w:rsid w:val="0030435F"/>
    <w:rsid w:val="0030445A"/>
    <w:rsid w:val="00304860"/>
    <w:rsid w:val="003049BF"/>
    <w:rsid w:val="00304A83"/>
    <w:rsid w:val="00304B65"/>
    <w:rsid w:val="00304C69"/>
    <w:rsid w:val="00305037"/>
    <w:rsid w:val="003050D6"/>
    <w:rsid w:val="0030511E"/>
    <w:rsid w:val="0030534F"/>
    <w:rsid w:val="00305437"/>
    <w:rsid w:val="0030547A"/>
    <w:rsid w:val="003058EE"/>
    <w:rsid w:val="00305AB7"/>
    <w:rsid w:val="00305CD4"/>
    <w:rsid w:val="00305E98"/>
    <w:rsid w:val="00305F3E"/>
    <w:rsid w:val="003061B5"/>
    <w:rsid w:val="003063D3"/>
    <w:rsid w:val="00306780"/>
    <w:rsid w:val="003067DD"/>
    <w:rsid w:val="0030680B"/>
    <w:rsid w:val="00306864"/>
    <w:rsid w:val="003069BF"/>
    <w:rsid w:val="00306A1B"/>
    <w:rsid w:val="00306CF2"/>
    <w:rsid w:val="00306DAA"/>
    <w:rsid w:val="00306E0F"/>
    <w:rsid w:val="00306EC1"/>
    <w:rsid w:val="003072E5"/>
    <w:rsid w:val="00307590"/>
    <w:rsid w:val="003078E4"/>
    <w:rsid w:val="00307BEA"/>
    <w:rsid w:val="00307C85"/>
    <w:rsid w:val="003101CF"/>
    <w:rsid w:val="003104C0"/>
    <w:rsid w:val="00310643"/>
    <w:rsid w:val="003108EF"/>
    <w:rsid w:val="00310E01"/>
    <w:rsid w:val="00310F85"/>
    <w:rsid w:val="00310FA1"/>
    <w:rsid w:val="0031107F"/>
    <w:rsid w:val="00311140"/>
    <w:rsid w:val="00311D63"/>
    <w:rsid w:val="00312146"/>
    <w:rsid w:val="003121B1"/>
    <w:rsid w:val="00312298"/>
    <w:rsid w:val="0031231C"/>
    <w:rsid w:val="0031232A"/>
    <w:rsid w:val="0031276E"/>
    <w:rsid w:val="00312C1E"/>
    <w:rsid w:val="00313039"/>
    <w:rsid w:val="003130CE"/>
    <w:rsid w:val="0031323E"/>
    <w:rsid w:val="0031331E"/>
    <w:rsid w:val="003134B4"/>
    <w:rsid w:val="0031355D"/>
    <w:rsid w:val="00313628"/>
    <w:rsid w:val="003137BD"/>
    <w:rsid w:val="00313AE1"/>
    <w:rsid w:val="00313BDC"/>
    <w:rsid w:val="00313BF2"/>
    <w:rsid w:val="00313CFC"/>
    <w:rsid w:val="00313DCA"/>
    <w:rsid w:val="00313EFC"/>
    <w:rsid w:val="00313F9E"/>
    <w:rsid w:val="003142BE"/>
    <w:rsid w:val="003142CF"/>
    <w:rsid w:val="003143DD"/>
    <w:rsid w:val="00314841"/>
    <w:rsid w:val="003148E7"/>
    <w:rsid w:val="00314E10"/>
    <w:rsid w:val="00314E67"/>
    <w:rsid w:val="003150EE"/>
    <w:rsid w:val="00315180"/>
    <w:rsid w:val="003151B9"/>
    <w:rsid w:val="00315496"/>
    <w:rsid w:val="00315627"/>
    <w:rsid w:val="0031590D"/>
    <w:rsid w:val="00315B69"/>
    <w:rsid w:val="00315B8B"/>
    <w:rsid w:val="00315EF6"/>
    <w:rsid w:val="00315F14"/>
    <w:rsid w:val="00315F82"/>
    <w:rsid w:val="00316168"/>
    <w:rsid w:val="0031620C"/>
    <w:rsid w:val="0031621D"/>
    <w:rsid w:val="00316363"/>
    <w:rsid w:val="003169C2"/>
    <w:rsid w:val="00316A1E"/>
    <w:rsid w:val="00316BE3"/>
    <w:rsid w:val="00316C27"/>
    <w:rsid w:val="00316DE5"/>
    <w:rsid w:val="00316F6F"/>
    <w:rsid w:val="0031700B"/>
    <w:rsid w:val="00317024"/>
    <w:rsid w:val="0031704A"/>
    <w:rsid w:val="003170ED"/>
    <w:rsid w:val="003173E9"/>
    <w:rsid w:val="0031760C"/>
    <w:rsid w:val="003176DE"/>
    <w:rsid w:val="00317701"/>
    <w:rsid w:val="00317960"/>
    <w:rsid w:val="00317C00"/>
    <w:rsid w:val="00317C6A"/>
    <w:rsid w:val="00317CF3"/>
    <w:rsid w:val="00317F42"/>
    <w:rsid w:val="00320114"/>
    <w:rsid w:val="0032031A"/>
    <w:rsid w:val="00320597"/>
    <w:rsid w:val="00320710"/>
    <w:rsid w:val="0032099A"/>
    <w:rsid w:val="00320AE8"/>
    <w:rsid w:val="00320EEA"/>
    <w:rsid w:val="00320F29"/>
    <w:rsid w:val="00321119"/>
    <w:rsid w:val="0032129C"/>
    <w:rsid w:val="00321380"/>
    <w:rsid w:val="003213C9"/>
    <w:rsid w:val="003213DF"/>
    <w:rsid w:val="0032141F"/>
    <w:rsid w:val="00321566"/>
    <w:rsid w:val="003215C0"/>
    <w:rsid w:val="0032166C"/>
    <w:rsid w:val="0032166D"/>
    <w:rsid w:val="00321704"/>
    <w:rsid w:val="00321734"/>
    <w:rsid w:val="003219E1"/>
    <w:rsid w:val="00321AAC"/>
    <w:rsid w:val="00321E46"/>
    <w:rsid w:val="00321FCE"/>
    <w:rsid w:val="00322081"/>
    <w:rsid w:val="0032208D"/>
    <w:rsid w:val="003222F2"/>
    <w:rsid w:val="003229F0"/>
    <w:rsid w:val="00322B16"/>
    <w:rsid w:val="00322CF7"/>
    <w:rsid w:val="00322D45"/>
    <w:rsid w:val="00322D91"/>
    <w:rsid w:val="00322E14"/>
    <w:rsid w:val="00322E25"/>
    <w:rsid w:val="00322E8B"/>
    <w:rsid w:val="00323081"/>
    <w:rsid w:val="00323086"/>
    <w:rsid w:val="0032314E"/>
    <w:rsid w:val="003233BD"/>
    <w:rsid w:val="0032384B"/>
    <w:rsid w:val="003239C7"/>
    <w:rsid w:val="003239DA"/>
    <w:rsid w:val="00323E12"/>
    <w:rsid w:val="00323E98"/>
    <w:rsid w:val="00323EB0"/>
    <w:rsid w:val="00324069"/>
    <w:rsid w:val="00324559"/>
    <w:rsid w:val="003248C3"/>
    <w:rsid w:val="0032493B"/>
    <w:rsid w:val="00324B54"/>
    <w:rsid w:val="00324BE2"/>
    <w:rsid w:val="00324BF7"/>
    <w:rsid w:val="00324C7C"/>
    <w:rsid w:val="00324EB0"/>
    <w:rsid w:val="00325034"/>
    <w:rsid w:val="00325052"/>
    <w:rsid w:val="00325453"/>
    <w:rsid w:val="00325540"/>
    <w:rsid w:val="003256BA"/>
    <w:rsid w:val="0032571F"/>
    <w:rsid w:val="00325731"/>
    <w:rsid w:val="003257F2"/>
    <w:rsid w:val="00325808"/>
    <w:rsid w:val="003258B5"/>
    <w:rsid w:val="00325C61"/>
    <w:rsid w:val="00325C6B"/>
    <w:rsid w:val="00325FBC"/>
    <w:rsid w:val="003260C4"/>
    <w:rsid w:val="00326310"/>
    <w:rsid w:val="00326318"/>
    <w:rsid w:val="00326505"/>
    <w:rsid w:val="00326544"/>
    <w:rsid w:val="003265F2"/>
    <w:rsid w:val="00326662"/>
    <w:rsid w:val="0032674F"/>
    <w:rsid w:val="00326984"/>
    <w:rsid w:val="003269A0"/>
    <w:rsid w:val="003269FE"/>
    <w:rsid w:val="00326A36"/>
    <w:rsid w:val="00326A3E"/>
    <w:rsid w:val="0032737B"/>
    <w:rsid w:val="00327550"/>
    <w:rsid w:val="00327668"/>
    <w:rsid w:val="00327887"/>
    <w:rsid w:val="003278EC"/>
    <w:rsid w:val="00327A93"/>
    <w:rsid w:val="00327D5B"/>
    <w:rsid w:val="00327E33"/>
    <w:rsid w:val="00327E4F"/>
    <w:rsid w:val="003300CB"/>
    <w:rsid w:val="00330304"/>
    <w:rsid w:val="00330401"/>
    <w:rsid w:val="0033040E"/>
    <w:rsid w:val="003307EB"/>
    <w:rsid w:val="00331377"/>
    <w:rsid w:val="0033148D"/>
    <w:rsid w:val="003314A6"/>
    <w:rsid w:val="00331568"/>
    <w:rsid w:val="003315B1"/>
    <w:rsid w:val="003317C6"/>
    <w:rsid w:val="003319E8"/>
    <w:rsid w:val="00331A81"/>
    <w:rsid w:val="00331C41"/>
    <w:rsid w:val="00331D3A"/>
    <w:rsid w:val="00331DD3"/>
    <w:rsid w:val="00331DFA"/>
    <w:rsid w:val="00331EF5"/>
    <w:rsid w:val="0033204B"/>
    <w:rsid w:val="0033215B"/>
    <w:rsid w:val="00332704"/>
    <w:rsid w:val="00332AE2"/>
    <w:rsid w:val="00332D76"/>
    <w:rsid w:val="00332EFF"/>
    <w:rsid w:val="0033317C"/>
    <w:rsid w:val="00333194"/>
    <w:rsid w:val="00333222"/>
    <w:rsid w:val="00333732"/>
    <w:rsid w:val="00333B21"/>
    <w:rsid w:val="00333F7B"/>
    <w:rsid w:val="00334028"/>
    <w:rsid w:val="0033415B"/>
    <w:rsid w:val="003343A2"/>
    <w:rsid w:val="003343C7"/>
    <w:rsid w:val="003344DF"/>
    <w:rsid w:val="0033461E"/>
    <w:rsid w:val="0033463A"/>
    <w:rsid w:val="00334724"/>
    <w:rsid w:val="00334950"/>
    <w:rsid w:val="00334A2A"/>
    <w:rsid w:val="00334A9D"/>
    <w:rsid w:val="00334C91"/>
    <w:rsid w:val="00334D7C"/>
    <w:rsid w:val="00335068"/>
    <w:rsid w:val="0033508E"/>
    <w:rsid w:val="003350AD"/>
    <w:rsid w:val="00335202"/>
    <w:rsid w:val="003352E4"/>
    <w:rsid w:val="003355E8"/>
    <w:rsid w:val="003355F6"/>
    <w:rsid w:val="0033566E"/>
    <w:rsid w:val="0033572C"/>
    <w:rsid w:val="0033579D"/>
    <w:rsid w:val="0033589F"/>
    <w:rsid w:val="003358C6"/>
    <w:rsid w:val="003358E5"/>
    <w:rsid w:val="00335BAE"/>
    <w:rsid w:val="00335DBE"/>
    <w:rsid w:val="0033605C"/>
    <w:rsid w:val="003361E9"/>
    <w:rsid w:val="003362B2"/>
    <w:rsid w:val="003362EB"/>
    <w:rsid w:val="003364B8"/>
    <w:rsid w:val="00336A37"/>
    <w:rsid w:val="00336AEF"/>
    <w:rsid w:val="00336C55"/>
    <w:rsid w:val="00336CC2"/>
    <w:rsid w:val="00336EBD"/>
    <w:rsid w:val="00336EE1"/>
    <w:rsid w:val="0033769D"/>
    <w:rsid w:val="003379E6"/>
    <w:rsid w:val="00337AA1"/>
    <w:rsid w:val="00337DCE"/>
    <w:rsid w:val="00337F11"/>
    <w:rsid w:val="00340100"/>
    <w:rsid w:val="003403FB"/>
    <w:rsid w:val="003405F1"/>
    <w:rsid w:val="00340944"/>
    <w:rsid w:val="003409B8"/>
    <w:rsid w:val="00340C55"/>
    <w:rsid w:val="00340CAB"/>
    <w:rsid w:val="00340CCD"/>
    <w:rsid w:val="00340D11"/>
    <w:rsid w:val="00340FBE"/>
    <w:rsid w:val="0034106B"/>
    <w:rsid w:val="0034144F"/>
    <w:rsid w:val="00341605"/>
    <w:rsid w:val="00341767"/>
    <w:rsid w:val="003419C7"/>
    <w:rsid w:val="00341EEF"/>
    <w:rsid w:val="00342044"/>
    <w:rsid w:val="00342257"/>
    <w:rsid w:val="003423D5"/>
    <w:rsid w:val="00342412"/>
    <w:rsid w:val="00342451"/>
    <w:rsid w:val="0034259F"/>
    <w:rsid w:val="003426D4"/>
    <w:rsid w:val="00342868"/>
    <w:rsid w:val="003428EB"/>
    <w:rsid w:val="00342B77"/>
    <w:rsid w:val="00342BC4"/>
    <w:rsid w:val="00342DBA"/>
    <w:rsid w:val="00342DF9"/>
    <w:rsid w:val="003430A5"/>
    <w:rsid w:val="003431F3"/>
    <w:rsid w:val="003434BE"/>
    <w:rsid w:val="003435A8"/>
    <w:rsid w:val="003435D5"/>
    <w:rsid w:val="00343793"/>
    <w:rsid w:val="00343974"/>
    <w:rsid w:val="00343A28"/>
    <w:rsid w:val="00343BC6"/>
    <w:rsid w:val="00343E30"/>
    <w:rsid w:val="00344421"/>
    <w:rsid w:val="00344862"/>
    <w:rsid w:val="00344928"/>
    <w:rsid w:val="00344A02"/>
    <w:rsid w:val="00344C87"/>
    <w:rsid w:val="00344CE2"/>
    <w:rsid w:val="00344D85"/>
    <w:rsid w:val="003450AE"/>
    <w:rsid w:val="003455FB"/>
    <w:rsid w:val="00345645"/>
    <w:rsid w:val="003456B1"/>
    <w:rsid w:val="00345764"/>
    <w:rsid w:val="0034583E"/>
    <w:rsid w:val="0034598D"/>
    <w:rsid w:val="00345A79"/>
    <w:rsid w:val="00345CB6"/>
    <w:rsid w:val="00346010"/>
    <w:rsid w:val="00346354"/>
    <w:rsid w:val="00346363"/>
    <w:rsid w:val="003463DA"/>
    <w:rsid w:val="0034679B"/>
    <w:rsid w:val="003469BD"/>
    <w:rsid w:val="003469DA"/>
    <w:rsid w:val="003469EB"/>
    <w:rsid w:val="00346B1F"/>
    <w:rsid w:val="00346BCA"/>
    <w:rsid w:val="00346D90"/>
    <w:rsid w:val="00346E81"/>
    <w:rsid w:val="003470BD"/>
    <w:rsid w:val="0034724D"/>
    <w:rsid w:val="003472F4"/>
    <w:rsid w:val="00347365"/>
    <w:rsid w:val="00347619"/>
    <w:rsid w:val="0034773D"/>
    <w:rsid w:val="00347A19"/>
    <w:rsid w:val="00347A79"/>
    <w:rsid w:val="00347AFC"/>
    <w:rsid w:val="00347B0D"/>
    <w:rsid w:val="00347D8B"/>
    <w:rsid w:val="00350035"/>
    <w:rsid w:val="00350192"/>
    <w:rsid w:val="00350427"/>
    <w:rsid w:val="00350551"/>
    <w:rsid w:val="0035059B"/>
    <w:rsid w:val="0035072C"/>
    <w:rsid w:val="00350880"/>
    <w:rsid w:val="003508A8"/>
    <w:rsid w:val="00350B5D"/>
    <w:rsid w:val="00350C62"/>
    <w:rsid w:val="00350E31"/>
    <w:rsid w:val="0035114D"/>
    <w:rsid w:val="00351214"/>
    <w:rsid w:val="00351640"/>
    <w:rsid w:val="003517AD"/>
    <w:rsid w:val="00351A71"/>
    <w:rsid w:val="00351E98"/>
    <w:rsid w:val="00351ED0"/>
    <w:rsid w:val="0035275C"/>
    <w:rsid w:val="00352793"/>
    <w:rsid w:val="00352B90"/>
    <w:rsid w:val="00352D05"/>
    <w:rsid w:val="0035307A"/>
    <w:rsid w:val="003531D3"/>
    <w:rsid w:val="003531DE"/>
    <w:rsid w:val="00353203"/>
    <w:rsid w:val="0035357F"/>
    <w:rsid w:val="00353645"/>
    <w:rsid w:val="00353906"/>
    <w:rsid w:val="00353C41"/>
    <w:rsid w:val="00353F2F"/>
    <w:rsid w:val="00353FF2"/>
    <w:rsid w:val="00354091"/>
    <w:rsid w:val="003540B5"/>
    <w:rsid w:val="003541B0"/>
    <w:rsid w:val="0035452C"/>
    <w:rsid w:val="003547F3"/>
    <w:rsid w:val="00354AAD"/>
    <w:rsid w:val="0035514D"/>
    <w:rsid w:val="003551B9"/>
    <w:rsid w:val="00355326"/>
    <w:rsid w:val="003556D2"/>
    <w:rsid w:val="0035573A"/>
    <w:rsid w:val="00355C8F"/>
    <w:rsid w:val="00356723"/>
    <w:rsid w:val="003567D4"/>
    <w:rsid w:val="003568D2"/>
    <w:rsid w:val="00356EE9"/>
    <w:rsid w:val="00356F51"/>
    <w:rsid w:val="003570D1"/>
    <w:rsid w:val="003570E0"/>
    <w:rsid w:val="00357536"/>
    <w:rsid w:val="0035765D"/>
    <w:rsid w:val="003576CA"/>
    <w:rsid w:val="00357724"/>
    <w:rsid w:val="00357903"/>
    <w:rsid w:val="00357B50"/>
    <w:rsid w:val="00357C5D"/>
    <w:rsid w:val="00357CD5"/>
    <w:rsid w:val="00357D2A"/>
    <w:rsid w:val="00357DEE"/>
    <w:rsid w:val="00360515"/>
    <w:rsid w:val="003605CC"/>
    <w:rsid w:val="0036065C"/>
    <w:rsid w:val="00360734"/>
    <w:rsid w:val="0036090D"/>
    <w:rsid w:val="00360A61"/>
    <w:rsid w:val="00360C53"/>
    <w:rsid w:val="00360C9D"/>
    <w:rsid w:val="00360CCB"/>
    <w:rsid w:val="00360CD0"/>
    <w:rsid w:val="00360EBD"/>
    <w:rsid w:val="0036100E"/>
    <w:rsid w:val="003610DA"/>
    <w:rsid w:val="00361136"/>
    <w:rsid w:val="003611CE"/>
    <w:rsid w:val="003615B4"/>
    <w:rsid w:val="00361904"/>
    <w:rsid w:val="00361B5D"/>
    <w:rsid w:val="00361D4A"/>
    <w:rsid w:val="00361D53"/>
    <w:rsid w:val="00361E87"/>
    <w:rsid w:val="00361EC6"/>
    <w:rsid w:val="00361FC8"/>
    <w:rsid w:val="0036279B"/>
    <w:rsid w:val="0036284B"/>
    <w:rsid w:val="00362C6B"/>
    <w:rsid w:val="00362CDA"/>
    <w:rsid w:val="00362D5E"/>
    <w:rsid w:val="00362E17"/>
    <w:rsid w:val="0036302F"/>
    <w:rsid w:val="00363486"/>
    <w:rsid w:val="003634FA"/>
    <w:rsid w:val="0036364E"/>
    <w:rsid w:val="0036374E"/>
    <w:rsid w:val="00363A90"/>
    <w:rsid w:val="00363C84"/>
    <w:rsid w:val="00363E30"/>
    <w:rsid w:val="00363E85"/>
    <w:rsid w:val="00364125"/>
    <w:rsid w:val="0036421D"/>
    <w:rsid w:val="003642CA"/>
    <w:rsid w:val="003642EF"/>
    <w:rsid w:val="00364575"/>
    <w:rsid w:val="003645C9"/>
    <w:rsid w:val="0036499D"/>
    <w:rsid w:val="003649F4"/>
    <w:rsid w:val="00364AA0"/>
    <w:rsid w:val="00364F69"/>
    <w:rsid w:val="00364FBD"/>
    <w:rsid w:val="003651E4"/>
    <w:rsid w:val="00365404"/>
    <w:rsid w:val="003658A4"/>
    <w:rsid w:val="003658EE"/>
    <w:rsid w:val="003658F7"/>
    <w:rsid w:val="0036596E"/>
    <w:rsid w:val="00365AAC"/>
    <w:rsid w:val="00365D82"/>
    <w:rsid w:val="00366094"/>
    <w:rsid w:val="003663D9"/>
    <w:rsid w:val="00366405"/>
    <w:rsid w:val="00366596"/>
    <w:rsid w:val="003668D4"/>
    <w:rsid w:val="003668D8"/>
    <w:rsid w:val="00366915"/>
    <w:rsid w:val="00366D3D"/>
    <w:rsid w:val="00366EAF"/>
    <w:rsid w:val="0036710A"/>
    <w:rsid w:val="00367145"/>
    <w:rsid w:val="0036732C"/>
    <w:rsid w:val="003674E5"/>
    <w:rsid w:val="00367769"/>
    <w:rsid w:val="003678BD"/>
    <w:rsid w:val="00367BE3"/>
    <w:rsid w:val="00367C06"/>
    <w:rsid w:val="00367E23"/>
    <w:rsid w:val="00367F89"/>
    <w:rsid w:val="0037007A"/>
    <w:rsid w:val="0037037A"/>
    <w:rsid w:val="00370541"/>
    <w:rsid w:val="003705C6"/>
    <w:rsid w:val="00370D68"/>
    <w:rsid w:val="00370DA2"/>
    <w:rsid w:val="00370F45"/>
    <w:rsid w:val="00370FE4"/>
    <w:rsid w:val="00371099"/>
    <w:rsid w:val="00371378"/>
    <w:rsid w:val="003714BA"/>
    <w:rsid w:val="0037172F"/>
    <w:rsid w:val="0037176E"/>
    <w:rsid w:val="0037186D"/>
    <w:rsid w:val="00371A4F"/>
    <w:rsid w:val="00371AAC"/>
    <w:rsid w:val="00371AC3"/>
    <w:rsid w:val="00371AF4"/>
    <w:rsid w:val="00371B2E"/>
    <w:rsid w:val="00371EAE"/>
    <w:rsid w:val="0037213C"/>
    <w:rsid w:val="0037213D"/>
    <w:rsid w:val="003721BF"/>
    <w:rsid w:val="003723C2"/>
    <w:rsid w:val="0037244C"/>
    <w:rsid w:val="00372452"/>
    <w:rsid w:val="0037263D"/>
    <w:rsid w:val="0037274C"/>
    <w:rsid w:val="0037277B"/>
    <w:rsid w:val="00372AC8"/>
    <w:rsid w:val="00372DD8"/>
    <w:rsid w:val="00372EEF"/>
    <w:rsid w:val="00373115"/>
    <w:rsid w:val="003736F1"/>
    <w:rsid w:val="00373745"/>
    <w:rsid w:val="00373838"/>
    <w:rsid w:val="00373944"/>
    <w:rsid w:val="00373B18"/>
    <w:rsid w:val="003740CE"/>
    <w:rsid w:val="0037425F"/>
    <w:rsid w:val="00374295"/>
    <w:rsid w:val="003743B3"/>
    <w:rsid w:val="003743C1"/>
    <w:rsid w:val="00374713"/>
    <w:rsid w:val="00374A21"/>
    <w:rsid w:val="00374AA0"/>
    <w:rsid w:val="00374E17"/>
    <w:rsid w:val="0037502A"/>
    <w:rsid w:val="0037525B"/>
    <w:rsid w:val="00375372"/>
    <w:rsid w:val="0037544B"/>
    <w:rsid w:val="00375609"/>
    <w:rsid w:val="00375613"/>
    <w:rsid w:val="0037564A"/>
    <w:rsid w:val="003756DA"/>
    <w:rsid w:val="003756E6"/>
    <w:rsid w:val="0037580B"/>
    <w:rsid w:val="0037583B"/>
    <w:rsid w:val="0037588D"/>
    <w:rsid w:val="00375AD3"/>
    <w:rsid w:val="00375B34"/>
    <w:rsid w:val="00375C5D"/>
    <w:rsid w:val="00375D93"/>
    <w:rsid w:val="00375E10"/>
    <w:rsid w:val="00376024"/>
    <w:rsid w:val="003765C8"/>
    <w:rsid w:val="0037669A"/>
    <w:rsid w:val="003769AB"/>
    <w:rsid w:val="00376B1E"/>
    <w:rsid w:val="00376BAA"/>
    <w:rsid w:val="00376BBB"/>
    <w:rsid w:val="00376E55"/>
    <w:rsid w:val="00376F93"/>
    <w:rsid w:val="00377201"/>
    <w:rsid w:val="0037728A"/>
    <w:rsid w:val="00377403"/>
    <w:rsid w:val="00377462"/>
    <w:rsid w:val="003774CF"/>
    <w:rsid w:val="003775EB"/>
    <w:rsid w:val="003775FA"/>
    <w:rsid w:val="00377775"/>
    <w:rsid w:val="003778DF"/>
    <w:rsid w:val="0037790A"/>
    <w:rsid w:val="00377986"/>
    <w:rsid w:val="00377AA0"/>
    <w:rsid w:val="00377B63"/>
    <w:rsid w:val="00377F0D"/>
    <w:rsid w:val="00377FD3"/>
    <w:rsid w:val="00380048"/>
    <w:rsid w:val="003803B7"/>
    <w:rsid w:val="0038047F"/>
    <w:rsid w:val="0038062C"/>
    <w:rsid w:val="00380C1E"/>
    <w:rsid w:val="00380F2D"/>
    <w:rsid w:val="0038111F"/>
    <w:rsid w:val="003812D0"/>
    <w:rsid w:val="00381329"/>
    <w:rsid w:val="00381465"/>
    <w:rsid w:val="00381490"/>
    <w:rsid w:val="003814B1"/>
    <w:rsid w:val="003817B9"/>
    <w:rsid w:val="00381D4B"/>
    <w:rsid w:val="00381D91"/>
    <w:rsid w:val="00381FF4"/>
    <w:rsid w:val="00382550"/>
    <w:rsid w:val="003826AE"/>
    <w:rsid w:val="00382A42"/>
    <w:rsid w:val="00382BB4"/>
    <w:rsid w:val="00382C07"/>
    <w:rsid w:val="00382CF2"/>
    <w:rsid w:val="00382EB0"/>
    <w:rsid w:val="00383122"/>
    <w:rsid w:val="0038327C"/>
    <w:rsid w:val="003832BC"/>
    <w:rsid w:val="003837B2"/>
    <w:rsid w:val="00383825"/>
    <w:rsid w:val="00383A35"/>
    <w:rsid w:val="00383ADC"/>
    <w:rsid w:val="00383BAA"/>
    <w:rsid w:val="00383E38"/>
    <w:rsid w:val="00383E4C"/>
    <w:rsid w:val="00383EC5"/>
    <w:rsid w:val="00383F30"/>
    <w:rsid w:val="003840B7"/>
    <w:rsid w:val="0038417B"/>
    <w:rsid w:val="00384463"/>
    <w:rsid w:val="0038467B"/>
    <w:rsid w:val="0038474D"/>
    <w:rsid w:val="0038479E"/>
    <w:rsid w:val="003848D2"/>
    <w:rsid w:val="0038495B"/>
    <w:rsid w:val="003849DE"/>
    <w:rsid w:val="00384C49"/>
    <w:rsid w:val="00384CA5"/>
    <w:rsid w:val="00384EF9"/>
    <w:rsid w:val="0038507E"/>
    <w:rsid w:val="00385354"/>
    <w:rsid w:val="00385503"/>
    <w:rsid w:val="00385649"/>
    <w:rsid w:val="00385889"/>
    <w:rsid w:val="0038593B"/>
    <w:rsid w:val="00385A2A"/>
    <w:rsid w:val="00385BE7"/>
    <w:rsid w:val="00385CD2"/>
    <w:rsid w:val="00385D21"/>
    <w:rsid w:val="00385D74"/>
    <w:rsid w:val="00385FBC"/>
    <w:rsid w:val="0038666A"/>
    <w:rsid w:val="003868DF"/>
    <w:rsid w:val="00386938"/>
    <w:rsid w:val="00386D79"/>
    <w:rsid w:val="00386E34"/>
    <w:rsid w:val="00387017"/>
    <w:rsid w:val="0038713A"/>
    <w:rsid w:val="0038725E"/>
    <w:rsid w:val="003874C0"/>
    <w:rsid w:val="003876B9"/>
    <w:rsid w:val="0038778E"/>
    <w:rsid w:val="00387791"/>
    <w:rsid w:val="00387914"/>
    <w:rsid w:val="00387BDC"/>
    <w:rsid w:val="00387CC6"/>
    <w:rsid w:val="003901D5"/>
    <w:rsid w:val="003901E4"/>
    <w:rsid w:val="00390310"/>
    <w:rsid w:val="0039039E"/>
    <w:rsid w:val="00390476"/>
    <w:rsid w:val="003905A1"/>
    <w:rsid w:val="00390606"/>
    <w:rsid w:val="0039068D"/>
    <w:rsid w:val="00390938"/>
    <w:rsid w:val="00390AC6"/>
    <w:rsid w:val="00390FB4"/>
    <w:rsid w:val="003910B0"/>
    <w:rsid w:val="003911FA"/>
    <w:rsid w:val="003912B7"/>
    <w:rsid w:val="003912F5"/>
    <w:rsid w:val="00391440"/>
    <w:rsid w:val="003914F3"/>
    <w:rsid w:val="00391632"/>
    <w:rsid w:val="00391639"/>
    <w:rsid w:val="003916AF"/>
    <w:rsid w:val="003917B0"/>
    <w:rsid w:val="0039185C"/>
    <w:rsid w:val="003919A1"/>
    <w:rsid w:val="00391A4F"/>
    <w:rsid w:val="00391D50"/>
    <w:rsid w:val="0039200A"/>
    <w:rsid w:val="00392379"/>
    <w:rsid w:val="0039246D"/>
    <w:rsid w:val="003924BD"/>
    <w:rsid w:val="00392793"/>
    <w:rsid w:val="003929E1"/>
    <w:rsid w:val="00392C58"/>
    <w:rsid w:val="00392CD5"/>
    <w:rsid w:val="00392DC7"/>
    <w:rsid w:val="00392EA9"/>
    <w:rsid w:val="00392EF3"/>
    <w:rsid w:val="00393029"/>
    <w:rsid w:val="00393680"/>
    <w:rsid w:val="003938A3"/>
    <w:rsid w:val="00393D91"/>
    <w:rsid w:val="00393E31"/>
    <w:rsid w:val="00393E57"/>
    <w:rsid w:val="00393E58"/>
    <w:rsid w:val="00393FA4"/>
    <w:rsid w:val="00394166"/>
    <w:rsid w:val="0039447C"/>
    <w:rsid w:val="003946AA"/>
    <w:rsid w:val="003948BC"/>
    <w:rsid w:val="00394928"/>
    <w:rsid w:val="00394972"/>
    <w:rsid w:val="00394A1B"/>
    <w:rsid w:val="00394AA0"/>
    <w:rsid w:val="00394B82"/>
    <w:rsid w:val="00394C64"/>
    <w:rsid w:val="00394D9B"/>
    <w:rsid w:val="00394DBE"/>
    <w:rsid w:val="00394E3A"/>
    <w:rsid w:val="00394F63"/>
    <w:rsid w:val="003950EB"/>
    <w:rsid w:val="0039513C"/>
    <w:rsid w:val="003952F0"/>
    <w:rsid w:val="00395343"/>
    <w:rsid w:val="0039551C"/>
    <w:rsid w:val="0039554B"/>
    <w:rsid w:val="0039590E"/>
    <w:rsid w:val="00395C5C"/>
    <w:rsid w:val="00395D04"/>
    <w:rsid w:val="00395F1B"/>
    <w:rsid w:val="00395F62"/>
    <w:rsid w:val="003960C8"/>
    <w:rsid w:val="00396260"/>
    <w:rsid w:val="0039631A"/>
    <w:rsid w:val="00396586"/>
    <w:rsid w:val="003965ED"/>
    <w:rsid w:val="00396704"/>
    <w:rsid w:val="0039681D"/>
    <w:rsid w:val="00396979"/>
    <w:rsid w:val="003969C3"/>
    <w:rsid w:val="00396B55"/>
    <w:rsid w:val="00396C64"/>
    <w:rsid w:val="00396D8F"/>
    <w:rsid w:val="00396EDA"/>
    <w:rsid w:val="0039753B"/>
    <w:rsid w:val="003977FD"/>
    <w:rsid w:val="00397803"/>
    <w:rsid w:val="0039786F"/>
    <w:rsid w:val="00397B13"/>
    <w:rsid w:val="00397B65"/>
    <w:rsid w:val="00397BF9"/>
    <w:rsid w:val="00397C12"/>
    <w:rsid w:val="00397D03"/>
    <w:rsid w:val="00397FCF"/>
    <w:rsid w:val="00397FE1"/>
    <w:rsid w:val="003A0035"/>
    <w:rsid w:val="003A01DA"/>
    <w:rsid w:val="003A0A4B"/>
    <w:rsid w:val="003A0ECD"/>
    <w:rsid w:val="003A1011"/>
    <w:rsid w:val="003A1146"/>
    <w:rsid w:val="003A12C3"/>
    <w:rsid w:val="003A1320"/>
    <w:rsid w:val="003A1379"/>
    <w:rsid w:val="003A14AD"/>
    <w:rsid w:val="003A17D2"/>
    <w:rsid w:val="003A17D4"/>
    <w:rsid w:val="003A1974"/>
    <w:rsid w:val="003A1BDC"/>
    <w:rsid w:val="003A1CBB"/>
    <w:rsid w:val="003A1CD6"/>
    <w:rsid w:val="003A1DCB"/>
    <w:rsid w:val="003A22AB"/>
    <w:rsid w:val="003A22EB"/>
    <w:rsid w:val="003A240B"/>
    <w:rsid w:val="003A26AF"/>
    <w:rsid w:val="003A27D2"/>
    <w:rsid w:val="003A2BA8"/>
    <w:rsid w:val="003A2BFC"/>
    <w:rsid w:val="003A3169"/>
    <w:rsid w:val="003A31FE"/>
    <w:rsid w:val="003A3386"/>
    <w:rsid w:val="003A33BA"/>
    <w:rsid w:val="003A367D"/>
    <w:rsid w:val="003A382F"/>
    <w:rsid w:val="003A39CB"/>
    <w:rsid w:val="003A3BBF"/>
    <w:rsid w:val="003A3BF8"/>
    <w:rsid w:val="003A3EED"/>
    <w:rsid w:val="003A40DD"/>
    <w:rsid w:val="003A43CC"/>
    <w:rsid w:val="003A4791"/>
    <w:rsid w:val="003A4850"/>
    <w:rsid w:val="003A4852"/>
    <w:rsid w:val="003A48CA"/>
    <w:rsid w:val="003A48E2"/>
    <w:rsid w:val="003A4D31"/>
    <w:rsid w:val="003A4DCA"/>
    <w:rsid w:val="003A4E3E"/>
    <w:rsid w:val="003A4EF4"/>
    <w:rsid w:val="003A4F10"/>
    <w:rsid w:val="003A5419"/>
    <w:rsid w:val="003A5563"/>
    <w:rsid w:val="003A575F"/>
    <w:rsid w:val="003A5761"/>
    <w:rsid w:val="003A5881"/>
    <w:rsid w:val="003A5CF3"/>
    <w:rsid w:val="003A5E1B"/>
    <w:rsid w:val="003A601C"/>
    <w:rsid w:val="003A6114"/>
    <w:rsid w:val="003A611D"/>
    <w:rsid w:val="003A66F4"/>
    <w:rsid w:val="003A6B1D"/>
    <w:rsid w:val="003A6C1D"/>
    <w:rsid w:val="003A6E71"/>
    <w:rsid w:val="003A6FF4"/>
    <w:rsid w:val="003A73D1"/>
    <w:rsid w:val="003A7679"/>
    <w:rsid w:val="003A7B0E"/>
    <w:rsid w:val="003A7BE0"/>
    <w:rsid w:val="003A7C24"/>
    <w:rsid w:val="003A7E12"/>
    <w:rsid w:val="003A7E6F"/>
    <w:rsid w:val="003B01C2"/>
    <w:rsid w:val="003B02D0"/>
    <w:rsid w:val="003B05E8"/>
    <w:rsid w:val="003B0870"/>
    <w:rsid w:val="003B08B2"/>
    <w:rsid w:val="003B09BE"/>
    <w:rsid w:val="003B0AB5"/>
    <w:rsid w:val="003B0B02"/>
    <w:rsid w:val="003B0B87"/>
    <w:rsid w:val="003B0DEB"/>
    <w:rsid w:val="003B0EBB"/>
    <w:rsid w:val="003B0F28"/>
    <w:rsid w:val="003B1664"/>
    <w:rsid w:val="003B16E4"/>
    <w:rsid w:val="003B173A"/>
    <w:rsid w:val="003B1824"/>
    <w:rsid w:val="003B19EF"/>
    <w:rsid w:val="003B1A16"/>
    <w:rsid w:val="003B1A7B"/>
    <w:rsid w:val="003B1B35"/>
    <w:rsid w:val="003B1BD5"/>
    <w:rsid w:val="003B1E4D"/>
    <w:rsid w:val="003B1EAE"/>
    <w:rsid w:val="003B1F90"/>
    <w:rsid w:val="003B2207"/>
    <w:rsid w:val="003B229A"/>
    <w:rsid w:val="003B241C"/>
    <w:rsid w:val="003B24B8"/>
    <w:rsid w:val="003B2638"/>
    <w:rsid w:val="003B2751"/>
    <w:rsid w:val="003B283A"/>
    <w:rsid w:val="003B2890"/>
    <w:rsid w:val="003B2BA1"/>
    <w:rsid w:val="003B2DDA"/>
    <w:rsid w:val="003B3183"/>
    <w:rsid w:val="003B3242"/>
    <w:rsid w:val="003B32CB"/>
    <w:rsid w:val="003B374E"/>
    <w:rsid w:val="003B3892"/>
    <w:rsid w:val="003B38DC"/>
    <w:rsid w:val="003B39E2"/>
    <w:rsid w:val="003B3BF6"/>
    <w:rsid w:val="003B3CDC"/>
    <w:rsid w:val="003B3CFF"/>
    <w:rsid w:val="003B3F28"/>
    <w:rsid w:val="003B40DC"/>
    <w:rsid w:val="003B41E1"/>
    <w:rsid w:val="003B434D"/>
    <w:rsid w:val="003B4444"/>
    <w:rsid w:val="003B4612"/>
    <w:rsid w:val="003B4759"/>
    <w:rsid w:val="003B4933"/>
    <w:rsid w:val="003B499D"/>
    <w:rsid w:val="003B4D52"/>
    <w:rsid w:val="003B4E77"/>
    <w:rsid w:val="003B4EFE"/>
    <w:rsid w:val="003B502C"/>
    <w:rsid w:val="003B5272"/>
    <w:rsid w:val="003B52D4"/>
    <w:rsid w:val="003B53CF"/>
    <w:rsid w:val="003B55AC"/>
    <w:rsid w:val="003B5642"/>
    <w:rsid w:val="003B5C00"/>
    <w:rsid w:val="003B5C9E"/>
    <w:rsid w:val="003B5E0E"/>
    <w:rsid w:val="003B5FA6"/>
    <w:rsid w:val="003B6455"/>
    <w:rsid w:val="003B66B0"/>
    <w:rsid w:val="003B6757"/>
    <w:rsid w:val="003B67CA"/>
    <w:rsid w:val="003B6F82"/>
    <w:rsid w:val="003B701D"/>
    <w:rsid w:val="003B7374"/>
    <w:rsid w:val="003B78AB"/>
    <w:rsid w:val="003B7B92"/>
    <w:rsid w:val="003B7BBF"/>
    <w:rsid w:val="003B7C72"/>
    <w:rsid w:val="003B7FD4"/>
    <w:rsid w:val="003C012E"/>
    <w:rsid w:val="003C01DB"/>
    <w:rsid w:val="003C0587"/>
    <w:rsid w:val="003C0689"/>
    <w:rsid w:val="003C07D9"/>
    <w:rsid w:val="003C09EA"/>
    <w:rsid w:val="003C0A58"/>
    <w:rsid w:val="003C0BC4"/>
    <w:rsid w:val="003C0BEF"/>
    <w:rsid w:val="003C0D78"/>
    <w:rsid w:val="003C0E78"/>
    <w:rsid w:val="003C0EE1"/>
    <w:rsid w:val="003C0F35"/>
    <w:rsid w:val="003C1102"/>
    <w:rsid w:val="003C11F8"/>
    <w:rsid w:val="003C141A"/>
    <w:rsid w:val="003C1600"/>
    <w:rsid w:val="003C179C"/>
    <w:rsid w:val="003C1823"/>
    <w:rsid w:val="003C1A9B"/>
    <w:rsid w:val="003C1B2B"/>
    <w:rsid w:val="003C1C1D"/>
    <w:rsid w:val="003C1DF5"/>
    <w:rsid w:val="003C2168"/>
    <w:rsid w:val="003C22B3"/>
    <w:rsid w:val="003C23FB"/>
    <w:rsid w:val="003C2418"/>
    <w:rsid w:val="003C283C"/>
    <w:rsid w:val="003C2B95"/>
    <w:rsid w:val="003C2C35"/>
    <w:rsid w:val="003C2C91"/>
    <w:rsid w:val="003C305A"/>
    <w:rsid w:val="003C3142"/>
    <w:rsid w:val="003C3364"/>
    <w:rsid w:val="003C33CE"/>
    <w:rsid w:val="003C343F"/>
    <w:rsid w:val="003C3494"/>
    <w:rsid w:val="003C34EE"/>
    <w:rsid w:val="003C385C"/>
    <w:rsid w:val="003C3CEB"/>
    <w:rsid w:val="003C3D39"/>
    <w:rsid w:val="003C3D62"/>
    <w:rsid w:val="003C4164"/>
    <w:rsid w:val="003C4264"/>
    <w:rsid w:val="003C4315"/>
    <w:rsid w:val="003C4D5B"/>
    <w:rsid w:val="003C4D8A"/>
    <w:rsid w:val="003C4FDF"/>
    <w:rsid w:val="003C5194"/>
    <w:rsid w:val="003C5359"/>
    <w:rsid w:val="003C5523"/>
    <w:rsid w:val="003C554E"/>
    <w:rsid w:val="003C55AB"/>
    <w:rsid w:val="003C57D1"/>
    <w:rsid w:val="003C5808"/>
    <w:rsid w:val="003C5BB1"/>
    <w:rsid w:val="003C5E67"/>
    <w:rsid w:val="003C600D"/>
    <w:rsid w:val="003C60D6"/>
    <w:rsid w:val="003C63DE"/>
    <w:rsid w:val="003C64BC"/>
    <w:rsid w:val="003C65FC"/>
    <w:rsid w:val="003C6734"/>
    <w:rsid w:val="003C678C"/>
    <w:rsid w:val="003C6908"/>
    <w:rsid w:val="003C6AE3"/>
    <w:rsid w:val="003C6B0B"/>
    <w:rsid w:val="003C6B18"/>
    <w:rsid w:val="003C6D7B"/>
    <w:rsid w:val="003C6E09"/>
    <w:rsid w:val="003C6E90"/>
    <w:rsid w:val="003C6F44"/>
    <w:rsid w:val="003C737D"/>
    <w:rsid w:val="003C749E"/>
    <w:rsid w:val="003C74A5"/>
    <w:rsid w:val="003C74EB"/>
    <w:rsid w:val="003C75E9"/>
    <w:rsid w:val="003C78D8"/>
    <w:rsid w:val="003C7B65"/>
    <w:rsid w:val="003C7E4D"/>
    <w:rsid w:val="003C7EB8"/>
    <w:rsid w:val="003D04E0"/>
    <w:rsid w:val="003D0561"/>
    <w:rsid w:val="003D080C"/>
    <w:rsid w:val="003D0AA9"/>
    <w:rsid w:val="003D107F"/>
    <w:rsid w:val="003D10B0"/>
    <w:rsid w:val="003D1110"/>
    <w:rsid w:val="003D123E"/>
    <w:rsid w:val="003D1272"/>
    <w:rsid w:val="003D14C7"/>
    <w:rsid w:val="003D1743"/>
    <w:rsid w:val="003D196C"/>
    <w:rsid w:val="003D240D"/>
    <w:rsid w:val="003D2435"/>
    <w:rsid w:val="003D244C"/>
    <w:rsid w:val="003D27E9"/>
    <w:rsid w:val="003D2877"/>
    <w:rsid w:val="003D29E1"/>
    <w:rsid w:val="003D2CE3"/>
    <w:rsid w:val="003D2D19"/>
    <w:rsid w:val="003D2D7F"/>
    <w:rsid w:val="003D2DC3"/>
    <w:rsid w:val="003D3163"/>
    <w:rsid w:val="003D3260"/>
    <w:rsid w:val="003D326A"/>
    <w:rsid w:val="003D337B"/>
    <w:rsid w:val="003D3396"/>
    <w:rsid w:val="003D33A6"/>
    <w:rsid w:val="003D371F"/>
    <w:rsid w:val="003D3759"/>
    <w:rsid w:val="003D3831"/>
    <w:rsid w:val="003D38EE"/>
    <w:rsid w:val="003D39CD"/>
    <w:rsid w:val="003D39CF"/>
    <w:rsid w:val="003D3A1B"/>
    <w:rsid w:val="003D3DD8"/>
    <w:rsid w:val="003D3E01"/>
    <w:rsid w:val="003D415C"/>
    <w:rsid w:val="003D4240"/>
    <w:rsid w:val="003D4334"/>
    <w:rsid w:val="003D44AC"/>
    <w:rsid w:val="003D4553"/>
    <w:rsid w:val="003D4711"/>
    <w:rsid w:val="003D4793"/>
    <w:rsid w:val="003D4887"/>
    <w:rsid w:val="003D4A95"/>
    <w:rsid w:val="003D4B3F"/>
    <w:rsid w:val="003D4DA1"/>
    <w:rsid w:val="003D4EBE"/>
    <w:rsid w:val="003D4F5A"/>
    <w:rsid w:val="003D5265"/>
    <w:rsid w:val="003D53B7"/>
    <w:rsid w:val="003D5466"/>
    <w:rsid w:val="003D57AC"/>
    <w:rsid w:val="003D593F"/>
    <w:rsid w:val="003D594F"/>
    <w:rsid w:val="003D5B27"/>
    <w:rsid w:val="003D5B3F"/>
    <w:rsid w:val="003D5C87"/>
    <w:rsid w:val="003D5D19"/>
    <w:rsid w:val="003D5EE7"/>
    <w:rsid w:val="003D5FD2"/>
    <w:rsid w:val="003D5FEE"/>
    <w:rsid w:val="003D61E4"/>
    <w:rsid w:val="003D6362"/>
    <w:rsid w:val="003D63DF"/>
    <w:rsid w:val="003D6419"/>
    <w:rsid w:val="003D6474"/>
    <w:rsid w:val="003D6484"/>
    <w:rsid w:val="003D64E6"/>
    <w:rsid w:val="003D660E"/>
    <w:rsid w:val="003D6693"/>
    <w:rsid w:val="003D67E0"/>
    <w:rsid w:val="003D682B"/>
    <w:rsid w:val="003D68AA"/>
    <w:rsid w:val="003D68B7"/>
    <w:rsid w:val="003D6967"/>
    <w:rsid w:val="003D6AEA"/>
    <w:rsid w:val="003D6DD3"/>
    <w:rsid w:val="003D6E50"/>
    <w:rsid w:val="003D6EA0"/>
    <w:rsid w:val="003D6F8C"/>
    <w:rsid w:val="003D7152"/>
    <w:rsid w:val="003D71A4"/>
    <w:rsid w:val="003D71E4"/>
    <w:rsid w:val="003D72BB"/>
    <w:rsid w:val="003D72CE"/>
    <w:rsid w:val="003D73CF"/>
    <w:rsid w:val="003D7707"/>
    <w:rsid w:val="003D77EA"/>
    <w:rsid w:val="003D7936"/>
    <w:rsid w:val="003D7B0D"/>
    <w:rsid w:val="003D7B85"/>
    <w:rsid w:val="003D7DAF"/>
    <w:rsid w:val="003E00D7"/>
    <w:rsid w:val="003E0182"/>
    <w:rsid w:val="003E0516"/>
    <w:rsid w:val="003E051A"/>
    <w:rsid w:val="003E0850"/>
    <w:rsid w:val="003E08E7"/>
    <w:rsid w:val="003E0B1E"/>
    <w:rsid w:val="003E0B4B"/>
    <w:rsid w:val="003E0D7D"/>
    <w:rsid w:val="003E0E17"/>
    <w:rsid w:val="003E0F79"/>
    <w:rsid w:val="003E1321"/>
    <w:rsid w:val="003E15C1"/>
    <w:rsid w:val="003E164E"/>
    <w:rsid w:val="003E1690"/>
    <w:rsid w:val="003E170E"/>
    <w:rsid w:val="003E1E64"/>
    <w:rsid w:val="003E2287"/>
    <w:rsid w:val="003E256B"/>
    <w:rsid w:val="003E264D"/>
    <w:rsid w:val="003E29D4"/>
    <w:rsid w:val="003E2AB4"/>
    <w:rsid w:val="003E2AD1"/>
    <w:rsid w:val="003E2B06"/>
    <w:rsid w:val="003E2B70"/>
    <w:rsid w:val="003E2B7D"/>
    <w:rsid w:val="003E2DB7"/>
    <w:rsid w:val="003E2F69"/>
    <w:rsid w:val="003E2F84"/>
    <w:rsid w:val="003E3066"/>
    <w:rsid w:val="003E31AC"/>
    <w:rsid w:val="003E3620"/>
    <w:rsid w:val="003E368A"/>
    <w:rsid w:val="003E37B3"/>
    <w:rsid w:val="003E3888"/>
    <w:rsid w:val="003E3CAB"/>
    <w:rsid w:val="003E3D54"/>
    <w:rsid w:val="003E3E70"/>
    <w:rsid w:val="003E3F21"/>
    <w:rsid w:val="003E3FA9"/>
    <w:rsid w:val="003E43AC"/>
    <w:rsid w:val="003E4458"/>
    <w:rsid w:val="003E448C"/>
    <w:rsid w:val="003E4610"/>
    <w:rsid w:val="003E470A"/>
    <w:rsid w:val="003E4975"/>
    <w:rsid w:val="003E4A4F"/>
    <w:rsid w:val="003E4BFB"/>
    <w:rsid w:val="003E4FCC"/>
    <w:rsid w:val="003E50FF"/>
    <w:rsid w:val="003E5113"/>
    <w:rsid w:val="003E5143"/>
    <w:rsid w:val="003E52AA"/>
    <w:rsid w:val="003E5319"/>
    <w:rsid w:val="003E532C"/>
    <w:rsid w:val="003E54C5"/>
    <w:rsid w:val="003E573C"/>
    <w:rsid w:val="003E59CA"/>
    <w:rsid w:val="003E5BF0"/>
    <w:rsid w:val="003E5E5B"/>
    <w:rsid w:val="003E5FC7"/>
    <w:rsid w:val="003E6007"/>
    <w:rsid w:val="003E617F"/>
    <w:rsid w:val="003E63FD"/>
    <w:rsid w:val="003E66A8"/>
    <w:rsid w:val="003E67E5"/>
    <w:rsid w:val="003E6A48"/>
    <w:rsid w:val="003E6ECC"/>
    <w:rsid w:val="003E71EE"/>
    <w:rsid w:val="003E73B4"/>
    <w:rsid w:val="003E7931"/>
    <w:rsid w:val="003E7B4F"/>
    <w:rsid w:val="003E7CF7"/>
    <w:rsid w:val="003E7DB2"/>
    <w:rsid w:val="003E7E01"/>
    <w:rsid w:val="003F0459"/>
    <w:rsid w:val="003F054E"/>
    <w:rsid w:val="003F0687"/>
    <w:rsid w:val="003F0751"/>
    <w:rsid w:val="003F096A"/>
    <w:rsid w:val="003F0B76"/>
    <w:rsid w:val="003F0F3B"/>
    <w:rsid w:val="003F1154"/>
    <w:rsid w:val="003F15BF"/>
    <w:rsid w:val="003F15F4"/>
    <w:rsid w:val="003F1626"/>
    <w:rsid w:val="003F1901"/>
    <w:rsid w:val="003F1DC5"/>
    <w:rsid w:val="003F1E4D"/>
    <w:rsid w:val="003F2032"/>
    <w:rsid w:val="003F21FA"/>
    <w:rsid w:val="003F239E"/>
    <w:rsid w:val="003F2527"/>
    <w:rsid w:val="003F259B"/>
    <w:rsid w:val="003F26D7"/>
    <w:rsid w:val="003F26FB"/>
    <w:rsid w:val="003F2805"/>
    <w:rsid w:val="003F2A13"/>
    <w:rsid w:val="003F2B54"/>
    <w:rsid w:val="003F2C18"/>
    <w:rsid w:val="003F2C42"/>
    <w:rsid w:val="003F2F30"/>
    <w:rsid w:val="003F316B"/>
    <w:rsid w:val="003F32BA"/>
    <w:rsid w:val="003F334D"/>
    <w:rsid w:val="003F353D"/>
    <w:rsid w:val="003F35AE"/>
    <w:rsid w:val="003F360F"/>
    <w:rsid w:val="003F361B"/>
    <w:rsid w:val="003F3693"/>
    <w:rsid w:val="003F36B9"/>
    <w:rsid w:val="003F3935"/>
    <w:rsid w:val="003F39D8"/>
    <w:rsid w:val="003F3A9A"/>
    <w:rsid w:val="003F3CA5"/>
    <w:rsid w:val="003F3CC5"/>
    <w:rsid w:val="003F4167"/>
    <w:rsid w:val="003F4499"/>
    <w:rsid w:val="003F44D6"/>
    <w:rsid w:val="003F46DF"/>
    <w:rsid w:val="003F46E7"/>
    <w:rsid w:val="003F48B2"/>
    <w:rsid w:val="003F4B68"/>
    <w:rsid w:val="003F4D26"/>
    <w:rsid w:val="003F4EAB"/>
    <w:rsid w:val="003F4FB2"/>
    <w:rsid w:val="003F4FC8"/>
    <w:rsid w:val="003F518A"/>
    <w:rsid w:val="003F51DF"/>
    <w:rsid w:val="003F53C6"/>
    <w:rsid w:val="003F5501"/>
    <w:rsid w:val="003F553C"/>
    <w:rsid w:val="003F5B8A"/>
    <w:rsid w:val="003F5C2D"/>
    <w:rsid w:val="003F5F37"/>
    <w:rsid w:val="003F5F3F"/>
    <w:rsid w:val="003F6055"/>
    <w:rsid w:val="003F6378"/>
    <w:rsid w:val="003F6512"/>
    <w:rsid w:val="003F659C"/>
    <w:rsid w:val="003F6660"/>
    <w:rsid w:val="003F671E"/>
    <w:rsid w:val="003F6959"/>
    <w:rsid w:val="003F697A"/>
    <w:rsid w:val="003F69EB"/>
    <w:rsid w:val="003F6A8D"/>
    <w:rsid w:val="003F6ADF"/>
    <w:rsid w:val="003F6C9F"/>
    <w:rsid w:val="003F6CCE"/>
    <w:rsid w:val="003F6D6B"/>
    <w:rsid w:val="003F6D73"/>
    <w:rsid w:val="003F6D8A"/>
    <w:rsid w:val="003F75AF"/>
    <w:rsid w:val="003F7683"/>
    <w:rsid w:val="003F7861"/>
    <w:rsid w:val="003F787A"/>
    <w:rsid w:val="003F79AB"/>
    <w:rsid w:val="003F7FDE"/>
    <w:rsid w:val="0040004C"/>
    <w:rsid w:val="004000BD"/>
    <w:rsid w:val="00400125"/>
    <w:rsid w:val="00400345"/>
    <w:rsid w:val="004006A3"/>
    <w:rsid w:val="004007F7"/>
    <w:rsid w:val="0040080E"/>
    <w:rsid w:val="004008E4"/>
    <w:rsid w:val="004009ED"/>
    <w:rsid w:val="004010FA"/>
    <w:rsid w:val="00401649"/>
    <w:rsid w:val="004017AA"/>
    <w:rsid w:val="0040191C"/>
    <w:rsid w:val="00401B64"/>
    <w:rsid w:val="00401B79"/>
    <w:rsid w:val="00401B83"/>
    <w:rsid w:val="00401CB1"/>
    <w:rsid w:val="00401FB4"/>
    <w:rsid w:val="00402286"/>
    <w:rsid w:val="00402374"/>
    <w:rsid w:val="004026B2"/>
    <w:rsid w:val="00402AA4"/>
    <w:rsid w:val="00402B08"/>
    <w:rsid w:val="00402BAE"/>
    <w:rsid w:val="00402CCB"/>
    <w:rsid w:val="00402D55"/>
    <w:rsid w:val="00402EB0"/>
    <w:rsid w:val="00402F10"/>
    <w:rsid w:val="00403135"/>
    <w:rsid w:val="004032C7"/>
    <w:rsid w:val="00403331"/>
    <w:rsid w:val="0040345C"/>
    <w:rsid w:val="00403711"/>
    <w:rsid w:val="0040371D"/>
    <w:rsid w:val="00403765"/>
    <w:rsid w:val="00403B74"/>
    <w:rsid w:val="00403CE9"/>
    <w:rsid w:val="00403D05"/>
    <w:rsid w:val="00403D52"/>
    <w:rsid w:val="00403E83"/>
    <w:rsid w:val="00403EC1"/>
    <w:rsid w:val="00404576"/>
    <w:rsid w:val="00404A05"/>
    <w:rsid w:val="00404A09"/>
    <w:rsid w:val="00404BD0"/>
    <w:rsid w:val="00404E67"/>
    <w:rsid w:val="00404F09"/>
    <w:rsid w:val="0040519B"/>
    <w:rsid w:val="00405403"/>
    <w:rsid w:val="004054F2"/>
    <w:rsid w:val="004058F9"/>
    <w:rsid w:val="00405A8C"/>
    <w:rsid w:val="00405AF7"/>
    <w:rsid w:val="0040610F"/>
    <w:rsid w:val="004061A8"/>
    <w:rsid w:val="004061B7"/>
    <w:rsid w:val="004062B0"/>
    <w:rsid w:val="00406327"/>
    <w:rsid w:val="00406602"/>
    <w:rsid w:val="00406671"/>
    <w:rsid w:val="0040673F"/>
    <w:rsid w:val="00406D1E"/>
    <w:rsid w:val="00406F8A"/>
    <w:rsid w:val="004071CB"/>
    <w:rsid w:val="00407323"/>
    <w:rsid w:val="00407495"/>
    <w:rsid w:val="00407524"/>
    <w:rsid w:val="0040752C"/>
    <w:rsid w:val="00407619"/>
    <w:rsid w:val="0040771C"/>
    <w:rsid w:val="0040796E"/>
    <w:rsid w:val="00407AA7"/>
    <w:rsid w:val="00407C1A"/>
    <w:rsid w:val="00407D5D"/>
    <w:rsid w:val="00407D85"/>
    <w:rsid w:val="00407E16"/>
    <w:rsid w:val="0041000B"/>
    <w:rsid w:val="00410025"/>
    <w:rsid w:val="00410162"/>
    <w:rsid w:val="0041046C"/>
    <w:rsid w:val="004106B9"/>
    <w:rsid w:val="004107EE"/>
    <w:rsid w:val="004108CD"/>
    <w:rsid w:val="0041093D"/>
    <w:rsid w:val="004109AB"/>
    <w:rsid w:val="00410D3A"/>
    <w:rsid w:val="00410DD3"/>
    <w:rsid w:val="00410F84"/>
    <w:rsid w:val="0041115A"/>
    <w:rsid w:val="004111E3"/>
    <w:rsid w:val="004111FD"/>
    <w:rsid w:val="004112F1"/>
    <w:rsid w:val="00411379"/>
    <w:rsid w:val="00411439"/>
    <w:rsid w:val="0041153D"/>
    <w:rsid w:val="004117E7"/>
    <w:rsid w:val="004119B2"/>
    <w:rsid w:val="004119ED"/>
    <w:rsid w:val="00411C88"/>
    <w:rsid w:val="00411F72"/>
    <w:rsid w:val="00412110"/>
    <w:rsid w:val="00412459"/>
    <w:rsid w:val="004125D2"/>
    <w:rsid w:val="0041273B"/>
    <w:rsid w:val="004129D1"/>
    <w:rsid w:val="004129DC"/>
    <w:rsid w:val="00412A0E"/>
    <w:rsid w:val="00412DC7"/>
    <w:rsid w:val="00412E55"/>
    <w:rsid w:val="0041317B"/>
    <w:rsid w:val="004131E1"/>
    <w:rsid w:val="004134A4"/>
    <w:rsid w:val="00413758"/>
    <w:rsid w:val="00413A8B"/>
    <w:rsid w:val="00413AE8"/>
    <w:rsid w:val="00413B78"/>
    <w:rsid w:val="00413CA5"/>
    <w:rsid w:val="00413D4E"/>
    <w:rsid w:val="00414272"/>
    <w:rsid w:val="00414329"/>
    <w:rsid w:val="004143DC"/>
    <w:rsid w:val="0041442A"/>
    <w:rsid w:val="00414453"/>
    <w:rsid w:val="0041492A"/>
    <w:rsid w:val="00414D5E"/>
    <w:rsid w:val="00414E30"/>
    <w:rsid w:val="00414F43"/>
    <w:rsid w:val="00414F72"/>
    <w:rsid w:val="00414F7E"/>
    <w:rsid w:val="00414FBD"/>
    <w:rsid w:val="004150E7"/>
    <w:rsid w:val="00415147"/>
    <w:rsid w:val="00415224"/>
    <w:rsid w:val="00415487"/>
    <w:rsid w:val="004155E9"/>
    <w:rsid w:val="00415981"/>
    <w:rsid w:val="00415D66"/>
    <w:rsid w:val="00415DDE"/>
    <w:rsid w:val="00416239"/>
    <w:rsid w:val="004163EC"/>
    <w:rsid w:val="0041645A"/>
    <w:rsid w:val="0041649C"/>
    <w:rsid w:val="0041666B"/>
    <w:rsid w:val="00416737"/>
    <w:rsid w:val="0041683F"/>
    <w:rsid w:val="00416854"/>
    <w:rsid w:val="004169FE"/>
    <w:rsid w:val="00416B89"/>
    <w:rsid w:val="00416C8B"/>
    <w:rsid w:val="00416C96"/>
    <w:rsid w:val="00416EB4"/>
    <w:rsid w:val="00416ECB"/>
    <w:rsid w:val="00416FBD"/>
    <w:rsid w:val="00417261"/>
    <w:rsid w:val="00417266"/>
    <w:rsid w:val="00417283"/>
    <w:rsid w:val="004172B5"/>
    <w:rsid w:val="0041730F"/>
    <w:rsid w:val="004173B2"/>
    <w:rsid w:val="004178F4"/>
    <w:rsid w:val="004179A5"/>
    <w:rsid w:val="00417F8A"/>
    <w:rsid w:val="00420648"/>
    <w:rsid w:val="0042076E"/>
    <w:rsid w:val="00420823"/>
    <w:rsid w:val="004209A9"/>
    <w:rsid w:val="00420B71"/>
    <w:rsid w:val="00420D4B"/>
    <w:rsid w:val="00420EF9"/>
    <w:rsid w:val="0042111D"/>
    <w:rsid w:val="004211C0"/>
    <w:rsid w:val="00421211"/>
    <w:rsid w:val="004212DE"/>
    <w:rsid w:val="00421323"/>
    <w:rsid w:val="00421992"/>
    <w:rsid w:val="00421E31"/>
    <w:rsid w:val="00422108"/>
    <w:rsid w:val="00422157"/>
    <w:rsid w:val="0042254C"/>
    <w:rsid w:val="0042260A"/>
    <w:rsid w:val="0042266A"/>
    <w:rsid w:val="004228AA"/>
    <w:rsid w:val="00422B23"/>
    <w:rsid w:val="00422E9F"/>
    <w:rsid w:val="004230C8"/>
    <w:rsid w:val="00423172"/>
    <w:rsid w:val="004231C8"/>
    <w:rsid w:val="0042384E"/>
    <w:rsid w:val="004239AE"/>
    <w:rsid w:val="00423AC7"/>
    <w:rsid w:val="004241CA"/>
    <w:rsid w:val="004246C2"/>
    <w:rsid w:val="004246EB"/>
    <w:rsid w:val="0042472E"/>
    <w:rsid w:val="00424798"/>
    <w:rsid w:val="004248BD"/>
    <w:rsid w:val="004249CE"/>
    <w:rsid w:val="00424BAE"/>
    <w:rsid w:val="00424DD5"/>
    <w:rsid w:val="00425183"/>
    <w:rsid w:val="0042519E"/>
    <w:rsid w:val="0042527F"/>
    <w:rsid w:val="004252AC"/>
    <w:rsid w:val="00425340"/>
    <w:rsid w:val="0042544A"/>
    <w:rsid w:val="00425553"/>
    <w:rsid w:val="004257BF"/>
    <w:rsid w:val="004259B2"/>
    <w:rsid w:val="00425A52"/>
    <w:rsid w:val="00425D47"/>
    <w:rsid w:val="00425F95"/>
    <w:rsid w:val="004260C6"/>
    <w:rsid w:val="0042630C"/>
    <w:rsid w:val="004265D6"/>
    <w:rsid w:val="00426615"/>
    <w:rsid w:val="00426758"/>
    <w:rsid w:val="00426BB8"/>
    <w:rsid w:val="00426CA9"/>
    <w:rsid w:val="00426EF7"/>
    <w:rsid w:val="0042717C"/>
    <w:rsid w:val="004275DE"/>
    <w:rsid w:val="004275F9"/>
    <w:rsid w:val="00427775"/>
    <w:rsid w:val="0042797D"/>
    <w:rsid w:val="00427B75"/>
    <w:rsid w:val="00427D6E"/>
    <w:rsid w:val="00427FB5"/>
    <w:rsid w:val="0043020D"/>
    <w:rsid w:val="004302C3"/>
    <w:rsid w:val="00430487"/>
    <w:rsid w:val="00430520"/>
    <w:rsid w:val="004305BC"/>
    <w:rsid w:val="00430EB2"/>
    <w:rsid w:val="0043110B"/>
    <w:rsid w:val="0043122B"/>
    <w:rsid w:val="004313EB"/>
    <w:rsid w:val="00431403"/>
    <w:rsid w:val="00431407"/>
    <w:rsid w:val="00431446"/>
    <w:rsid w:val="00431639"/>
    <w:rsid w:val="004316A8"/>
    <w:rsid w:val="0043178B"/>
    <w:rsid w:val="00431AF5"/>
    <w:rsid w:val="00431BB5"/>
    <w:rsid w:val="00431E09"/>
    <w:rsid w:val="00431FC1"/>
    <w:rsid w:val="00432061"/>
    <w:rsid w:val="004320E4"/>
    <w:rsid w:val="0043222B"/>
    <w:rsid w:val="004327D7"/>
    <w:rsid w:val="004328AD"/>
    <w:rsid w:val="00432E9D"/>
    <w:rsid w:val="00432F05"/>
    <w:rsid w:val="00432FB4"/>
    <w:rsid w:val="0043316C"/>
    <w:rsid w:val="004331CD"/>
    <w:rsid w:val="0043332E"/>
    <w:rsid w:val="0043339E"/>
    <w:rsid w:val="004333C1"/>
    <w:rsid w:val="00433526"/>
    <w:rsid w:val="0043369C"/>
    <w:rsid w:val="00433820"/>
    <w:rsid w:val="00433869"/>
    <w:rsid w:val="0043394A"/>
    <w:rsid w:val="0043399F"/>
    <w:rsid w:val="00433F19"/>
    <w:rsid w:val="004340E7"/>
    <w:rsid w:val="00434513"/>
    <w:rsid w:val="00434566"/>
    <w:rsid w:val="00434601"/>
    <w:rsid w:val="004346A6"/>
    <w:rsid w:val="0043484B"/>
    <w:rsid w:val="004348F8"/>
    <w:rsid w:val="0043490D"/>
    <w:rsid w:val="0043496B"/>
    <w:rsid w:val="00434C05"/>
    <w:rsid w:val="0043503E"/>
    <w:rsid w:val="0043542A"/>
    <w:rsid w:val="004357A9"/>
    <w:rsid w:val="00435AB1"/>
    <w:rsid w:val="00435C4A"/>
    <w:rsid w:val="00435CAB"/>
    <w:rsid w:val="00435D11"/>
    <w:rsid w:val="00435D1F"/>
    <w:rsid w:val="00435D79"/>
    <w:rsid w:val="00435E4B"/>
    <w:rsid w:val="004360EB"/>
    <w:rsid w:val="00436130"/>
    <w:rsid w:val="004362DC"/>
    <w:rsid w:val="004364B1"/>
    <w:rsid w:val="00436876"/>
    <w:rsid w:val="004368CD"/>
    <w:rsid w:val="00436A69"/>
    <w:rsid w:val="00436B45"/>
    <w:rsid w:val="00436DF6"/>
    <w:rsid w:val="00437019"/>
    <w:rsid w:val="0043745F"/>
    <w:rsid w:val="0043753C"/>
    <w:rsid w:val="00437605"/>
    <w:rsid w:val="00437A04"/>
    <w:rsid w:val="00440045"/>
    <w:rsid w:val="0044010E"/>
    <w:rsid w:val="00440299"/>
    <w:rsid w:val="004403B2"/>
    <w:rsid w:val="0044044A"/>
    <w:rsid w:val="00440823"/>
    <w:rsid w:val="00440840"/>
    <w:rsid w:val="0044086A"/>
    <w:rsid w:val="0044097A"/>
    <w:rsid w:val="00440CCD"/>
    <w:rsid w:val="00440E92"/>
    <w:rsid w:val="004410E5"/>
    <w:rsid w:val="004411D3"/>
    <w:rsid w:val="004413F5"/>
    <w:rsid w:val="0044142E"/>
    <w:rsid w:val="0044188A"/>
    <w:rsid w:val="004418BF"/>
    <w:rsid w:val="00441B82"/>
    <w:rsid w:val="00441DD5"/>
    <w:rsid w:val="00441E33"/>
    <w:rsid w:val="00441E38"/>
    <w:rsid w:val="00441F30"/>
    <w:rsid w:val="00442340"/>
    <w:rsid w:val="00442449"/>
    <w:rsid w:val="0044258B"/>
    <w:rsid w:val="004426A8"/>
    <w:rsid w:val="00442722"/>
    <w:rsid w:val="0044277D"/>
    <w:rsid w:val="0044296B"/>
    <w:rsid w:val="00442A27"/>
    <w:rsid w:val="00442B11"/>
    <w:rsid w:val="00442B59"/>
    <w:rsid w:val="00442B91"/>
    <w:rsid w:val="00442BC9"/>
    <w:rsid w:val="00442C3E"/>
    <w:rsid w:val="00442F20"/>
    <w:rsid w:val="00442FCB"/>
    <w:rsid w:val="00443530"/>
    <w:rsid w:val="00443873"/>
    <w:rsid w:val="00443A72"/>
    <w:rsid w:val="00443F97"/>
    <w:rsid w:val="004441DF"/>
    <w:rsid w:val="004442EC"/>
    <w:rsid w:val="00444304"/>
    <w:rsid w:val="0044457E"/>
    <w:rsid w:val="0044481D"/>
    <w:rsid w:val="00444CBB"/>
    <w:rsid w:val="00444DD2"/>
    <w:rsid w:val="00444EB2"/>
    <w:rsid w:val="004452DF"/>
    <w:rsid w:val="004456A3"/>
    <w:rsid w:val="00445BF9"/>
    <w:rsid w:val="00445C62"/>
    <w:rsid w:val="00445C99"/>
    <w:rsid w:val="0044605A"/>
    <w:rsid w:val="00446079"/>
    <w:rsid w:val="00446100"/>
    <w:rsid w:val="0044647D"/>
    <w:rsid w:val="0044659F"/>
    <w:rsid w:val="004465DC"/>
    <w:rsid w:val="0044678C"/>
    <w:rsid w:val="004467AD"/>
    <w:rsid w:val="004467F4"/>
    <w:rsid w:val="0044692C"/>
    <w:rsid w:val="00446985"/>
    <w:rsid w:val="00446A09"/>
    <w:rsid w:val="00446AB7"/>
    <w:rsid w:val="00446B0E"/>
    <w:rsid w:val="00446B16"/>
    <w:rsid w:val="00446B6D"/>
    <w:rsid w:val="00447419"/>
    <w:rsid w:val="004474ED"/>
    <w:rsid w:val="0044755C"/>
    <w:rsid w:val="00447817"/>
    <w:rsid w:val="00447A21"/>
    <w:rsid w:val="00447AED"/>
    <w:rsid w:val="00447B2F"/>
    <w:rsid w:val="00450120"/>
    <w:rsid w:val="0045034E"/>
    <w:rsid w:val="004504EE"/>
    <w:rsid w:val="004505F8"/>
    <w:rsid w:val="004507C1"/>
    <w:rsid w:val="0045092A"/>
    <w:rsid w:val="00450A72"/>
    <w:rsid w:val="00450E3F"/>
    <w:rsid w:val="00451206"/>
    <w:rsid w:val="00451277"/>
    <w:rsid w:val="00451BAA"/>
    <w:rsid w:val="00451C2E"/>
    <w:rsid w:val="00451DAD"/>
    <w:rsid w:val="004520B9"/>
    <w:rsid w:val="0045240A"/>
    <w:rsid w:val="004524E1"/>
    <w:rsid w:val="0045253A"/>
    <w:rsid w:val="00452752"/>
    <w:rsid w:val="004527E4"/>
    <w:rsid w:val="004528A8"/>
    <w:rsid w:val="00452940"/>
    <w:rsid w:val="00452B36"/>
    <w:rsid w:val="00452C64"/>
    <w:rsid w:val="00452D57"/>
    <w:rsid w:val="00452E48"/>
    <w:rsid w:val="00452F17"/>
    <w:rsid w:val="004531AC"/>
    <w:rsid w:val="00453314"/>
    <w:rsid w:val="0045331E"/>
    <w:rsid w:val="004535C6"/>
    <w:rsid w:val="0045362A"/>
    <w:rsid w:val="00453651"/>
    <w:rsid w:val="00453897"/>
    <w:rsid w:val="004538A0"/>
    <w:rsid w:val="00453963"/>
    <w:rsid w:val="004539B7"/>
    <w:rsid w:val="00453C59"/>
    <w:rsid w:val="00453DF1"/>
    <w:rsid w:val="0045419E"/>
    <w:rsid w:val="00454202"/>
    <w:rsid w:val="00454315"/>
    <w:rsid w:val="00454331"/>
    <w:rsid w:val="00454491"/>
    <w:rsid w:val="004547DA"/>
    <w:rsid w:val="00454865"/>
    <w:rsid w:val="00454F23"/>
    <w:rsid w:val="00455607"/>
    <w:rsid w:val="00455718"/>
    <w:rsid w:val="0045578F"/>
    <w:rsid w:val="00455913"/>
    <w:rsid w:val="004559A6"/>
    <w:rsid w:val="0045606C"/>
    <w:rsid w:val="0045610D"/>
    <w:rsid w:val="00456536"/>
    <w:rsid w:val="00456C25"/>
    <w:rsid w:val="00456C94"/>
    <w:rsid w:val="00456CBC"/>
    <w:rsid w:val="004577BF"/>
    <w:rsid w:val="0045795D"/>
    <w:rsid w:val="00457AC2"/>
    <w:rsid w:val="00457CDD"/>
    <w:rsid w:val="00457DD0"/>
    <w:rsid w:val="00457F10"/>
    <w:rsid w:val="004600D1"/>
    <w:rsid w:val="004602C7"/>
    <w:rsid w:val="004608FB"/>
    <w:rsid w:val="00460F00"/>
    <w:rsid w:val="00460FD7"/>
    <w:rsid w:val="00460FF3"/>
    <w:rsid w:val="004610C8"/>
    <w:rsid w:val="00461143"/>
    <w:rsid w:val="004611A9"/>
    <w:rsid w:val="00461208"/>
    <w:rsid w:val="0046125D"/>
    <w:rsid w:val="004615B7"/>
    <w:rsid w:val="0046171B"/>
    <w:rsid w:val="004617B7"/>
    <w:rsid w:val="00461864"/>
    <w:rsid w:val="00461906"/>
    <w:rsid w:val="00461B71"/>
    <w:rsid w:val="00461BF4"/>
    <w:rsid w:val="00461C63"/>
    <w:rsid w:val="00461EA5"/>
    <w:rsid w:val="00461F70"/>
    <w:rsid w:val="00461FD7"/>
    <w:rsid w:val="00462402"/>
    <w:rsid w:val="00462859"/>
    <w:rsid w:val="004628C9"/>
    <w:rsid w:val="004629A5"/>
    <w:rsid w:val="00462B70"/>
    <w:rsid w:val="00462CDB"/>
    <w:rsid w:val="00462DDD"/>
    <w:rsid w:val="00463008"/>
    <w:rsid w:val="004632AC"/>
    <w:rsid w:val="00463426"/>
    <w:rsid w:val="00463C0C"/>
    <w:rsid w:val="00463CA5"/>
    <w:rsid w:val="004640CB"/>
    <w:rsid w:val="004641A4"/>
    <w:rsid w:val="004643AF"/>
    <w:rsid w:val="00464444"/>
    <w:rsid w:val="00464451"/>
    <w:rsid w:val="004644F1"/>
    <w:rsid w:val="004646A7"/>
    <w:rsid w:val="00464B0E"/>
    <w:rsid w:val="00464C02"/>
    <w:rsid w:val="00464C8F"/>
    <w:rsid w:val="00464CAD"/>
    <w:rsid w:val="00464DC0"/>
    <w:rsid w:val="004650AB"/>
    <w:rsid w:val="00465267"/>
    <w:rsid w:val="004657B2"/>
    <w:rsid w:val="00465D60"/>
    <w:rsid w:val="00465DA5"/>
    <w:rsid w:val="00465F1E"/>
    <w:rsid w:val="004662ED"/>
    <w:rsid w:val="00466394"/>
    <w:rsid w:val="004663DF"/>
    <w:rsid w:val="00466437"/>
    <w:rsid w:val="0046677E"/>
    <w:rsid w:val="004669DC"/>
    <w:rsid w:val="00466CB9"/>
    <w:rsid w:val="00466D15"/>
    <w:rsid w:val="00466EB1"/>
    <w:rsid w:val="00466F9B"/>
    <w:rsid w:val="0046724C"/>
    <w:rsid w:val="00467287"/>
    <w:rsid w:val="00467324"/>
    <w:rsid w:val="004674A3"/>
    <w:rsid w:val="00467503"/>
    <w:rsid w:val="0046752F"/>
    <w:rsid w:val="00467575"/>
    <w:rsid w:val="0046761B"/>
    <w:rsid w:val="00467692"/>
    <w:rsid w:val="00467750"/>
    <w:rsid w:val="00467A36"/>
    <w:rsid w:val="00467A4F"/>
    <w:rsid w:val="00467A86"/>
    <w:rsid w:val="00467F2D"/>
    <w:rsid w:val="004702B1"/>
    <w:rsid w:val="004702D4"/>
    <w:rsid w:val="0047035A"/>
    <w:rsid w:val="004703BD"/>
    <w:rsid w:val="00470420"/>
    <w:rsid w:val="004704B7"/>
    <w:rsid w:val="00470602"/>
    <w:rsid w:val="004706E4"/>
    <w:rsid w:val="00470901"/>
    <w:rsid w:val="00470C0C"/>
    <w:rsid w:val="00470D84"/>
    <w:rsid w:val="00470DA5"/>
    <w:rsid w:val="00470DBF"/>
    <w:rsid w:val="00470F07"/>
    <w:rsid w:val="00471089"/>
    <w:rsid w:val="004711AE"/>
    <w:rsid w:val="00471244"/>
    <w:rsid w:val="00471743"/>
    <w:rsid w:val="0047178E"/>
    <w:rsid w:val="004717ED"/>
    <w:rsid w:val="00471854"/>
    <w:rsid w:val="00471A45"/>
    <w:rsid w:val="00471B75"/>
    <w:rsid w:val="00471DBD"/>
    <w:rsid w:val="00471E01"/>
    <w:rsid w:val="00471FD0"/>
    <w:rsid w:val="004720BB"/>
    <w:rsid w:val="004721F0"/>
    <w:rsid w:val="00472365"/>
    <w:rsid w:val="0047244E"/>
    <w:rsid w:val="00472493"/>
    <w:rsid w:val="00472496"/>
    <w:rsid w:val="00472929"/>
    <w:rsid w:val="00472ABD"/>
    <w:rsid w:val="00472D8F"/>
    <w:rsid w:val="00472E97"/>
    <w:rsid w:val="00472F15"/>
    <w:rsid w:val="0047304F"/>
    <w:rsid w:val="0047355B"/>
    <w:rsid w:val="00473C38"/>
    <w:rsid w:val="00473E79"/>
    <w:rsid w:val="00473FA8"/>
    <w:rsid w:val="00474123"/>
    <w:rsid w:val="0047420E"/>
    <w:rsid w:val="004742FB"/>
    <w:rsid w:val="004743FD"/>
    <w:rsid w:val="00474463"/>
    <w:rsid w:val="00474552"/>
    <w:rsid w:val="00474705"/>
    <w:rsid w:val="00474C64"/>
    <w:rsid w:val="00474CEE"/>
    <w:rsid w:val="00474D97"/>
    <w:rsid w:val="00474FDC"/>
    <w:rsid w:val="004750BA"/>
    <w:rsid w:val="004751DC"/>
    <w:rsid w:val="0047537C"/>
    <w:rsid w:val="004756A8"/>
    <w:rsid w:val="00475822"/>
    <w:rsid w:val="004758A1"/>
    <w:rsid w:val="00475975"/>
    <w:rsid w:val="0047597F"/>
    <w:rsid w:val="00475BCC"/>
    <w:rsid w:val="00475E6A"/>
    <w:rsid w:val="004761A3"/>
    <w:rsid w:val="004761DF"/>
    <w:rsid w:val="00476300"/>
    <w:rsid w:val="00476512"/>
    <w:rsid w:val="004765AF"/>
    <w:rsid w:val="004765FF"/>
    <w:rsid w:val="004767C5"/>
    <w:rsid w:val="00476830"/>
    <w:rsid w:val="00476976"/>
    <w:rsid w:val="004769C9"/>
    <w:rsid w:val="00476BFB"/>
    <w:rsid w:val="00476D24"/>
    <w:rsid w:val="00476DA0"/>
    <w:rsid w:val="00476DF0"/>
    <w:rsid w:val="00476F12"/>
    <w:rsid w:val="004774C3"/>
    <w:rsid w:val="00477706"/>
    <w:rsid w:val="0047773F"/>
    <w:rsid w:val="00477898"/>
    <w:rsid w:val="00477C23"/>
    <w:rsid w:val="00477C98"/>
    <w:rsid w:val="00480026"/>
    <w:rsid w:val="00480037"/>
    <w:rsid w:val="0048050E"/>
    <w:rsid w:val="0048055E"/>
    <w:rsid w:val="00480606"/>
    <w:rsid w:val="00480744"/>
    <w:rsid w:val="00480B8C"/>
    <w:rsid w:val="00480BE9"/>
    <w:rsid w:val="00480D6C"/>
    <w:rsid w:val="00480EBD"/>
    <w:rsid w:val="00481044"/>
    <w:rsid w:val="004810C5"/>
    <w:rsid w:val="00481106"/>
    <w:rsid w:val="004819B2"/>
    <w:rsid w:val="00482008"/>
    <w:rsid w:val="0048206E"/>
    <w:rsid w:val="00482093"/>
    <w:rsid w:val="00482177"/>
    <w:rsid w:val="004821C6"/>
    <w:rsid w:val="00482251"/>
    <w:rsid w:val="004822B1"/>
    <w:rsid w:val="00482663"/>
    <w:rsid w:val="00482ABA"/>
    <w:rsid w:val="00482B2A"/>
    <w:rsid w:val="00482B80"/>
    <w:rsid w:val="00482F1B"/>
    <w:rsid w:val="00483073"/>
    <w:rsid w:val="00483078"/>
    <w:rsid w:val="004832B2"/>
    <w:rsid w:val="0048336E"/>
    <w:rsid w:val="00483441"/>
    <w:rsid w:val="00483609"/>
    <w:rsid w:val="004838A1"/>
    <w:rsid w:val="00483903"/>
    <w:rsid w:val="00483C94"/>
    <w:rsid w:val="00483DA9"/>
    <w:rsid w:val="00483F1C"/>
    <w:rsid w:val="00484064"/>
    <w:rsid w:val="0048410A"/>
    <w:rsid w:val="00484176"/>
    <w:rsid w:val="00484288"/>
    <w:rsid w:val="004842F2"/>
    <w:rsid w:val="004843DF"/>
    <w:rsid w:val="00484742"/>
    <w:rsid w:val="00484A37"/>
    <w:rsid w:val="00484C64"/>
    <w:rsid w:val="00484DFA"/>
    <w:rsid w:val="004850B6"/>
    <w:rsid w:val="00485373"/>
    <w:rsid w:val="004853C9"/>
    <w:rsid w:val="004855AE"/>
    <w:rsid w:val="004857AE"/>
    <w:rsid w:val="00485C61"/>
    <w:rsid w:val="00485CA8"/>
    <w:rsid w:val="00485E16"/>
    <w:rsid w:val="0048605A"/>
    <w:rsid w:val="004862D7"/>
    <w:rsid w:val="004862ED"/>
    <w:rsid w:val="00486400"/>
    <w:rsid w:val="0048652F"/>
    <w:rsid w:val="00486541"/>
    <w:rsid w:val="004865C2"/>
    <w:rsid w:val="00486679"/>
    <w:rsid w:val="004867A9"/>
    <w:rsid w:val="00486871"/>
    <w:rsid w:val="00486AE8"/>
    <w:rsid w:val="00486B37"/>
    <w:rsid w:val="00486C47"/>
    <w:rsid w:val="00486D93"/>
    <w:rsid w:val="00486FB7"/>
    <w:rsid w:val="00486FE6"/>
    <w:rsid w:val="0048702A"/>
    <w:rsid w:val="0048712B"/>
    <w:rsid w:val="004874CB"/>
    <w:rsid w:val="00487751"/>
    <w:rsid w:val="004879A2"/>
    <w:rsid w:val="004879A5"/>
    <w:rsid w:val="00487A54"/>
    <w:rsid w:val="00487E55"/>
    <w:rsid w:val="00487FF6"/>
    <w:rsid w:val="004900D1"/>
    <w:rsid w:val="0049025D"/>
    <w:rsid w:val="00490456"/>
    <w:rsid w:val="00490553"/>
    <w:rsid w:val="004905FB"/>
    <w:rsid w:val="004906C4"/>
    <w:rsid w:val="00490716"/>
    <w:rsid w:val="004907BF"/>
    <w:rsid w:val="004907F7"/>
    <w:rsid w:val="00490AFE"/>
    <w:rsid w:val="00490B6D"/>
    <w:rsid w:val="0049100B"/>
    <w:rsid w:val="004911C7"/>
    <w:rsid w:val="0049131B"/>
    <w:rsid w:val="00491340"/>
    <w:rsid w:val="00491382"/>
    <w:rsid w:val="00491387"/>
    <w:rsid w:val="00491507"/>
    <w:rsid w:val="00491575"/>
    <w:rsid w:val="004915D9"/>
    <w:rsid w:val="00491840"/>
    <w:rsid w:val="004918C5"/>
    <w:rsid w:val="00491BCF"/>
    <w:rsid w:val="00491C31"/>
    <w:rsid w:val="00491CFA"/>
    <w:rsid w:val="00491D8A"/>
    <w:rsid w:val="00491EFE"/>
    <w:rsid w:val="004920AA"/>
    <w:rsid w:val="004922F5"/>
    <w:rsid w:val="004923A3"/>
    <w:rsid w:val="00492444"/>
    <w:rsid w:val="004924C4"/>
    <w:rsid w:val="00492555"/>
    <w:rsid w:val="004925CA"/>
    <w:rsid w:val="00492654"/>
    <w:rsid w:val="00492A44"/>
    <w:rsid w:val="00492E93"/>
    <w:rsid w:val="00493150"/>
    <w:rsid w:val="00493260"/>
    <w:rsid w:val="004933FF"/>
    <w:rsid w:val="0049344D"/>
    <w:rsid w:val="00493747"/>
    <w:rsid w:val="004937F8"/>
    <w:rsid w:val="004938FB"/>
    <w:rsid w:val="00493CED"/>
    <w:rsid w:val="00493F84"/>
    <w:rsid w:val="0049404B"/>
    <w:rsid w:val="004940E4"/>
    <w:rsid w:val="00494120"/>
    <w:rsid w:val="00494236"/>
    <w:rsid w:val="0049453D"/>
    <w:rsid w:val="00494578"/>
    <w:rsid w:val="0049457D"/>
    <w:rsid w:val="0049464F"/>
    <w:rsid w:val="0049475F"/>
    <w:rsid w:val="00494D3E"/>
    <w:rsid w:val="00494D72"/>
    <w:rsid w:val="00494E8E"/>
    <w:rsid w:val="00495091"/>
    <w:rsid w:val="00495122"/>
    <w:rsid w:val="00495140"/>
    <w:rsid w:val="0049514A"/>
    <w:rsid w:val="0049523F"/>
    <w:rsid w:val="0049525B"/>
    <w:rsid w:val="0049547D"/>
    <w:rsid w:val="00495660"/>
    <w:rsid w:val="004956A1"/>
    <w:rsid w:val="0049583B"/>
    <w:rsid w:val="004958B3"/>
    <w:rsid w:val="00495BB3"/>
    <w:rsid w:val="00496003"/>
    <w:rsid w:val="00496246"/>
    <w:rsid w:val="0049626A"/>
    <w:rsid w:val="004964ED"/>
    <w:rsid w:val="00496522"/>
    <w:rsid w:val="00496553"/>
    <w:rsid w:val="00496665"/>
    <w:rsid w:val="00496692"/>
    <w:rsid w:val="004967D8"/>
    <w:rsid w:val="00496A29"/>
    <w:rsid w:val="00496ADD"/>
    <w:rsid w:val="00496B7F"/>
    <w:rsid w:val="00496B92"/>
    <w:rsid w:val="00496BA0"/>
    <w:rsid w:val="00496E0D"/>
    <w:rsid w:val="00496FFD"/>
    <w:rsid w:val="00497082"/>
    <w:rsid w:val="00497365"/>
    <w:rsid w:val="004976EF"/>
    <w:rsid w:val="0049793D"/>
    <w:rsid w:val="00497984"/>
    <w:rsid w:val="00497A5A"/>
    <w:rsid w:val="00497A95"/>
    <w:rsid w:val="00497B42"/>
    <w:rsid w:val="00497D02"/>
    <w:rsid w:val="004A0187"/>
    <w:rsid w:val="004A0353"/>
    <w:rsid w:val="004A043A"/>
    <w:rsid w:val="004A0466"/>
    <w:rsid w:val="004A0590"/>
    <w:rsid w:val="004A06FA"/>
    <w:rsid w:val="004A0717"/>
    <w:rsid w:val="004A0751"/>
    <w:rsid w:val="004A0AB1"/>
    <w:rsid w:val="004A10D4"/>
    <w:rsid w:val="004A122B"/>
    <w:rsid w:val="004A1242"/>
    <w:rsid w:val="004A1381"/>
    <w:rsid w:val="004A14D6"/>
    <w:rsid w:val="004A1631"/>
    <w:rsid w:val="004A197F"/>
    <w:rsid w:val="004A1AEC"/>
    <w:rsid w:val="004A1F9A"/>
    <w:rsid w:val="004A211E"/>
    <w:rsid w:val="004A22B6"/>
    <w:rsid w:val="004A2629"/>
    <w:rsid w:val="004A26A6"/>
    <w:rsid w:val="004A2723"/>
    <w:rsid w:val="004A28A4"/>
    <w:rsid w:val="004A28BD"/>
    <w:rsid w:val="004A2A00"/>
    <w:rsid w:val="004A2BD6"/>
    <w:rsid w:val="004A2C29"/>
    <w:rsid w:val="004A30CF"/>
    <w:rsid w:val="004A3472"/>
    <w:rsid w:val="004A3861"/>
    <w:rsid w:val="004A3A63"/>
    <w:rsid w:val="004A3B4F"/>
    <w:rsid w:val="004A3BF8"/>
    <w:rsid w:val="004A3CE5"/>
    <w:rsid w:val="004A3F3F"/>
    <w:rsid w:val="004A41C6"/>
    <w:rsid w:val="004A4233"/>
    <w:rsid w:val="004A4284"/>
    <w:rsid w:val="004A42A2"/>
    <w:rsid w:val="004A4631"/>
    <w:rsid w:val="004A47AA"/>
    <w:rsid w:val="004A48F1"/>
    <w:rsid w:val="004A4930"/>
    <w:rsid w:val="004A4940"/>
    <w:rsid w:val="004A49F3"/>
    <w:rsid w:val="004A4A43"/>
    <w:rsid w:val="004A4BBD"/>
    <w:rsid w:val="004A4C02"/>
    <w:rsid w:val="004A5528"/>
    <w:rsid w:val="004A5608"/>
    <w:rsid w:val="004A5BA1"/>
    <w:rsid w:val="004A5D5A"/>
    <w:rsid w:val="004A600A"/>
    <w:rsid w:val="004A60DA"/>
    <w:rsid w:val="004A6252"/>
    <w:rsid w:val="004A63AE"/>
    <w:rsid w:val="004A68FD"/>
    <w:rsid w:val="004A6901"/>
    <w:rsid w:val="004A6E5D"/>
    <w:rsid w:val="004A708E"/>
    <w:rsid w:val="004A7111"/>
    <w:rsid w:val="004A74AA"/>
    <w:rsid w:val="004A74E0"/>
    <w:rsid w:val="004A75AD"/>
    <w:rsid w:val="004A7605"/>
    <w:rsid w:val="004A77A4"/>
    <w:rsid w:val="004A77CF"/>
    <w:rsid w:val="004A7800"/>
    <w:rsid w:val="004A78D8"/>
    <w:rsid w:val="004A7BAF"/>
    <w:rsid w:val="004A7CBC"/>
    <w:rsid w:val="004A7E3C"/>
    <w:rsid w:val="004B0071"/>
    <w:rsid w:val="004B0345"/>
    <w:rsid w:val="004B052B"/>
    <w:rsid w:val="004B0694"/>
    <w:rsid w:val="004B0708"/>
    <w:rsid w:val="004B089A"/>
    <w:rsid w:val="004B0BB8"/>
    <w:rsid w:val="004B0BD8"/>
    <w:rsid w:val="004B0D0C"/>
    <w:rsid w:val="004B0D2E"/>
    <w:rsid w:val="004B0E5E"/>
    <w:rsid w:val="004B100C"/>
    <w:rsid w:val="004B11BD"/>
    <w:rsid w:val="004B12A7"/>
    <w:rsid w:val="004B1344"/>
    <w:rsid w:val="004B1788"/>
    <w:rsid w:val="004B17F8"/>
    <w:rsid w:val="004B1807"/>
    <w:rsid w:val="004B18A1"/>
    <w:rsid w:val="004B191B"/>
    <w:rsid w:val="004B19BF"/>
    <w:rsid w:val="004B19D0"/>
    <w:rsid w:val="004B1B9A"/>
    <w:rsid w:val="004B1C5B"/>
    <w:rsid w:val="004B1C90"/>
    <w:rsid w:val="004B1D54"/>
    <w:rsid w:val="004B1E3B"/>
    <w:rsid w:val="004B1E51"/>
    <w:rsid w:val="004B1F45"/>
    <w:rsid w:val="004B2354"/>
    <w:rsid w:val="004B24C8"/>
    <w:rsid w:val="004B25D4"/>
    <w:rsid w:val="004B2625"/>
    <w:rsid w:val="004B2BB3"/>
    <w:rsid w:val="004B2EAA"/>
    <w:rsid w:val="004B2EF0"/>
    <w:rsid w:val="004B30B7"/>
    <w:rsid w:val="004B30EE"/>
    <w:rsid w:val="004B33F9"/>
    <w:rsid w:val="004B352A"/>
    <w:rsid w:val="004B38B8"/>
    <w:rsid w:val="004B39FA"/>
    <w:rsid w:val="004B3A19"/>
    <w:rsid w:val="004B3A7B"/>
    <w:rsid w:val="004B3AAA"/>
    <w:rsid w:val="004B3B7A"/>
    <w:rsid w:val="004B3E25"/>
    <w:rsid w:val="004B46C5"/>
    <w:rsid w:val="004B48EB"/>
    <w:rsid w:val="004B4ACE"/>
    <w:rsid w:val="004B4D32"/>
    <w:rsid w:val="004B4F9B"/>
    <w:rsid w:val="004B512E"/>
    <w:rsid w:val="004B5405"/>
    <w:rsid w:val="004B5429"/>
    <w:rsid w:val="004B5455"/>
    <w:rsid w:val="004B572E"/>
    <w:rsid w:val="004B5882"/>
    <w:rsid w:val="004B626E"/>
    <w:rsid w:val="004B633D"/>
    <w:rsid w:val="004B64CC"/>
    <w:rsid w:val="004B6589"/>
    <w:rsid w:val="004B6788"/>
    <w:rsid w:val="004B698C"/>
    <w:rsid w:val="004B699D"/>
    <w:rsid w:val="004B6DB1"/>
    <w:rsid w:val="004B6E24"/>
    <w:rsid w:val="004B7016"/>
    <w:rsid w:val="004B74FC"/>
    <w:rsid w:val="004B7A5A"/>
    <w:rsid w:val="004B7D71"/>
    <w:rsid w:val="004B7DF7"/>
    <w:rsid w:val="004B7F2B"/>
    <w:rsid w:val="004C028F"/>
    <w:rsid w:val="004C0379"/>
    <w:rsid w:val="004C060E"/>
    <w:rsid w:val="004C06D7"/>
    <w:rsid w:val="004C07E2"/>
    <w:rsid w:val="004C0A9B"/>
    <w:rsid w:val="004C0C58"/>
    <w:rsid w:val="004C0D97"/>
    <w:rsid w:val="004C0E4F"/>
    <w:rsid w:val="004C0EE2"/>
    <w:rsid w:val="004C1012"/>
    <w:rsid w:val="004C140E"/>
    <w:rsid w:val="004C14B5"/>
    <w:rsid w:val="004C15BF"/>
    <w:rsid w:val="004C1936"/>
    <w:rsid w:val="004C1976"/>
    <w:rsid w:val="004C203E"/>
    <w:rsid w:val="004C205E"/>
    <w:rsid w:val="004C21EF"/>
    <w:rsid w:val="004C2248"/>
    <w:rsid w:val="004C2266"/>
    <w:rsid w:val="004C260A"/>
    <w:rsid w:val="004C2655"/>
    <w:rsid w:val="004C274B"/>
    <w:rsid w:val="004C27AC"/>
    <w:rsid w:val="004C27CA"/>
    <w:rsid w:val="004C2967"/>
    <w:rsid w:val="004C2CE2"/>
    <w:rsid w:val="004C2D36"/>
    <w:rsid w:val="004C2DEF"/>
    <w:rsid w:val="004C302A"/>
    <w:rsid w:val="004C316D"/>
    <w:rsid w:val="004C329A"/>
    <w:rsid w:val="004C3337"/>
    <w:rsid w:val="004C3750"/>
    <w:rsid w:val="004C37EE"/>
    <w:rsid w:val="004C3924"/>
    <w:rsid w:val="004C3CB1"/>
    <w:rsid w:val="004C3D56"/>
    <w:rsid w:val="004C3FB2"/>
    <w:rsid w:val="004C3FBC"/>
    <w:rsid w:val="004C419A"/>
    <w:rsid w:val="004C419B"/>
    <w:rsid w:val="004C41C3"/>
    <w:rsid w:val="004C41D2"/>
    <w:rsid w:val="004C4473"/>
    <w:rsid w:val="004C44D1"/>
    <w:rsid w:val="004C44DB"/>
    <w:rsid w:val="004C4509"/>
    <w:rsid w:val="004C469E"/>
    <w:rsid w:val="004C4A3A"/>
    <w:rsid w:val="004C4BD4"/>
    <w:rsid w:val="004C4D51"/>
    <w:rsid w:val="004C4F77"/>
    <w:rsid w:val="004C5293"/>
    <w:rsid w:val="004C54E2"/>
    <w:rsid w:val="004C559D"/>
    <w:rsid w:val="004C5654"/>
    <w:rsid w:val="004C56C1"/>
    <w:rsid w:val="004C57F2"/>
    <w:rsid w:val="004C57F7"/>
    <w:rsid w:val="004C5A27"/>
    <w:rsid w:val="004C5A97"/>
    <w:rsid w:val="004C5C09"/>
    <w:rsid w:val="004C5C67"/>
    <w:rsid w:val="004C5CFB"/>
    <w:rsid w:val="004C6222"/>
    <w:rsid w:val="004C62B7"/>
    <w:rsid w:val="004C62E5"/>
    <w:rsid w:val="004C67E2"/>
    <w:rsid w:val="004C6836"/>
    <w:rsid w:val="004C6C17"/>
    <w:rsid w:val="004C6C2A"/>
    <w:rsid w:val="004C6C4C"/>
    <w:rsid w:val="004C6D3F"/>
    <w:rsid w:val="004C6F9E"/>
    <w:rsid w:val="004C733E"/>
    <w:rsid w:val="004C7362"/>
    <w:rsid w:val="004C753A"/>
    <w:rsid w:val="004C782B"/>
    <w:rsid w:val="004C7883"/>
    <w:rsid w:val="004C78C7"/>
    <w:rsid w:val="004C79D7"/>
    <w:rsid w:val="004C79DB"/>
    <w:rsid w:val="004C7D60"/>
    <w:rsid w:val="004C7DD9"/>
    <w:rsid w:val="004C7E0B"/>
    <w:rsid w:val="004C7E33"/>
    <w:rsid w:val="004C7E51"/>
    <w:rsid w:val="004C7F9D"/>
    <w:rsid w:val="004D00A2"/>
    <w:rsid w:val="004D016C"/>
    <w:rsid w:val="004D03F2"/>
    <w:rsid w:val="004D044B"/>
    <w:rsid w:val="004D05D3"/>
    <w:rsid w:val="004D0625"/>
    <w:rsid w:val="004D0687"/>
    <w:rsid w:val="004D0821"/>
    <w:rsid w:val="004D0A27"/>
    <w:rsid w:val="004D110F"/>
    <w:rsid w:val="004D1206"/>
    <w:rsid w:val="004D1539"/>
    <w:rsid w:val="004D15B5"/>
    <w:rsid w:val="004D1695"/>
    <w:rsid w:val="004D178E"/>
    <w:rsid w:val="004D1880"/>
    <w:rsid w:val="004D18F9"/>
    <w:rsid w:val="004D1A4A"/>
    <w:rsid w:val="004D1C39"/>
    <w:rsid w:val="004D1E5D"/>
    <w:rsid w:val="004D1F06"/>
    <w:rsid w:val="004D1FF1"/>
    <w:rsid w:val="004D20D2"/>
    <w:rsid w:val="004D246C"/>
    <w:rsid w:val="004D2B43"/>
    <w:rsid w:val="004D2BA9"/>
    <w:rsid w:val="004D2DA0"/>
    <w:rsid w:val="004D35A4"/>
    <w:rsid w:val="004D3622"/>
    <w:rsid w:val="004D3634"/>
    <w:rsid w:val="004D3673"/>
    <w:rsid w:val="004D368F"/>
    <w:rsid w:val="004D37C9"/>
    <w:rsid w:val="004D397D"/>
    <w:rsid w:val="004D3C79"/>
    <w:rsid w:val="004D3D4F"/>
    <w:rsid w:val="004D3F95"/>
    <w:rsid w:val="004D3FAB"/>
    <w:rsid w:val="004D4020"/>
    <w:rsid w:val="004D4226"/>
    <w:rsid w:val="004D4474"/>
    <w:rsid w:val="004D44BC"/>
    <w:rsid w:val="004D44FF"/>
    <w:rsid w:val="004D4558"/>
    <w:rsid w:val="004D4687"/>
    <w:rsid w:val="004D4750"/>
    <w:rsid w:val="004D4810"/>
    <w:rsid w:val="004D4A53"/>
    <w:rsid w:val="004D4D84"/>
    <w:rsid w:val="004D4E96"/>
    <w:rsid w:val="004D4EED"/>
    <w:rsid w:val="004D511A"/>
    <w:rsid w:val="004D551D"/>
    <w:rsid w:val="004D5612"/>
    <w:rsid w:val="004D5770"/>
    <w:rsid w:val="004D58C8"/>
    <w:rsid w:val="004D5932"/>
    <w:rsid w:val="004D5C7C"/>
    <w:rsid w:val="004D5E90"/>
    <w:rsid w:val="004D63F0"/>
    <w:rsid w:val="004D6517"/>
    <w:rsid w:val="004D6696"/>
    <w:rsid w:val="004D68D9"/>
    <w:rsid w:val="004D6D8A"/>
    <w:rsid w:val="004D6EB5"/>
    <w:rsid w:val="004D7130"/>
    <w:rsid w:val="004D7136"/>
    <w:rsid w:val="004D7222"/>
    <w:rsid w:val="004D72A3"/>
    <w:rsid w:val="004D7550"/>
    <w:rsid w:val="004D77A1"/>
    <w:rsid w:val="004D78ED"/>
    <w:rsid w:val="004D7C7B"/>
    <w:rsid w:val="004D7F35"/>
    <w:rsid w:val="004D7F5C"/>
    <w:rsid w:val="004D7FDC"/>
    <w:rsid w:val="004E0025"/>
    <w:rsid w:val="004E0221"/>
    <w:rsid w:val="004E053F"/>
    <w:rsid w:val="004E055A"/>
    <w:rsid w:val="004E0597"/>
    <w:rsid w:val="004E05B2"/>
    <w:rsid w:val="004E0679"/>
    <w:rsid w:val="004E0988"/>
    <w:rsid w:val="004E09CD"/>
    <w:rsid w:val="004E0A22"/>
    <w:rsid w:val="004E0E32"/>
    <w:rsid w:val="004E12E9"/>
    <w:rsid w:val="004E135C"/>
    <w:rsid w:val="004E154D"/>
    <w:rsid w:val="004E17CC"/>
    <w:rsid w:val="004E185B"/>
    <w:rsid w:val="004E18B6"/>
    <w:rsid w:val="004E1AF1"/>
    <w:rsid w:val="004E1BE0"/>
    <w:rsid w:val="004E1C69"/>
    <w:rsid w:val="004E1DB8"/>
    <w:rsid w:val="004E1FD4"/>
    <w:rsid w:val="004E2163"/>
    <w:rsid w:val="004E22AE"/>
    <w:rsid w:val="004E24CF"/>
    <w:rsid w:val="004E2541"/>
    <w:rsid w:val="004E268E"/>
    <w:rsid w:val="004E277E"/>
    <w:rsid w:val="004E2A04"/>
    <w:rsid w:val="004E2B2C"/>
    <w:rsid w:val="004E2FAC"/>
    <w:rsid w:val="004E3070"/>
    <w:rsid w:val="004E3177"/>
    <w:rsid w:val="004E34F0"/>
    <w:rsid w:val="004E36A9"/>
    <w:rsid w:val="004E36B2"/>
    <w:rsid w:val="004E37B4"/>
    <w:rsid w:val="004E3806"/>
    <w:rsid w:val="004E3B15"/>
    <w:rsid w:val="004E3CBF"/>
    <w:rsid w:val="004E3E8E"/>
    <w:rsid w:val="004E404E"/>
    <w:rsid w:val="004E405C"/>
    <w:rsid w:val="004E41F6"/>
    <w:rsid w:val="004E451D"/>
    <w:rsid w:val="004E4544"/>
    <w:rsid w:val="004E47B0"/>
    <w:rsid w:val="004E4891"/>
    <w:rsid w:val="004E497D"/>
    <w:rsid w:val="004E49C2"/>
    <w:rsid w:val="004E4B09"/>
    <w:rsid w:val="004E4B4A"/>
    <w:rsid w:val="004E4F98"/>
    <w:rsid w:val="004E542A"/>
    <w:rsid w:val="004E5537"/>
    <w:rsid w:val="004E5799"/>
    <w:rsid w:val="004E58AC"/>
    <w:rsid w:val="004E5A51"/>
    <w:rsid w:val="004E5D43"/>
    <w:rsid w:val="004E5DA6"/>
    <w:rsid w:val="004E5FA0"/>
    <w:rsid w:val="004E6115"/>
    <w:rsid w:val="004E64B1"/>
    <w:rsid w:val="004E6857"/>
    <w:rsid w:val="004E6921"/>
    <w:rsid w:val="004E69FE"/>
    <w:rsid w:val="004E6C1C"/>
    <w:rsid w:val="004E6C8F"/>
    <w:rsid w:val="004E6E86"/>
    <w:rsid w:val="004E6E8A"/>
    <w:rsid w:val="004E6F12"/>
    <w:rsid w:val="004E7022"/>
    <w:rsid w:val="004E723F"/>
    <w:rsid w:val="004E7288"/>
    <w:rsid w:val="004E749C"/>
    <w:rsid w:val="004E757C"/>
    <w:rsid w:val="004E77F3"/>
    <w:rsid w:val="004E78E5"/>
    <w:rsid w:val="004E7921"/>
    <w:rsid w:val="004E799D"/>
    <w:rsid w:val="004E7E5A"/>
    <w:rsid w:val="004F009C"/>
    <w:rsid w:val="004F01D7"/>
    <w:rsid w:val="004F01E9"/>
    <w:rsid w:val="004F0277"/>
    <w:rsid w:val="004F03B6"/>
    <w:rsid w:val="004F08B8"/>
    <w:rsid w:val="004F0B51"/>
    <w:rsid w:val="004F0D16"/>
    <w:rsid w:val="004F0FE0"/>
    <w:rsid w:val="004F0FE8"/>
    <w:rsid w:val="004F10AF"/>
    <w:rsid w:val="004F1433"/>
    <w:rsid w:val="004F18C9"/>
    <w:rsid w:val="004F18D1"/>
    <w:rsid w:val="004F1929"/>
    <w:rsid w:val="004F1E27"/>
    <w:rsid w:val="004F1F00"/>
    <w:rsid w:val="004F1F44"/>
    <w:rsid w:val="004F230A"/>
    <w:rsid w:val="004F2330"/>
    <w:rsid w:val="004F2499"/>
    <w:rsid w:val="004F2571"/>
    <w:rsid w:val="004F26A1"/>
    <w:rsid w:val="004F2799"/>
    <w:rsid w:val="004F2932"/>
    <w:rsid w:val="004F2998"/>
    <w:rsid w:val="004F2AE5"/>
    <w:rsid w:val="004F2B09"/>
    <w:rsid w:val="004F2B5F"/>
    <w:rsid w:val="004F2DA3"/>
    <w:rsid w:val="004F3063"/>
    <w:rsid w:val="004F30BE"/>
    <w:rsid w:val="004F30C9"/>
    <w:rsid w:val="004F31B6"/>
    <w:rsid w:val="004F3397"/>
    <w:rsid w:val="004F340A"/>
    <w:rsid w:val="004F366B"/>
    <w:rsid w:val="004F3901"/>
    <w:rsid w:val="004F3C40"/>
    <w:rsid w:val="004F4124"/>
    <w:rsid w:val="004F4382"/>
    <w:rsid w:val="004F47E1"/>
    <w:rsid w:val="004F484A"/>
    <w:rsid w:val="004F48A8"/>
    <w:rsid w:val="004F48FC"/>
    <w:rsid w:val="004F4CCD"/>
    <w:rsid w:val="004F4CDB"/>
    <w:rsid w:val="004F54F5"/>
    <w:rsid w:val="004F5B83"/>
    <w:rsid w:val="004F5C2D"/>
    <w:rsid w:val="004F5D3D"/>
    <w:rsid w:val="004F5DC4"/>
    <w:rsid w:val="004F5EBF"/>
    <w:rsid w:val="004F5F51"/>
    <w:rsid w:val="004F5FD3"/>
    <w:rsid w:val="004F65DA"/>
    <w:rsid w:val="004F66D9"/>
    <w:rsid w:val="004F68BE"/>
    <w:rsid w:val="004F6919"/>
    <w:rsid w:val="004F6B52"/>
    <w:rsid w:val="004F6B9B"/>
    <w:rsid w:val="004F6C67"/>
    <w:rsid w:val="004F6D9E"/>
    <w:rsid w:val="004F6F5C"/>
    <w:rsid w:val="004F6FCA"/>
    <w:rsid w:val="004F7155"/>
    <w:rsid w:val="004F73EF"/>
    <w:rsid w:val="004F7455"/>
    <w:rsid w:val="004F748D"/>
    <w:rsid w:val="004F755D"/>
    <w:rsid w:val="004F75A6"/>
    <w:rsid w:val="004F768B"/>
    <w:rsid w:val="004F775B"/>
    <w:rsid w:val="004F7984"/>
    <w:rsid w:val="004F79BA"/>
    <w:rsid w:val="004F7A22"/>
    <w:rsid w:val="004F7C2B"/>
    <w:rsid w:val="004F7D0E"/>
    <w:rsid w:val="004F7E0D"/>
    <w:rsid w:val="004F7FE0"/>
    <w:rsid w:val="00500140"/>
    <w:rsid w:val="00500203"/>
    <w:rsid w:val="00500375"/>
    <w:rsid w:val="00500407"/>
    <w:rsid w:val="0050040F"/>
    <w:rsid w:val="0050044A"/>
    <w:rsid w:val="0050059B"/>
    <w:rsid w:val="005008AC"/>
    <w:rsid w:val="00500AA5"/>
    <w:rsid w:val="00500FE3"/>
    <w:rsid w:val="0050104A"/>
    <w:rsid w:val="00501084"/>
    <w:rsid w:val="005011B4"/>
    <w:rsid w:val="00501569"/>
    <w:rsid w:val="00501572"/>
    <w:rsid w:val="00501888"/>
    <w:rsid w:val="005018A5"/>
    <w:rsid w:val="0050195C"/>
    <w:rsid w:val="005023AF"/>
    <w:rsid w:val="00502AB4"/>
    <w:rsid w:val="00502E34"/>
    <w:rsid w:val="00502F25"/>
    <w:rsid w:val="0050306B"/>
    <w:rsid w:val="005032D9"/>
    <w:rsid w:val="005033FC"/>
    <w:rsid w:val="00503417"/>
    <w:rsid w:val="005034CA"/>
    <w:rsid w:val="005035CF"/>
    <w:rsid w:val="005036EB"/>
    <w:rsid w:val="0050395E"/>
    <w:rsid w:val="00503A52"/>
    <w:rsid w:val="00503CBF"/>
    <w:rsid w:val="00503D90"/>
    <w:rsid w:val="00503E74"/>
    <w:rsid w:val="005046B9"/>
    <w:rsid w:val="005046E7"/>
    <w:rsid w:val="005047B6"/>
    <w:rsid w:val="0050488D"/>
    <w:rsid w:val="005049B3"/>
    <w:rsid w:val="00504AFB"/>
    <w:rsid w:val="00504BE1"/>
    <w:rsid w:val="00504D3E"/>
    <w:rsid w:val="00504D49"/>
    <w:rsid w:val="005050F0"/>
    <w:rsid w:val="00505185"/>
    <w:rsid w:val="005052EE"/>
    <w:rsid w:val="0050538E"/>
    <w:rsid w:val="005054D3"/>
    <w:rsid w:val="00505589"/>
    <w:rsid w:val="005057AD"/>
    <w:rsid w:val="005057BC"/>
    <w:rsid w:val="0050583C"/>
    <w:rsid w:val="005058CB"/>
    <w:rsid w:val="00505909"/>
    <w:rsid w:val="00505B7E"/>
    <w:rsid w:val="00505FB0"/>
    <w:rsid w:val="00506114"/>
    <w:rsid w:val="005062B6"/>
    <w:rsid w:val="0050633D"/>
    <w:rsid w:val="00506610"/>
    <w:rsid w:val="00506682"/>
    <w:rsid w:val="0050668A"/>
    <w:rsid w:val="005066C2"/>
    <w:rsid w:val="00506B7A"/>
    <w:rsid w:val="00506EED"/>
    <w:rsid w:val="005071FF"/>
    <w:rsid w:val="00507372"/>
    <w:rsid w:val="005073D6"/>
    <w:rsid w:val="005074AC"/>
    <w:rsid w:val="00507538"/>
    <w:rsid w:val="00507549"/>
    <w:rsid w:val="005076D9"/>
    <w:rsid w:val="005077BB"/>
    <w:rsid w:val="005079AE"/>
    <w:rsid w:val="00507CCF"/>
    <w:rsid w:val="00507D19"/>
    <w:rsid w:val="00507F7F"/>
    <w:rsid w:val="0051001A"/>
    <w:rsid w:val="005103B9"/>
    <w:rsid w:val="00510635"/>
    <w:rsid w:val="00510759"/>
    <w:rsid w:val="0051096E"/>
    <w:rsid w:val="00510A96"/>
    <w:rsid w:val="00510A9F"/>
    <w:rsid w:val="00510B03"/>
    <w:rsid w:val="00510B9A"/>
    <w:rsid w:val="00510D25"/>
    <w:rsid w:val="00510D61"/>
    <w:rsid w:val="005110E1"/>
    <w:rsid w:val="00511185"/>
    <w:rsid w:val="00511229"/>
    <w:rsid w:val="00511548"/>
    <w:rsid w:val="00511895"/>
    <w:rsid w:val="00511B1A"/>
    <w:rsid w:val="00511BAD"/>
    <w:rsid w:val="00511C18"/>
    <w:rsid w:val="00511D3A"/>
    <w:rsid w:val="00511ECB"/>
    <w:rsid w:val="00511F5D"/>
    <w:rsid w:val="00512100"/>
    <w:rsid w:val="0051213F"/>
    <w:rsid w:val="0051215C"/>
    <w:rsid w:val="0051223F"/>
    <w:rsid w:val="005122F5"/>
    <w:rsid w:val="0051231A"/>
    <w:rsid w:val="00512388"/>
    <w:rsid w:val="005123E4"/>
    <w:rsid w:val="00512869"/>
    <w:rsid w:val="00512B98"/>
    <w:rsid w:val="00512F95"/>
    <w:rsid w:val="005131B2"/>
    <w:rsid w:val="005133D0"/>
    <w:rsid w:val="0051359E"/>
    <w:rsid w:val="005136AF"/>
    <w:rsid w:val="005137B8"/>
    <w:rsid w:val="005137FE"/>
    <w:rsid w:val="005138DE"/>
    <w:rsid w:val="00513CE3"/>
    <w:rsid w:val="0051405F"/>
    <w:rsid w:val="00514489"/>
    <w:rsid w:val="00514613"/>
    <w:rsid w:val="00514753"/>
    <w:rsid w:val="00514862"/>
    <w:rsid w:val="00514E0E"/>
    <w:rsid w:val="00514EB4"/>
    <w:rsid w:val="0051501B"/>
    <w:rsid w:val="0051502C"/>
    <w:rsid w:val="005150B6"/>
    <w:rsid w:val="005150FD"/>
    <w:rsid w:val="00515105"/>
    <w:rsid w:val="00515768"/>
    <w:rsid w:val="0051599F"/>
    <w:rsid w:val="00515BF1"/>
    <w:rsid w:val="00515C40"/>
    <w:rsid w:val="00515F49"/>
    <w:rsid w:val="0051634A"/>
    <w:rsid w:val="005166FD"/>
    <w:rsid w:val="00516AB4"/>
    <w:rsid w:val="00516B44"/>
    <w:rsid w:val="00517041"/>
    <w:rsid w:val="00517193"/>
    <w:rsid w:val="00517600"/>
    <w:rsid w:val="00517630"/>
    <w:rsid w:val="00517748"/>
    <w:rsid w:val="0051777E"/>
    <w:rsid w:val="0051787A"/>
    <w:rsid w:val="00517929"/>
    <w:rsid w:val="00517A19"/>
    <w:rsid w:val="00517C0F"/>
    <w:rsid w:val="00517D40"/>
    <w:rsid w:val="00517D62"/>
    <w:rsid w:val="00517D9C"/>
    <w:rsid w:val="0052012F"/>
    <w:rsid w:val="0052036C"/>
    <w:rsid w:val="00520594"/>
    <w:rsid w:val="00520866"/>
    <w:rsid w:val="00520C2F"/>
    <w:rsid w:val="00520D31"/>
    <w:rsid w:val="00520D32"/>
    <w:rsid w:val="00521095"/>
    <w:rsid w:val="00521265"/>
    <w:rsid w:val="00521530"/>
    <w:rsid w:val="00521608"/>
    <w:rsid w:val="005218A1"/>
    <w:rsid w:val="00521EC9"/>
    <w:rsid w:val="00521F45"/>
    <w:rsid w:val="005220A8"/>
    <w:rsid w:val="005221AD"/>
    <w:rsid w:val="0052226B"/>
    <w:rsid w:val="005222F5"/>
    <w:rsid w:val="00522A60"/>
    <w:rsid w:val="00522AB3"/>
    <w:rsid w:val="00522B04"/>
    <w:rsid w:val="00522F96"/>
    <w:rsid w:val="0052321E"/>
    <w:rsid w:val="0052336F"/>
    <w:rsid w:val="005237D1"/>
    <w:rsid w:val="005237F5"/>
    <w:rsid w:val="00523AF9"/>
    <w:rsid w:val="00523B4E"/>
    <w:rsid w:val="00523BC9"/>
    <w:rsid w:val="00523C69"/>
    <w:rsid w:val="00523C93"/>
    <w:rsid w:val="00523D55"/>
    <w:rsid w:val="00523E79"/>
    <w:rsid w:val="005240B5"/>
    <w:rsid w:val="00524166"/>
    <w:rsid w:val="0052421E"/>
    <w:rsid w:val="005244B8"/>
    <w:rsid w:val="005245A8"/>
    <w:rsid w:val="005245DF"/>
    <w:rsid w:val="00524AE5"/>
    <w:rsid w:val="00524C7B"/>
    <w:rsid w:val="00524CE9"/>
    <w:rsid w:val="0052526D"/>
    <w:rsid w:val="005252FC"/>
    <w:rsid w:val="005256E8"/>
    <w:rsid w:val="00525752"/>
    <w:rsid w:val="005257E4"/>
    <w:rsid w:val="0052595B"/>
    <w:rsid w:val="00525A69"/>
    <w:rsid w:val="00525B81"/>
    <w:rsid w:val="00525D29"/>
    <w:rsid w:val="0052629B"/>
    <w:rsid w:val="00526346"/>
    <w:rsid w:val="00526858"/>
    <w:rsid w:val="00526892"/>
    <w:rsid w:val="005269D0"/>
    <w:rsid w:val="00527010"/>
    <w:rsid w:val="0052726C"/>
    <w:rsid w:val="00527293"/>
    <w:rsid w:val="0052733A"/>
    <w:rsid w:val="00527787"/>
    <w:rsid w:val="005277AA"/>
    <w:rsid w:val="00527912"/>
    <w:rsid w:val="00527AE9"/>
    <w:rsid w:val="00527C4B"/>
    <w:rsid w:val="00527D43"/>
    <w:rsid w:val="00527FA2"/>
    <w:rsid w:val="0053009D"/>
    <w:rsid w:val="0053059A"/>
    <w:rsid w:val="0053060A"/>
    <w:rsid w:val="0053077C"/>
    <w:rsid w:val="0053082E"/>
    <w:rsid w:val="00530889"/>
    <w:rsid w:val="00530967"/>
    <w:rsid w:val="005309FF"/>
    <w:rsid w:val="00530C08"/>
    <w:rsid w:val="00530D78"/>
    <w:rsid w:val="00530F4B"/>
    <w:rsid w:val="0053103F"/>
    <w:rsid w:val="0053126E"/>
    <w:rsid w:val="005312EC"/>
    <w:rsid w:val="0053142A"/>
    <w:rsid w:val="00531583"/>
    <w:rsid w:val="00531818"/>
    <w:rsid w:val="00531BBE"/>
    <w:rsid w:val="00531E53"/>
    <w:rsid w:val="0053207F"/>
    <w:rsid w:val="0053208F"/>
    <w:rsid w:val="00532232"/>
    <w:rsid w:val="005322AA"/>
    <w:rsid w:val="00532559"/>
    <w:rsid w:val="005325AD"/>
    <w:rsid w:val="005326F5"/>
    <w:rsid w:val="005327FF"/>
    <w:rsid w:val="005328AA"/>
    <w:rsid w:val="005329B8"/>
    <w:rsid w:val="00532AEF"/>
    <w:rsid w:val="00532B45"/>
    <w:rsid w:val="00533452"/>
    <w:rsid w:val="00533516"/>
    <w:rsid w:val="00533599"/>
    <w:rsid w:val="00533B6A"/>
    <w:rsid w:val="00533B6D"/>
    <w:rsid w:val="00533DC0"/>
    <w:rsid w:val="00533EB4"/>
    <w:rsid w:val="005340D6"/>
    <w:rsid w:val="00534161"/>
    <w:rsid w:val="005341C1"/>
    <w:rsid w:val="0053453D"/>
    <w:rsid w:val="005347A7"/>
    <w:rsid w:val="00534A72"/>
    <w:rsid w:val="00534AE5"/>
    <w:rsid w:val="00534C25"/>
    <w:rsid w:val="00534C74"/>
    <w:rsid w:val="00534C78"/>
    <w:rsid w:val="00534FC0"/>
    <w:rsid w:val="00535168"/>
    <w:rsid w:val="005351CB"/>
    <w:rsid w:val="00535360"/>
    <w:rsid w:val="00535D40"/>
    <w:rsid w:val="00535F2D"/>
    <w:rsid w:val="00535F64"/>
    <w:rsid w:val="00536245"/>
    <w:rsid w:val="005363A9"/>
    <w:rsid w:val="0053697A"/>
    <w:rsid w:val="00536CDC"/>
    <w:rsid w:val="00536F8F"/>
    <w:rsid w:val="005371CE"/>
    <w:rsid w:val="00537268"/>
    <w:rsid w:val="005372B4"/>
    <w:rsid w:val="00537C71"/>
    <w:rsid w:val="00537DC2"/>
    <w:rsid w:val="00537EA4"/>
    <w:rsid w:val="00537F3C"/>
    <w:rsid w:val="00540358"/>
    <w:rsid w:val="00540528"/>
    <w:rsid w:val="00540570"/>
    <w:rsid w:val="005405EA"/>
    <w:rsid w:val="00540688"/>
    <w:rsid w:val="00540927"/>
    <w:rsid w:val="00540A83"/>
    <w:rsid w:val="00540D52"/>
    <w:rsid w:val="00540DA3"/>
    <w:rsid w:val="00540E97"/>
    <w:rsid w:val="00540E9B"/>
    <w:rsid w:val="00540F61"/>
    <w:rsid w:val="00541440"/>
    <w:rsid w:val="0054156F"/>
    <w:rsid w:val="005417C6"/>
    <w:rsid w:val="0054192D"/>
    <w:rsid w:val="00541B06"/>
    <w:rsid w:val="00541B19"/>
    <w:rsid w:val="00541BED"/>
    <w:rsid w:val="00541D0B"/>
    <w:rsid w:val="00541E30"/>
    <w:rsid w:val="00541F63"/>
    <w:rsid w:val="00542074"/>
    <w:rsid w:val="005421A8"/>
    <w:rsid w:val="005425AE"/>
    <w:rsid w:val="00542678"/>
    <w:rsid w:val="005427D9"/>
    <w:rsid w:val="00542875"/>
    <w:rsid w:val="00542928"/>
    <w:rsid w:val="00542ACC"/>
    <w:rsid w:val="00542BDF"/>
    <w:rsid w:val="00542C4D"/>
    <w:rsid w:val="005432DF"/>
    <w:rsid w:val="00543512"/>
    <w:rsid w:val="0054353D"/>
    <w:rsid w:val="00543559"/>
    <w:rsid w:val="005438D6"/>
    <w:rsid w:val="00543A0B"/>
    <w:rsid w:val="00543CEC"/>
    <w:rsid w:val="00543F06"/>
    <w:rsid w:val="005442B1"/>
    <w:rsid w:val="0054464F"/>
    <w:rsid w:val="00544902"/>
    <w:rsid w:val="00544B31"/>
    <w:rsid w:val="00544B4B"/>
    <w:rsid w:val="00544E90"/>
    <w:rsid w:val="00545502"/>
    <w:rsid w:val="00545776"/>
    <w:rsid w:val="00545B56"/>
    <w:rsid w:val="00545CBF"/>
    <w:rsid w:val="00545D01"/>
    <w:rsid w:val="00546097"/>
    <w:rsid w:val="00546112"/>
    <w:rsid w:val="005463E4"/>
    <w:rsid w:val="005464B9"/>
    <w:rsid w:val="005465B4"/>
    <w:rsid w:val="00546803"/>
    <w:rsid w:val="005468E1"/>
    <w:rsid w:val="005469C7"/>
    <w:rsid w:val="00546A68"/>
    <w:rsid w:val="00546D99"/>
    <w:rsid w:val="00546DC7"/>
    <w:rsid w:val="005470C7"/>
    <w:rsid w:val="00547442"/>
    <w:rsid w:val="00547479"/>
    <w:rsid w:val="005474E6"/>
    <w:rsid w:val="005474F9"/>
    <w:rsid w:val="00547C15"/>
    <w:rsid w:val="00547D0E"/>
    <w:rsid w:val="00547D2E"/>
    <w:rsid w:val="0055014C"/>
    <w:rsid w:val="005502DB"/>
    <w:rsid w:val="00550C32"/>
    <w:rsid w:val="00550D2A"/>
    <w:rsid w:val="00550FC6"/>
    <w:rsid w:val="00551025"/>
    <w:rsid w:val="0055164F"/>
    <w:rsid w:val="00551A0E"/>
    <w:rsid w:val="00552072"/>
    <w:rsid w:val="005521F2"/>
    <w:rsid w:val="005523B3"/>
    <w:rsid w:val="005523E8"/>
    <w:rsid w:val="005525E1"/>
    <w:rsid w:val="00552D19"/>
    <w:rsid w:val="00552D1D"/>
    <w:rsid w:val="00552F94"/>
    <w:rsid w:val="00553001"/>
    <w:rsid w:val="00553240"/>
    <w:rsid w:val="00553540"/>
    <w:rsid w:val="005537FA"/>
    <w:rsid w:val="005539E8"/>
    <w:rsid w:val="00553A8E"/>
    <w:rsid w:val="00553F62"/>
    <w:rsid w:val="00554233"/>
    <w:rsid w:val="0055431A"/>
    <w:rsid w:val="00554371"/>
    <w:rsid w:val="005547BF"/>
    <w:rsid w:val="005547C0"/>
    <w:rsid w:val="00554869"/>
    <w:rsid w:val="005548B5"/>
    <w:rsid w:val="005549A8"/>
    <w:rsid w:val="00554A7F"/>
    <w:rsid w:val="00554B7C"/>
    <w:rsid w:val="00554CDF"/>
    <w:rsid w:val="00554D1B"/>
    <w:rsid w:val="00554EF5"/>
    <w:rsid w:val="00554F71"/>
    <w:rsid w:val="00554FBF"/>
    <w:rsid w:val="00555029"/>
    <w:rsid w:val="0055598D"/>
    <w:rsid w:val="00555A9E"/>
    <w:rsid w:val="00555C3E"/>
    <w:rsid w:val="00555FD9"/>
    <w:rsid w:val="005561B9"/>
    <w:rsid w:val="005561CE"/>
    <w:rsid w:val="00556281"/>
    <w:rsid w:val="00556319"/>
    <w:rsid w:val="0055652D"/>
    <w:rsid w:val="005567CE"/>
    <w:rsid w:val="00556A5B"/>
    <w:rsid w:val="00556B49"/>
    <w:rsid w:val="00556D1D"/>
    <w:rsid w:val="00556E77"/>
    <w:rsid w:val="00556ED3"/>
    <w:rsid w:val="00556F08"/>
    <w:rsid w:val="00557034"/>
    <w:rsid w:val="005573A9"/>
    <w:rsid w:val="0055741B"/>
    <w:rsid w:val="00557713"/>
    <w:rsid w:val="0055773C"/>
    <w:rsid w:val="00557B63"/>
    <w:rsid w:val="00557B78"/>
    <w:rsid w:val="00557CC5"/>
    <w:rsid w:val="00557E14"/>
    <w:rsid w:val="00557E22"/>
    <w:rsid w:val="00557F09"/>
    <w:rsid w:val="00560295"/>
    <w:rsid w:val="0056035A"/>
    <w:rsid w:val="00560523"/>
    <w:rsid w:val="00560716"/>
    <w:rsid w:val="005609AE"/>
    <w:rsid w:val="00560B3B"/>
    <w:rsid w:val="00560B81"/>
    <w:rsid w:val="00560D04"/>
    <w:rsid w:val="00560E71"/>
    <w:rsid w:val="00560EA6"/>
    <w:rsid w:val="00561284"/>
    <w:rsid w:val="0056149B"/>
    <w:rsid w:val="0056159B"/>
    <w:rsid w:val="005615C5"/>
    <w:rsid w:val="0056162C"/>
    <w:rsid w:val="0056167E"/>
    <w:rsid w:val="005616BF"/>
    <w:rsid w:val="00561880"/>
    <w:rsid w:val="00561CC0"/>
    <w:rsid w:val="005621F3"/>
    <w:rsid w:val="0056224C"/>
    <w:rsid w:val="005622FB"/>
    <w:rsid w:val="005623D5"/>
    <w:rsid w:val="005624BB"/>
    <w:rsid w:val="00562513"/>
    <w:rsid w:val="00562733"/>
    <w:rsid w:val="00562AD5"/>
    <w:rsid w:val="00562EB3"/>
    <w:rsid w:val="005633CC"/>
    <w:rsid w:val="0056379E"/>
    <w:rsid w:val="00563A5F"/>
    <w:rsid w:val="00563BB9"/>
    <w:rsid w:val="00563DB7"/>
    <w:rsid w:val="00563DC2"/>
    <w:rsid w:val="00563DDD"/>
    <w:rsid w:val="00563EF1"/>
    <w:rsid w:val="00563F72"/>
    <w:rsid w:val="00564183"/>
    <w:rsid w:val="00564213"/>
    <w:rsid w:val="00564605"/>
    <w:rsid w:val="00564871"/>
    <w:rsid w:val="00564A3E"/>
    <w:rsid w:val="00564A88"/>
    <w:rsid w:val="00564AC6"/>
    <w:rsid w:val="00564E06"/>
    <w:rsid w:val="00564F17"/>
    <w:rsid w:val="00564F62"/>
    <w:rsid w:val="0056531F"/>
    <w:rsid w:val="005653F3"/>
    <w:rsid w:val="0056555C"/>
    <w:rsid w:val="0056557E"/>
    <w:rsid w:val="005655DC"/>
    <w:rsid w:val="0056566A"/>
    <w:rsid w:val="00565685"/>
    <w:rsid w:val="0056598C"/>
    <w:rsid w:val="005659FE"/>
    <w:rsid w:val="00565BF7"/>
    <w:rsid w:val="00565C05"/>
    <w:rsid w:val="00565C8D"/>
    <w:rsid w:val="00565D2F"/>
    <w:rsid w:val="00565EA6"/>
    <w:rsid w:val="00565EEC"/>
    <w:rsid w:val="00565F69"/>
    <w:rsid w:val="005661BD"/>
    <w:rsid w:val="0056643E"/>
    <w:rsid w:val="005665BA"/>
    <w:rsid w:val="00566840"/>
    <w:rsid w:val="005668EC"/>
    <w:rsid w:val="005669CB"/>
    <w:rsid w:val="00566A06"/>
    <w:rsid w:val="00566A64"/>
    <w:rsid w:val="00566AD3"/>
    <w:rsid w:val="00566AE2"/>
    <w:rsid w:val="00566CFD"/>
    <w:rsid w:val="00567747"/>
    <w:rsid w:val="00567762"/>
    <w:rsid w:val="005677C3"/>
    <w:rsid w:val="00567887"/>
    <w:rsid w:val="005678A4"/>
    <w:rsid w:val="00567A70"/>
    <w:rsid w:val="00567C89"/>
    <w:rsid w:val="00567FB4"/>
    <w:rsid w:val="0057017D"/>
    <w:rsid w:val="005702C1"/>
    <w:rsid w:val="0057047C"/>
    <w:rsid w:val="0057058F"/>
    <w:rsid w:val="005705C6"/>
    <w:rsid w:val="00570A23"/>
    <w:rsid w:val="00570ACC"/>
    <w:rsid w:val="00570C34"/>
    <w:rsid w:val="00570C36"/>
    <w:rsid w:val="00570E45"/>
    <w:rsid w:val="00571066"/>
    <w:rsid w:val="005710B3"/>
    <w:rsid w:val="005711DF"/>
    <w:rsid w:val="00571408"/>
    <w:rsid w:val="00571430"/>
    <w:rsid w:val="0057166F"/>
    <w:rsid w:val="00571723"/>
    <w:rsid w:val="00571757"/>
    <w:rsid w:val="00571955"/>
    <w:rsid w:val="00571BAB"/>
    <w:rsid w:val="00571D94"/>
    <w:rsid w:val="00571EEB"/>
    <w:rsid w:val="005725B8"/>
    <w:rsid w:val="005725E2"/>
    <w:rsid w:val="0057267D"/>
    <w:rsid w:val="00572ADE"/>
    <w:rsid w:val="00572B77"/>
    <w:rsid w:val="00573166"/>
    <w:rsid w:val="005735EE"/>
    <w:rsid w:val="00573823"/>
    <w:rsid w:val="00573880"/>
    <w:rsid w:val="005739FB"/>
    <w:rsid w:val="00573D93"/>
    <w:rsid w:val="00573E6E"/>
    <w:rsid w:val="00573ED1"/>
    <w:rsid w:val="0057410F"/>
    <w:rsid w:val="0057419C"/>
    <w:rsid w:val="0057435D"/>
    <w:rsid w:val="00574439"/>
    <w:rsid w:val="0057444C"/>
    <w:rsid w:val="005744F7"/>
    <w:rsid w:val="00574521"/>
    <w:rsid w:val="00574539"/>
    <w:rsid w:val="00574A7E"/>
    <w:rsid w:val="00574AA7"/>
    <w:rsid w:val="00574ACC"/>
    <w:rsid w:val="00574B75"/>
    <w:rsid w:val="00574BBA"/>
    <w:rsid w:val="00574D56"/>
    <w:rsid w:val="005750D4"/>
    <w:rsid w:val="00575201"/>
    <w:rsid w:val="00575414"/>
    <w:rsid w:val="00575558"/>
    <w:rsid w:val="0057559A"/>
    <w:rsid w:val="005756DF"/>
    <w:rsid w:val="0057580B"/>
    <w:rsid w:val="005758DC"/>
    <w:rsid w:val="00575A11"/>
    <w:rsid w:val="00575C46"/>
    <w:rsid w:val="00576255"/>
    <w:rsid w:val="00576350"/>
    <w:rsid w:val="00576468"/>
    <w:rsid w:val="00576496"/>
    <w:rsid w:val="005764DB"/>
    <w:rsid w:val="00576521"/>
    <w:rsid w:val="00576536"/>
    <w:rsid w:val="00576673"/>
    <w:rsid w:val="005766A5"/>
    <w:rsid w:val="00576751"/>
    <w:rsid w:val="0057681C"/>
    <w:rsid w:val="0057696B"/>
    <w:rsid w:val="00576B14"/>
    <w:rsid w:val="00576B8B"/>
    <w:rsid w:val="00576D8A"/>
    <w:rsid w:val="00576DDC"/>
    <w:rsid w:val="00576F29"/>
    <w:rsid w:val="0057702A"/>
    <w:rsid w:val="005770EA"/>
    <w:rsid w:val="00577136"/>
    <w:rsid w:val="00577164"/>
    <w:rsid w:val="0057718A"/>
    <w:rsid w:val="00577539"/>
    <w:rsid w:val="005775AF"/>
    <w:rsid w:val="005776DF"/>
    <w:rsid w:val="005776EB"/>
    <w:rsid w:val="0057778B"/>
    <w:rsid w:val="0057799D"/>
    <w:rsid w:val="00577A04"/>
    <w:rsid w:val="00577A1F"/>
    <w:rsid w:val="00577D19"/>
    <w:rsid w:val="00577FC7"/>
    <w:rsid w:val="00580057"/>
    <w:rsid w:val="00580228"/>
    <w:rsid w:val="00580500"/>
    <w:rsid w:val="0058055E"/>
    <w:rsid w:val="00580901"/>
    <w:rsid w:val="0058094E"/>
    <w:rsid w:val="005809DF"/>
    <w:rsid w:val="00580AD9"/>
    <w:rsid w:val="00580C2B"/>
    <w:rsid w:val="00580D82"/>
    <w:rsid w:val="00580DEF"/>
    <w:rsid w:val="00580E67"/>
    <w:rsid w:val="0058138D"/>
    <w:rsid w:val="005813F4"/>
    <w:rsid w:val="0058161A"/>
    <w:rsid w:val="005817CF"/>
    <w:rsid w:val="0058197B"/>
    <w:rsid w:val="00581B83"/>
    <w:rsid w:val="00581CBB"/>
    <w:rsid w:val="00581D4B"/>
    <w:rsid w:val="005821DD"/>
    <w:rsid w:val="005823C4"/>
    <w:rsid w:val="0058258F"/>
    <w:rsid w:val="005827A1"/>
    <w:rsid w:val="00582AB3"/>
    <w:rsid w:val="00582ABC"/>
    <w:rsid w:val="00582B28"/>
    <w:rsid w:val="00582BB4"/>
    <w:rsid w:val="00582DF7"/>
    <w:rsid w:val="00583296"/>
    <w:rsid w:val="005834BD"/>
    <w:rsid w:val="0058366B"/>
    <w:rsid w:val="005836B2"/>
    <w:rsid w:val="00583779"/>
    <w:rsid w:val="00583A6A"/>
    <w:rsid w:val="00583B75"/>
    <w:rsid w:val="00583D06"/>
    <w:rsid w:val="00583D31"/>
    <w:rsid w:val="00583DA7"/>
    <w:rsid w:val="00583DDD"/>
    <w:rsid w:val="00583DF0"/>
    <w:rsid w:val="005841B3"/>
    <w:rsid w:val="0058424B"/>
    <w:rsid w:val="005843CE"/>
    <w:rsid w:val="005844BF"/>
    <w:rsid w:val="00584BD5"/>
    <w:rsid w:val="00584C40"/>
    <w:rsid w:val="00584D82"/>
    <w:rsid w:val="00584E2D"/>
    <w:rsid w:val="00584F95"/>
    <w:rsid w:val="005850BE"/>
    <w:rsid w:val="0058514A"/>
    <w:rsid w:val="0058589C"/>
    <w:rsid w:val="00585D2A"/>
    <w:rsid w:val="00586056"/>
    <w:rsid w:val="005860AA"/>
    <w:rsid w:val="00586134"/>
    <w:rsid w:val="00586172"/>
    <w:rsid w:val="005861A1"/>
    <w:rsid w:val="005862FF"/>
    <w:rsid w:val="00586793"/>
    <w:rsid w:val="0058685F"/>
    <w:rsid w:val="0058690E"/>
    <w:rsid w:val="00586BBC"/>
    <w:rsid w:val="00586C3C"/>
    <w:rsid w:val="00586CB7"/>
    <w:rsid w:val="00586CE1"/>
    <w:rsid w:val="00586EA5"/>
    <w:rsid w:val="00586ECE"/>
    <w:rsid w:val="0058712F"/>
    <w:rsid w:val="005872F7"/>
    <w:rsid w:val="005875EB"/>
    <w:rsid w:val="00587814"/>
    <w:rsid w:val="0058789B"/>
    <w:rsid w:val="00587A72"/>
    <w:rsid w:val="00587CD9"/>
    <w:rsid w:val="00587E39"/>
    <w:rsid w:val="005900B7"/>
    <w:rsid w:val="005901B3"/>
    <w:rsid w:val="0059031B"/>
    <w:rsid w:val="00590436"/>
    <w:rsid w:val="0059064F"/>
    <w:rsid w:val="005906E5"/>
    <w:rsid w:val="005906EB"/>
    <w:rsid w:val="00591371"/>
    <w:rsid w:val="005914D4"/>
    <w:rsid w:val="00591624"/>
    <w:rsid w:val="005916BF"/>
    <w:rsid w:val="00591910"/>
    <w:rsid w:val="00591AE4"/>
    <w:rsid w:val="00591D93"/>
    <w:rsid w:val="00591F44"/>
    <w:rsid w:val="00591FF6"/>
    <w:rsid w:val="0059240A"/>
    <w:rsid w:val="005924B1"/>
    <w:rsid w:val="005925D0"/>
    <w:rsid w:val="00592727"/>
    <w:rsid w:val="005928E4"/>
    <w:rsid w:val="0059297F"/>
    <w:rsid w:val="00592B81"/>
    <w:rsid w:val="00592BA9"/>
    <w:rsid w:val="00592BB2"/>
    <w:rsid w:val="00592BFD"/>
    <w:rsid w:val="00592D43"/>
    <w:rsid w:val="00592F06"/>
    <w:rsid w:val="0059311B"/>
    <w:rsid w:val="00593152"/>
    <w:rsid w:val="005932B4"/>
    <w:rsid w:val="005934AC"/>
    <w:rsid w:val="005935A6"/>
    <w:rsid w:val="00593707"/>
    <w:rsid w:val="00593853"/>
    <w:rsid w:val="0059394E"/>
    <w:rsid w:val="00593A86"/>
    <w:rsid w:val="00593C72"/>
    <w:rsid w:val="0059407E"/>
    <w:rsid w:val="0059422C"/>
    <w:rsid w:val="005942A5"/>
    <w:rsid w:val="005945FF"/>
    <w:rsid w:val="00594842"/>
    <w:rsid w:val="00594893"/>
    <w:rsid w:val="00594A3C"/>
    <w:rsid w:val="00594A7D"/>
    <w:rsid w:val="00594A90"/>
    <w:rsid w:val="00594C68"/>
    <w:rsid w:val="00594CDA"/>
    <w:rsid w:val="00594F7F"/>
    <w:rsid w:val="005953CF"/>
    <w:rsid w:val="0059580D"/>
    <w:rsid w:val="00595B9D"/>
    <w:rsid w:val="00595D6F"/>
    <w:rsid w:val="00595E78"/>
    <w:rsid w:val="0059616C"/>
    <w:rsid w:val="005963C2"/>
    <w:rsid w:val="005963C5"/>
    <w:rsid w:val="005963CC"/>
    <w:rsid w:val="0059641C"/>
    <w:rsid w:val="0059643B"/>
    <w:rsid w:val="00596512"/>
    <w:rsid w:val="00596578"/>
    <w:rsid w:val="00596702"/>
    <w:rsid w:val="00596783"/>
    <w:rsid w:val="0059696D"/>
    <w:rsid w:val="00596A91"/>
    <w:rsid w:val="00596A95"/>
    <w:rsid w:val="00596ADE"/>
    <w:rsid w:val="00596D26"/>
    <w:rsid w:val="00596E8D"/>
    <w:rsid w:val="00596EF0"/>
    <w:rsid w:val="0059712A"/>
    <w:rsid w:val="005972A2"/>
    <w:rsid w:val="0059738F"/>
    <w:rsid w:val="005974B7"/>
    <w:rsid w:val="005974F6"/>
    <w:rsid w:val="005975A9"/>
    <w:rsid w:val="005975E7"/>
    <w:rsid w:val="0059760C"/>
    <w:rsid w:val="00597632"/>
    <w:rsid w:val="00597792"/>
    <w:rsid w:val="0059779D"/>
    <w:rsid w:val="005979F5"/>
    <w:rsid w:val="00597C66"/>
    <w:rsid w:val="00597DBE"/>
    <w:rsid w:val="00597E2E"/>
    <w:rsid w:val="00597E97"/>
    <w:rsid w:val="00597FA7"/>
    <w:rsid w:val="005A01E2"/>
    <w:rsid w:val="005A073A"/>
    <w:rsid w:val="005A0857"/>
    <w:rsid w:val="005A0AEF"/>
    <w:rsid w:val="005A0C97"/>
    <w:rsid w:val="005A1178"/>
    <w:rsid w:val="005A13C8"/>
    <w:rsid w:val="005A1544"/>
    <w:rsid w:val="005A183E"/>
    <w:rsid w:val="005A1B79"/>
    <w:rsid w:val="005A1CBF"/>
    <w:rsid w:val="005A1E4F"/>
    <w:rsid w:val="005A1EE3"/>
    <w:rsid w:val="005A1F65"/>
    <w:rsid w:val="005A2096"/>
    <w:rsid w:val="005A20DA"/>
    <w:rsid w:val="005A20DD"/>
    <w:rsid w:val="005A2100"/>
    <w:rsid w:val="005A2148"/>
    <w:rsid w:val="005A2176"/>
    <w:rsid w:val="005A21CE"/>
    <w:rsid w:val="005A232D"/>
    <w:rsid w:val="005A2344"/>
    <w:rsid w:val="005A254A"/>
    <w:rsid w:val="005A265A"/>
    <w:rsid w:val="005A26DD"/>
    <w:rsid w:val="005A274F"/>
    <w:rsid w:val="005A2911"/>
    <w:rsid w:val="005A2959"/>
    <w:rsid w:val="005A2B80"/>
    <w:rsid w:val="005A2CA5"/>
    <w:rsid w:val="005A2CDC"/>
    <w:rsid w:val="005A2ED5"/>
    <w:rsid w:val="005A2F8F"/>
    <w:rsid w:val="005A32A9"/>
    <w:rsid w:val="005A3304"/>
    <w:rsid w:val="005A3490"/>
    <w:rsid w:val="005A37D3"/>
    <w:rsid w:val="005A3B24"/>
    <w:rsid w:val="005A3CF9"/>
    <w:rsid w:val="005A3DA5"/>
    <w:rsid w:val="005A3EEB"/>
    <w:rsid w:val="005A41FF"/>
    <w:rsid w:val="005A4222"/>
    <w:rsid w:val="005A42E3"/>
    <w:rsid w:val="005A47D7"/>
    <w:rsid w:val="005A4892"/>
    <w:rsid w:val="005A49C3"/>
    <w:rsid w:val="005A4C86"/>
    <w:rsid w:val="005A4F07"/>
    <w:rsid w:val="005A51ED"/>
    <w:rsid w:val="005A5356"/>
    <w:rsid w:val="005A58D0"/>
    <w:rsid w:val="005A5920"/>
    <w:rsid w:val="005A5941"/>
    <w:rsid w:val="005A59C4"/>
    <w:rsid w:val="005A5B86"/>
    <w:rsid w:val="005A5D8C"/>
    <w:rsid w:val="005A5E2D"/>
    <w:rsid w:val="005A5E5E"/>
    <w:rsid w:val="005A5E93"/>
    <w:rsid w:val="005A61B7"/>
    <w:rsid w:val="005A61D6"/>
    <w:rsid w:val="005A621E"/>
    <w:rsid w:val="005A6319"/>
    <w:rsid w:val="005A6383"/>
    <w:rsid w:val="005A64F4"/>
    <w:rsid w:val="005A6577"/>
    <w:rsid w:val="005A65BC"/>
    <w:rsid w:val="005A67F3"/>
    <w:rsid w:val="005A6A0A"/>
    <w:rsid w:val="005A6A1D"/>
    <w:rsid w:val="005A6A4D"/>
    <w:rsid w:val="005A6A56"/>
    <w:rsid w:val="005A6D31"/>
    <w:rsid w:val="005A6EA9"/>
    <w:rsid w:val="005A6FA0"/>
    <w:rsid w:val="005A70AC"/>
    <w:rsid w:val="005A758A"/>
    <w:rsid w:val="005A7958"/>
    <w:rsid w:val="005A7ACB"/>
    <w:rsid w:val="005A7AFE"/>
    <w:rsid w:val="005A7D1D"/>
    <w:rsid w:val="005A7D43"/>
    <w:rsid w:val="005A7D75"/>
    <w:rsid w:val="005A7E58"/>
    <w:rsid w:val="005A7E5A"/>
    <w:rsid w:val="005A7FC6"/>
    <w:rsid w:val="005B00C9"/>
    <w:rsid w:val="005B0205"/>
    <w:rsid w:val="005B051C"/>
    <w:rsid w:val="005B054A"/>
    <w:rsid w:val="005B0796"/>
    <w:rsid w:val="005B0831"/>
    <w:rsid w:val="005B097F"/>
    <w:rsid w:val="005B09FE"/>
    <w:rsid w:val="005B0A0B"/>
    <w:rsid w:val="005B0B92"/>
    <w:rsid w:val="005B0DA4"/>
    <w:rsid w:val="005B0E82"/>
    <w:rsid w:val="005B0F95"/>
    <w:rsid w:val="005B10B9"/>
    <w:rsid w:val="005B11E0"/>
    <w:rsid w:val="005B1338"/>
    <w:rsid w:val="005B1342"/>
    <w:rsid w:val="005B13CD"/>
    <w:rsid w:val="005B1435"/>
    <w:rsid w:val="005B1556"/>
    <w:rsid w:val="005B17E8"/>
    <w:rsid w:val="005B1905"/>
    <w:rsid w:val="005B1AE8"/>
    <w:rsid w:val="005B1DBD"/>
    <w:rsid w:val="005B1E96"/>
    <w:rsid w:val="005B2165"/>
    <w:rsid w:val="005B259A"/>
    <w:rsid w:val="005B25A9"/>
    <w:rsid w:val="005B2679"/>
    <w:rsid w:val="005B29F1"/>
    <w:rsid w:val="005B2C0A"/>
    <w:rsid w:val="005B2D57"/>
    <w:rsid w:val="005B3043"/>
    <w:rsid w:val="005B3059"/>
    <w:rsid w:val="005B3062"/>
    <w:rsid w:val="005B3067"/>
    <w:rsid w:val="005B3286"/>
    <w:rsid w:val="005B369E"/>
    <w:rsid w:val="005B38ED"/>
    <w:rsid w:val="005B39E8"/>
    <w:rsid w:val="005B3B74"/>
    <w:rsid w:val="005B3D75"/>
    <w:rsid w:val="005B3D85"/>
    <w:rsid w:val="005B3E92"/>
    <w:rsid w:val="005B3EEB"/>
    <w:rsid w:val="005B41A5"/>
    <w:rsid w:val="005B4346"/>
    <w:rsid w:val="005B439F"/>
    <w:rsid w:val="005B4673"/>
    <w:rsid w:val="005B4690"/>
    <w:rsid w:val="005B4A27"/>
    <w:rsid w:val="005B4BA5"/>
    <w:rsid w:val="005B4BCA"/>
    <w:rsid w:val="005B4BED"/>
    <w:rsid w:val="005B4C6B"/>
    <w:rsid w:val="005B4F5F"/>
    <w:rsid w:val="005B4FC9"/>
    <w:rsid w:val="005B5169"/>
    <w:rsid w:val="005B53CD"/>
    <w:rsid w:val="005B56F3"/>
    <w:rsid w:val="005B57A5"/>
    <w:rsid w:val="005B5A3B"/>
    <w:rsid w:val="005B5C48"/>
    <w:rsid w:val="005B5E23"/>
    <w:rsid w:val="005B5FA5"/>
    <w:rsid w:val="005B60B2"/>
    <w:rsid w:val="005B612A"/>
    <w:rsid w:val="005B64FD"/>
    <w:rsid w:val="005B698B"/>
    <w:rsid w:val="005B6A4B"/>
    <w:rsid w:val="005B6B15"/>
    <w:rsid w:val="005B6F50"/>
    <w:rsid w:val="005B7149"/>
    <w:rsid w:val="005B7173"/>
    <w:rsid w:val="005B71CF"/>
    <w:rsid w:val="005B74EF"/>
    <w:rsid w:val="005B7537"/>
    <w:rsid w:val="005B759B"/>
    <w:rsid w:val="005B768E"/>
    <w:rsid w:val="005B7AB1"/>
    <w:rsid w:val="005B7BE3"/>
    <w:rsid w:val="005B7D6E"/>
    <w:rsid w:val="005B7DE1"/>
    <w:rsid w:val="005B7E07"/>
    <w:rsid w:val="005B7F98"/>
    <w:rsid w:val="005C03EB"/>
    <w:rsid w:val="005C042B"/>
    <w:rsid w:val="005C044B"/>
    <w:rsid w:val="005C114E"/>
    <w:rsid w:val="005C12A9"/>
    <w:rsid w:val="005C146C"/>
    <w:rsid w:val="005C15AE"/>
    <w:rsid w:val="005C16E1"/>
    <w:rsid w:val="005C16F2"/>
    <w:rsid w:val="005C1726"/>
    <w:rsid w:val="005C1925"/>
    <w:rsid w:val="005C1A2E"/>
    <w:rsid w:val="005C1A31"/>
    <w:rsid w:val="005C1B29"/>
    <w:rsid w:val="005C1DAE"/>
    <w:rsid w:val="005C21A8"/>
    <w:rsid w:val="005C21E5"/>
    <w:rsid w:val="005C22F2"/>
    <w:rsid w:val="005C2332"/>
    <w:rsid w:val="005C23E9"/>
    <w:rsid w:val="005C2E60"/>
    <w:rsid w:val="005C2FD6"/>
    <w:rsid w:val="005C3084"/>
    <w:rsid w:val="005C3158"/>
    <w:rsid w:val="005C32ED"/>
    <w:rsid w:val="005C3555"/>
    <w:rsid w:val="005C384C"/>
    <w:rsid w:val="005C3958"/>
    <w:rsid w:val="005C395C"/>
    <w:rsid w:val="005C3B65"/>
    <w:rsid w:val="005C3B9F"/>
    <w:rsid w:val="005C3BA6"/>
    <w:rsid w:val="005C3BC7"/>
    <w:rsid w:val="005C3ECC"/>
    <w:rsid w:val="005C46B8"/>
    <w:rsid w:val="005C484E"/>
    <w:rsid w:val="005C4B95"/>
    <w:rsid w:val="005C4EC3"/>
    <w:rsid w:val="005C509E"/>
    <w:rsid w:val="005C50D8"/>
    <w:rsid w:val="005C5239"/>
    <w:rsid w:val="005C5423"/>
    <w:rsid w:val="005C55ED"/>
    <w:rsid w:val="005C5903"/>
    <w:rsid w:val="005C5C06"/>
    <w:rsid w:val="005C5D8A"/>
    <w:rsid w:val="005C6129"/>
    <w:rsid w:val="005C62AE"/>
    <w:rsid w:val="005C62C8"/>
    <w:rsid w:val="005C649F"/>
    <w:rsid w:val="005C654B"/>
    <w:rsid w:val="005C65B0"/>
    <w:rsid w:val="005C6648"/>
    <w:rsid w:val="005C697C"/>
    <w:rsid w:val="005C6AE4"/>
    <w:rsid w:val="005C6D22"/>
    <w:rsid w:val="005C7102"/>
    <w:rsid w:val="005C71C2"/>
    <w:rsid w:val="005C7259"/>
    <w:rsid w:val="005C756B"/>
    <w:rsid w:val="005C76CF"/>
    <w:rsid w:val="005C7898"/>
    <w:rsid w:val="005C796D"/>
    <w:rsid w:val="005C7EA6"/>
    <w:rsid w:val="005C7F1F"/>
    <w:rsid w:val="005D0019"/>
    <w:rsid w:val="005D002C"/>
    <w:rsid w:val="005D0030"/>
    <w:rsid w:val="005D02F1"/>
    <w:rsid w:val="005D0457"/>
    <w:rsid w:val="005D0519"/>
    <w:rsid w:val="005D05EC"/>
    <w:rsid w:val="005D07EE"/>
    <w:rsid w:val="005D0A73"/>
    <w:rsid w:val="005D0D58"/>
    <w:rsid w:val="005D1111"/>
    <w:rsid w:val="005D123B"/>
    <w:rsid w:val="005D12CC"/>
    <w:rsid w:val="005D1420"/>
    <w:rsid w:val="005D15A6"/>
    <w:rsid w:val="005D1845"/>
    <w:rsid w:val="005D19AE"/>
    <w:rsid w:val="005D1D3E"/>
    <w:rsid w:val="005D2280"/>
    <w:rsid w:val="005D23F4"/>
    <w:rsid w:val="005D2A4A"/>
    <w:rsid w:val="005D2E90"/>
    <w:rsid w:val="005D3165"/>
    <w:rsid w:val="005D32F7"/>
    <w:rsid w:val="005D3328"/>
    <w:rsid w:val="005D3722"/>
    <w:rsid w:val="005D38A3"/>
    <w:rsid w:val="005D3C06"/>
    <w:rsid w:val="005D3C85"/>
    <w:rsid w:val="005D4145"/>
    <w:rsid w:val="005D423A"/>
    <w:rsid w:val="005D46F2"/>
    <w:rsid w:val="005D4828"/>
    <w:rsid w:val="005D49B5"/>
    <w:rsid w:val="005D4B92"/>
    <w:rsid w:val="005D4BAD"/>
    <w:rsid w:val="005D4D0F"/>
    <w:rsid w:val="005D55D1"/>
    <w:rsid w:val="005D573B"/>
    <w:rsid w:val="005D5ACE"/>
    <w:rsid w:val="005D5BAD"/>
    <w:rsid w:val="005D5C34"/>
    <w:rsid w:val="005D5D54"/>
    <w:rsid w:val="005D5EC8"/>
    <w:rsid w:val="005D60D4"/>
    <w:rsid w:val="005D60F8"/>
    <w:rsid w:val="005D632D"/>
    <w:rsid w:val="005D666C"/>
    <w:rsid w:val="005D67F2"/>
    <w:rsid w:val="005D6892"/>
    <w:rsid w:val="005D6965"/>
    <w:rsid w:val="005D6D1E"/>
    <w:rsid w:val="005D6ED8"/>
    <w:rsid w:val="005D719F"/>
    <w:rsid w:val="005D72BD"/>
    <w:rsid w:val="005D754A"/>
    <w:rsid w:val="005D7631"/>
    <w:rsid w:val="005D79B7"/>
    <w:rsid w:val="005D79B8"/>
    <w:rsid w:val="005D79F6"/>
    <w:rsid w:val="005D7D22"/>
    <w:rsid w:val="005D7D63"/>
    <w:rsid w:val="005D7FE2"/>
    <w:rsid w:val="005E0222"/>
    <w:rsid w:val="005E029C"/>
    <w:rsid w:val="005E02D0"/>
    <w:rsid w:val="005E0459"/>
    <w:rsid w:val="005E04FC"/>
    <w:rsid w:val="005E05EB"/>
    <w:rsid w:val="005E0C4D"/>
    <w:rsid w:val="005E0E48"/>
    <w:rsid w:val="005E0E6F"/>
    <w:rsid w:val="005E1035"/>
    <w:rsid w:val="005E1374"/>
    <w:rsid w:val="005E1620"/>
    <w:rsid w:val="005E16ED"/>
    <w:rsid w:val="005E1769"/>
    <w:rsid w:val="005E18EE"/>
    <w:rsid w:val="005E1926"/>
    <w:rsid w:val="005E1CEE"/>
    <w:rsid w:val="005E1D1F"/>
    <w:rsid w:val="005E1EC0"/>
    <w:rsid w:val="005E213C"/>
    <w:rsid w:val="005E2194"/>
    <w:rsid w:val="005E2287"/>
    <w:rsid w:val="005E2295"/>
    <w:rsid w:val="005E2321"/>
    <w:rsid w:val="005E2355"/>
    <w:rsid w:val="005E236A"/>
    <w:rsid w:val="005E25A5"/>
    <w:rsid w:val="005E25B4"/>
    <w:rsid w:val="005E2807"/>
    <w:rsid w:val="005E28B5"/>
    <w:rsid w:val="005E2A20"/>
    <w:rsid w:val="005E2A90"/>
    <w:rsid w:val="005E2B5D"/>
    <w:rsid w:val="005E2C40"/>
    <w:rsid w:val="005E2E5A"/>
    <w:rsid w:val="005E2E79"/>
    <w:rsid w:val="005E2EBD"/>
    <w:rsid w:val="005E3302"/>
    <w:rsid w:val="005E3314"/>
    <w:rsid w:val="005E3427"/>
    <w:rsid w:val="005E366D"/>
    <w:rsid w:val="005E36B7"/>
    <w:rsid w:val="005E3856"/>
    <w:rsid w:val="005E3B7D"/>
    <w:rsid w:val="005E3C76"/>
    <w:rsid w:val="005E3EE4"/>
    <w:rsid w:val="005E3EF3"/>
    <w:rsid w:val="005E3FCF"/>
    <w:rsid w:val="005E42A0"/>
    <w:rsid w:val="005E4376"/>
    <w:rsid w:val="005E4426"/>
    <w:rsid w:val="005E4462"/>
    <w:rsid w:val="005E4489"/>
    <w:rsid w:val="005E45F9"/>
    <w:rsid w:val="005E478E"/>
    <w:rsid w:val="005E4820"/>
    <w:rsid w:val="005E49CF"/>
    <w:rsid w:val="005E4A69"/>
    <w:rsid w:val="005E4A6C"/>
    <w:rsid w:val="005E4BB5"/>
    <w:rsid w:val="005E4BC5"/>
    <w:rsid w:val="005E4CF2"/>
    <w:rsid w:val="005E4D5E"/>
    <w:rsid w:val="005E5197"/>
    <w:rsid w:val="005E52C0"/>
    <w:rsid w:val="005E562D"/>
    <w:rsid w:val="005E5AE7"/>
    <w:rsid w:val="005E5AFA"/>
    <w:rsid w:val="005E5E3B"/>
    <w:rsid w:val="005E6101"/>
    <w:rsid w:val="005E61B2"/>
    <w:rsid w:val="005E6340"/>
    <w:rsid w:val="005E6391"/>
    <w:rsid w:val="005E63C9"/>
    <w:rsid w:val="005E6543"/>
    <w:rsid w:val="005E66B7"/>
    <w:rsid w:val="005E6718"/>
    <w:rsid w:val="005E68DB"/>
    <w:rsid w:val="005E6A3D"/>
    <w:rsid w:val="005E6AA7"/>
    <w:rsid w:val="005E6D11"/>
    <w:rsid w:val="005E6D68"/>
    <w:rsid w:val="005E700A"/>
    <w:rsid w:val="005E71B5"/>
    <w:rsid w:val="005E72F2"/>
    <w:rsid w:val="005E748B"/>
    <w:rsid w:val="005E7692"/>
    <w:rsid w:val="005E793E"/>
    <w:rsid w:val="005E7A9A"/>
    <w:rsid w:val="005E7F01"/>
    <w:rsid w:val="005E7FC8"/>
    <w:rsid w:val="005F0068"/>
    <w:rsid w:val="005F01B9"/>
    <w:rsid w:val="005F0837"/>
    <w:rsid w:val="005F09C7"/>
    <w:rsid w:val="005F0A15"/>
    <w:rsid w:val="005F0A62"/>
    <w:rsid w:val="005F0D35"/>
    <w:rsid w:val="005F0EC9"/>
    <w:rsid w:val="005F0F2E"/>
    <w:rsid w:val="005F1401"/>
    <w:rsid w:val="005F14A7"/>
    <w:rsid w:val="005F1576"/>
    <w:rsid w:val="005F18E5"/>
    <w:rsid w:val="005F1928"/>
    <w:rsid w:val="005F19C1"/>
    <w:rsid w:val="005F1A8F"/>
    <w:rsid w:val="005F1AC9"/>
    <w:rsid w:val="005F1F63"/>
    <w:rsid w:val="005F1FC5"/>
    <w:rsid w:val="005F20A4"/>
    <w:rsid w:val="005F22EB"/>
    <w:rsid w:val="005F2423"/>
    <w:rsid w:val="005F269F"/>
    <w:rsid w:val="005F273D"/>
    <w:rsid w:val="005F2801"/>
    <w:rsid w:val="005F292F"/>
    <w:rsid w:val="005F2A1F"/>
    <w:rsid w:val="005F2CC6"/>
    <w:rsid w:val="005F2ED1"/>
    <w:rsid w:val="005F3230"/>
    <w:rsid w:val="005F363F"/>
    <w:rsid w:val="005F3828"/>
    <w:rsid w:val="005F383F"/>
    <w:rsid w:val="005F39E3"/>
    <w:rsid w:val="005F3BFB"/>
    <w:rsid w:val="005F3C56"/>
    <w:rsid w:val="005F3E35"/>
    <w:rsid w:val="005F3F69"/>
    <w:rsid w:val="005F3F8B"/>
    <w:rsid w:val="005F4015"/>
    <w:rsid w:val="005F4039"/>
    <w:rsid w:val="005F4379"/>
    <w:rsid w:val="005F46F7"/>
    <w:rsid w:val="005F47D6"/>
    <w:rsid w:val="005F4904"/>
    <w:rsid w:val="005F49DF"/>
    <w:rsid w:val="005F4B4E"/>
    <w:rsid w:val="005F4BDF"/>
    <w:rsid w:val="005F4C8E"/>
    <w:rsid w:val="005F51CA"/>
    <w:rsid w:val="005F5208"/>
    <w:rsid w:val="005F52EB"/>
    <w:rsid w:val="005F55B5"/>
    <w:rsid w:val="005F55D6"/>
    <w:rsid w:val="005F58E8"/>
    <w:rsid w:val="005F59CE"/>
    <w:rsid w:val="005F5C35"/>
    <w:rsid w:val="005F5EB8"/>
    <w:rsid w:val="005F5F4E"/>
    <w:rsid w:val="005F5F61"/>
    <w:rsid w:val="005F603B"/>
    <w:rsid w:val="005F6058"/>
    <w:rsid w:val="005F6065"/>
    <w:rsid w:val="005F6110"/>
    <w:rsid w:val="005F6119"/>
    <w:rsid w:val="005F61E4"/>
    <w:rsid w:val="005F62D0"/>
    <w:rsid w:val="005F64A5"/>
    <w:rsid w:val="005F6630"/>
    <w:rsid w:val="005F676B"/>
    <w:rsid w:val="005F6808"/>
    <w:rsid w:val="005F6AC5"/>
    <w:rsid w:val="005F6D1A"/>
    <w:rsid w:val="005F6F5A"/>
    <w:rsid w:val="005F6F6A"/>
    <w:rsid w:val="005F7043"/>
    <w:rsid w:val="005F7158"/>
    <w:rsid w:val="005F7311"/>
    <w:rsid w:val="005F7460"/>
    <w:rsid w:val="005F74B0"/>
    <w:rsid w:val="005F76FD"/>
    <w:rsid w:val="005F7C57"/>
    <w:rsid w:val="00600171"/>
    <w:rsid w:val="00600221"/>
    <w:rsid w:val="006003F8"/>
    <w:rsid w:val="00600449"/>
    <w:rsid w:val="00600782"/>
    <w:rsid w:val="006010D1"/>
    <w:rsid w:val="006015A5"/>
    <w:rsid w:val="00601850"/>
    <w:rsid w:val="00601885"/>
    <w:rsid w:val="00601A0E"/>
    <w:rsid w:val="00601BF1"/>
    <w:rsid w:val="00602074"/>
    <w:rsid w:val="0060224F"/>
    <w:rsid w:val="006023C9"/>
    <w:rsid w:val="0060270F"/>
    <w:rsid w:val="00602716"/>
    <w:rsid w:val="00602888"/>
    <w:rsid w:val="00602927"/>
    <w:rsid w:val="006029C0"/>
    <w:rsid w:val="00602A1C"/>
    <w:rsid w:val="00602A21"/>
    <w:rsid w:val="00602B43"/>
    <w:rsid w:val="00602B85"/>
    <w:rsid w:val="00602F47"/>
    <w:rsid w:val="00602FD0"/>
    <w:rsid w:val="0060346E"/>
    <w:rsid w:val="006035E2"/>
    <w:rsid w:val="00603658"/>
    <w:rsid w:val="0060367F"/>
    <w:rsid w:val="006038F3"/>
    <w:rsid w:val="00603B41"/>
    <w:rsid w:val="00603C33"/>
    <w:rsid w:val="00603F49"/>
    <w:rsid w:val="00604423"/>
    <w:rsid w:val="00604570"/>
    <w:rsid w:val="0060465F"/>
    <w:rsid w:val="00604711"/>
    <w:rsid w:val="006048E4"/>
    <w:rsid w:val="006048F3"/>
    <w:rsid w:val="00604A43"/>
    <w:rsid w:val="00604BD9"/>
    <w:rsid w:val="00604C06"/>
    <w:rsid w:val="00604CB0"/>
    <w:rsid w:val="00604DB7"/>
    <w:rsid w:val="006051BF"/>
    <w:rsid w:val="0060521F"/>
    <w:rsid w:val="00605477"/>
    <w:rsid w:val="00605657"/>
    <w:rsid w:val="006057F3"/>
    <w:rsid w:val="00605ACE"/>
    <w:rsid w:val="00605BB1"/>
    <w:rsid w:val="00605CD0"/>
    <w:rsid w:val="00605FB9"/>
    <w:rsid w:val="00605FC1"/>
    <w:rsid w:val="00606100"/>
    <w:rsid w:val="0060613B"/>
    <w:rsid w:val="0060615D"/>
    <w:rsid w:val="006061C1"/>
    <w:rsid w:val="00606285"/>
    <w:rsid w:val="00606375"/>
    <w:rsid w:val="006065BC"/>
    <w:rsid w:val="006065FD"/>
    <w:rsid w:val="006066B0"/>
    <w:rsid w:val="0060677B"/>
    <w:rsid w:val="00606AE6"/>
    <w:rsid w:val="00607144"/>
    <w:rsid w:val="00607366"/>
    <w:rsid w:val="00607415"/>
    <w:rsid w:val="006074F5"/>
    <w:rsid w:val="006076C4"/>
    <w:rsid w:val="00607AAB"/>
    <w:rsid w:val="00607F65"/>
    <w:rsid w:val="006101C8"/>
    <w:rsid w:val="0061020E"/>
    <w:rsid w:val="00610256"/>
    <w:rsid w:val="00610403"/>
    <w:rsid w:val="0061055D"/>
    <w:rsid w:val="00610973"/>
    <w:rsid w:val="00610AAF"/>
    <w:rsid w:val="00610B8C"/>
    <w:rsid w:val="006111A0"/>
    <w:rsid w:val="00611437"/>
    <w:rsid w:val="006116B8"/>
    <w:rsid w:val="006119E1"/>
    <w:rsid w:val="00611B13"/>
    <w:rsid w:val="00611B68"/>
    <w:rsid w:val="00611F3F"/>
    <w:rsid w:val="006120E4"/>
    <w:rsid w:val="006121E6"/>
    <w:rsid w:val="00612213"/>
    <w:rsid w:val="006122BF"/>
    <w:rsid w:val="0061254C"/>
    <w:rsid w:val="00612618"/>
    <w:rsid w:val="006127AD"/>
    <w:rsid w:val="00612C9D"/>
    <w:rsid w:val="00612D04"/>
    <w:rsid w:val="00612E22"/>
    <w:rsid w:val="00612ED5"/>
    <w:rsid w:val="00612FD3"/>
    <w:rsid w:val="00613130"/>
    <w:rsid w:val="00613235"/>
    <w:rsid w:val="00613919"/>
    <w:rsid w:val="00613CA9"/>
    <w:rsid w:val="00613F86"/>
    <w:rsid w:val="0061411F"/>
    <w:rsid w:val="00614128"/>
    <w:rsid w:val="006144F1"/>
    <w:rsid w:val="0061480B"/>
    <w:rsid w:val="0061482C"/>
    <w:rsid w:val="00614A07"/>
    <w:rsid w:val="00614A99"/>
    <w:rsid w:val="00614AB8"/>
    <w:rsid w:val="00614BA3"/>
    <w:rsid w:val="00614FCF"/>
    <w:rsid w:val="00615142"/>
    <w:rsid w:val="0061521E"/>
    <w:rsid w:val="0061536F"/>
    <w:rsid w:val="006153A6"/>
    <w:rsid w:val="00615686"/>
    <w:rsid w:val="006156A6"/>
    <w:rsid w:val="0061575B"/>
    <w:rsid w:val="00615785"/>
    <w:rsid w:val="006157D1"/>
    <w:rsid w:val="006157E4"/>
    <w:rsid w:val="006158E1"/>
    <w:rsid w:val="00615929"/>
    <w:rsid w:val="006159AC"/>
    <w:rsid w:val="006159E6"/>
    <w:rsid w:val="00615B09"/>
    <w:rsid w:val="00615BEA"/>
    <w:rsid w:val="00615D92"/>
    <w:rsid w:val="00615FE5"/>
    <w:rsid w:val="006161DA"/>
    <w:rsid w:val="006162DD"/>
    <w:rsid w:val="006164C7"/>
    <w:rsid w:val="00616545"/>
    <w:rsid w:val="00616576"/>
    <w:rsid w:val="00616714"/>
    <w:rsid w:val="00616936"/>
    <w:rsid w:val="00616A50"/>
    <w:rsid w:val="00616B34"/>
    <w:rsid w:val="00616C67"/>
    <w:rsid w:val="00616D1A"/>
    <w:rsid w:val="00616DE4"/>
    <w:rsid w:val="00616F3E"/>
    <w:rsid w:val="0061713D"/>
    <w:rsid w:val="00617259"/>
    <w:rsid w:val="0061743C"/>
    <w:rsid w:val="006174FB"/>
    <w:rsid w:val="00617A09"/>
    <w:rsid w:val="00617F42"/>
    <w:rsid w:val="00620142"/>
    <w:rsid w:val="00620293"/>
    <w:rsid w:val="00620352"/>
    <w:rsid w:val="00620597"/>
    <w:rsid w:val="0062072D"/>
    <w:rsid w:val="006208E1"/>
    <w:rsid w:val="00620DD6"/>
    <w:rsid w:val="00620EF1"/>
    <w:rsid w:val="00621127"/>
    <w:rsid w:val="00621173"/>
    <w:rsid w:val="00621306"/>
    <w:rsid w:val="00621307"/>
    <w:rsid w:val="0062149A"/>
    <w:rsid w:val="00621539"/>
    <w:rsid w:val="006215C3"/>
    <w:rsid w:val="00621609"/>
    <w:rsid w:val="00621650"/>
    <w:rsid w:val="00621C57"/>
    <w:rsid w:val="00621C73"/>
    <w:rsid w:val="00621CFF"/>
    <w:rsid w:val="00621D7F"/>
    <w:rsid w:val="00621E95"/>
    <w:rsid w:val="006220DF"/>
    <w:rsid w:val="0062217B"/>
    <w:rsid w:val="006221DA"/>
    <w:rsid w:val="006225BE"/>
    <w:rsid w:val="006225F7"/>
    <w:rsid w:val="00622710"/>
    <w:rsid w:val="0062280D"/>
    <w:rsid w:val="0062291B"/>
    <w:rsid w:val="006229AF"/>
    <w:rsid w:val="00622D30"/>
    <w:rsid w:val="00622E03"/>
    <w:rsid w:val="00622E2C"/>
    <w:rsid w:val="0062303D"/>
    <w:rsid w:val="00623093"/>
    <w:rsid w:val="0062314D"/>
    <w:rsid w:val="00623162"/>
    <w:rsid w:val="0062327A"/>
    <w:rsid w:val="00623503"/>
    <w:rsid w:val="00623832"/>
    <w:rsid w:val="00623838"/>
    <w:rsid w:val="00623D50"/>
    <w:rsid w:val="00623DE3"/>
    <w:rsid w:val="00623F2A"/>
    <w:rsid w:val="00624086"/>
    <w:rsid w:val="006241F2"/>
    <w:rsid w:val="006242DD"/>
    <w:rsid w:val="00624370"/>
    <w:rsid w:val="0062442E"/>
    <w:rsid w:val="00624624"/>
    <w:rsid w:val="00624658"/>
    <w:rsid w:val="006247F4"/>
    <w:rsid w:val="006249FF"/>
    <w:rsid w:val="00624BCF"/>
    <w:rsid w:val="00624C0A"/>
    <w:rsid w:val="00624C2A"/>
    <w:rsid w:val="00624C39"/>
    <w:rsid w:val="00624E72"/>
    <w:rsid w:val="00624EE9"/>
    <w:rsid w:val="00624F6F"/>
    <w:rsid w:val="0062506C"/>
    <w:rsid w:val="006251F5"/>
    <w:rsid w:val="00625280"/>
    <w:rsid w:val="00625295"/>
    <w:rsid w:val="006252FA"/>
    <w:rsid w:val="0062571F"/>
    <w:rsid w:val="00625789"/>
    <w:rsid w:val="006257D2"/>
    <w:rsid w:val="006257D3"/>
    <w:rsid w:val="00625973"/>
    <w:rsid w:val="006259B8"/>
    <w:rsid w:val="00625B24"/>
    <w:rsid w:val="00625B4B"/>
    <w:rsid w:val="00625EB8"/>
    <w:rsid w:val="00625EC7"/>
    <w:rsid w:val="00625F66"/>
    <w:rsid w:val="00626162"/>
    <w:rsid w:val="00626262"/>
    <w:rsid w:val="006264B6"/>
    <w:rsid w:val="00626530"/>
    <w:rsid w:val="0062653B"/>
    <w:rsid w:val="006267B6"/>
    <w:rsid w:val="00626881"/>
    <w:rsid w:val="00626A1E"/>
    <w:rsid w:val="00626AC4"/>
    <w:rsid w:val="00626B0A"/>
    <w:rsid w:val="00626E34"/>
    <w:rsid w:val="00627003"/>
    <w:rsid w:val="00627145"/>
    <w:rsid w:val="00627371"/>
    <w:rsid w:val="00627522"/>
    <w:rsid w:val="00627579"/>
    <w:rsid w:val="00627598"/>
    <w:rsid w:val="0062771D"/>
    <w:rsid w:val="0063005A"/>
    <w:rsid w:val="00630263"/>
    <w:rsid w:val="006305B7"/>
    <w:rsid w:val="006305CA"/>
    <w:rsid w:val="006305EB"/>
    <w:rsid w:val="0063060D"/>
    <w:rsid w:val="00630705"/>
    <w:rsid w:val="006307D0"/>
    <w:rsid w:val="00630881"/>
    <w:rsid w:val="006308AF"/>
    <w:rsid w:val="006308CC"/>
    <w:rsid w:val="00630B51"/>
    <w:rsid w:val="00630E9A"/>
    <w:rsid w:val="00630F03"/>
    <w:rsid w:val="0063122C"/>
    <w:rsid w:val="006314A1"/>
    <w:rsid w:val="00631508"/>
    <w:rsid w:val="006315B8"/>
    <w:rsid w:val="0063187B"/>
    <w:rsid w:val="00631947"/>
    <w:rsid w:val="00631AC1"/>
    <w:rsid w:val="00631BF5"/>
    <w:rsid w:val="00631D7C"/>
    <w:rsid w:val="00631DFD"/>
    <w:rsid w:val="00632190"/>
    <w:rsid w:val="006322AF"/>
    <w:rsid w:val="006322BC"/>
    <w:rsid w:val="00632608"/>
    <w:rsid w:val="00632680"/>
    <w:rsid w:val="00632C0A"/>
    <w:rsid w:val="00632F23"/>
    <w:rsid w:val="00633070"/>
    <w:rsid w:val="006330B0"/>
    <w:rsid w:val="00633218"/>
    <w:rsid w:val="0063328D"/>
    <w:rsid w:val="00633571"/>
    <w:rsid w:val="00633591"/>
    <w:rsid w:val="00633675"/>
    <w:rsid w:val="00633914"/>
    <w:rsid w:val="00633A38"/>
    <w:rsid w:val="00633D83"/>
    <w:rsid w:val="006340DC"/>
    <w:rsid w:val="006341F5"/>
    <w:rsid w:val="00634246"/>
    <w:rsid w:val="00634458"/>
    <w:rsid w:val="00634A44"/>
    <w:rsid w:val="00634CF7"/>
    <w:rsid w:val="00634D91"/>
    <w:rsid w:val="006350F9"/>
    <w:rsid w:val="006352B6"/>
    <w:rsid w:val="00635309"/>
    <w:rsid w:val="00635317"/>
    <w:rsid w:val="006353A5"/>
    <w:rsid w:val="00635520"/>
    <w:rsid w:val="00635861"/>
    <w:rsid w:val="006359F6"/>
    <w:rsid w:val="00635A9B"/>
    <w:rsid w:val="00635CE6"/>
    <w:rsid w:val="00635CF1"/>
    <w:rsid w:val="00635D1B"/>
    <w:rsid w:val="00635DA1"/>
    <w:rsid w:val="00635F46"/>
    <w:rsid w:val="00636036"/>
    <w:rsid w:val="00636403"/>
    <w:rsid w:val="00636507"/>
    <w:rsid w:val="00636733"/>
    <w:rsid w:val="00636926"/>
    <w:rsid w:val="00636A56"/>
    <w:rsid w:val="00636CDA"/>
    <w:rsid w:val="00636DBD"/>
    <w:rsid w:val="006375EE"/>
    <w:rsid w:val="006376C0"/>
    <w:rsid w:val="00637A99"/>
    <w:rsid w:val="00637DB5"/>
    <w:rsid w:val="006406FE"/>
    <w:rsid w:val="0064075C"/>
    <w:rsid w:val="006407CD"/>
    <w:rsid w:val="00640929"/>
    <w:rsid w:val="00640B60"/>
    <w:rsid w:val="00640C4D"/>
    <w:rsid w:val="00640ECF"/>
    <w:rsid w:val="00640FB2"/>
    <w:rsid w:val="0064154B"/>
    <w:rsid w:val="006415CA"/>
    <w:rsid w:val="00641692"/>
    <w:rsid w:val="0064184D"/>
    <w:rsid w:val="006418A2"/>
    <w:rsid w:val="00641918"/>
    <w:rsid w:val="00641AA9"/>
    <w:rsid w:val="00641B2F"/>
    <w:rsid w:val="00641BAF"/>
    <w:rsid w:val="00641CFF"/>
    <w:rsid w:val="006425D2"/>
    <w:rsid w:val="00642865"/>
    <w:rsid w:val="00642BBC"/>
    <w:rsid w:val="00642E38"/>
    <w:rsid w:val="006430D5"/>
    <w:rsid w:val="006433A8"/>
    <w:rsid w:val="006435A9"/>
    <w:rsid w:val="0064383F"/>
    <w:rsid w:val="00643974"/>
    <w:rsid w:val="00643CE0"/>
    <w:rsid w:val="00643D23"/>
    <w:rsid w:val="00643E3A"/>
    <w:rsid w:val="00644517"/>
    <w:rsid w:val="006445BD"/>
    <w:rsid w:val="00644675"/>
    <w:rsid w:val="006447B0"/>
    <w:rsid w:val="00644898"/>
    <w:rsid w:val="0064498E"/>
    <w:rsid w:val="00644BA5"/>
    <w:rsid w:val="00644F1E"/>
    <w:rsid w:val="00645089"/>
    <w:rsid w:val="00645095"/>
    <w:rsid w:val="006451E0"/>
    <w:rsid w:val="00645211"/>
    <w:rsid w:val="00645532"/>
    <w:rsid w:val="00645682"/>
    <w:rsid w:val="00645690"/>
    <w:rsid w:val="00645803"/>
    <w:rsid w:val="006459EA"/>
    <w:rsid w:val="00645A40"/>
    <w:rsid w:val="00645E6C"/>
    <w:rsid w:val="0064604C"/>
    <w:rsid w:val="006460C5"/>
    <w:rsid w:val="00646121"/>
    <w:rsid w:val="006464CD"/>
    <w:rsid w:val="0064669E"/>
    <w:rsid w:val="00646845"/>
    <w:rsid w:val="00646A8C"/>
    <w:rsid w:val="00646E10"/>
    <w:rsid w:val="00647074"/>
    <w:rsid w:val="00647125"/>
    <w:rsid w:val="006474BE"/>
    <w:rsid w:val="006474E7"/>
    <w:rsid w:val="006476E3"/>
    <w:rsid w:val="0064775B"/>
    <w:rsid w:val="006477DC"/>
    <w:rsid w:val="00647C25"/>
    <w:rsid w:val="00647CD4"/>
    <w:rsid w:val="00647CFD"/>
    <w:rsid w:val="00647E90"/>
    <w:rsid w:val="00647EAA"/>
    <w:rsid w:val="00647EDD"/>
    <w:rsid w:val="00647FD7"/>
    <w:rsid w:val="00650025"/>
    <w:rsid w:val="0065003E"/>
    <w:rsid w:val="006500B8"/>
    <w:rsid w:val="006501E4"/>
    <w:rsid w:val="00650417"/>
    <w:rsid w:val="006507CF"/>
    <w:rsid w:val="00650B00"/>
    <w:rsid w:val="00650C24"/>
    <w:rsid w:val="00650D29"/>
    <w:rsid w:val="00650FDB"/>
    <w:rsid w:val="00650FE6"/>
    <w:rsid w:val="00651070"/>
    <w:rsid w:val="006513E5"/>
    <w:rsid w:val="006516BA"/>
    <w:rsid w:val="00651896"/>
    <w:rsid w:val="006518DB"/>
    <w:rsid w:val="006519AC"/>
    <w:rsid w:val="006519B1"/>
    <w:rsid w:val="00651D4D"/>
    <w:rsid w:val="00651F4E"/>
    <w:rsid w:val="00651FA4"/>
    <w:rsid w:val="00652485"/>
    <w:rsid w:val="00652490"/>
    <w:rsid w:val="006524D5"/>
    <w:rsid w:val="006524DD"/>
    <w:rsid w:val="00652673"/>
    <w:rsid w:val="006528E8"/>
    <w:rsid w:val="00652936"/>
    <w:rsid w:val="00652C36"/>
    <w:rsid w:val="00652C8D"/>
    <w:rsid w:val="00653287"/>
    <w:rsid w:val="00653404"/>
    <w:rsid w:val="00653629"/>
    <w:rsid w:val="0065372F"/>
    <w:rsid w:val="0065374C"/>
    <w:rsid w:val="00653A08"/>
    <w:rsid w:val="00653D48"/>
    <w:rsid w:val="00653FB4"/>
    <w:rsid w:val="00654034"/>
    <w:rsid w:val="00654161"/>
    <w:rsid w:val="00654247"/>
    <w:rsid w:val="006542A8"/>
    <w:rsid w:val="006546DA"/>
    <w:rsid w:val="006548F3"/>
    <w:rsid w:val="00654ACE"/>
    <w:rsid w:val="00654C33"/>
    <w:rsid w:val="00654C56"/>
    <w:rsid w:val="00654D25"/>
    <w:rsid w:val="00654E57"/>
    <w:rsid w:val="00654FE4"/>
    <w:rsid w:val="0065533F"/>
    <w:rsid w:val="006553FB"/>
    <w:rsid w:val="0065571A"/>
    <w:rsid w:val="00655780"/>
    <w:rsid w:val="006557DA"/>
    <w:rsid w:val="006559C6"/>
    <w:rsid w:val="00655CDA"/>
    <w:rsid w:val="00656472"/>
    <w:rsid w:val="006564F9"/>
    <w:rsid w:val="00656579"/>
    <w:rsid w:val="00656785"/>
    <w:rsid w:val="00656A03"/>
    <w:rsid w:val="00656AF7"/>
    <w:rsid w:val="00656B38"/>
    <w:rsid w:val="00656BC9"/>
    <w:rsid w:val="00656EF8"/>
    <w:rsid w:val="00656FB7"/>
    <w:rsid w:val="00656FBA"/>
    <w:rsid w:val="006573DF"/>
    <w:rsid w:val="00657476"/>
    <w:rsid w:val="00657640"/>
    <w:rsid w:val="006576D3"/>
    <w:rsid w:val="006576D4"/>
    <w:rsid w:val="00657738"/>
    <w:rsid w:val="006579A7"/>
    <w:rsid w:val="00657A85"/>
    <w:rsid w:val="00657CEE"/>
    <w:rsid w:val="0066036B"/>
    <w:rsid w:val="0066037D"/>
    <w:rsid w:val="0066040A"/>
    <w:rsid w:val="00660429"/>
    <w:rsid w:val="00660707"/>
    <w:rsid w:val="00660842"/>
    <w:rsid w:val="00660859"/>
    <w:rsid w:val="00660B0B"/>
    <w:rsid w:val="00660BC2"/>
    <w:rsid w:val="00660C8E"/>
    <w:rsid w:val="00660DDB"/>
    <w:rsid w:val="00660E60"/>
    <w:rsid w:val="00660F1C"/>
    <w:rsid w:val="00660F5A"/>
    <w:rsid w:val="006618C0"/>
    <w:rsid w:val="00661983"/>
    <w:rsid w:val="00661D66"/>
    <w:rsid w:val="00661F49"/>
    <w:rsid w:val="0066210B"/>
    <w:rsid w:val="006622C9"/>
    <w:rsid w:val="006623D4"/>
    <w:rsid w:val="006624D5"/>
    <w:rsid w:val="00662A50"/>
    <w:rsid w:val="00662AEC"/>
    <w:rsid w:val="00662C1D"/>
    <w:rsid w:val="00662E6F"/>
    <w:rsid w:val="00663130"/>
    <w:rsid w:val="006632EE"/>
    <w:rsid w:val="006634A5"/>
    <w:rsid w:val="006636A9"/>
    <w:rsid w:val="00663762"/>
    <w:rsid w:val="006637F3"/>
    <w:rsid w:val="0066394F"/>
    <w:rsid w:val="00663E0C"/>
    <w:rsid w:val="00663EFB"/>
    <w:rsid w:val="0066417D"/>
    <w:rsid w:val="00664A5F"/>
    <w:rsid w:val="00664BEF"/>
    <w:rsid w:val="00664D4E"/>
    <w:rsid w:val="00664E00"/>
    <w:rsid w:val="00664ED9"/>
    <w:rsid w:val="00664F4D"/>
    <w:rsid w:val="00665053"/>
    <w:rsid w:val="00665286"/>
    <w:rsid w:val="0066568D"/>
    <w:rsid w:val="00665707"/>
    <w:rsid w:val="00665710"/>
    <w:rsid w:val="006657A1"/>
    <w:rsid w:val="0066598F"/>
    <w:rsid w:val="00665B18"/>
    <w:rsid w:val="00665D05"/>
    <w:rsid w:val="00665F65"/>
    <w:rsid w:val="00666119"/>
    <w:rsid w:val="0066621F"/>
    <w:rsid w:val="006662E5"/>
    <w:rsid w:val="00666360"/>
    <w:rsid w:val="006663A6"/>
    <w:rsid w:val="006663EB"/>
    <w:rsid w:val="0066650A"/>
    <w:rsid w:val="00666618"/>
    <w:rsid w:val="006669E6"/>
    <w:rsid w:val="00666A1D"/>
    <w:rsid w:val="00666AE8"/>
    <w:rsid w:val="00666BD1"/>
    <w:rsid w:val="00666D4B"/>
    <w:rsid w:val="006672D2"/>
    <w:rsid w:val="006675F7"/>
    <w:rsid w:val="0066774B"/>
    <w:rsid w:val="00667821"/>
    <w:rsid w:val="006678AC"/>
    <w:rsid w:val="00667C8C"/>
    <w:rsid w:val="00667D7D"/>
    <w:rsid w:val="006704A1"/>
    <w:rsid w:val="0067065D"/>
    <w:rsid w:val="00670744"/>
    <w:rsid w:val="006708B0"/>
    <w:rsid w:val="00670A3D"/>
    <w:rsid w:val="00670BF5"/>
    <w:rsid w:val="00670CDF"/>
    <w:rsid w:val="00670E42"/>
    <w:rsid w:val="00670E68"/>
    <w:rsid w:val="00670FDB"/>
    <w:rsid w:val="0067102E"/>
    <w:rsid w:val="00671044"/>
    <w:rsid w:val="00671400"/>
    <w:rsid w:val="00671434"/>
    <w:rsid w:val="00671476"/>
    <w:rsid w:val="00671478"/>
    <w:rsid w:val="00671601"/>
    <w:rsid w:val="006716FE"/>
    <w:rsid w:val="00671803"/>
    <w:rsid w:val="0067186B"/>
    <w:rsid w:val="006718F2"/>
    <w:rsid w:val="00671978"/>
    <w:rsid w:val="006719D6"/>
    <w:rsid w:val="006719F2"/>
    <w:rsid w:val="00671A8B"/>
    <w:rsid w:val="00671BE0"/>
    <w:rsid w:val="00671CC1"/>
    <w:rsid w:val="00671DD5"/>
    <w:rsid w:val="00671DF6"/>
    <w:rsid w:val="00671FFC"/>
    <w:rsid w:val="00672211"/>
    <w:rsid w:val="006723B9"/>
    <w:rsid w:val="00672612"/>
    <w:rsid w:val="00672A2A"/>
    <w:rsid w:val="00672F2A"/>
    <w:rsid w:val="00672FA5"/>
    <w:rsid w:val="00672FA7"/>
    <w:rsid w:val="00673063"/>
    <w:rsid w:val="0067336D"/>
    <w:rsid w:val="0067349F"/>
    <w:rsid w:val="0067359C"/>
    <w:rsid w:val="006735A7"/>
    <w:rsid w:val="00673647"/>
    <w:rsid w:val="0067397B"/>
    <w:rsid w:val="00673D39"/>
    <w:rsid w:val="00673EF3"/>
    <w:rsid w:val="00673F73"/>
    <w:rsid w:val="006741A1"/>
    <w:rsid w:val="0067448F"/>
    <w:rsid w:val="0067464B"/>
    <w:rsid w:val="0067464E"/>
    <w:rsid w:val="00674653"/>
    <w:rsid w:val="00674834"/>
    <w:rsid w:val="00674854"/>
    <w:rsid w:val="00674CAF"/>
    <w:rsid w:val="0067501D"/>
    <w:rsid w:val="006752AA"/>
    <w:rsid w:val="0067539C"/>
    <w:rsid w:val="006754B6"/>
    <w:rsid w:val="0067555B"/>
    <w:rsid w:val="00675703"/>
    <w:rsid w:val="00675718"/>
    <w:rsid w:val="0067585A"/>
    <w:rsid w:val="006758E0"/>
    <w:rsid w:val="00675D00"/>
    <w:rsid w:val="00675FBA"/>
    <w:rsid w:val="006760C8"/>
    <w:rsid w:val="006765F4"/>
    <w:rsid w:val="00676765"/>
    <w:rsid w:val="00676A8D"/>
    <w:rsid w:val="00676B50"/>
    <w:rsid w:val="00676BBE"/>
    <w:rsid w:val="00676C5D"/>
    <w:rsid w:val="00677133"/>
    <w:rsid w:val="0067719C"/>
    <w:rsid w:val="0067725B"/>
    <w:rsid w:val="006773F3"/>
    <w:rsid w:val="006778BA"/>
    <w:rsid w:val="00677930"/>
    <w:rsid w:val="00677989"/>
    <w:rsid w:val="00677B27"/>
    <w:rsid w:val="00677DE1"/>
    <w:rsid w:val="00677E8E"/>
    <w:rsid w:val="0068002E"/>
    <w:rsid w:val="00680075"/>
    <w:rsid w:val="00680176"/>
    <w:rsid w:val="00680188"/>
    <w:rsid w:val="0068058C"/>
    <w:rsid w:val="006808C2"/>
    <w:rsid w:val="00680965"/>
    <w:rsid w:val="006809C6"/>
    <w:rsid w:val="00680BC9"/>
    <w:rsid w:val="00680F85"/>
    <w:rsid w:val="0068127C"/>
    <w:rsid w:val="006812B4"/>
    <w:rsid w:val="006812E1"/>
    <w:rsid w:val="00681340"/>
    <w:rsid w:val="00681492"/>
    <w:rsid w:val="00681793"/>
    <w:rsid w:val="00681821"/>
    <w:rsid w:val="00681CE5"/>
    <w:rsid w:val="00681E52"/>
    <w:rsid w:val="00681FF9"/>
    <w:rsid w:val="006821D2"/>
    <w:rsid w:val="006821D8"/>
    <w:rsid w:val="006821FD"/>
    <w:rsid w:val="0068233B"/>
    <w:rsid w:val="0068237E"/>
    <w:rsid w:val="0068239C"/>
    <w:rsid w:val="006823D6"/>
    <w:rsid w:val="006824DE"/>
    <w:rsid w:val="00682586"/>
    <w:rsid w:val="0068289F"/>
    <w:rsid w:val="00682B4E"/>
    <w:rsid w:val="00682BDE"/>
    <w:rsid w:val="00682C6E"/>
    <w:rsid w:val="00682E69"/>
    <w:rsid w:val="00682E6F"/>
    <w:rsid w:val="00682F51"/>
    <w:rsid w:val="00682F59"/>
    <w:rsid w:val="0068323D"/>
    <w:rsid w:val="006832F6"/>
    <w:rsid w:val="00683363"/>
    <w:rsid w:val="00683CDC"/>
    <w:rsid w:val="00683DBA"/>
    <w:rsid w:val="00683E30"/>
    <w:rsid w:val="006840E2"/>
    <w:rsid w:val="006840F1"/>
    <w:rsid w:val="00684614"/>
    <w:rsid w:val="00684766"/>
    <w:rsid w:val="0068496E"/>
    <w:rsid w:val="0068499E"/>
    <w:rsid w:val="006849BC"/>
    <w:rsid w:val="00684BCF"/>
    <w:rsid w:val="00684CA9"/>
    <w:rsid w:val="00684CD0"/>
    <w:rsid w:val="00684ECA"/>
    <w:rsid w:val="00685009"/>
    <w:rsid w:val="0068511F"/>
    <w:rsid w:val="0068558F"/>
    <w:rsid w:val="006856C7"/>
    <w:rsid w:val="006857FF"/>
    <w:rsid w:val="00685D4B"/>
    <w:rsid w:val="006861BF"/>
    <w:rsid w:val="006863ED"/>
    <w:rsid w:val="0068648E"/>
    <w:rsid w:val="00686584"/>
    <w:rsid w:val="006865B3"/>
    <w:rsid w:val="006865CC"/>
    <w:rsid w:val="0068671B"/>
    <w:rsid w:val="00686D4F"/>
    <w:rsid w:val="00687021"/>
    <w:rsid w:val="0068774B"/>
    <w:rsid w:val="006878C3"/>
    <w:rsid w:val="006879B7"/>
    <w:rsid w:val="00687BD5"/>
    <w:rsid w:val="00687C21"/>
    <w:rsid w:val="00687EF7"/>
    <w:rsid w:val="00687F86"/>
    <w:rsid w:val="006902B9"/>
    <w:rsid w:val="006904CC"/>
    <w:rsid w:val="006904F3"/>
    <w:rsid w:val="00690777"/>
    <w:rsid w:val="0069077A"/>
    <w:rsid w:val="006909A6"/>
    <w:rsid w:val="00690A8F"/>
    <w:rsid w:val="00690B48"/>
    <w:rsid w:val="00690E38"/>
    <w:rsid w:val="00690E9C"/>
    <w:rsid w:val="00690ECC"/>
    <w:rsid w:val="0069111A"/>
    <w:rsid w:val="0069128F"/>
    <w:rsid w:val="00691458"/>
    <w:rsid w:val="0069163C"/>
    <w:rsid w:val="006917AF"/>
    <w:rsid w:val="00691865"/>
    <w:rsid w:val="00691C07"/>
    <w:rsid w:val="00691CB6"/>
    <w:rsid w:val="00691CF7"/>
    <w:rsid w:val="00691CFA"/>
    <w:rsid w:val="00692055"/>
    <w:rsid w:val="006920EA"/>
    <w:rsid w:val="006921B6"/>
    <w:rsid w:val="00692702"/>
    <w:rsid w:val="006927EF"/>
    <w:rsid w:val="00692F31"/>
    <w:rsid w:val="00692F32"/>
    <w:rsid w:val="006935D2"/>
    <w:rsid w:val="00693AC1"/>
    <w:rsid w:val="00693C0C"/>
    <w:rsid w:val="00693C85"/>
    <w:rsid w:val="00693CDC"/>
    <w:rsid w:val="006943B3"/>
    <w:rsid w:val="00694442"/>
    <w:rsid w:val="006944FB"/>
    <w:rsid w:val="0069452F"/>
    <w:rsid w:val="00694E22"/>
    <w:rsid w:val="00694F54"/>
    <w:rsid w:val="00695025"/>
    <w:rsid w:val="006950CA"/>
    <w:rsid w:val="006952D5"/>
    <w:rsid w:val="0069530A"/>
    <w:rsid w:val="00695469"/>
    <w:rsid w:val="00695682"/>
    <w:rsid w:val="00695756"/>
    <w:rsid w:val="006957F5"/>
    <w:rsid w:val="006959C1"/>
    <w:rsid w:val="00695A95"/>
    <w:rsid w:val="00695CA0"/>
    <w:rsid w:val="00695CDD"/>
    <w:rsid w:val="00695ED0"/>
    <w:rsid w:val="00695F65"/>
    <w:rsid w:val="00695F8A"/>
    <w:rsid w:val="006960B5"/>
    <w:rsid w:val="006961B7"/>
    <w:rsid w:val="0069636F"/>
    <w:rsid w:val="0069641D"/>
    <w:rsid w:val="0069667C"/>
    <w:rsid w:val="00696BF5"/>
    <w:rsid w:val="00696CE8"/>
    <w:rsid w:val="00696DC9"/>
    <w:rsid w:val="00696E12"/>
    <w:rsid w:val="00696EAD"/>
    <w:rsid w:val="00696EC8"/>
    <w:rsid w:val="0069715D"/>
    <w:rsid w:val="006974CE"/>
    <w:rsid w:val="006975CF"/>
    <w:rsid w:val="0069760E"/>
    <w:rsid w:val="00697761"/>
    <w:rsid w:val="00697CAC"/>
    <w:rsid w:val="00697D90"/>
    <w:rsid w:val="00697EE0"/>
    <w:rsid w:val="00697FC8"/>
    <w:rsid w:val="00697FD1"/>
    <w:rsid w:val="006A012F"/>
    <w:rsid w:val="006A02C6"/>
    <w:rsid w:val="006A041A"/>
    <w:rsid w:val="006A0524"/>
    <w:rsid w:val="006A0CC5"/>
    <w:rsid w:val="006A0DA2"/>
    <w:rsid w:val="006A0F59"/>
    <w:rsid w:val="006A1255"/>
    <w:rsid w:val="006A15A7"/>
    <w:rsid w:val="006A178F"/>
    <w:rsid w:val="006A1A03"/>
    <w:rsid w:val="006A1AE2"/>
    <w:rsid w:val="006A1D3F"/>
    <w:rsid w:val="006A1F80"/>
    <w:rsid w:val="006A22E9"/>
    <w:rsid w:val="006A24C4"/>
    <w:rsid w:val="006A2594"/>
    <w:rsid w:val="006A2648"/>
    <w:rsid w:val="006A2747"/>
    <w:rsid w:val="006A275C"/>
    <w:rsid w:val="006A2A35"/>
    <w:rsid w:val="006A2C55"/>
    <w:rsid w:val="006A2E57"/>
    <w:rsid w:val="006A2EAF"/>
    <w:rsid w:val="006A320B"/>
    <w:rsid w:val="006A3436"/>
    <w:rsid w:val="006A38EF"/>
    <w:rsid w:val="006A38F6"/>
    <w:rsid w:val="006A392D"/>
    <w:rsid w:val="006A3D24"/>
    <w:rsid w:val="006A3D31"/>
    <w:rsid w:val="006A3F21"/>
    <w:rsid w:val="006A4167"/>
    <w:rsid w:val="006A4301"/>
    <w:rsid w:val="006A455F"/>
    <w:rsid w:val="006A4580"/>
    <w:rsid w:val="006A4635"/>
    <w:rsid w:val="006A4767"/>
    <w:rsid w:val="006A4898"/>
    <w:rsid w:val="006A4A75"/>
    <w:rsid w:val="006A4CEF"/>
    <w:rsid w:val="006A4EDD"/>
    <w:rsid w:val="006A5146"/>
    <w:rsid w:val="006A5470"/>
    <w:rsid w:val="006A5527"/>
    <w:rsid w:val="006A559C"/>
    <w:rsid w:val="006A5741"/>
    <w:rsid w:val="006A5767"/>
    <w:rsid w:val="006A59E1"/>
    <w:rsid w:val="006A59F5"/>
    <w:rsid w:val="006A5A24"/>
    <w:rsid w:val="006A5AD5"/>
    <w:rsid w:val="006A5B3A"/>
    <w:rsid w:val="006A5B60"/>
    <w:rsid w:val="006A62EB"/>
    <w:rsid w:val="006A6411"/>
    <w:rsid w:val="006A64B9"/>
    <w:rsid w:val="006A6742"/>
    <w:rsid w:val="006A67E1"/>
    <w:rsid w:val="006A691B"/>
    <w:rsid w:val="006A69B6"/>
    <w:rsid w:val="006A6A86"/>
    <w:rsid w:val="006A6E59"/>
    <w:rsid w:val="006A6EAF"/>
    <w:rsid w:val="006A717F"/>
    <w:rsid w:val="006A7218"/>
    <w:rsid w:val="006A7443"/>
    <w:rsid w:val="006A756B"/>
    <w:rsid w:val="006A760E"/>
    <w:rsid w:val="006A772E"/>
    <w:rsid w:val="006A7896"/>
    <w:rsid w:val="006A7D22"/>
    <w:rsid w:val="006A7EC1"/>
    <w:rsid w:val="006A7F13"/>
    <w:rsid w:val="006A7FB6"/>
    <w:rsid w:val="006B00C3"/>
    <w:rsid w:val="006B0255"/>
    <w:rsid w:val="006B0305"/>
    <w:rsid w:val="006B08B3"/>
    <w:rsid w:val="006B09CA"/>
    <w:rsid w:val="006B0A07"/>
    <w:rsid w:val="006B0BB9"/>
    <w:rsid w:val="006B0F7F"/>
    <w:rsid w:val="006B0FD4"/>
    <w:rsid w:val="006B1027"/>
    <w:rsid w:val="006B10C9"/>
    <w:rsid w:val="006B12B9"/>
    <w:rsid w:val="006B1737"/>
    <w:rsid w:val="006B1801"/>
    <w:rsid w:val="006B1B22"/>
    <w:rsid w:val="006B1DD6"/>
    <w:rsid w:val="006B22C7"/>
    <w:rsid w:val="006B24A4"/>
    <w:rsid w:val="006B25CF"/>
    <w:rsid w:val="006B2966"/>
    <w:rsid w:val="006B29F0"/>
    <w:rsid w:val="006B2D4D"/>
    <w:rsid w:val="006B2E49"/>
    <w:rsid w:val="006B309E"/>
    <w:rsid w:val="006B3139"/>
    <w:rsid w:val="006B31CD"/>
    <w:rsid w:val="006B31FF"/>
    <w:rsid w:val="006B32AC"/>
    <w:rsid w:val="006B3B8E"/>
    <w:rsid w:val="006B3D25"/>
    <w:rsid w:val="006B3DD6"/>
    <w:rsid w:val="006B3E5E"/>
    <w:rsid w:val="006B4046"/>
    <w:rsid w:val="006B4242"/>
    <w:rsid w:val="006B4360"/>
    <w:rsid w:val="006B4843"/>
    <w:rsid w:val="006B4C46"/>
    <w:rsid w:val="006B4FF7"/>
    <w:rsid w:val="006B501D"/>
    <w:rsid w:val="006B50B4"/>
    <w:rsid w:val="006B5152"/>
    <w:rsid w:val="006B5207"/>
    <w:rsid w:val="006B52E2"/>
    <w:rsid w:val="006B5541"/>
    <w:rsid w:val="006B5604"/>
    <w:rsid w:val="006B5610"/>
    <w:rsid w:val="006B5748"/>
    <w:rsid w:val="006B57EE"/>
    <w:rsid w:val="006B5889"/>
    <w:rsid w:val="006B5902"/>
    <w:rsid w:val="006B596E"/>
    <w:rsid w:val="006B5979"/>
    <w:rsid w:val="006B5C13"/>
    <w:rsid w:val="006B5D80"/>
    <w:rsid w:val="006B5DAF"/>
    <w:rsid w:val="006B5E04"/>
    <w:rsid w:val="006B5F23"/>
    <w:rsid w:val="006B60A0"/>
    <w:rsid w:val="006B611D"/>
    <w:rsid w:val="006B61D1"/>
    <w:rsid w:val="006B63CA"/>
    <w:rsid w:val="006B63DE"/>
    <w:rsid w:val="006B6523"/>
    <w:rsid w:val="006B6526"/>
    <w:rsid w:val="006B6AA8"/>
    <w:rsid w:val="006B6D4B"/>
    <w:rsid w:val="006B6E42"/>
    <w:rsid w:val="006B6E4F"/>
    <w:rsid w:val="006B7014"/>
    <w:rsid w:val="006B7357"/>
    <w:rsid w:val="006B742D"/>
    <w:rsid w:val="006B7468"/>
    <w:rsid w:val="006B75EC"/>
    <w:rsid w:val="006B774E"/>
    <w:rsid w:val="006B784A"/>
    <w:rsid w:val="006B78D2"/>
    <w:rsid w:val="006B7953"/>
    <w:rsid w:val="006B7AF5"/>
    <w:rsid w:val="006B7BB2"/>
    <w:rsid w:val="006B7C80"/>
    <w:rsid w:val="006B7D02"/>
    <w:rsid w:val="006B7D0A"/>
    <w:rsid w:val="006B7DC4"/>
    <w:rsid w:val="006C027C"/>
    <w:rsid w:val="006C0351"/>
    <w:rsid w:val="006C0369"/>
    <w:rsid w:val="006C0432"/>
    <w:rsid w:val="006C0766"/>
    <w:rsid w:val="006C07F1"/>
    <w:rsid w:val="006C08A7"/>
    <w:rsid w:val="006C0A0F"/>
    <w:rsid w:val="006C0BDF"/>
    <w:rsid w:val="006C0ECF"/>
    <w:rsid w:val="006C11CD"/>
    <w:rsid w:val="006C12BA"/>
    <w:rsid w:val="006C12FC"/>
    <w:rsid w:val="006C1890"/>
    <w:rsid w:val="006C18C5"/>
    <w:rsid w:val="006C1ACE"/>
    <w:rsid w:val="006C1B50"/>
    <w:rsid w:val="006C1B60"/>
    <w:rsid w:val="006C1C57"/>
    <w:rsid w:val="006C1C66"/>
    <w:rsid w:val="006C1F92"/>
    <w:rsid w:val="006C2161"/>
    <w:rsid w:val="006C236D"/>
    <w:rsid w:val="006C237D"/>
    <w:rsid w:val="006C250F"/>
    <w:rsid w:val="006C27E3"/>
    <w:rsid w:val="006C2828"/>
    <w:rsid w:val="006C286F"/>
    <w:rsid w:val="006C2AFE"/>
    <w:rsid w:val="006C2B06"/>
    <w:rsid w:val="006C2B7D"/>
    <w:rsid w:val="006C2BD3"/>
    <w:rsid w:val="006C2C5F"/>
    <w:rsid w:val="006C2C98"/>
    <w:rsid w:val="006C304F"/>
    <w:rsid w:val="006C328B"/>
    <w:rsid w:val="006C3791"/>
    <w:rsid w:val="006C37AB"/>
    <w:rsid w:val="006C3A2D"/>
    <w:rsid w:val="006C3B92"/>
    <w:rsid w:val="006C3EB6"/>
    <w:rsid w:val="006C3F61"/>
    <w:rsid w:val="006C4294"/>
    <w:rsid w:val="006C42C2"/>
    <w:rsid w:val="006C43A0"/>
    <w:rsid w:val="006C43A5"/>
    <w:rsid w:val="006C445D"/>
    <w:rsid w:val="006C44A1"/>
    <w:rsid w:val="006C4548"/>
    <w:rsid w:val="006C47F2"/>
    <w:rsid w:val="006C4856"/>
    <w:rsid w:val="006C4CE4"/>
    <w:rsid w:val="006C4FBB"/>
    <w:rsid w:val="006C5401"/>
    <w:rsid w:val="006C5459"/>
    <w:rsid w:val="006C54BD"/>
    <w:rsid w:val="006C5A3F"/>
    <w:rsid w:val="006C5ED6"/>
    <w:rsid w:val="006C603E"/>
    <w:rsid w:val="006C60B3"/>
    <w:rsid w:val="006C61FD"/>
    <w:rsid w:val="006C620B"/>
    <w:rsid w:val="006C645B"/>
    <w:rsid w:val="006C6CD8"/>
    <w:rsid w:val="006C6D88"/>
    <w:rsid w:val="006C6EEF"/>
    <w:rsid w:val="006C71F2"/>
    <w:rsid w:val="006C72D6"/>
    <w:rsid w:val="006C73C8"/>
    <w:rsid w:val="006C73D7"/>
    <w:rsid w:val="006C7552"/>
    <w:rsid w:val="006C7756"/>
    <w:rsid w:val="006C7941"/>
    <w:rsid w:val="006C7959"/>
    <w:rsid w:val="006C7983"/>
    <w:rsid w:val="006C7A30"/>
    <w:rsid w:val="006C7A44"/>
    <w:rsid w:val="006C7E9A"/>
    <w:rsid w:val="006C7F42"/>
    <w:rsid w:val="006D0023"/>
    <w:rsid w:val="006D0244"/>
    <w:rsid w:val="006D0257"/>
    <w:rsid w:val="006D033D"/>
    <w:rsid w:val="006D04E8"/>
    <w:rsid w:val="006D0531"/>
    <w:rsid w:val="006D06DA"/>
    <w:rsid w:val="006D0B04"/>
    <w:rsid w:val="006D0B5B"/>
    <w:rsid w:val="006D0CEF"/>
    <w:rsid w:val="006D0E05"/>
    <w:rsid w:val="006D0F6F"/>
    <w:rsid w:val="006D0F7C"/>
    <w:rsid w:val="006D1091"/>
    <w:rsid w:val="006D1241"/>
    <w:rsid w:val="006D124C"/>
    <w:rsid w:val="006D1678"/>
    <w:rsid w:val="006D175A"/>
    <w:rsid w:val="006D17A4"/>
    <w:rsid w:val="006D1939"/>
    <w:rsid w:val="006D1E45"/>
    <w:rsid w:val="006D243B"/>
    <w:rsid w:val="006D2487"/>
    <w:rsid w:val="006D264F"/>
    <w:rsid w:val="006D2829"/>
    <w:rsid w:val="006D2A42"/>
    <w:rsid w:val="006D2AB0"/>
    <w:rsid w:val="006D2B76"/>
    <w:rsid w:val="006D2BFE"/>
    <w:rsid w:val="006D2D18"/>
    <w:rsid w:val="006D2E1A"/>
    <w:rsid w:val="006D2FBD"/>
    <w:rsid w:val="006D31D0"/>
    <w:rsid w:val="006D32B9"/>
    <w:rsid w:val="006D343D"/>
    <w:rsid w:val="006D3457"/>
    <w:rsid w:val="006D3493"/>
    <w:rsid w:val="006D34C3"/>
    <w:rsid w:val="006D372E"/>
    <w:rsid w:val="006D39D2"/>
    <w:rsid w:val="006D3C18"/>
    <w:rsid w:val="006D448E"/>
    <w:rsid w:val="006D44FE"/>
    <w:rsid w:val="006D4658"/>
    <w:rsid w:val="006D4768"/>
    <w:rsid w:val="006D47E1"/>
    <w:rsid w:val="006D4CD7"/>
    <w:rsid w:val="006D5007"/>
    <w:rsid w:val="006D554D"/>
    <w:rsid w:val="006D55E3"/>
    <w:rsid w:val="006D5749"/>
    <w:rsid w:val="006D576E"/>
    <w:rsid w:val="006D5A0A"/>
    <w:rsid w:val="006D5B97"/>
    <w:rsid w:val="006D5CAB"/>
    <w:rsid w:val="006D5F3F"/>
    <w:rsid w:val="006D5FA9"/>
    <w:rsid w:val="006D60D2"/>
    <w:rsid w:val="006D6388"/>
    <w:rsid w:val="006D63AD"/>
    <w:rsid w:val="006D6454"/>
    <w:rsid w:val="006D66A8"/>
    <w:rsid w:val="006D66B9"/>
    <w:rsid w:val="006D6790"/>
    <w:rsid w:val="006D68A9"/>
    <w:rsid w:val="006D68CE"/>
    <w:rsid w:val="006D6B8C"/>
    <w:rsid w:val="006D6C6E"/>
    <w:rsid w:val="006D6CAF"/>
    <w:rsid w:val="006D6E7E"/>
    <w:rsid w:val="006D6FA1"/>
    <w:rsid w:val="006D704B"/>
    <w:rsid w:val="006D70FA"/>
    <w:rsid w:val="006D719E"/>
    <w:rsid w:val="006D71E6"/>
    <w:rsid w:val="006D72D8"/>
    <w:rsid w:val="006D73B1"/>
    <w:rsid w:val="006D73F8"/>
    <w:rsid w:val="006D7515"/>
    <w:rsid w:val="006D7608"/>
    <w:rsid w:val="006D7719"/>
    <w:rsid w:val="006D77BE"/>
    <w:rsid w:val="006D7D34"/>
    <w:rsid w:val="006E0264"/>
    <w:rsid w:val="006E03AE"/>
    <w:rsid w:val="006E03C7"/>
    <w:rsid w:val="006E0914"/>
    <w:rsid w:val="006E0946"/>
    <w:rsid w:val="006E09C1"/>
    <w:rsid w:val="006E0DC6"/>
    <w:rsid w:val="006E0F69"/>
    <w:rsid w:val="006E101E"/>
    <w:rsid w:val="006E12CB"/>
    <w:rsid w:val="006E17D3"/>
    <w:rsid w:val="006E17E8"/>
    <w:rsid w:val="006E1957"/>
    <w:rsid w:val="006E1A2A"/>
    <w:rsid w:val="006E1C05"/>
    <w:rsid w:val="006E1C8A"/>
    <w:rsid w:val="006E1E18"/>
    <w:rsid w:val="006E2105"/>
    <w:rsid w:val="006E24AA"/>
    <w:rsid w:val="006E2559"/>
    <w:rsid w:val="006E2688"/>
    <w:rsid w:val="006E26E7"/>
    <w:rsid w:val="006E284D"/>
    <w:rsid w:val="006E2967"/>
    <w:rsid w:val="006E2C46"/>
    <w:rsid w:val="006E2F9D"/>
    <w:rsid w:val="006E31CD"/>
    <w:rsid w:val="006E3527"/>
    <w:rsid w:val="006E3763"/>
    <w:rsid w:val="006E396B"/>
    <w:rsid w:val="006E3A5D"/>
    <w:rsid w:val="006E3A67"/>
    <w:rsid w:val="006E3AAB"/>
    <w:rsid w:val="006E3AB4"/>
    <w:rsid w:val="006E3B91"/>
    <w:rsid w:val="006E3C48"/>
    <w:rsid w:val="006E4007"/>
    <w:rsid w:val="006E40D9"/>
    <w:rsid w:val="006E4137"/>
    <w:rsid w:val="006E42CD"/>
    <w:rsid w:val="006E43CE"/>
    <w:rsid w:val="006E4428"/>
    <w:rsid w:val="006E460F"/>
    <w:rsid w:val="006E467A"/>
    <w:rsid w:val="006E46E4"/>
    <w:rsid w:val="006E470D"/>
    <w:rsid w:val="006E485C"/>
    <w:rsid w:val="006E4A79"/>
    <w:rsid w:val="006E4DE9"/>
    <w:rsid w:val="006E4E74"/>
    <w:rsid w:val="006E4E7A"/>
    <w:rsid w:val="006E4EE5"/>
    <w:rsid w:val="006E521A"/>
    <w:rsid w:val="006E561A"/>
    <w:rsid w:val="006E578B"/>
    <w:rsid w:val="006E580F"/>
    <w:rsid w:val="006E59E8"/>
    <w:rsid w:val="006E5BAC"/>
    <w:rsid w:val="006E5F67"/>
    <w:rsid w:val="006E60D2"/>
    <w:rsid w:val="006E6226"/>
    <w:rsid w:val="006E6278"/>
    <w:rsid w:val="006E6387"/>
    <w:rsid w:val="006E6398"/>
    <w:rsid w:val="006E647E"/>
    <w:rsid w:val="006E64B5"/>
    <w:rsid w:val="006E68C8"/>
    <w:rsid w:val="006E68E0"/>
    <w:rsid w:val="006E6A31"/>
    <w:rsid w:val="006E6D1C"/>
    <w:rsid w:val="006E6E25"/>
    <w:rsid w:val="006E6EAA"/>
    <w:rsid w:val="006E70BA"/>
    <w:rsid w:val="006E7117"/>
    <w:rsid w:val="006E728B"/>
    <w:rsid w:val="006E73A4"/>
    <w:rsid w:val="006E755B"/>
    <w:rsid w:val="006E7E9E"/>
    <w:rsid w:val="006F02B4"/>
    <w:rsid w:val="006F0560"/>
    <w:rsid w:val="006F059B"/>
    <w:rsid w:val="006F075F"/>
    <w:rsid w:val="006F0B0E"/>
    <w:rsid w:val="006F0BDC"/>
    <w:rsid w:val="006F145E"/>
    <w:rsid w:val="006F149B"/>
    <w:rsid w:val="006F1A98"/>
    <w:rsid w:val="006F1C8D"/>
    <w:rsid w:val="006F1D8C"/>
    <w:rsid w:val="006F1FB9"/>
    <w:rsid w:val="006F2114"/>
    <w:rsid w:val="006F2301"/>
    <w:rsid w:val="006F2545"/>
    <w:rsid w:val="006F25EC"/>
    <w:rsid w:val="006F2B09"/>
    <w:rsid w:val="006F2C43"/>
    <w:rsid w:val="006F2C77"/>
    <w:rsid w:val="006F2CDE"/>
    <w:rsid w:val="006F2D2A"/>
    <w:rsid w:val="006F2DC0"/>
    <w:rsid w:val="006F312E"/>
    <w:rsid w:val="006F3169"/>
    <w:rsid w:val="006F3429"/>
    <w:rsid w:val="006F37E4"/>
    <w:rsid w:val="006F3A3D"/>
    <w:rsid w:val="006F3BFC"/>
    <w:rsid w:val="006F3E2D"/>
    <w:rsid w:val="006F3F7A"/>
    <w:rsid w:val="006F3FDB"/>
    <w:rsid w:val="006F400B"/>
    <w:rsid w:val="006F42CF"/>
    <w:rsid w:val="006F4383"/>
    <w:rsid w:val="006F4529"/>
    <w:rsid w:val="006F4713"/>
    <w:rsid w:val="006F48C9"/>
    <w:rsid w:val="006F511F"/>
    <w:rsid w:val="006F52C6"/>
    <w:rsid w:val="006F5300"/>
    <w:rsid w:val="006F539D"/>
    <w:rsid w:val="006F54C7"/>
    <w:rsid w:val="006F5653"/>
    <w:rsid w:val="006F56A2"/>
    <w:rsid w:val="006F56B2"/>
    <w:rsid w:val="006F56B3"/>
    <w:rsid w:val="006F56FE"/>
    <w:rsid w:val="006F58AF"/>
    <w:rsid w:val="006F5903"/>
    <w:rsid w:val="006F5ABF"/>
    <w:rsid w:val="006F5B04"/>
    <w:rsid w:val="006F5CC7"/>
    <w:rsid w:val="006F60BF"/>
    <w:rsid w:val="006F6101"/>
    <w:rsid w:val="006F61D2"/>
    <w:rsid w:val="006F629E"/>
    <w:rsid w:val="006F64A0"/>
    <w:rsid w:val="006F64A1"/>
    <w:rsid w:val="006F6804"/>
    <w:rsid w:val="006F6A1D"/>
    <w:rsid w:val="006F6AEC"/>
    <w:rsid w:val="006F6C86"/>
    <w:rsid w:val="006F7036"/>
    <w:rsid w:val="006F714A"/>
    <w:rsid w:val="006F714F"/>
    <w:rsid w:val="006F7546"/>
    <w:rsid w:val="006F75EE"/>
    <w:rsid w:val="006F7831"/>
    <w:rsid w:val="006F7835"/>
    <w:rsid w:val="006F7C4E"/>
    <w:rsid w:val="006F7EE4"/>
    <w:rsid w:val="007000D2"/>
    <w:rsid w:val="00700173"/>
    <w:rsid w:val="00700193"/>
    <w:rsid w:val="00700395"/>
    <w:rsid w:val="007004E8"/>
    <w:rsid w:val="0070078F"/>
    <w:rsid w:val="007008B4"/>
    <w:rsid w:val="00700968"/>
    <w:rsid w:val="00700A6F"/>
    <w:rsid w:val="00700C23"/>
    <w:rsid w:val="00700C91"/>
    <w:rsid w:val="00700D1D"/>
    <w:rsid w:val="00700D9E"/>
    <w:rsid w:val="00701044"/>
    <w:rsid w:val="007010E4"/>
    <w:rsid w:val="007012C9"/>
    <w:rsid w:val="007012DD"/>
    <w:rsid w:val="0070137C"/>
    <w:rsid w:val="00701777"/>
    <w:rsid w:val="0070183A"/>
    <w:rsid w:val="00701896"/>
    <w:rsid w:val="007018DA"/>
    <w:rsid w:val="00701938"/>
    <w:rsid w:val="007019B2"/>
    <w:rsid w:val="00701D2D"/>
    <w:rsid w:val="00701EAD"/>
    <w:rsid w:val="0070280C"/>
    <w:rsid w:val="007028A3"/>
    <w:rsid w:val="007028D3"/>
    <w:rsid w:val="00702BCA"/>
    <w:rsid w:val="00702ECA"/>
    <w:rsid w:val="00702F18"/>
    <w:rsid w:val="0070306A"/>
    <w:rsid w:val="00703099"/>
    <w:rsid w:val="0070314F"/>
    <w:rsid w:val="007031EA"/>
    <w:rsid w:val="00703336"/>
    <w:rsid w:val="00703809"/>
    <w:rsid w:val="00703948"/>
    <w:rsid w:val="0070395A"/>
    <w:rsid w:val="00703E54"/>
    <w:rsid w:val="00703F3B"/>
    <w:rsid w:val="007040B9"/>
    <w:rsid w:val="007040FA"/>
    <w:rsid w:val="00704EF3"/>
    <w:rsid w:val="00705243"/>
    <w:rsid w:val="00705344"/>
    <w:rsid w:val="00705DEF"/>
    <w:rsid w:val="00705F20"/>
    <w:rsid w:val="00705F53"/>
    <w:rsid w:val="0070604C"/>
    <w:rsid w:val="0070610A"/>
    <w:rsid w:val="00706184"/>
    <w:rsid w:val="007061DD"/>
    <w:rsid w:val="007063F0"/>
    <w:rsid w:val="0070659A"/>
    <w:rsid w:val="00706835"/>
    <w:rsid w:val="007068F0"/>
    <w:rsid w:val="00706A9A"/>
    <w:rsid w:val="00706C40"/>
    <w:rsid w:val="00706CD5"/>
    <w:rsid w:val="0070700F"/>
    <w:rsid w:val="00707095"/>
    <w:rsid w:val="007070AF"/>
    <w:rsid w:val="007072D9"/>
    <w:rsid w:val="00707314"/>
    <w:rsid w:val="00707357"/>
    <w:rsid w:val="0070750B"/>
    <w:rsid w:val="00707627"/>
    <w:rsid w:val="007077F0"/>
    <w:rsid w:val="007077FA"/>
    <w:rsid w:val="007078B8"/>
    <w:rsid w:val="00707909"/>
    <w:rsid w:val="00707B21"/>
    <w:rsid w:val="00707DDC"/>
    <w:rsid w:val="00707E3B"/>
    <w:rsid w:val="00707F05"/>
    <w:rsid w:val="00710053"/>
    <w:rsid w:val="007100EA"/>
    <w:rsid w:val="00710120"/>
    <w:rsid w:val="00710123"/>
    <w:rsid w:val="007101DE"/>
    <w:rsid w:val="0071020F"/>
    <w:rsid w:val="007103FF"/>
    <w:rsid w:val="00710401"/>
    <w:rsid w:val="0071045D"/>
    <w:rsid w:val="007105F6"/>
    <w:rsid w:val="007109A2"/>
    <w:rsid w:val="00710A35"/>
    <w:rsid w:val="00710A7E"/>
    <w:rsid w:val="00710BE9"/>
    <w:rsid w:val="00710C35"/>
    <w:rsid w:val="00710F4D"/>
    <w:rsid w:val="0071114F"/>
    <w:rsid w:val="00711307"/>
    <w:rsid w:val="007114F1"/>
    <w:rsid w:val="007115C5"/>
    <w:rsid w:val="00711768"/>
    <w:rsid w:val="007117A9"/>
    <w:rsid w:val="007119BF"/>
    <w:rsid w:val="00711BC7"/>
    <w:rsid w:val="00711C15"/>
    <w:rsid w:val="00711E75"/>
    <w:rsid w:val="00712049"/>
    <w:rsid w:val="0071205C"/>
    <w:rsid w:val="007121F8"/>
    <w:rsid w:val="00712218"/>
    <w:rsid w:val="00712227"/>
    <w:rsid w:val="007122F9"/>
    <w:rsid w:val="007123CF"/>
    <w:rsid w:val="007123E0"/>
    <w:rsid w:val="007124D1"/>
    <w:rsid w:val="0071252C"/>
    <w:rsid w:val="007125E4"/>
    <w:rsid w:val="007126C4"/>
    <w:rsid w:val="0071279B"/>
    <w:rsid w:val="0071294D"/>
    <w:rsid w:val="00712A5A"/>
    <w:rsid w:val="00712A7E"/>
    <w:rsid w:val="00712B37"/>
    <w:rsid w:val="00712B5E"/>
    <w:rsid w:val="00712E97"/>
    <w:rsid w:val="00712E98"/>
    <w:rsid w:val="00712FF5"/>
    <w:rsid w:val="007130F5"/>
    <w:rsid w:val="00713318"/>
    <w:rsid w:val="007135CF"/>
    <w:rsid w:val="00713733"/>
    <w:rsid w:val="007137A2"/>
    <w:rsid w:val="007137BA"/>
    <w:rsid w:val="00713810"/>
    <w:rsid w:val="0071394D"/>
    <w:rsid w:val="00713978"/>
    <w:rsid w:val="00713B38"/>
    <w:rsid w:val="00713D14"/>
    <w:rsid w:val="00713E31"/>
    <w:rsid w:val="00714179"/>
    <w:rsid w:val="00714243"/>
    <w:rsid w:val="007146D9"/>
    <w:rsid w:val="00714B39"/>
    <w:rsid w:val="00714E58"/>
    <w:rsid w:val="00714F95"/>
    <w:rsid w:val="00714FBA"/>
    <w:rsid w:val="007150C6"/>
    <w:rsid w:val="00715243"/>
    <w:rsid w:val="00715348"/>
    <w:rsid w:val="00715487"/>
    <w:rsid w:val="007155E3"/>
    <w:rsid w:val="007156BE"/>
    <w:rsid w:val="00715802"/>
    <w:rsid w:val="0071581A"/>
    <w:rsid w:val="00715B56"/>
    <w:rsid w:val="00715B5B"/>
    <w:rsid w:val="00715C52"/>
    <w:rsid w:val="00715FFA"/>
    <w:rsid w:val="007160B0"/>
    <w:rsid w:val="007162F3"/>
    <w:rsid w:val="007168A4"/>
    <w:rsid w:val="00716A7D"/>
    <w:rsid w:val="00716C3E"/>
    <w:rsid w:val="00716CC2"/>
    <w:rsid w:val="00717255"/>
    <w:rsid w:val="00717295"/>
    <w:rsid w:val="007174A4"/>
    <w:rsid w:val="0071753D"/>
    <w:rsid w:val="007176C9"/>
    <w:rsid w:val="00717960"/>
    <w:rsid w:val="00717BCC"/>
    <w:rsid w:val="00717C95"/>
    <w:rsid w:val="00720068"/>
    <w:rsid w:val="00720107"/>
    <w:rsid w:val="0072016D"/>
    <w:rsid w:val="00720309"/>
    <w:rsid w:val="00720312"/>
    <w:rsid w:val="0072051C"/>
    <w:rsid w:val="00720687"/>
    <w:rsid w:val="00720948"/>
    <w:rsid w:val="007209C7"/>
    <w:rsid w:val="00720B58"/>
    <w:rsid w:val="00720C2A"/>
    <w:rsid w:val="00720D6B"/>
    <w:rsid w:val="00720D94"/>
    <w:rsid w:val="00720DCE"/>
    <w:rsid w:val="00721022"/>
    <w:rsid w:val="00721053"/>
    <w:rsid w:val="0072113B"/>
    <w:rsid w:val="0072121E"/>
    <w:rsid w:val="00721281"/>
    <w:rsid w:val="007213A9"/>
    <w:rsid w:val="00721491"/>
    <w:rsid w:val="007214B7"/>
    <w:rsid w:val="007215F6"/>
    <w:rsid w:val="00721879"/>
    <w:rsid w:val="00721AE4"/>
    <w:rsid w:val="00721DA0"/>
    <w:rsid w:val="00721E3C"/>
    <w:rsid w:val="00721E42"/>
    <w:rsid w:val="00721F1B"/>
    <w:rsid w:val="0072233A"/>
    <w:rsid w:val="007223D0"/>
    <w:rsid w:val="0072243F"/>
    <w:rsid w:val="007225F8"/>
    <w:rsid w:val="00722657"/>
    <w:rsid w:val="007229DA"/>
    <w:rsid w:val="00722EDE"/>
    <w:rsid w:val="00723066"/>
    <w:rsid w:val="00723486"/>
    <w:rsid w:val="007235F4"/>
    <w:rsid w:val="0072363D"/>
    <w:rsid w:val="0072371A"/>
    <w:rsid w:val="00723AC5"/>
    <w:rsid w:val="00723C6B"/>
    <w:rsid w:val="00723E0B"/>
    <w:rsid w:val="00723EA8"/>
    <w:rsid w:val="0072424D"/>
    <w:rsid w:val="007242F4"/>
    <w:rsid w:val="007244B7"/>
    <w:rsid w:val="00724826"/>
    <w:rsid w:val="0072497A"/>
    <w:rsid w:val="00724A93"/>
    <w:rsid w:val="00724C3D"/>
    <w:rsid w:val="00724C77"/>
    <w:rsid w:val="00724CD0"/>
    <w:rsid w:val="00725275"/>
    <w:rsid w:val="0072527F"/>
    <w:rsid w:val="0072543D"/>
    <w:rsid w:val="00725464"/>
    <w:rsid w:val="007254C8"/>
    <w:rsid w:val="00725551"/>
    <w:rsid w:val="007255CF"/>
    <w:rsid w:val="00725731"/>
    <w:rsid w:val="00725B4F"/>
    <w:rsid w:val="00725E51"/>
    <w:rsid w:val="0072621D"/>
    <w:rsid w:val="007262DF"/>
    <w:rsid w:val="0072642D"/>
    <w:rsid w:val="007267C5"/>
    <w:rsid w:val="00726AA9"/>
    <w:rsid w:val="00726CE5"/>
    <w:rsid w:val="00726D4B"/>
    <w:rsid w:val="00726E9F"/>
    <w:rsid w:val="00726EEB"/>
    <w:rsid w:val="00727056"/>
    <w:rsid w:val="0072741C"/>
    <w:rsid w:val="0072763C"/>
    <w:rsid w:val="0072767F"/>
    <w:rsid w:val="007278B1"/>
    <w:rsid w:val="0072799D"/>
    <w:rsid w:val="00727AB4"/>
    <w:rsid w:val="00727C86"/>
    <w:rsid w:val="0073031A"/>
    <w:rsid w:val="00730402"/>
    <w:rsid w:val="007307D7"/>
    <w:rsid w:val="007307F1"/>
    <w:rsid w:val="00730A55"/>
    <w:rsid w:val="0073117B"/>
    <w:rsid w:val="00731374"/>
    <w:rsid w:val="00731396"/>
    <w:rsid w:val="007315DC"/>
    <w:rsid w:val="00731B44"/>
    <w:rsid w:val="00731B51"/>
    <w:rsid w:val="00731CA9"/>
    <w:rsid w:val="00731DBC"/>
    <w:rsid w:val="00731E71"/>
    <w:rsid w:val="00731E92"/>
    <w:rsid w:val="00731F25"/>
    <w:rsid w:val="00732214"/>
    <w:rsid w:val="0073237E"/>
    <w:rsid w:val="0073244F"/>
    <w:rsid w:val="00732A42"/>
    <w:rsid w:val="00732E6F"/>
    <w:rsid w:val="007331FE"/>
    <w:rsid w:val="007332C1"/>
    <w:rsid w:val="00733702"/>
    <w:rsid w:val="0073373B"/>
    <w:rsid w:val="00733925"/>
    <w:rsid w:val="00733933"/>
    <w:rsid w:val="00733A8D"/>
    <w:rsid w:val="00733BAF"/>
    <w:rsid w:val="00733BB9"/>
    <w:rsid w:val="00733C20"/>
    <w:rsid w:val="00733D78"/>
    <w:rsid w:val="0073453A"/>
    <w:rsid w:val="00734795"/>
    <w:rsid w:val="0073485C"/>
    <w:rsid w:val="00734CD0"/>
    <w:rsid w:val="00734FFB"/>
    <w:rsid w:val="00735359"/>
    <w:rsid w:val="007356AC"/>
    <w:rsid w:val="00735855"/>
    <w:rsid w:val="007358FC"/>
    <w:rsid w:val="00735BB6"/>
    <w:rsid w:val="007360AD"/>
    <w:rsid w:val="00736103"/>
    <w:rsid w:val="00736104"/>
    <w:rsid w:val="007361DE"/>
    <w:rsid w:val="007361FA"/>
    <w:rsid w:val="00736361"/>
    <w:rsid w:val="007363AD"/>
    <w:rsid w:val="00736588"/>
    <w:rsid w:val="00736591"/>
    <w:rsid w:val="00736596"/>
    <w:rsid w:val="007365E4"/>
    <w:rsid w:val="007366E1"/>
    <w:rsid w:val="00736763"/>
    <w:rsid w:val="0073676C"/>
    <w:rsid w:val="00736920"/>
    <w:rsid w:val="00736B0B"/>
    <w:rsid w:val="00736D2B"/>
    <w:rsid w:val="00736EE3"/>
    <w:rsid w:val="00736F45"/>
    <w:rsid w:val="007370C2"/>
    <w:rsid w:val="0073722C"/>
    <w:rsid w:val="007372ED"/>
    <w:rsid w:val="00737308"/>
    <w:rsid w:val="00737510"/>
    <w:rsid w:val="00737594"/>
    <w:rsid w:val="0073770A"/>
    <w:rsid w:val="0073789D"/>
    <w:rsid w:val="00737B44"/>
    <w:rsid w:val="00737B58"/>
    <w:rsid w:val="00737E92"/>
    <w:rsid w:val="00740018"/>
    <w:rsid w:val="007400CA"/>
    <w:rsid w:val="007401AC"/>
    <w:rsid w:val="007402F6"/>
    <w:rsid w:val="007406B9"/>
    <w:rsid w:val="007407FC"/>
    <w:rsid w:val="0074087C"/>
    <w:rsid w:val="007408DF"/>
    <w:rsid w:val="00740D68"/>
    <w:rsid w:val="00740ECC"/>
    <w:rsid w:val="00740FE2"/>
    <w:rsid w:val="00741044"/>
    <w:rsid w:val="0074138C"/>
    <w:rsid w:val="007413C1"/>
    <w:rsid w:val="00741918"/>
    <w:rsid w:val="00741A9B"/>
    <w:rsid w:val="00741B95"/>
    <w:rsid w:val="00741D78"/>
    <w:rsid w:val="00741E2E"/>
    <w:rsid w:val="00741E46"/>
    <w:rsid w:val="00741E71"/>
    <w:rsid w:val="007420E1"/>
    <w:rsid w:val="007421F4"/>
    <w:rsid w:val="00742440"/>
    <w:rsid w:val="00742465"/>
    <w:rsid w:val="007426BE"/>
    <w:rsid w:val="0074276B"/>
    <w:rsid w:val="00742837"/>
    <w:rsid w:val="00742B09"/>
    <w:rsid w:val="007431A4"/>
    <w:rsid w:val="00743575"/>
    <w:rsid w:val="007435C2"/>
    <w:rsid w:val="007435D9"/>
    <w:rsid w:val="00743947"/>
    <w:rsid w:val="00743B08"/>
    <w:rsid w:val="00743C0B"/>
    <w:rsid w:val="00743D3A"/>
    <w:rsid w:val="00743EE2"/>
    <w:rsid w:val="00743F5C"/>
    <w:rsid w:val="00743FF5"/>
    <w:rsid w:val="007441D2"/>
    <w:rsid w:val="007442AB"/>
    <w:rsid w:val="0074430E"/>
    <w:rsid w:val="0074435E"/>
    <w:rsid w:val="007444E2"/>
    <w:rsid w:val="0074475D"/>
    <w:rsid w:val="00745104"/>
    <w:rsid w:val="0074513E"/>
    <w:rsid w:val="007452A9"/>
    <w:rsid w:val="0074533D"/>
    <w:rsid w:val="0074552C"/>
    <w:rsid w:val="007455E4"/>
    <w:rsid w:val="007455EB"/>
    <w:rsid w:val="00745868"/>
    <w:rsid w:val="00745BF3"/>
    <w:rsid w:val="00745C47"/>
    <w:rsid w:val="00745E03"/>
    <w:rsid w:val="00745E5E"/>
    <w:rsid w:val="00745F1C"/>
    <w:rsid w:val="0074626B"/>
    <w:rsid w:val="00746377"/>
    <w:rsid w:val="0074647A"/>
    <w:rsid w:val="007465C6"/>
    <w:rsid w:val="007466FA"/>
    <w:rsid w:val="00746786"/>
    <w:rsid w:val="007468B1"/>
    <w:rsid w:val="007468EB"/>
    <w:rsid w:val="00746ABF"/>
    <w:rsid w:val="00746C9A"/>
    <w:rsid w:val="00746EC7"/>
    <w:rsid w:val="0074710A"/>
    <w:rsid w:val="00747217"/>
    <w:rsid w:val="007474B8"/>
    <w:rsid w:val="00747606"/>
    <w:rsid w:val="00747777"/>
    <w:rsid w:val="0074781B"/>
    <w:rsid w:val="00747AA1"/>
    <w:rsid w:val="00747DD7"/>
    <w:rsid w:val="00747F58"/>
    <w:rsid w:val="00747F73"/>
    <w:rsid w:val="00750289"/>
    <w:rsid w:val="007502DF"/>
    <w:rsid w:val="00750373"/>
    <w:rsid w:val="0075046C"/>
    <w:rsid w:val="007504F8"/>
    <w:rsid w:val="00750518"/>
    <w:rsid w:val="0075092B"/>
    <w:rsid w:val="00750D08"/>
    <w:rsid w:val="00750E07"/>
    <w:rsid w:val="00750EE0"/>
    <w:rsid w:val="00750FF0"/>
    <w:rsid w:val="0075110A"/>
    <w:rsid w:val="0075121A"/>
    <w:rsid w:val="00751715"/>
    <w:rsid w:val="007517D7"/>
    <w:rsid w:val="00751859"/>
    <w:rsid w:val="00751880"/>
    <w:rsid w:val="007519BB"/>
    <w:rsid w:val="00751DF1"/>
    <w:rsid w:val="00751E6A"/>
    <w:rsid w:val="00752038"/>
    <w:rsid w:val="007521AA"/>
    <w:rsid w:val="00752607"/>
    <w:rsid w:val="007528CE"/>
    <w:rsid w:val="007529FD"/>
    <w:rsid w:val="00752B23"/>
    <w:rsid w:val="00752E53"/>
    <w:rsid w:val="00752F0A"/>
    <w:rsid w:val="00752FDC"/>
    <w:rsid w:val="00753119"/>
    <w:rsid w:val="00753391"/>
    <w:rsid w:val="007537C0"/>
    <w:rsid w:val="007538EA"/>
    <w:rsid w:val="00753D42"/>
    <w:rsid w:val="00753D5C"/>
    <w:rsid w:val="00753E4F"/>
    <w:rsid w:val="00754175"/>
    <w:rsid w:val="007541F6"/>
    <w:rsid w:val="00754248"/>
    <w:rsid w:val="0075471F"/>
    <w:rsid w:val="0075479A"/>
    <w:rsid w:val="007547EB"/>
    <w:rsid w:val="007548DE"/>
    <w:rsid w:val="00754966"/>
    <w:rsid w:val="00754A87"/>
    <w:rsid w:val="00754ABB"/>
    <w:rsid w:val="00754D9C"/>
    <w:rsid w:val="00754EBA"/>
    <w:rsid w:val="00754F1C"/>
    <w:rsid w:val="00755165"/>
    <w:rsid w:val="00755660"/>
    <w:rsid w:val="007559DA"/>
    <w:rsid w:val="00755E65"/>
    <w:rsid w:val="00755ED9"/>
    <w:rsid w:val="00755F1D"/>
    <w:rsid w:val="00756054"/>
    <w:rsid w:val="0075612A"/>
    <w:rsid w:val="00756148"/>
    <w:rsid w:val="007562CC"/>
    <w:rsid w:val="007564AB"/>
    <w:rsid w:val="007564D6"/>
    <w:rsid w:val="007565D0"/>
    <w:rsid w:val="0075670D"/>
    <w:rsid w:val="00756EEB"/>
    <w:rsid w:val="00756EFF"/>
    <w:rsid w:val="00756FB5"/>
    <w:rsid w:val="00757064"/>
    <w:rsid w:val="00757198"/>
    <w:rsid w:val="0075724D"/>
    <w:rsid w:val="00757B75"/>
    <w:rsid w:val="00757CEA"/>
    <w:rsid w:val="0076010C"/>
    <w:rsid w:val="007602EB"/>
    <w:rsid w:val="00760515"/>
    <w:rsid w:val="00760831"/>
    <w:rsid w:val="007608AD"/>
    <w:rsid w:val="007609FF"/>
    <w:rsid w:val="00760CF4"/>
    <w:rsid w:val="00760F8D"/>
    <w:rsid w:val="0076128C"/>
    <w:rsid w:val="00761532"/>
    <w:rsid w:val="0076184A"/>
    <w:rsid w:val="00761981"/>
    <w:rsid w:val="007619B0"/>
    <w:rsid w:val="007619CF"/>
    <w:rsid w:val="00761A43"/>
    <w:rsid w:val="00761CC5"/>
    <w:rsid w:val="00762548"/>
    <w:rsid w:val="00762598"/>
    <w:rsid w:val="0076279A"/>
    <w:rsid w:val="00762A6C"/>
    <w:rsid w:val="00762B19"/>
    <w:rsid w:val="00762B4C"/>
    <w:rsid w:val="00762B61"/>
    <w:rsid w:val="00762C9E"/>
    <w:rsid w:val="00762ECF"/>
    <w:rsid w:val="007630AB"/>
    <w:rsid w:val="00763362"/>
    <w:rsid w:val="007638E5"/>
    <w:rsid w:val="00763C0F"/>
    <w:rsid w:val="00764147"/>
    <w:rsid w:val="00764159"/>
    <w:rsid w:val="0076422A"/>
    <w:rsid w:val="007642E3"/>
    <w:rsid w:val="007646AC"/>
    <w:rsid w:val="0076490F"/>
    <w:rsid w:val="00764D42"/>
    <w:rsid w:val="00764DAF"/>
    <w:rsid w:val="00764EFF"/>
    <w:rsid w:val="007651D9"/>
    <w:rsid w:val="00765210"/>
    <w:rsid w:val="00765415"/>
    <w:rsid w:val="00765618"/>
    <w:rsid w:val="007656C8"/>
    <w:rsid w:val="00765AFE"/>
    <w:rsid w:val="00765C99"/>
    <w:rsid w:val="00765DAD"/>
    <w:rsid w:val="00765F1C"/>
    <w:rsid w:val="007662D3"/>
    <w:rsid w:val="007662E3"/>
    <w:rsid w:val="007666EA"/>
    <w:rsid w:val="00766CEA"/>
    <w:rsid w:val="00766E6C"/>
    <w:rsid w:val="00766EAF"/>
    <w:rsid w:val="00766F65"/>
    <w:rsid w:val="0076714E"/>
    <w:rsid w:val="007673BB"/>
    <w:rsid w:val="00767902"/>
    <w:rsid w:val="00767905"/>
    <w:rsid w:val="00767A1E"/>
    <w:rsid w:val="00767AE9"/>
    <w:rsid w:val="00767B64"/>
    <w:rsid w:val="00767BD9"/>
    <w:rsid w:val="00767EA4"/>
    <w:rsid w:val="007700DB"/>
    <w:rsid w:val="007703DC"/>
    <w:rsid w:val="007708C6"/>
    <w:rsid w:val="00770A1B"/>
    <w:rsid w:val="00770A5B"/>
    <w:rsid w:val="00770E83"/>
    <w:rsid w:val="0077104C"/>
    <w:rsid w:val="007711C2"/>
    <w:rsid w:val="00771272"/>
    <w:rsid w:val="00771437"/>
    <w:rsid w:val="0077149C"/>
    <w:rsid w:val="0077176F"/>
    <w:rsid w:val="00771C7A"/>
    <w:rsid w:val="00771CFB"/>
    <w:rsid w:val="00771D9B"/>
    <w:rsid w:val="00771DB6"/>
    <w:rsid w:val="00771DDD"/>
    <w:rsid w:val="00771F1C"/>
    <w:rsid w:val="00771F64"/>
    <w:rsid w:val="0077208B"/>
    <w:rsid w:val="007723D2"/>
    <w:rsid w:val="007726A1"/>
    <w:rsid w:val="007727F9"/>
    <w:rsid w:val="00772965"/>
    <w:rsid w:val="00772BEA"/>
    <w:rsid w:val="00772DE6"/>
    <w:rsid w:val="007730B5"/>
    <w:rsid w:val="007732F9"/>
    <w:rsid w:val="007736D4"/>
    <w:rsid w:val="00773800"/>
    <w:rsid w:val="00773BD5"/>
    <w:rsid w:val="00773BE4"/>
    <w:rsid w:val="00773CB8"/>
    <w:rsid w:val="00773DDA"/>
    <w:rsid w:val="00773E11"/>
    <w:rsid w:val="00773F5C"/>
    <w:rsid w:val="00773FBB"/>
    <w:rsid w:val="0077439F"/>
    <w:rsid w:val="007743DC"/>
    <w:rsid w:val="00774452"/>
    <w:rsid w:val="00774512"/>
    <w:rsid w:val="007745F9"/>
    <w:rsid w:val="00774681"/>
    <w:rsid w:val="0077471F"/>
    <w:rsid w:val="00774BCD"/>
    <w:rsid w:val="00774DAE"/>
    <w:rsid w:val="00774F98"/>
    <w:rsid w:val="00774FCD"/>
    <w:rsid w:val="00775053"/>
    <w:rsid w:val="00775106"/>
    <w:rsid w:val="00775394"/>
    <w:rsid w:val="0077541A"/>
    <w:rsid w:val="007754D6"/>
    <w:rsid w:val="00775538"/>
    <w:rsid w:val="00775541"/>
    <w:rsid w:val="0077578C"/>
    <w:rsid w:val="00775794"/>
    <w:rsid w:val="007757C7"/>
    <w:rsid w:val="007759B5"/>
    <w:rsid w:val="00775E1C"/>
    <w:rsid w:val="00775E5E"/>
    <w:rsid w:val="00775F7F"/>
    <w:rsid w:val="007761D0"/>
    <w:rsid w:val="00776232"/>
    <w:rsid w:val="007767C8"/>
    <w:rsid w:val="0077680E"/>
    <w:rsid w:val="007768C7"/>
    <w:rsid w:val="00776975"/>
    <w:rsid w:val="00776C9F"/>
    <w:rsid w:val="00776D85"/>
    <w:rsid w:val="00776EB5"/>
    <w:rsid w:val="00777080"/>
    <w:rsid w:val="007773B7"/>
    <w:rsid w:val="00777BB3"/>
    <w:rsid w:val="00777C04"/>
    <w:rsid w:val="00777FFA"/>
    <w:rsid w:val="007803A0"/>
    <w:rsid w:val="007803D8"/>
    <w:rsid w:val="00780418"/>
    <w:rsid w:val="00780423"/>
    <w:rsid w:val="0078050A"/>
    <w:rsid w:val="00780975"/>
    <w:rsid w:val="00780A9B"/>
    <w:rsid w:val="00780D7A"/>
    <w:rsid w:val="00780D82"/>
    <w:rsid w:val="007813AC"/>
    <w:rsid w:val="00781816"/>
    <w:rsid w:val="007819A5"/>
    <w:rsid w:val="00781D37"/>
    <w:rsid w:val="00781D77"/>
    <w:rsid w:val="00781E59"/>
    <w:rsid w:val="00782109"/>
    <w:rsid w:val="0078216B"/>
    <w:rsid w:val="007821C7"/>
    <w:rsid w:val="007821F3"/>
    <w:rsid w:val="0078237A"/>
    <w:rsid w:val="007824F7"/>
    <w:rsid w:val="00782A3C"/>
    <w:rsid w:val="00782AFD"/>
    <w:rsid w:val="00782E55"/>
    <w:rsid w:val="00783117"/>
    <w:rsid w:val="0078317F"/>
    <w:rsid w:val="00783433"/>
    <w:rsid w:val="00784261"/>
    <w:rsid w:val="0078434C"/>
    <w:rsid w:val="00784605"/>
    <w:rsid w:val="00784DEA"/>
    <w:rsid w:val="00784F17"/>
    <w:rsid w:val="00785030"/>
    <w:rsid w:val="0078507B"/>
    <w:rsid w:val="007851C8"/>
    <w:rsid w:val="0078526B"/>
    <w:rsid w:val="007852E3"/>
    <w:rsid w:val="007853E5"/>
    <w:rsid w:val="00785487"/>
    <w:rsid w:val="0078552B"/>
    <w:rsid w:val="00785715"/>
    <w:rsid w:val="007859C0"/>
    <w:rsid w:val="00785A33"/>
    <w:rsid w:val="00785DBE"/>
    <w:rsid w:val="007860D3"/>
    <w:rsid w:val="00786256"/>
    <w:rsid w:val="0078675F"/>
    <w:rsid w:val="007867D7"/>
    <w:rsid w:val="00786936"/>
    <w:rsid w:val="00786A77"/>
    <w:rsid w:val="00786AA3"/>
    <w:rsid w:val="00786C54"/>
    <w:rsid w:val="00786E55"/>
    <w:rsid w:val="0078705F"/>
    <w:rsid w:val="00787061"/>
    <w:rsid w:val="007871AF"/>
    <w:rsid w:val="007874CC"/>
    <w:rsid w:val="007875E6"/>
    <w:rsid w:val="007878A1"/>
    <w:rsid w:val="007878E6"/>
    <w:rsid w:val="007879B4"/>
    <w:rsid w:val="00787DC9"/>
    <w:rsid w:val="00787EB4"/>
    <w:rsid w:val="0079013D"/>
    <w:rsid w:val="0079054B"/>
    <w:rsid w:val="007906CF"/>
    <w:rsid w:val="00790ADD"/>
    <w:rsid w:val="00790B01"/>
    <w:rsid w:val="00790B91"/>
    <w:rsid w:val="00790C41"/>
    <w:rsid w:val="00791306"/>
    <w:rsid w:val="00791544"/>
    <w:rsid w:val="0079177E"/>
    <w:rsid w:val="007917E2"/>
    <w:rsid w:val="00791970"/>
    <w:rsid w:val="00791B90"/>
    <w:rsid w:val="00791BB5"/>
    <w:rsid w:val="00791D26"/>
    <w:rsid w:val="00792216"/>
    <w:rsid w:val="007923CA"/>
    <w:rsid w:val="007924ED"/>
    <w:rsid w:val="00792708"/>
    <w:rsid w:val="00792AE2"/>
    <w:rsid w:val="00792C6F"/>
    <w:rsid w:val="00792DC7"/>
    <w:rsid w:val="00793409"/>
    <w:rsid w:val="00793722"/>
    <w:rsid w:val="00793734"/>
    <w:rsid w:val="0079392C"/>
    <w:rsid w:val="00793B49"/>
    <w:rsid w:val="00793DB0"/>
    <w:rsid w:val="00793E88"/>
    <w:rsid w:val="00793F41"/>
    <w:rsid w:val="00794058"/>
    <w:rsid w:val="00794113"/>
    <w:rsid w:val="0079419F"/>
    <w:rsid w:val="00794313"/>
    <w:rsid w:val="0079436D"/>
    <w:rsid w:val="0079457F"/>
    <w:rsid w:val="007948D0"/>
    <w:rsid w:val="007949D4"/>
    <w:rsid w:val="00794A0A"/>
    <w:rsid w:val="00794AEC"/>
    <w:rsid w:val="00794D9A"/>
    <w:rsid w:val="00794DEF"/>
    <w:rsid w:val="00794EF2"/>
    <w:rsid w:val="0079509A"/>
    <w:rsid w:val="007950DA"/>
    <w:rsid w:val="007952FC"/>
    <w:rsid w:val="007955F2"/>
    <w:rsid w:val="00795666"/>
    <w:rsid w:val="0079569D"/>
    <w:rsid w:val="007958D7"/>
    <w:rsid w:val="00795CFF"/>
    <w:rsid w:val="00795D31"/>
    <w:rsid w:val="00795DEF"/>
    <w:rsid w:val="00795E5D"/>
    <w:rsid w:val="0079602D"/>
    <w:rsid w:val="00796294"/>
    <w:rsid w:val="007962DF"/>
    <w:rsid w:val="00796411"/>
    <w:rsid w:val="00796671"/>
    <w:rsid w:val="00796833"/>
    <w:rsid w:val="00796AF3"/>
    <w:rsid w:val="00796B1C"/>
    <w:rsid w:val="00796CE2"/>
    <w:rsid w:val="00796DC3"/>
    <w:rsid w:val="00796EA4"/>
    <w:rsid w:val="00797063"/>
    <w:rsid w:val="00797506"/>
    <w:rsid w:val="007977D5"/>
    <w:rsid w:val="007979BB"/>
    <w:rsid w:val="00797B68"/>
    <w:rsid w:val="00797F75"/>
    <w:rsid w:val="007A0017"/>
    <w:rsid w:val="007A0084"/>
    <w:rsid w:val="007A0211"/>
    <w:rsid w:val="007A02AD"/>
    <w:rsid w:val="007A09A3"/>
    <w:rsid w:val="007A0A81"/>
    <w:rsid w:val="007A0ADD"/>
    <w:rsid w:val="007A0CA1"/>
    <w:rsid w:val="007A0E22"/>
    <w:rsid w:val="007A1220"/>
    <w:rsid w:val="007A1238"/>
    <w:rsid w:val="007A1310"/>
    <w:rsid w:val="007A1393"/>
    <w:rsid w:val="007A1556"/>
    <w:rsid w:val="007A1627"/>
    <w:rsid w:val="007A1A7D"/>
    <w:rsid w:val="007A1AB8"/>
    <w:rsid w:val="007A1B88"/>
    <w:rsid w:val="007A1BB9"/>
    <w:rsid w:val="007A1DC6"/>
    <w:rsid w:val="007A1DF2"/>
    <w:rsid w:val="007A1DFC"/>
    <w:rsid w:val="007A1E76"/>
    <w:rsid w:val="007A1FB4"/>
    <w:rsid w:val="007A2247"/>
    <w:rsid w:val="007A230C"/>
    <w:rsid w:val="007A24AB"/>
    <w:rsid w:val="007A24B9"/>
    <w:rsid w:val="007A277D"/>
    <w:rsid w:val="007A27CD"/>
    <w:rsid w:val="007A2874"/>
    <w:rsid w:val="007A28FA"/>
    <w:rsid w:val="007A294B"/>
    <w:rsid w:val="007A2C33"/>
    <w:rsid w:val="007A2D15"/>
    <w:rsid w:val="007A2DFB"/>
    <w:rsid w:val="007A30CA"/>
    <w:rsid w:val="007A3148"/>
    <w:rsid w:val="007A31E6"/>
    <w:rsid w:val="007A33CA"/>
    <w:rsid w:val="007A37BA"/>
    <w:rsid w:val="007A3843"/>
    <w:rsid w:val="007A38D6"/>
    <w:rsid w:val="007A3944"/>
    <w:rsid w:val="007A39C7"/>
    <w:rsid w:val="007A3C55"/>
    <w:rsid w:val="007A3C65"/>
    <w:rsid w:val="007A3D8C"/>
    <w:rsid w:val="007A3E6F"/>
    <w:rsid w:val="007A3EFD"/>
    <w:rsid w:val="007A3FB7"/>
    <w:rsid w:val="007A4004"/>
    <w:rsid w:val="007A4058"/>
    <w:rsid w:val="007A408E"/>
    <w:rsid w:val="007A4179"/>
    <w:rsid w:val="007A4358"/>
    <w:rsid w:val="007A45CF"/>
    <w:rsid w:val="007A47C3"/>
    <w:rsid w:val="007A4B32"/>
    <w:rsid w:val="007A4D31"/>
    <w:rsid w:val="007A4F0E"/>
    <w:rsid w:val="007A4F3F"/>
    <w:rsid w:val="007A500D"/>
    <w:rsid w:val="007A51BD"/>
    <w:rsid w:val="007A54D8"/>
    <w:rsid w:val="007A54E5"/>
    <w:rsid w:val="007A5725"/>
    <w:rsid w:val="007A58F6"/>
    <w:rsid w:val="007A59DA"/>
    <w:rsid w:val="007A5B5B"/>
    <w:rsid w:val="007A5C0F"/>
    <w:rsid w:val="007A5CEA"/>
    <w:rsid w:val="007A5DE7"/>
    <w:rsid w:val="007A6197"/>
    <w:rsid w:val="007A6304"/>
    <w:rsid w:val="007A6327"/>
    <w:rsid w:val="007A63D8"/>
    <w:rsid w:val="007A6421"/>
    <w:rsid w:val="007A6523"/>
    <w:rsid w:val="007A694D"/>
    <w:rsid w:val="007A6C25"/>
    <w:rsid w:val="007A6C33"/>
    <w:rsid w:val="007A6DFD"/>
    <w:rsid w:val="007A6F4A"/>
    <w:rsid w:val="007A7290"/>
    <w:rsid w:val="007A72BB"/>
    <w:rsid w:val="007A732E"/>
    <w:rsid w:val="007A738B"/>
    <w:rsid w:val="007A7486"/>
    <w:rsid w:val="007A75E6"/>
    <w:rsid w:val="007A782B"/>
    <w:rsid w:val="007A7838"/>
    <w:rsid w:val="007A7BD3"/>
    <w:rsid w:val="007A7C69"/>
    <w:rsid w:val="007A7CA6"/>
    <w:rsid w:val="007A7CC9"/>
    <w:rsid w:val="007A7D1A"/>
    <w:rsid w:val="007B0151"/>
    <w:rsid w:val="007B0387"/>
    <w:rsid w:val="007B03A8"/>
    <w:rsid w:val="007B03BD"/>
    <w:rsid w:val="007B065B"/>
    <w:rsid w:val="007B0807"/>
    <w:rsid w:val="007B0BB0"/>
    <w:rsid w:val="007B0C29"/>
    <w:rsid w:val="007B0D77"/>
    <w:rsid w:val="007B138C"/>
    <w:rsid w:val="007B14AD"/>
    <w:rsid w:val="007B1521"/>
    <w:rsid w:val="007B17B0"/>
    <w:rsid w:val="007B1C7F"/>
    <w:rsid w:val="007B1D22"/>
    <w:rsid w:val="007B26BC"/>
    <w:rsid w:val="007B26DB"/>
    <w:rsid w:val="007B2832"/>
    <w:rsid w:val="007B2BBC"/>
    <w:rsid w:val="007B2DDC"/>
    <w:rsid w:val="007B330A"/>
    <w:rsid w:val="007B37F1"/>
    <w:rsid w:val="007B395F"/>
    <w:rsid w:val="007B3999"/>
    <w:rsid w:val="007B3DB7"/>
    <w:rsid w:val="007B3EBC"/>
    <w:rsid w:val="007B3FDF"/>
    <w:rsid w:val="007B4247"/>
    <w:rsid w:val="007B4448"/>
    <w:rsid w:val="007B4610"/>
    <w:rsid w:val="007B4659"/>
    <w:rsid w:val="007B47F6"/>
    <w:rsid w:val="007B4C78"/>
    <w:rsid w:val="007B4E4A"/>
    <w:rsid w:val="007B5119"/>
    <w:rsid w:val="007B5137"/>
    <w:rsid w:val="007B5453"/>
    <w:rsid w:val="007B563E"/>
    <w:rsid w:val="007B56E6"/>
    <w:rsid w:val="007B577A"/>
    <w:rsid w:val="007B59BA"/>
    <w:rsid w:val="007B5A9F"/>
    <w:rsid w:val="007B5BEC"/>
    <w:rsid w:val="007B60E0"/>
    <w:rsid w:val="007B64BA"/>
    <w:rsid w:val="007B6528"/>
    <w:rsid w:val="007B6648"/>
    <w:rsid w:val="007B67A8"/>
    <w:rsid w:val="007B6B5E"/>
    <w:rsid w:val="007B6D76"/>
    <w:rsid w:val="007B6E45"/>
    <w:rsid w:val="007B6F64"/>
    <w:rsid w:val="007B6FAE"/>
    <w:rsid w:val="007B75A3"/>
    <w:rsid w:val="007B7882"/>
    <w:rsid w:val="007B7B16"/>
    <w:rsid w:val="007B7B2E"/>
    <w:rsid w:val="007B7B3A"/>
    <w:rsid w:val="007B7C7A"/>
    <w:rsid w:val="007B7FB7"/>
    <w:rsid w:val="007C0085"/>
    <w:rsid w:val="007C0386"/>
    <w:rsid w:val="007C064C"/>
    <w:rsid w:val="007C089C"/>
    <w:rsid w:val="007C0BB5"/>
    <w:rsid w:val="007C0CD3"/>
    <w:rsid w:val="007C0D7F"/>
    <w:rsid w:val="007C0E40"/>
    <w:rsid w:val="007C0E96"/>
    <w:rsid w:val="007C0FB6"/>
    <w:rsid w:val="007C12C5"/>
    <w:rsid w:val="007C13CD"/>
    <w:rsid w:val="007C18C7"/>
    <w:rsid w:val="007C19CD"/>
    <w:rsid w:val="007C1A39"/>
    <w:rsid w:val="007C1D76"/>
    <w:rsid w:val="007C1E0A"/>
    <w:rsid w:val="007C2081"/>
    <w:rsid w:val="007C21A2"/>
    <w:rsid w:val="007C2200"/>
    <w:rsid w:val="007C239E"/>
    <w:rsid w:val="007C23DE"/>
    <w:rsid w:val="007C261E"/>
    <w:rsid w:val="007C2755"/>
    <w:rsid w:val="007C27D4"/>
    <w:rsid w:val="007C2B7C"/>
    <w:rsid w:val="007C2DC9"/>
    <w:rsid w:val="007C2DE2"/>
    <w:rsid w:val="007C2EBD"/>
    <w:rsid w:val="007C34F1"/>
    <w:rsid w:val="007C37D0"/>
    <w:rsid w:val="007C38F9"/>
    <w:rsid w:val="007C3C36"/>
    <w:rsid w:val="007C3E9D"/>
    <w:rsid w:val="007C3F6B"/>
    <w:rsid w:val="007C3FF7"/>
    <w:rsid w:val="007C4048"/>
    <w:rsid w:val="007C439A"/>
    <w:rsid w:val="007C44E4"/>
    <w:rsid w:val="007C4635"/>
    <w:rsid w:val="007C4766"/>
    <w:rsid w:val="007C4B4C"/>
    <w:rsid w:val="007C4F29"/>
    <w:rsid w:val="007C528E"/>
    <w:rsid w:val="007C539F"/>
    <w:rsid w:val="007C5C98"/>
    <w:rsid w:val="007C5CB7"/>
    <w:rsid w:val="007C5F77"/>
    <w:rsid w:val="007C60FE"/>
    <w:rsid w:val="007C623A"/>
    <w:rsid w:val="007C6297"/>
    <w:rsid w:val="007C637E"/>
    <w:rsid w:val="007C65D9"/>
    <w:rsid w:val="007C67F9"/>
    <w:rsid w:val="007C6A91"/>
    <w:rsid w:val="007C6B78"/>
    <w:rsid w:val="007C6B92"/>
    <w:rsid w:val="007C6D25"/>
    <w:rsid w:val="007C6FF7"/>
    <w:rsid w:val="007C7613"/>
    <w:rsid w:val="007C77EE"/>
    <w:rsid w:val="007C7AA2"/>
    <w:rsid w:val="007C7B77"/>
    <w:rsid w:val="007C7B81"/>
    <w:rsid w:val="007C7BC9"/>
    <w:rsid w:val="007C7FEF"/>
    <w:rsid w:val="007D010C"/>
    <w:rsid w:val="007D02C6"/>
    <w:rsid w:val="007D0387"/>
    <w:rsid w:val="007D0561"/>
    <w:rsid w:val="007D05DC"/>
    <w:rsid w:val="007D08E5"/>
    <w:rsid w:val="007D0A05"/>
    <w:rsid w:val="007D0BEB"/>
    <w:rsid w:val="007D0C35"/>
    <w:rsid w:val="007D0C55"/>
    <w:rsid w:val="007D0C79"/>
    <w:rsid w:val="007D0DFF"/>
    <w:rsid w:val="007D0E85"/>
    <w:rsid w:val="007D0F78"/>
    <w:rsid w:val="007D1302"/>
    <w:rsid w:val="007D138E"/>
    <w:rsid w:val="007D13CA"/>
    <w:rsid w:val="007D1437"/>
    <w:rsid w:val="007D14A7"/>
    <w:rsid w:val="007D15C2"/>
    <w:rsid w:val="007D16D2"/>
    <w:rsid w:val="007D1B7B"/>
    <w:rsid w:val="007D1EF1"/>
    <w:rsid w:val="007D20E7"/>
    <w:rsid w:val="007D23BE"/>
    <w:rsid w:val="007D24E4"/>
    <w:rsid w:val="007D28BC"/>
    <w:rsid w:val="007D2A2C"/>
    <w:rsid w:val="007D2A48"/>
    <w:rsid w:val="007D2E26"/>
    <w:rsid w:val="007D2F55"/>
    <w:rsid w:val="007D3215"/>
    <w:rsid w:val="007D32DE"/>
    <w:rsid w:val="007D3477"/>
    <w:rsid w:val="007D3770"/>
    <w:rsid w:val="007D37A1"/>
    <w:rsid w:val="007D39C5"/>
    <w:rsid w:val="007D3A2C"/>
    <w:rsid w:val="007D3D93"/>
    <w:rsid w:val="007D466D"/>
    <w:rsid w:val="007D4740"/>
    <w:rsid w:val="007D47CB"/>
    <w:rsid w:val="007D4812"/>
    <w:rsid w:val="007D48C6"/>
    <w:rsid w:val="007D4929"/>
    <w:rsid w:val="007D4AEE"/>
    <w:rsid w:val="007D4B0F"/>
    <w:rsid w:val="007D525E"/>
    <w:rsid w:val="007D5325"/>
    <w:rsid w:val="007D5549"/>
    <w:rsid w:val="007D56F8"/>
    <w:rsid w:val="007D5819"/>
    <w:rsid w:val="007D592C"/>
    <w:rsid w:val="007D5A2E"/>
    <w:rsid w:val="007D5AED"/>
    <w:rsid w:val="007D5BB1"/>
    <w:rsid w:val="007D5E39"/>
    <w:rsid w:val="007D602D"/>
    <w:rsid w:val="007D617C"/>
    <w:rsid w:val="007D62E9"/>
    <w:rsid w:val="007D6349"/>
    <w:rsid w:val="007D63A8"/>
    <w:rsid w:val="007D646C"/>
    <w:rsid w:val="007D64A1"/>
    <w:rsid w:val="007D662F"/>
    <w:rsid w:val="007D675A"/>
    <w:rsid w:val="007D67B8"/>
    <w:rsid w:val="007D68ED"/>
    <w:rsid w:val="007D6D32"/>
    <w:rsid w:val="007D7163"/>
    <w:rsid w:val="007D7286"/>
    <w:rsid w:val="007D73A2"/>
    <w:rsid w:val="007D744B"/>
    <w:rsid w:val="007D77A2"/>
    <w:rsid w:val="007D78E7"/>
    <w:rsid w:val="007D7A44"/>
    <w:rsid w:val="007D7A75"/>
    <w:rsid w:val="007D7C12"/>
    <w:rsid w:val="007E0261"/>
    <w:rsid w:val="007E028A"/>
    <w:rsid w:val="007E029F"/>
    <w:rsid w:val="007E057A"/>
    <w:rsid w:val="007E07CF"/>
    <w:rsid w:val="007E07DD"/>
    <w:rsid w:val="007E089E"/>
    <w:rsid w:val="007E0CA1"/>
    <w:rsid w:val="007E0D9F"/>
    <w:rsid w:val="007E0E52"/>
    <w:rsid w:val="007E10F6"/>
    <w:rsid w:val="007E12B0"/>
    <w:rsid w:val="007E12ED"/>
    <w:rsid w:val="007E1304"/>
    <w:rsid w:val="007E16A2"/>
    <w:rsid w:val="007E18FD"/>
    <w:rsid w:val="007E19E8"/>
    <w:rsid w:val="007E1CA2"/>
    <w:rsid w:val="007E1D77"/>
    <w:rsid w:val="007E1FAC"/>
    <w:rsid w:val="007E205D"/>
    <w:rsid w:val="007E20F5"/>
    <w:rsid w:val="007E21AF"/>
    <w:rsid w:val="007E23A4"/>
    <w:rsid w:val="007E2770"/>
    <w:rsid w:val="007E2776"/>
    <w:rsid w:val="007E29A1"/>
    <w:rsid w:val="007E2A02"/>
    <w:rsid w:val="007E2AAB"/>
    <w:rsid w:val="007E2B75"/>
    <w:rsid w:val="007E2EFA"/>
    <w:rsid w:val="007E308B"/>
    <w:rsid w:val="007E317F"/>
    <w:rsid w:val="007E35AD"/>
    <w:rsid w:val="007E3718"/>
    <w:rsid w:val="007E3778"/>
    <w:rsid w:val="007E3890"/>
    <w:rsid w:val="007E39C3"/>
    <w:rsid w:val="007E3CAC"/>
    <w:rsid w:val="007E403D"/>
    <w:rsid w:val="007E40F2"/>
    <w:rsid w:val="007E4156"/>
    <w:rsid w:val="007E4371"/>
    <w:rsid w:val="007E469B"/>
    <w:rsid w:val="007E5136"/>
    <w:rsid w:val="007E5364"/>
    <w:rsid w:val="007E54EB"/>
    <w:rsid w:val="007E555F"/>
    <w:rsid w:val="007E5934"/>
    <w:rsid w:val="007E6050"/>
    <w:rsid w:val="007E611B"/>
    <w:rsid w:val="007E61D0"/>
    <w:rsid w:val="007E6369"/>
    <w:rsid w:val="007E6448"/>
    <w:rsid w:val="007E6A78"/>
    <w:rsid w:val="007E6FB5"/>
    <w:rsid w:val="007E7079"/>
    <w:rsid w:val="007E715E"/>
    <w:rsid w:val="007E7340"/>
    <w:rsid w:val="007E75B3"/>
    <w:rsid w:val="007E75B8"/>
    <w:rsid w:val="007E77F1"/>
    <w:rsid w:val="007E7C59"/>
    <w:rsid w:val="007E7CE4"/>
    <w:rsid w:val="007E7DE1"/>
    <w:rsid w:val="007F049F"/>
    <w:rsid w:val="007F04D6"/>
    <w:rsid w:val="007F054A"/>
    <w:rsid w:val="007F0772"/>
    <w:rsid w:val="007F0CDA"/>
    <w:rsid w:val="007F0E9C"/>
    <w:rsid w:val="007F12FB"/>
    <w:rsid w:val="007F1384"/>
    <w:rsid w:val="007F145D"/>
    <w:rsid w:val="007F146F"/>
    <w:rsid w:val="007F1500"/>
    <w:rsid w:val="007F1535"/>
    <w:rsid w:val="007F1904"/>
    <w:rsid w:val="007F1A02"/>
    <w:rsid w:val="007F1A12"/>
    <w:rsid w:val="007F1A6E"/>
    <w:rsid w:val="007F1B9D"/>
    <w:rsid w:val="007F1BAE"/>
    <w:rsid w:val="007F1CC8"/>
    <w:rsid w:val="007F1CCF"/>
    <w:rsid w:val="007F1D07"/>
    <w:rsid w:val="007F1ECE"/>
    <w:rsid w:val="007F1ED9"/>
    <w:rsid w:val="007F1F3A"/>
    <w:rsid w:val="007F22F1"/>
    <w:rsid w:val="007F2465"/>
    <w:rsid w:val="007F26D0"/>
    <w:rsid w:val="007F2790"/>
    <w:rsid w:val="007F27C2"/>
    <w:rsid w:val="007F28FE"/>
    <w:rsid w:val="007F2912"/>
    <w:rsid w:val="007F297F"/>
    <w:rsid w:val="007F2AA1"/>
    <w:rsid w:val="007F2D87"/>
    <w:rsid w:val="007F2FFE"/>
    <w:rsid w:val="007F325E"/>
    <w:rsid w:val="007F34D9"/>
    <w:rsid w:val="007F3526"/>
    <w:rsid w:val="007F3688"/>
    <w:rsid w:val="007F39B9"/>
    <w:rsid w:val="007F3A23"/>
    <w:rsid w:val="007F3B1C"/>
    <w:rsid w:val="007F3C5E"/>
    <w:rsid w:val="007F3E5D"/>
    <w:rsid w:val="007F3E60"/>
    <w:rsid w:val="007F4296"/>
    <w:rsid w:val="007F4612"/>
    <w:rsid w:val="007F47C3"/>
    <w:rsid w:val="007F47CE"/>
    <w:rsid w:val="007F4AE7"/>
    <w:rsid w:val="007F4CE1"/>
    <w:rsid w:val="007F5076"/>
    <w:rsid w:val="007F5088"/>
    <w:rsid w:val="007F539E"/>
    <w:rsid w:val="007F5454"/>
    <w:rsid w:val="007F5737"/>
    <w:rsid w:val="007F5787"/>
    <w:rsid w:val="007F57EB"/>
    <w:rsid w:val="007F5954"/>
    <w:rsid w:val="007F5A84"/>
    <w:rsid w:val="007F5B16"/>
    <w:rsid w:val="007F5D3A"/>
    <w:rsid w:val="007F5EB9"/>
    <w:rsid w:val="007F61C5"/>
    <w:rsid w:val="007F6536"/>
    <w:rsid w:val="007F65A8"/>
    <w:rsid w:val="007F6648"/>
    <w:rsid w:val="007F6787"/>
    <w:rsid w:val="007F67B2"/>
    <w:rsid w:val="007F6950"/>
    <w:rsid w:val="007F6C7A"/>
    <w:rsid w:val="007F70A5"/>
    <w:rsid w:val="007F734B"/>
    <w:rsid w:val="007F76E9"/>
    <w:rsid w:val="007F76F3"/>
    <w:rsid w:val="007F787A"/>
    <w:rsid w:val="007F7BB1"/>
    <w:rsid w:val="007F7DB6"/>
    <w:rsid w:val="00800050"/>
    <w:rsid w:val="0080078E"/>
    <w:rsid w:val="008009E1"/>
    <w:rsid w:val="00800C09"/>
    <w:rsid w:val="00800EE8"/>
    <w:rsid w:val="00800FB0"/>
    <w:rsid w:val="008010B1"/>
    <w:rsid w:val="00801355"/>
    <w:rsid w:val="00801618"/>
    <w:rsid w:val="0080173D"/>
    <w:rsid w:val="00801940"/>
    <w:rsid w:val="008019D5"/>
    <w:rsid w:val="00801BC7"/>
    <w:rsid w:val="00801ED4"/>
    <w:rsid w:val="00801F23"/>
    <w:rsid w:val="008021A4"/>
    <w:rsid w:val="008021CC"/>
    <w:rsid w:val="008026F4"/>
    <w:rsid w:val="00802729"/>
    <w:rsid w:val="0080273E"/>
    <w:rsid w:val="008027EB"/>
    <w:rsid w:val="00802968"/>
    <w:rsid w:val="00803378"/>
    <w:rsid w:val="0080349B"/>
    <w:rsid w:val="00803708"/>
    <w:rsid w:val="00803741"/>
    <w:rsid w:val="008037E5"/>
    <w:rsid w:val="008038C8"/>
    <w:rsid w:val="00803A00"/>
    <w:rsid w:val="00803ADB"/>
    <w:rsid w:val="00803B51"/>
    <w:rsid w:val="00803BF1"/>
    <w:rsid w:val="00803C58"/>
    <w:rsid w:val="00803EE4"/>
    <w:rsid w:val="008043FC"/>
    <w:rsid w:val="00804765"/>
    <w:rsid w:val="008047D3"/>
    <w:rsid w:val="008047E6"/>
    <w:rsid w:val="0080499F"/>
    <w:rsid w:val="008049E9"/>
    <w:rsid w:val="00804BF6"/>
    <w:rsid w:val="00804E50"/>
    <w:rsid w:val="00804E70"/>
    <w:rsid w:val="00805065"/>
    <w:rsid w:val="00805473"/>
    <w:rsid w:val="00805646"/>
    <w:rsid w:val="00805DF7"/>
    <w:rsid w:val="00805EDC"/>
    <w:rsid w:val="00805F09"/>
    <w:rsid w:val="0080610A"/>
    <w:rsid w:val="00806174"/>
    <w:rsid w:val="00806373"/>
    <w:rsid w:val="00806893"/>
    <w:rsid w:val="00806912"/>
    <w:rsid w:val="00806A02"/>
    <w:rsid w:val="00806B5E"/>
    <w:rsid w:val="00806C15"/>
    <w:rsid w:val="00806D5C"/>
    <w:rsid w:val="00807186"/>
    <w:rsid w:val="008071C8"/>
    <w:rsid w:val="008071ED"/>
    <w:rsid w:val="0080728A"/>
    <w:rsid w:val="00807622"/>
    <w:rsid w:val="00807683"/>
    <w:rsid w:val="00807786"/>
    <w:rsid w:val="00807864"/>
    <w:rsid w:val="00807B76"/>
    <w:rsid w:val="00807DFE"/>
    <w:rsid w:val="00807F45"/>
    <w:rsid w:val="00807F98"/>
    <w:rsid w:val="00807FF8"/>
    <w:rsid w:val="008107B0"/>
    <w:rsid w:val="00810C68"/>
    <w:rsid w:val="0081114E"/>
    <w:rsid w:val="008111F8"/>
    <w:rsid w:val="00811401"/>
    <w:rsid w:val="00811483"/>
    <w:rsid w:val="00811527"/>
    <w:rsid w:val="008116A0"/>
    <w:rsid w:val="00811775"/>
    <w:rsid w:val="0081184D"/>
    <w:rsid w:val="00811A09"/>
    <w:rsid w:val="00811C28"/>
    <w:rsid w:val="00811D4F"/>
    <w:rsid w:val="00812068"/>
    <w:rsid w:val="008120D5"/>
    <w:rsid w:val="00812187"/>
    <w:rsid w:val="0081232F"/>
    <w:rsid w:val="00812686"/>
    <w:rsid w:val="00812C69"/>
    <w:rsid w:val="008131CD"/>
    <w:rsid w:val="00813471"/>
    <w:rsid w:val="00813528"/>
    <w:rsid w:val="0081362F"/>
    <w:rsid w:val="00813931"/>
    <w:rsid w:val="00813942"/>
    <w:rsid w:val="00813B55"/>
    <w:rsid w:val="00813C05"/>
    <w:rsid w:val="00813FB1"/>
    <w:rsid w:val="00813FD9"/>
    <w:rsid w:val="00814346"/>
    <w:rsid w:val="00814521"/>
    <w:rsid w:val="0081459A"/>
    <w:rsid w:val="008148E4"/>
    <w:rsid w:val="00814AAB"/>
    <w:rsid w:val="00814BCA"/>
    <w:rsid w:val="00814DC0"/>
    <w:rsid w:val="00814DCD"/>
    <w:rsid w:val="00814DF0"/>
    <w:rsid w:val="0081500D"/>
    <w:rsid w:val="0081501D"/>
    <w:rsid w:val="008151B3"/>
    <w:rsid w:val="00815353"/>
    <w:rsid w:val="008153FF"/>
    <w:rsid w:val="00815413"/>
    <w:rsid w:val="00815607"/>
    <w:rsid w:val="0081571B"/>
    <w:rsid w:val="008158F9"/>
    <w:rsid w:val="00815CC2"/>
    <w:rsid w:val="00815E53"/>
    <w:rsid w:val="00815EBE"/>
    <w:rsid w:val="008161EA"/>
    <w:rsid w:val="008163BA"/>
    <w:rsid w:val="00816454"/>
    <w:rsid w:val="008165D9"/>
    <w:rsid w:val="008165F6"/>
    <w:rsid w:val="008165F9"/>
    <w:rsid w:val="0081696B"/>
    <w:rsid w:val="00816A70"/>
    <w:rsid w:val="00816CF1"/>
    <w:rsid w:val="00816D89"/>
    <w:rsid w:val="008173D2"/>
    <w:rsid w:val="0081744D"/>
    <w:rsid w:val="0081749C"/>
    <w:rsid w:val="0081766C"/>
    <w:rsid w:val="00817B41"/>
    <w:rsid w:val="00817CB0"/>
    <w:rsid w:val="008202BD"/>
    <w:rsid w:val="008202E6"/>
    <w:rsid w:val="00820326"/>
    <w:rsid w:val="008204B1"/>
    <w:rsid w:val="008204B7"/>
    <w:rsid w:val="008206DE"/>
    <w:rsid w:val="00820743"/>
    <w:rsid w:val="00820BAA"/>
    <w:rsid w:val="00820D14"/>
    <w:rsid w:val="00821044"/>
    <w:rsid w:val="008210A5"/>
    <w:rsid w:val="008212D3"/>
    <w:rsid w:val="008215B3"/>
    <w:rsid w:val="00821773"/>
    <w:rsid w:val="008218AA"/>
    <w:rsid w:val="00821BDE"/>
    <w:rsid w:val="00821F6A"/>
    <w:rsid w:val="00821F7A"/>
    <w:rsid w:val="00822350"/>
    <w:rsid w:val="00822A35"/>
    <w:rsid w:val="00822A71"/>
    <w:rsid w:val="00822A8C"/>
    <w:rsid w:val="00822ABD"/>
    <w:rsid w:val="00822BF5"/>
    <w:rsid w:val="00822DE3"/>
    <w:rsid w:val="0082307B"/>
    <w:rsid w:val="008231D7"/>
    <w:rsid w:val="00823233"/>
    <w:rsid w:val="008235A1"/>
    <w:rsid w:val="008235B7"/>
    <w:rsid w:val="00823796"/>
    <w:rsid w:val="00823942"/>
    <w:rsid w:val="008239F3"/>
    <w:rsid w:val="008239F4"/>
    <w:rsid w:val="00823A74"/>
    <w:rsid w:val="00823A8A"/>
    <w:rsid w:val="00823E2B"/>
    <w:rsid w:val="00823F44"/>
    <w:rsid w:val="008240FD"/>
    <w:rsid w:val="00824133"/>
    <w:rsid w:val="008247AE"/>
    <w:rsid w:val="0082492D"/>
    <w:rsid w:val="00824D1F"/>
    <w:rsid w:val="00824DC5"/>
    <w:rsid w:val="00824DCA"/>
    <w:rsid w:val="00824E18"/>
    <w:rsid w:val="0082512B"/>
    <w:rsid w:val="0082537F"/>
    <w:rsid w:val="008253D6"/>
    <w:rsid w:val="008255EA"/>
    <w:rsid w:val="008256CE"/>
    <w:rsid w:val="00825774"/>
    <w:rsid w:val="008258BB"/>
    <w:rsid w:val="00826142"/>
    <w:rsid w:val="00826178"/>
    <w:rsid w:val="00826551"/>
    <w:rsid w:val="0082668F"/>
    <w:rsid w:val="00826778"/>
    <w:rsid w:val="00826790"/>
    <w:rsid w:val="00826910"/>
    <w:rsid w:val="00826A5D"/>
    <w:rsid w:val="00826D92"/>
    <w:rsid w:val="00827089"/>
    <w:rsid w:val="008272CE"/>
    <w:rsid w:val="00827472"/>
    <w:rsid w:val="00827746"/>
    <w:rsid w:val="008277A7"/>
    <w:rsid w:val="00827A81"/>
    <w:rsid w:val="00827CE9"/>
    <w:rsid w:val="00827DC2"/>
    <w:rsid w:val="00827FAE"/>
    <w:rsid w:val="00830228"/>
    <w:rsid w:val="00830273"/>
    <w:rsid w:val="0083028D"/>
    <w:rsid w:val="00830602"/>
    <w:rsid w:val="008307AA"/>
    <w:rsid w:val="00830948"/>
    <w:rsid w:val="00830C09"/>
    <w:rsid w:val="00830D27"/>
    <w:rsid w:val="00830D2B"/>
    <w:rsid w:val="00830D85"/>
    <w:rsid w:val="00830F93"/>
    <w:rsid w:val="00830FB3"/>
    <w:rsid w:val="00831068"/>
    <w:rsid w:val="0083119A"/>
    <w:rsid w:val="008311B6"/>
    <w:rsid w:val="008315D2"/>
    <w:rsid w:val="00831697"/>
    <w:rsid w:val="00831F93"/>
    <w:rsid w:val="0083213E"/>
    <w:rsid w:val="00832685"/>
    <w:rsid w:val="00832A48"/>
    <w:rsid w:val="00832B46"/>
    <w:rsid w:val="00833063"/>
    <w:rsid w:val="008330D0"/>
    <w:rsid w:val="00833128"/>
    <w:rsid w:val="00833365"/>
    <w:rsid w:val="008333D4"/>
    <w:rsid w:val="00833436"/>
    <w:rsid w:val="0083388F"/>
    <w:rsid w:val="00833CCB"/>
    <w:rsid w:val="00833CF8"/>
    <w:rsid w:val="00833DD8"/>
    <w:rsid w:val="00833F20"/>
    <w:rsid w:val="00833FBD"/>
    <w:rsid w:val="00833FEB"/>
    <w:rsid w:val="00834160"/>
    <w:rsid w:val="00834236"/>
    <w:rsid w:val="00834359"/>
    <w:rsid w:val="00834418"/>
    <w:rsid w:val="00834B28"/>
    <w:rsid w:val="00834BEB"/>
    <w:rsid w:val="00834CEF"/>
    <w:rsid w:val="00834DF6"/>
    <w:rsid w:val="0083541F"/>
    <w:rsid w:val="00835473"/>
    <w:rsid w:val="00835841"/>
    <w:rsid w:val="00835B11"/>
    <w:rsid w:val="00835B4A"/>
    <w:rsid w:val="00835BF8"/>
    <w:rsid w:val="00835DB6"/>
    <w:rsid w:val="00835E52"/>
    <w:rsid w:val="00835F1F"/>
    <w:rsid w:val="0083609B"/>
    <w:rsid w:val="008366DF"/>
    <w:rsid w:val="00836772"/>
    <w:rsid w:val="0083683F"/>
    <w:rsid w:val="00836B7B"/>
    <w:rsid w:val="00836C5D"/>
    <w:rsid w:val="00836CA3"/>
    <w:rsid w:val="00836F18"/>
    <w:rsid w:val="008370F6"/>
    <w:rsid w:val="00837145"/>
    <w:rsid w:val="008371B5"/>
    <w:rsid w:val="00837337"/>
    <w:rsid w:val="008373CF"/>
    <w:rsid w:val="00837665"/>
    <w:rsid w:val="008377D3"/>
    <w:rsid w:val="0083789E"/>
    <w:rsid w:val="008378AE"/>
    <w:rsid w:val="00837AB9"/>
    <w:rsid w:val="00837BF4"/>
    <w:rsid w:val="00837E81"/>
    <w:rsid w:val="0084024C"/>
    <w:rsid w:val="008403A8"/>
    <w:rsid w:val="008406B9"/>
    <w:rsid w:val="00840815"/>
    <w:rsid w:val="00840891"/>
    <w:rsid w:val="00840930"/>
    <w:rsid w:val="008409A9"/>
    <w:rsid w:val="00840F24"/>
    <w:rsid w:val="00840FCE"/>
    <w:rsid w:val="00841120"/>
    <w:rsid w:val="008411EA"/>
    <w:rsid w:val="00841304"/>
    <w:rsid w:val="00841401"/>
    <w:rsid w:val="0084141A"/>
    <w:rsid w:val="008415AF"/>
    <w:rsid w:val="008418DC"/>
    <w:rsid w:val="00841BAF"/>
    <w:rsid w:val="00841C1D"/>
    <w:rsid w:val="00841E7D"/>
    <w:rsid w:val="00841F96"/>
    <w:rsid w:val="0084225C"/>
    <w:rsid w:val="0084228F"/>
    <w:rsid w:val="008424EA"/>
    <w:rsid w:val="008426BF"/>
    <w:rsid w:val="00842728"/>
    <w:rsid w:val="008428DD"/>
    <w:rsid w:val="008429C8"/>
    <w:rsid w:val="00842AF8"/>
    <w:rsid w:val="00842D63"/>
    <w:rsid w:val="00843051"/>
    <w:rsid w:val="008430A0"/>
    <w:rsid w:val="008431E3"/>
    <w:rsid w:val="008433C2"/>
    <w:rsid w:val="00843572"/>
    <w:rsid w:val="00843609"/>
    <w:rsid w:val="0084364E"/>
    <w:rsid w:val="00843695"/>
    <w:rsid w:val="008436A8"/>
    <w:rsid w:val="0084373E"/>
    <w:rsid w:val="0084374C"/>
    <w:rsid w:val="008439AF"/>
    <w:rsid w:val="00843B04"/>
    <w:rsid w:val="00843B7B"/>
    <w:rsid w:val="0084425C"/>
    <w:rsid w:val="008442F6"/>
    <w:rsid w:val="00844371"/>
    <w:rsid w:val="00844478"/>
    <w:rsid w:val="008444DC"/>
    <w:rsid w:val="00844614"/>
    <w:rsid w:val="0084483E"/>
    <w:rsid w:val="00844883"/>
    <w:rsid w:val="0084496C"/>
    <w:rsid w:val="00844ADC"/>
    <w:rsid w:val="00844B37"/>
    <w:rsid w:val="00844B64"/>
    <w:rsid w:val="00844F13"/>
    <w:rsid w:val="00845017"/>
    <w:rsid w:val="00845183"/>
    <w:rsid w:val="008452A8"/>
    <w:rsid w:val="00845318"/>
    <w:rsid w:val="0084538F"/>
    <w:rsid w:val="008455D3"/>
    <w:rsid w:val="008456AE"/>
    <w:rsid w:val="008457D6"/>
    <w:rsid w:val="00845838"/>
    <w:rsid w:val="0084599C"/>
    <w:rsid w:val="00845B19"/>
    <w:rsid w:val="00845CBE"/>
    <w:rsid w:val="008462E9"/>
    <w:rsid w:val="0084672D"/>
    <w:rsid w:val="008468D1"/>
    <w:rsid w:val="008469E6"/>
    <w:rsid w:val="008472B8"/>
    <w:rsid w:val="008473CB"/>
    <w:rsid w:val="008473E4"/>
    <w:rsid w:val="008475CD"/>
    <w:rsid w:val="00847601"/>
    <w:rsid w:val="0084761F"/>
    <w:rsid w:val="008478B6"/>
    <w:rsid w:val="00847B63"/>
    <w:rsid w:val="00847D65"/>
    <w:rsid w:val="00847DBF"/>
    <w:rsid w:val="00847E1A"/>
    <w:rsid w:val="00847F8A"/>
    <w:rsid w:val="00847FE4"/>
    <w:rsid w:val="008502FF"/>
    <w:rsid w:val="0085057D"/>
    <w:rsid w:val="00850648"/>
    <w:rsid w:val="00850651"/>
    <w:rsid w:val="00850765"/>
    <w:rsid w:val="008508F5"/>
    <w:rsid w:val="008509C0"/>
    <w:rsid w:val="00850FC2"/>
    <w:rsid w:val="008514A1"/>
    <w:rsid w:val="0085195E"/>
    <w:rsid w:val="008519F6"/>
    <w:rsid w:val="00851A15"/>
    <w:rsid w:val="00851CA2"/>
    <w:rsid w:val="00851E5D"/>
    <w:rsid w:val="00851E80"/>
    <w:rsid w:val="00851EFA"/>
    <w:rsid w:val="0085232E"/>
    <w:rsid w:val="008523AC"/>
    <w:rsid w:val="008523F8"/>
    <w:rsid w:val="008528B2"/>
    <w:rsid w:val="00852B7D"/>
    <w:rsid w:val="00852C27"/>
    <w:rsid w:val="0085336F"/>
    <w:rsid w:val="008535CF"/>
    <w:rsid w:val="008535FD"/>
    <w:rsid w:val="00853607"/>
    <w:rsid w:val="008536D9"/>
    <w:rsid w:val="008537A1"/>
    <w:rsid w:val="008538C0"/>
    <w:rsid w:val="00853BAD"/>
    <w:rsid w:val="00854075"/>
    <w:rsid w:val="00854450"/>
    <w:rsid w:val="0085467E"/>
    <w:rsid w:val="00854724"/>
    <w:rsid w:val="00854C76"/>
    <w:rsid w:val="00854D0E"/>
    <w:rsid w:val="00854E58"/>
    <w:rsid w:val="00854E61"/>
    <w:rsid w:val="008551AB"/>
    <w:rsid w:val="008554F6"/>
    <w:rsid w:val="0085561C"/>
    <w:rsid w:val="00855664"/>
    <w:rsid w:val="00855B4F"/>
    <w:rsid w:val="00855CB4"/>
    <w:rsid w:val="00855CCC"/>
    <w:rsid w:val="00856080"/>
    <w:rsid w:val="00856434"/>
    <w:rsid w:val="008564BB"/>
    <w:rsid w:val="008566CE"/>
    <w:rsid w:val="008566E8"/>
    <w:rsid w:val="00856AA4"/>
    <w:rsid w:val="00856AD4"/>
    <w:rsid w:val="00856BC4"/>
    <w:rsid w:val="00856BF6"/>
    <w:rsid w:val="00856D5C"/>
    <w:rsid w:val="00856DA1"/>
    <w:rsid w:val="00857195"/>
    <w:rsid w:val="00857249"/>
    <w:rsid w:val="00857331"/>
    <w:rsid w:val="00857500"/>
    <w:rsid w:val="008575C6"/>
    <w:rsid w:val="00857936"/>
    <w:rsid w:val="00857A7E"/>
    <w:rsid w:val="00860449"/>
    <w:rsid w:val="008604BA"/>
    <w:rsid w:val="008604F6"/>
    <w:rsid w:val="0086097F"/>
    <w:rsid w:val="00860CCA"/>
    <w:rsid w:val="00860CE4"/>
    <w:rsid w:val="00860FF3"/>
    <w:rsid w:val="008610A9"/>
    <w:rsid w:val="008611A5"/>
    <w:rsid w:val="008611B0"/>
    <w:rsid w:val="0086122F"/>
    <w:rsid w:val="0086124D"/>
    <w:rsid w:val="0086132C"/>
    <w:rsid w:val="0086174E"/>
    <w:rsid w:val="00861A4B"/>
    <w:rsid w:val="00861C13"/>
    <w:rsid w:val="00861C40"/>
    <w:rsid w:val="00861D29"/>
    <w:rsid w:val="00861DBE"/>
    <w:rsid w:val="00861E1A"/>
    <w:rsid w:val="008620A9"/>
    <w:rsid w:val="0086257B"/>
    <w:rsid w:val="008625CE"/>
    <w:rsid w:val="00862671"/>
    <w:rsid w:val="008628C1"/>
    <w:rsid w:val="00862A2D"/>
    <w:rsid w:val="00862B8E"/>
    <w:rsid w:val="00862CDC"/>
    <w:rsid w:val="008630A6"/>
    <w:rsid w:val="00863173"/>
    <w:rsid w:val="00863425"/>
    <w:rsid w:val="00863478"/>
    <w:rsid w:val="008634DA"/>
    <w:rsid w:val="008635DA"/>
    <w:rsid w:val="008636E4"/>
    <w:rsid w:val="00863712"/>
    <w:rsid w:val="00863A48"/>
    <w:rsid w:val="00863B37"/>
    <w:rsid w:val="00863D01"/>
    <w:rsid w:val="00863E45"/>
    <w:rsid w:val="00863E88"/>
    <w:rsid w:val="00863F3C"/>
    <w:rsid w:val="008640FE"/>
    <w:rsid w:val="008642DB"/>
    <w:rsid w:val="00864939"/>
    <w:rsid w:val="00864AB1"/>
    <w:rsid w:val="00864AFD"/>
    <w:rsid w:val="00864B94"/>
    <w:rsid w:val="00864D0C"/>
    <w:rsid w:val="00864E00"/>
    <w:rsid w:val="00864E96"/>
    <w:rsid w:val="00864EBB"/>
    <w:rsid w:val="00864F18"/>
    <w:rsid w:val="00864F7F"/>
    <w:rsid w:val="00865145"/>
    <w:rsid w:val="0086522D"/>
    <w:rsid w:val="008652E1"/>
    <w:rsid w:val="008653A7"/>
    <w:rsid w:val="00865486"/>
    <w:rsid w:val="008654F2"/>
    <w:rsid w:val="00865F1E"/>
    <w:rsid w:val="00865F5D"/>
    <w:rsid w:val="00865FCF"/>
    <w:rsid w:val="0086603F"/>
    <w:rsid w:val="008663BD"/>
    <w:rsid w:val="008665A3"/>
    <w:rsid w:val="00866A24"/>
    <w:rsid w:val="00866A8E"/>
    <w:rsid w:val="00866C50"/>
    <w:rsid w:val="00866E7B"/>
    <w:rsid w:val="00866F9D"/>
    <w:rsid w:val="0086705A"/>
    <w:rsid w:val="008671F6"/>
    <w:rsid w:val="0086737B"/>
    <w:rsid w:val="00867793"/>
    <w:rsid w:val="00867797"/>
    <w:rsid w:val="00867997"/>
    <w:rsid w:val="00867D96"/>
    <w:rsid w:val="00867FFA"/>
    <w:rsid w:val="0087020B"/>
    <w:rsid w:val="00870296"/>
    <w:rsid w:val="0087053D"/>
    <w:rsid w:val="008708F7"/>
    <w:rsid w:val="008709A7"/>
    <w:rsid w:val="00870A5B"/>
    <w:rsid w:val="00870B24"/>
    <w:rsid w:val="00870B59"/>
    <w:rsid w:val="00870E54"/>
    <w:rsid w:val="00870F25"/>
    <w:rsid w:val="0087100B"/>
    <w:rsid w:val="0087109A"/>
    <w:rsid w:val="008710AE"/>
    <w:rsid w:val="0087139A"/>
    <w:rsid w:val="008714C1"/>
    <w:rsid w:val="0087175B"/>
    <w:rsid w:val="00871928"/>
    <w:rsid w:val="0087196D"/>
    <w:rsid w:val="00871D67"/>
    <w:rsid w:val="00871FBF"/>
    <w:rsid w:val="008722EB"/>
    <w:rsid w:val="00872676"/>
    <w:rsid w:val="008727D2"/>
    <w:rsid w:val="00872C3A"/>
    <w:rsid w:val="00872CB3"/>
    <w:rsid w:val="00872FFB"/>
    <w:rsid w:val="00873114"/>
    <w:rsid w:val="0087315F"/>
    <w:rsid w:val="0087324E"/>
    <w:rsid w:val="00873587"/>
    <w:rsid w:val="00873601"/>
    <w:rsid w:val="00873C8C"/>
    <w:rsid w:val="00873E25"/>
    <w:rsid w:val="008740CB"/>
    <w:rsid w:val="00874439"/>
    <w:rsid w:val="00874532"/>
    <w:rsid w:val="00874670"/>
    <w:rsid w:val="00874B6A"/>
    <w:rsid w:val="00874B8B"/>
    <w:rsid w:val="00874BD5"/>
    <w:rsid w:val="00874DD8"/>
    <w:rsid w:val="00874E96"/>
    <w:rsid w:val="00875011"/>
    <w:rsid w:val="0087505B"/>
    <w:rsid w:val="0087512F"/>
    <w:rsid w:val="0087549D"/>
    <w:rsid w:val="008754AB"/>
    <w:rsid w:val="00875562"/>
    <w:rsid w:val="008755E1"/>
    <w:rsid w:val="00875658"/>
    <w:rsid w:val="008756BF"/>
    <w:rsid w:val="00875895"/>
    <w:rsid w:val="00875915"/>
    <w:rsid w:val="00875969"/>
    <w:rsid w:val="008759B8"/>
    <w:rsid w:val="00875A72"/>
    <w:rsid w:val="00875D2E"/>
    <w:rsid w:val="00875E71"/>
    <w:rsid w:val="0087640A"/>
    <w:rsid w:val="008765FB"/>
    <w:rsid w:val="00876723"/>
    <w:rsid w:val="008767C9"/>
    <w:rsid w:val="008767DD"/>
    <w:rsid w:val="00876841"/>
    <w:rsid w:val="00876920"/>
    <w:rsid w:val="008769F1"/>
    <w:rsid w:val="00876A4B"/>
    <w:rsid w:val="00876A83"/>
    <w:rsid w:val="00877290"/>
    <w:rsid w:val="00877396"/>
    <w:rsid w:val="008773B8"/>
    <w:rsid w:val="008774AC"/>
    <w:rsid w:val="008775BD"/>
    <w:rsid w:val="008777B9"/>
    <w:rsid w:val="0087785E"/>
    <w:rsid w:val="00877B45"/>
    <w:rsid w:val="00877BA3"/>
    <w:rsid w:val="00877C51"/>
    <w:rsid w:val="00880609"/>
    <w:rsid w:val="0088083D"/>
    <w:rsid w:val="008809C5"/>
    <w:rsid w:val="00880E11"/>
    <w:rsid w:val="00880FED"/>
    <w:rsid w:val="00881062"/>
    <w:rsid w:val="008810EE"/>
    <w:rsid w:val="00881156"/>
    <w:rsid w:val="00881209"/>
    <w:rsid w:val="00881551"/>
    <w:rsid w:val="00881611"/>
    <w:rsid w:val="00881739"/>
    <w:rsid w:val="00881771"/>
    <w:rsid w:val="00881775"/>
    <w:rsid w:val="00881915"/>
    <w:rsid w:val="00881C2B"/>
    <w:rsid w:val="00881DE5"/>
    <w:rsid w:val="0088204A"/>
    <w:rsid w:val="0088224D"/>
    <w:rsid w:val="00882335"/>
    <w:rsid w:val="008826F8"/>
    <w:rsid w:val="0088293C"/>
    <w:rsid w:val="00882C25"/>
    <w:rsid w:val="00882E4A"/>
    <w:rsid w:val="00882F2E"/>
    <w:rsid w:val="0088300B"/>
    <w:rsid w:val="00883102"/>
    <w:rsid w:val="00883278"/>
    <w:rsid w:val="00883279"/>
    <w:rsid w:val="0088334E"/>
    <w:rsid w:val="0088336B"/>
    <w:rsid w:val="0088359F"/>
    <w:rsid w:val="00883654"/>
    <w:rsid w:val="0088375B"/>
    <w:rsid w:val="00883A2C"/>
    <w:rsid w:val="00883A37"/>
    <w:rsid w:val="00883ACC"/>
    <w:rsid w:val="00883BF6"/>
    <w:rsid w:val="00883E3A"/>
    <w:rsid w:val="00883E96"/>
    <w:rsid w:val="00883F40"/>
    <w:rsid w:val="00883F5F"/>
    <w:rsid w:val="00883F66"/>
    <w:rsid w:val="00884169"/>
    <w:rsid w:val="00884358"/>
    <w:rsid w:val="0088450E"/>
    <w:rsid w:val="00884513"/>
    <w:rsid w:val="00884718"/>
    <w:rsid w:val="00884BB7"/>
    <w:rsid w:val="00884CD1"/>
    <w:rsid w:val="00884DAF"/>
    <w:rsid w:val="00884EEA"/>
    <w:rsid w:val="008851E1"/>
    <w:rsid w:val="008851E9"/>
    <w:rsid w:val="008851FD"/>
    <w:rsid w:val="0088540D"/>
    <w:rsid w:val="00885648"/>
    <w:rsid w:val="00885660"/>
    <w:rsid w:val="00885681"/>
    <w:rsid w:val="008856FA"/>
    <w:rsid w:val="00885701"/>
    <w:rsid w:val="00885970"/>
    <w:rsid w:val="00885B4F"/>
    <w:rsid w:val="00885B66"/>
    <w:rsid w:val="00885BB3"/>
    <w:rsid w:val="00885D36"/>
    <w:rsid w:val="00885F66"/>
    <w:rsid w:val="008862A2"/>
    <w:rsid w:val="00886353"/>
    <w:rsid w:val="008869C7"/>
    <w:rsid w:val="00886A44"/>
    <w:rsid w:val="00886A4F"/>
    <w:rsid w:val="00886C67"/>
    <w:rsid w:val="00886DF5"/>
    <w:rsid w:val="00886E00"/>
    <w:rsid w:val="00886E7B"/>
    <w:rsid w:val="00887228"/>
    <w:rsid w:val="0088758A"/>
    <w:rsid w:val="00887599"/>
    <w:rsid w:val="008876E5"/>
    <w:rsid w:val="008877C7"/>
    <w:rsid w:val="008878E9"/>
    <w:rsid w:val="008879A9"/>
    <w:rsid w:val="00887AB3"/>
    <w:rsid w:val="00887B78"/>
    <w:rsid w:val="00887C94"/>
    <w:rsid w:val="00887D7C"/>
    <w:rsid w:val="00887E56"/>
    <w:rsid w:val="00887EEB"/>
    <w:rsid w:val="00890269"/>
    <w:rsid w:val="00890538"/>
    <w:rsid w:val="008905D4"/>
    <w:rsid w:val="00890747"/>
    <w:rsid w:val="008907B5"/>
    <w:rsid w:val="00890809"/>
    <w:rsid w:val="00890A4E"/>
    <w:rsid w:val="00890B43"/>
    <w:rsid w:val="00890C2C"/>
    <w:rsid w:val="00890C79"/>
    <w:rsid w:val="00890F69"/>
    <w:rsid w:val="00890FD5"/>
    <w:rsid w:val="008911AF"/>
    <w:rsid w:val="00891224"/>
    <w:rsid w:val="00891239"/>
    <w:rsid w:val="008912E6"/>
    <w:rsid w:val="0089157E"/>
    <w:rsid w:val="00891679"/>
    <w:rsid w:val="00891699"/>
    <w:rsid w:val="008916E7"/>
    <w:rsid w:val="008919B1"/>
    <w:rsid w:val="00891B89"/>
    <w:rsid w:val="00891D6A"/>
    <w:rsid w:val="00891FE1"/>
    <w:rsid w:val="0089254E"/>
    <w:rsid w:val="008925B2"/>
    <w:rsid w:val="0089263B"/>
    <w:rsid w:val="00892666"/>
    <w:rsid w:val="00892962"/>
    <w:rsid w:val="00892A6A"/>
    <w:rsid w:val="00892B7D"/>
    <w:rsid w:val="00892CE9"/>
    <w:rsid w:val="00892CF3"/>
    <w:rsid w:val="008931BF"/>
    <w:rsid w:val="00893629"/>
    <w:rsid w:val="00893850"/>
    <w:rsid w:val="00893B81"/>
    <w:rsid w:val="00893FB9"/>
    <w:rsid w:val="0089408A"/>
    <w:rsid w:val="00894160"/>
    <w:rsid w:val="00894172"/>
    <w:rsid w:val="00894352"/>
    <w:rsid w:val="00894390"/>
    <w:rsid w:val="0089464A"/>
    <w:rsid w:val="00894772"/>
    <w:rsid w:val="008947CE"/>
    <w:rsid w:val="008948A8"/>
    <w:rsid w:val="00894A12"/>
    <w:rsid w:val="00894D9B"/>
    <w:rsid w:val="00894F1A"/>
    <w:rsid w:val="008951F9"/>
    <w:rsid w:val="0089590E"/>
    <w:rsid w:val="00895926"/>
    <w:rsid w:val="008959F1"/>
    <w:rsid w:val="00895D1E"/>
    <w:rsid w:val="00895D79"/>
    <w:rsid w:val="00895DE9"/>
    <w:rsid w:val="00895E90"/>
    <w:rsid w:val="00895FBF"/>
    <w:rsid w:val="00896020"/>
    <w:rsid w:val="008961E0"/>
    <w:rsid w:val="00896333"/>
    <w:rsid w:val="0089674B"/>
    <w:rsid w:val="008968BE"/>
    <w:rsid w:val="008968C3"/>
    <w:rsid w:val="00896F06"/>
    <w:rsid w:val="008970A3"/>
    <w:rsid w:val="00897139"/>
    <w:rsid w:val="00897172"/>
    <w:rsid w:val="0089717B"/>
    <w:rsid w:val="00897460"/>
    <w:rsid w:val="0089747C"/>
    <w:rsid w:val="008976BC"/>
    <w:rsid w:val="0089781A"/>
    <w:rsid w:val="00897ACC"/>
    <w:rsid w:val="00897BC4"/>
    <w:rsid w:val="00897EBC"/>
    <w:rsid w:val="008A010F"/>
    <w:rsid w:val="008A0193"/>
    <w:rsid w:val="008A03F7"/>
    <w:rsid w:val="008A04BE"/>
    <w:rsid w:val="008A0636"/>
    <w:rsid w:val="008A075B"/>
    <w:rsid w:val="008A0766"/>
    <w:rsid w:val="008A07C8"/>
    <w:rsid w:val="008A0AE2"/>
    <w:rsid w:val="008A0D4D"/>
    <w:rsid w:val="008A0E34"/>
    <w:rsid w:val="008A0EB9"/>
    <w:rsid w:val="008A0ED6"/>
    <w:rsid w:val="008A0FD6"/>
    <w:rsid w:val="008A13C4"/>
    <w:rsid w:val="008A17BB"/>
    <w:rsid w:val="008A18EE"/>
    <w:rsid w:val="008A1A90"/>
    <w:rsid w:val="008A1B76"/>
    <w:rsid w:val="008A1CDD"/>
    <w:rsid w:val="008A1D0A"/>
    <w:rsid w:val="008A1D9D"/>
    <w:rsid w:val="008A1DB2"/>
    <w:rsid w:val="008A1EAA"/>
    <w:rsid w:val="008A1EBC"/>
    <w:rsid w:val="008A2386"/>
    <w:rsid w:val="008A23B6"/>
    <w:rsid w:val="008A242D"/>
    <w:rsid w:val="008A2487"/>
    <w:rsid w:val="008A24E8"/>
    <w:rsid w:val="008A252D"/>
    <w:rsid w:val="008A25B6"/>
    <w:rsid w:val="008A2685"/>
    <w:rsid w:val="008A2709"/>
    <w:rsid w:val="008A2722"/>
    <w:rsid w:val="008A286D"/>
    <w:rsid w:val="008A2880"/>
    <w:rsid w:val="008A28C9"/>
    <w:rsid w:val="008A2942"/>
    <w:rsid w:val="008A29C2"/>
    <w:rsid w:val="008A2B13"/>
    <w:rsid w:val="008A2B81"/>
    <w:rsid w:val="008A2BA8"/>
    <w:rsid w:val="008A2C11"/>
    <w:rsid w:val="008A2CD0"/>
    <w:rsid w:val="008A2CD9"/>
    <w:rsid w:val="008A2F0F"/>
    <w:rsid w:val="008A301B"/>
    <w:rsid w:val="008A3459"/>
    <w:rsid w:val="008A345F"/>
    <w:rsid w:val="008A36C1"/>
    <w:rsid w:val="008A3855"/>
    <w:rsid w:val="008A385B"/>
    <w:rsid w:val="008A38B8"/>
    <w:rsid w:val="008A3AF7"/>
    <w:rsid w:val="008A3B28"/>
    <w:rsid w:val="008A3DED"/>
    <w:rsid w:val="008A3E36"/>
    <w:rsid w:val="008A3EA4"/>
    <w:rsid w:val="008A3F19"/>
    <w:rsid w:val="008A4242"/>
    <w:rsid w:val="008A4447"/>
    <w:rsid w:val="008A4546"/>
    <w:rsid w:val="008A4623"/>
    <w:rsid w:val="008A4952"/>
    <w:rsid w:val="008A4A31"/>
    <w:rsid w:val="008A4DAD"/>
    <w:rsid w:val="008A4E4A"/>
    <w:rsid w:val="008A4FAF"/>
    <w:rsid w:val="008A4FC3"/>
    <w:rsid w:val="008A5076"/>
    <w:rsid w:val="008A52D0"/>
    <w:rsid w:val="008A5308"/>
    <w:rsid w:val="008A538D"/>
    <w:rsid w:val="008A54E3"/>
    <w:rsid w:val="008A5569"/>
    <w:rsid w:val="008A576B"/>
    <w:rsid w:val="008A5AA3"/>
    <w:rsid w:val="008A5BC5"/>
    <w:rsid w:val="008A60BB"/>
    <w:rsid w:val="008A60C5"/>
    <w:rsid w:val="008A60CD"/>
    <w:rsid w:val="008A612A"/>
    <w:rsid w:val="008A6342"/>
    <w:rsid w:val="008A63C0"/>
    <w:rsid w:val="008A6546"/>
    <w:rsid w:val="008A68DF"/>
    <w:rsid w:val="008A6BBF"/>
    <w:rsid w:val="008A6CFB"/>
    <w:rsid w:val="008A6E57"/>
    <w:rsid w:val="008A6FC9"/>
    <w:rsid w:val="008A72EB"/>
    <w:rsid w:val="008A7367"/>
    <w:rsid w:val="008A7495"/>
    <w:rsid w:val="008A75B1"/>
    <w:rsid w:val="008A76BF"/>
    <w:rsid w:val="008A7755"/>
    <w:rsid w:val="008B0468"/>
    <w:rsid w:val="008B0492"/>
    <w:rsid w:val="008B0850"/>
    <w:rsid w:val="008B08B0"/>
    <w:rsid w:val="008B0CBF"/>
    <w:rsid w:val="008B0EF7"/>
    <w:rsid w:val="008B12F4"/>
    <w:rsid w:val="008B1379"/>
    <w:rsid w:val="008B13D7"/>
    <w:rsid w:val="008B15F7"/>
    <w:rsid w:val="008B1941"/>
    <w:rsid w:val="008B1C20"/>
    <w:rsid w:val="008B20DD"/>
    <w:rsid w:val="008B21C2"/>
    <w:rsid w:val="008B22A2"/>
    <w:rsid w:val="008B2479"/>
    <w:rsid w:val="008B24CB"/>
    <w:rsid w:val="008B25E4"/>
    <w:rsid w:val="008B2869"/>
    <w:rsid w:val="008B2C77"/>
    <w:rsid w:val="008B2D30"/>
    <w:rsid w:val="008B2DBE"/>
    <w:rsid w:val="008B3205"/>
    <w:rsid w:val="008B328C"/>
    <w:rsid w:val="008B35BE"/>
    <w:rsid w:val="008B3603"/>
    <w:rsid w:val="008B3618"/>
    <w:rsid w:val="008B36C2"/>
    <w:rsid w:val="008B3A62"/>
    <w:rsid w:val="008B3AE0"/>
    <w:rsid w:val="008B3FB2"/>
    <w:rsid w:val="008B4031"/>
    <w:rsid w:val="008B40FC"/>
    <w:rsid w:val="008B415D"/>
    <w:rsid w:val="008B4219"/>
    <w:rsid w:val="008B425D"/>
    <w:rsid w:val="008B44E3"/>
    <w:rsid w:val="008B48CD"/>
    <w:rsid w:val="008B49D8"/>
    <w:rsid w:val="008B4F98"/>
    <w:rsid w:val="008B50E0"/>
    <w:rsid w:val="008B5320"/>
    <w:rsid w:val="008B532A"/>
    <w:rsid w:val="008B543C"/>
    <w:rsid w:val="008B596B"/>
    <w:rsid w:val="008B5A3B"/>
    <w:rsid w:val="008B5C0D"/>
    <w:rsid w:val="008B5CAC"/>
    <w:rsid w:val="008B5CFD"/>
    <w:rsid w:val="008B6084"/>
    <w:rsid w:val="008B60AC"/>
    <w:rsid w:val="008B63D5"/>
    <w:rsid w:val="008B640F"/>
    <w:rsid w:val="008B671F"/>
    <w:rsid w:val="008B689B"/>
    <w:rsid w:val="008B6922"/>
    <w:rsid w:val="008B6A2F"/>
    <w:rsid w:val="008B6B19"/>
    <w:rsid w:val="008B6BDB"/>
    <w:rsid w:val="008B6F90"/>
    <w:rsid w:val="008B72ED"/>
    <w:rsid w:val="008B75F5"/>
    <w:rsid w:val="008B77DA"/>
    <w:rsid w:val="008B78A1"/>
    <w:rsid w:val="008B7B5C"/>
    <w:rsid w:val="008B7C32"/>
    <w:rsid w:val="008B7D29"/>
    <w:rsid w:val="008B7DAC"/>
    <w:rsid w:val="008B7DD5"/>
    <w:rsid w:val="008B7F4B"/>
    <w:rsid w:val="008C000A"/>
    <w:rsid w:val="008C012B"/>
    <w:rsid w:val="008C013F"/>
    <w:rsid w:val="008C0239"/>
    <w:rsid w:val="008C0555"/>
    <w:rsid w:val="008C0DBF"/>
    <w:rsid w:val="008C0DF1"/>
    <w:rsid w:val="008C1298"/>
    <w:rsid w:val="008C139C"/>
    <w:rsid w:val="008C1465"/>
    <w:rsid w:val="008C187A"/>
    <w:rsid w:val="008C19AE"/>
    <w:rsid w:val="008C1B41"/>
    <w:rsid w:val="008C1CE2"/>
    <w:rsid w:val="008C1E49"/>
    <w:rsid w:val="008C1ED3"/>
    <w:rsid w:val="008C1F70"/>
    <w:rsid w:val="008C21B1"/>
    <w:rsid w:val="008C22E8"/>
    <w:rsid w:val="008C22F9"/>
    <w:rsid w:val="008C2531"/>
    <w:rsid w:val="008C2717"/>
    <w:rsid w:val="008C2780"/>
    <w:rsid w:val="008C2944"/>
    <w:rsid w:val="008C2DC2"/>
    <w:rsid w:val="008C2F45"/>
    <w:rsid w:val="008C2FE3"/>
    <w:rsid w:val="008C320F"/>
    <w:rsid w:val="008C337A"/>
    <w:rsid w:val="008C3460"/>
    <w:rsid w:val="008C3523"/>
    <w:rsid w:val="008C3552"/>
    <w:rsid w:val="008C3553"/>
    <w:rsid w:val="008C389F"/>
    <w:rsid w:val="008C398E"/>
    <w:rsid w:val="008C3A11"/>
    <w:rsid w:val="008C3C4D"/>
    <w:rsid w:val="008C3C5F"/>
    <w:rsid w:val="008C3E9D"/>
    <w:rsid w:val="008C407C"/>
    <w:rsid w:val="008C46B3"/>
    <w:rsid w:val="008C4761"/>
    <w:rsid w:val="008C479E"/>
    <w:rsid w:val="008C480E"/>
    <w:rsid w:val="008C495B"/>
    <w:rsid w:val="008C4967"/>
    <w:rsid w:val="008C4AC9"/>
    <w:rsid w:val="008C4BD7"/>
    <w:rsid w:val="008C4EAA"/>
    <w:rsid w:val="008C508D"/>
    <w:rsid w:val="008C50E6"/>
    <w:rsid w:val="008C52BA"/>
    <w:rsid w:val="008C577C"/>
    <w:rsid w:val="008C58B9"/>
    <w:rsid w:val="008C5BC6"/>
    <w:rsid w:val="008C618D"/>
    <w:rsid w:val="008C636C"/>
    <w:rsid w:val="008C6521"/>
    <w:rsid w:val="008C66B3"/>
    <w:rsid w:val="008C66E8"/>
    <w:rsid w:val="008C695D"/>
    <w:rsid w:val="008C6A5E"/>
    <w:rsid w:val="008C6B1F"/>
    <w:rsid w:val="008C6CFD"/>
    <w:rsid w:val="008C6D82"/>
    <w:rsid w:val="008C6E79"/>
    <w:rsid w:val="008C6FAF"/>
    <w:rsid w:val="008C6FC6"/>
    <w:rsid w:val="008C71A2"/>
    <w:rsid w:val="008C71EF"/>
    <w:rsid w:val="008C7208"/>
    <w:rsid w:val="008C7258"/>
    <w:rsid w:val="008C72F0"/>
    <w:rsid w:val="008C744C"/>
    <w:rsid w:val="008C7811"/>
    <w:rsid w:val="008C7D47"/>
    <w:rsid w:val="008C7E17"/>
    <w:rsid w:val="008C7F4A"/>
    <w:rsid w:val="008D051B"/>
    <w:rsid w:val="008D052B"/>
    <w:rsid w:val="008D054A"/>
    <w:rsid w:val="008D05E2"/>
    <w:rsid w:val="008D0674"/>
    <w:rsid w:val="008D07E9"/>
    <w:rsid w:val="008D08E4"/>
    <w:rsid w:val="008D093E"/>
    <w:rsid w:val="008D0975"/>
    <w:rsid w:val="008D09A4"/>
    <w:rsid w:val="008D0A3C"/>
    <w:rsid w:val="008D0F57"/>
    <w:rsid w:val="008D0FC5"/>
    <w:rsid w:val="008D10E0"/>
    <w:rsid w:val="008D1225"/>
    <w:rsid w:val="008D1256"/>
    <w:rsid w:val="008D127A"/>
    <w:rsid w:val="008D1306"/>
    <w:rsid w:val="008D1383"/>
    <w:rsid w:val="008D161C"/>
    <w:rsid w:val="008D1649"/>
    <w:rsid w:val="008D1655"/>
    <w:rsid w:val="008D170D"/>
    <w:rsid w:val="008D173F"/>
    <w:rsid w:val="008D18CB"/>
    <w:rsid w:val="008D19E1"/>
    <w:rsid w:val="008D1CFA"/>
    <w:rsid w:val="008D1EB5"/>
    <w:rsid w:val="008D2010"/>
    <w:rsid w:val="008D2028"/>
    <w:rsid w:val="008D24A0"/>
    <w:rsid w:val="008D286F"/>
    <w:rsid w:val="008D2952"/>
    <w:rsid w:val="008D29E8"/>
    <w:rsid w:val="008D2B16"/>
    <w:rsid w:val="008D2C09"/>
    <w:rsid w:val="008D2CC0"/>
    <w:rsid w:val="008D2CC5"/>
    <w:rsid w:val="008D2D77"/>
    <w:rsid w:val="008D2DC7"/>
    <w:rsid w:val="008D2F0C"/>
    <w:rsid w:val="008D30CC"/>
    <w:rsid w:val="008D32E4"/>
    <w:rsid w:val="008D3304"/>
    <w:rsid w:val="008D3704"/>
    <w:rsid w:val="008D38DB"/>
    <w:rsid w:val="008D3930"/>
    <w:rsid w:val="008D3F8B"/>
    <w:rsid w:val="008D3FF3"/>
    <w:rsid w:val="008D4157"/>
    <w:rsid w:val="008D4447"/>
    <w:rsid w:val="008D44BC"/>
    <w:rsid w:val="008D44EB"/>
    <w:rsid w:val="008D4639"/>
    <w:rsid w:val="008D477B"/>
    <w:rsid w:val="008D47C4"/>
    <w:rsid w:val="008D4D45"/>
    <w:rsid w:val="008D4DDD"/>
    <w:rsid w:val="008D4E13"/>
    <w:rsid w:val="008D4E29"/>
    <w:rsid w:val="008D4E90"/>
    <w:rsid w:val="008D5039"/>
    <w:rsid w:val="008D5415"/>
    <w:rsid w:val="008D560E"/>
    <w:rsid w:val="008D5900"/>
    <w:rsid w:val="008D5C8C"/>
    <w:rsid w:val="008D5D28"/>
    <w:rsid w:val="008D5F1C"/>
    <w:rsid w:val="008D60F1"/>
    <w:rsid w:val="008D6293"/>
    <w:rsid w:val="008D68D8"/>
    <w:rsid w:val="008D6AC4"/>
    <w:rsid w:val="008D6AFB"/>
    <w:rsid w:val="008D6C41"/>
    <w:rsid w:val="008D6D86"/>
    <w:rsid w:val="008D718F"/>
    <w:rsid w:val="008D7812"/>
    <w:rsid w:val="008D7891"/>
    <w:rsid w:val="008D795A"/>
    <w:rsid w:val="008D7AB4"/>
    <w:rsid w:val="008D7ABE"/>
    <w:rsid w:val="008D7DAD"/>
    <w:rsid w:val="008E01BB"/>
    <w:rsid w:val="008E04A4"/>
    <w:rsid w:val="008E0505"/>
    <w:rsid w:val="008E05E1"/>
    <w:rsid w:val="008E0636"/>
    <w:rsid w:val="008E07FB"/>
    <w:rsid w:val="008E0801"/>
    <w:rsid w:val="008E0840"/>
    <w:rsid w:val="008E0C58"/>
    <w:rsid w:val="008E0C7F"/>
    <w:rsid w:val="008E0D2E"/>
    <w:rsid w:val="008E0DD6"/>
    <w:rsid w:val="008E1138"/>
    <w:rsid w:val="008E1309"/>
    <w:rsid w:val="008E1364"/>
    <w:rsid w:val="008E1668"/>
    <w:rsid w:val="008E1925"/>
    <w:rsid w:val="008E1A39"/>
    <w:rsid w:val="008E1A7A"/>
    <w:rsid w:val="008E1ADA"/>
    <w:rsid w:val="008E1B35"/>
    <w:rsid w:val="008E1F89"/>
    <w:rsid w:val="008E2126"/>
    <w:rsid w:val="008E2467"/>
    <w:rsid w:val="008E2552"/>
    <w:rsid w:val="008E2817"/>
    <w:rsid w:val="008E29C9"/>
    <w:rsid w:val="008E2B72"/>
    <w:rsid w:val="008E2CBD"/>
    <w:rsid w:val="008E2E11"/>
    <w:rsid w:val="008E2E13"/>
    <w:rsid w:val="008E2E18"/>
    <w:rsid w:val="008E2E82"/>
    <w:rsid w:val="008E31BF"/>
    <w:rsid w:val="008E3578"/>
    <w:rsid w:val="008E376A"/>
    <w:rsid w:val="008E3781"/>
    <w:rsid w:val="008E38CA"/>
    <w:rsid w:val="008E3940"/>
    <w:rsid w:val="008E3A0E"/>
    <w:rsid w:val="008E3C59"/>
    <w:rsid w:val="008E3F27"/>
    <w:rsid w:val="008E3F76"/>
    <w:rsid w:val="008E4155"/>
    <w:rsid w:val="008E416B"/>
    <w:rsid w:val="008E42E9"/>
    <w:rsid w:val="008E47FB"/>
    <w:rsid w:val="008E4A1C"/>
    <w:rsid w:val="008E4CF0"/>
    <w:rsid w:val="008E4EA6"/>
    <w:rsid w:val="008E5103"/>
    <w:rsid w:val="008E5349"/>
    <w:rsid w:val="008E5910"/>
    <w:rsid w:val="008E594E"/>
    <w:rsid w:val="008E5AEB"/>
    <w:rsid w:val="008E5F41"/>
    <w:rsid w:val="008E65E8"/>
    <w:rsid w:val="008E6931"/>
    <w:rsid w:val="008E6A53"/>
    <w:rsid w:val="008E6C7C"/>
    <w:rsid w:val="008E6DBB"/>
    <w:rsid w:val="008E6DDB"/>
    <w:rsid w:val="008E6E16"/>
    <w:rsid w:val="008E71A4"/>
    <w:rsid w:val="008E71D1"/>
    <w:rsid w:val="008E728C"/>
    <w:rsid w:val="008E7461"/>
    <w:rsid w:val="008E74B8"/>
    <w:rsid w:val="008E759A"/>
    <w:rsid w:val="008E75A7"/>
    <w:rsid w:val="008E7754"/>
    <w:rsid w:val="008E7767"/>
    <w:rsid w:val="008E7820"/>
    <w:rsid w:val="008E79C8"/>
    <w:rsid w:val="008E7ADF"/>
    <w:rsid w:val="008E7AE7"/>
    <w:rsid w:val="008E7D03"/>
    <w:rsid w:val="008E7E4D"/>
    <w:rsid w:val="008F016A"/>
    <w:rsid w:val="008F01EC"/>
    <w:rsid w:val="008F0250"/>
    <w:rsid w:val="008F03A8"/>
    <w:rsid w:val="008F0B9A"/>
    <w:rsid w:val="008F0DA8"/>
    <w:rsid w:val="008F0F03"/>
    <w:rsid w:val="008F1060"/>
    <w:rsid w:val="008F110D"/>
    <w:rsid w:val="008F132C"/>
    <w:rsid w:val="008F1647"/>
    <w:rsid w:val="008F1689"/>
    <w:rsid w:val="008F17AC"/>
    <w:rsid w:val="008F180E"/>
    <w:rsid w:val="008F183D"/>
    <w:rsid w:val="008F18DA"/>
    <w:rsid w:val="008F196C"/>
    <w:rsid w:val="008F1B87"/>
    <w:rsid w:val="008F1C6C"/>
    <w:rsid w:val="008F1CA2"/>
    <w:rsid w:val="008F1D35"/>
    <w:rsid w:val="008F1D80"/>
    <w:rsid w:val="008F1E85"/>
    <w:rsid w:val="008F22D0"/>
    <w:rsid w:val="008F2750"/>
    <w:rsid w:val="008F27EF"/>
    <w:rsid w:val="008F2A8E"/>
    <w:rsid w:val="008F2CBC"/>
    <w:rsid w:val="008F2CC0"/>
    <w:rsid w:val="008F2E10"/>
    <w:rsid w:val="008F2E5C"/>
    <w:rsid w:val="008F2EAB"/>
    <w:rsid w:val="008F2F16"/>
    <w:rsid w:val="008F2F64"/>
    <w:rsid w:val="008F30F3"/>
    <w:rsid w:val="008F32E5"/>
    <w:rsid w:val="008F3349"/>
    <w:rsid w:val="008F34B1"/>
    <w:rsid w:val="008F3500"/>
    <w:rsid w:val="008F36D9"/>
    <w:rsid w:val="008F3BA0"/>
    <w:rsid w:val="008F3DF0"/>
    <w:rsid w:val="008F4163"/>
    <w:rsid w:val="008F4263"/>
    <w:rsid w:val="008F435F"/>
    <w:rsid w:val="008F43C9"/>
    <w:rsid w:val="008F4508"/>
    <w:rsid w:val="008F454D"/>
    <w:rsid w:val="008F4798"/>
    <w:rsid w:val="008F4922"/>
    <w:rsid w:val="008F4A82"/>
    <w:rsid w:val="008F4D9B"/>
    <w:rsid w:val="008F4F0B"/>
    <w:rsid w:val="008F50BC"/>
    <w:rsid w:val="008F510A"/>
    <w:rsid w:val="008F510B"/>
    <w:rsid w:val="008F513B"/>
    <w:rsid w:val="008F527E"/>
    <w:rsid w:val="008F53E3"/>
    <w:rsid w:val="008F55FC"/>
    <w:rsid w:val="008F56FA"/>
    <w:rsid w:val="008F587E"/>
    <w:rsid w:val="008F5A90"/>
    <w:rsid w:val="008F5A92"/>
    <w:rsid w:val="008F5C6B"/>
    <w:rsid w:val="008F60AB"/>
    <w:rsid w:val="008F616B"/>
    <w:rsid w:val="008F6323"/>
    <w:rsid w:val="008F6856"/>
    <w:rsid w:val="008F69C9"/>
    <w:rsid w:val="008F71CD"/>
    <w:rsid w:val="008F71E7"/>
    <w:rsid w:val="008F724F"/>
    <w:rsid w:val="008F72D6"/>
    <w:rsid w:val="008F72E4"/>
    <w:rsid w:val="008F75F3"/>
    <w:rsid w:val="008F75FF"/>
    <w:rsid w:val="008F7922"/>
    <w:rsid w:val="008F7FCF"/>
    <w:rsid w:val="009000F0"/>
    <w:rsid w:val="00900125"/>
    <w:rsid w:val="009001AB"/>
    <w:rsid w:val="00900225"/>
    <w:rsid w:val="00900297"/>
    <w:rsid w:val="00900514"/>
    <w:rsid w:val="00900557"/>
    <w:rsid w:val="009005AA"/>
    <w:rsid w:val="00900687"/>
    <w:rsid w:val="00900708"/>
    <w:rsid w:val="00900D80"/>
    <w:rsid w:val="00900E37"/>
    <w:rsid w:val="00900EA5"/>
    <w:rsid w:val="00900F41"/>
    <w:rsid w:val="0090101E"/>
    <w:rsid w:val="0090113C"/>
    <w:rsid w:val="00901475"/>
    <w:rsid w:val="00901936"/>
    <w:rsid w:val="00901A91"/>
    <w:rsid w:val="00901EE2"/>
    <w:rsid w:val="00901FF2"/>
    <w:rsid w:val="00902016"/>
    <w:rsid w:val="00902393"/>
    <w:rsid w:val="00902518"/>
    <w:rsid w:val="00902788"/>
    <w:rsid w:val="00902857"/>
    <w:rsid w:val="009029DD"/>
    <w:rsid w:val="00902B20"/>
    <w:rsid w:val="00902BD3"/>
    <w:rsid w:val="00902C51"/>
    <w:rsid w:val="00902E7B"/>
    <w:rsid w:val="00902F25"/>
    <w:rsid w:val="009030B5"/>
    <w:rsid w:val="009031C9"/>
    <w:rsid w:val="009031F5"/>
    <w:rsid w:val="009036EC"/>
    <w:rsid w:val="00903B1E"/>
    <w:rsid w:val="00903CD0"/>
    <w:rsid w:val="00903CEB"/>
    <w:rsid w:val="00903D31"/>
    <w:rsid w:val="00903EF0"/>
    <w:rsid w:val="009040EC"/>
    <w:rsid w:val="00904267"/>
    <w:rsid w:val="00904286"/>
    <w:rsid w:val="009042B1"/>
    <w:rsid w:val="00904458"/>
    <w:rsid w:val="00904676"/>
    <w:rsid w:val="0090469C"/>
    <w:rsid w:val="0090472B"/>
    <w:rsid w:val="00905094"/>
    <w:rsid w:val="009051A9"/>
    <w:rsid w:val="009051E5"/>
    <w:rsid w:val="009055CC"/>
    <w:rsid w:val="0090587D"/>
    <w:rsid w:val="009059D4"/>
    <w:rsid w:val="009059FB"/>
    <w:rsid w:val="00905C5D"/>
    <w:rsid w:val="00905DDB"/>
    <w:rsid w:val="00905E4D"/>
    <w:rsid w:val="00905F1C"/>
    <w:rsid w:val="00906283"/>
    <w:rsid w:val="00906636"/>
    <w:rsid w:val="00906838"/>
    <w:rsid w:val="009068F0"/>
    <w:rsid w:val="00906D91"/>
    <w:rsid w:val="0090706A"/>
    <w:rsid w:val="00907147"/>
    <w:rsid w:val="0090737E"/>
    <w:rsid w:val="009074A1"/>
    <w:rsid w:val="00907533"/>
    <w:rsid w:val="00907671"/>
    <w:rsid w:val="009077E7"/>
    <w:rsid w:val="00907A0F"/>
    <w:rsid w:val="00907A2B"/>
    <w:rsid w:val="00907AA9"/>
    <w:rsid w:val="00910037"/>
    <w:rsid w:val="0091019C"/>
    <w:rsid w:val="009102BB"/>
    <w:rsid w:val="009106B1"/>
    <w:rsid w:val="0091076C"/>
    <w:rsid w:val="00910A0E"/>
    <w:rsid w:val="00910A68"/>
    <w:rsid w:val="00910A76"/>
    <w:rsid w:val="00910C43"/>
    <w:rsid w:val="00910E37"/>
    <w:rsid w:val="00910E7E"/>
    <w:rsid w:val="009112BD"/>
    <w:rsid w:val="009114A8"/>
    <w:rsid w:val="0091157A"/>
    <w:rsid w:val="009116A3"/>
    <w:rsid w:val="0091170C"/>
    <w:rsid w:val="00911758"/>
    <w:rsid w:val="00911794"/>
    <w:rsid w:val="00911923"/>
    <w:rsid w:val="009119CF"/>
    <w:rsid w:val="00911A2D"/>
    <w:rsid w:val="00911DDB"/>
    <w:rsid w:val="00911DF0"/>
    <w:rsid w:val="00911E38"/>
    <w:rsid w:val="0091209A"/>
    <w:rsid w:val="00912114"/>
    <w:rsid w:val="0091232A"/>
    <w:rsid w:val="0091240A"/>
    <w:rsid w:val="009126FC"/>
    <w:rsid w:val="0091284C"/>
    <w:rsid w:val="009128B5"/>
    <w:rsid w:val="00912944"/>
    <w:rsid w:val="009129DC"/>
    <w:rsid w:val="00912A07"/>
    <w:rsid w:val="00912F7B"/>
    <w:rsid w:val="00912FD7"/>
    <w:rsid w:val="009135FC"/>
    <w:rsid w:val="00913771"/>
    <w:rsid w:val="0091382D"/>
    <w:rsid w:val="00913A75"/>
    <w:rsid w:val="00913AC4"/>
    <w:rsid w:val="00913BB7"/>
    <w:rsid w:val="00913C6B"/>
    <w:rsid w:val="00913D82"/>
    <w:rsid w:val="0091403A"/>
    <w:rsid w:val="009140D9"/>
    <w:rsid w:val="009145BD"/>
    <w:rsid w:val="00914768"/>
    <w:rsid w:val="009148E7"/>
    <w:rsid w:val="0091497C"/>
    <w:rsid w:val="00914A0F"/>
    <w:rsid w:val="00914A70"/>
    <w:rsid w:val="00914B50"/>
    <w:rsid w:val="00914BBC"/>
    <w:rsid w:val="00914EF1"/>
    <w:rsid w:val="009154C3"/>
    <w:rsid w:val="0091550F"/>
    <w:rsid w:val="0091558D"/>
    <w:rsid w:val="0091598C"/>
    <w:rsid w:val="00915A4F"/>
    <w:rsid w:val="00915CB0"/>
    <w:rsid w:val="00915D7E"/>
    <w:rsid w:val="00916088"/>
    <w:rsid w:val="009160E2"/>
    <w:rsid w:val="009161A7"/>
    <w:rsid w:val="00916644"/>
    <w:rsid w:val="00916BDD"/>
    <w:rsid w:val="00916CBD"/>
    <w:rsid w:val="00916F77"/>
    <w:rsid w:val="00917407"/>
    <w:rsid w:val="00917534"/>
    <w:rsid w:val="0091753E"/>
    <w:rsid w:val="00917694"/>
    <w:rsid w:val="00917782"/>
    <w:rsid w:val="00917C6D"/>
    <w:rsid w:val="00917D52"/>
    <w:rsid w:val="00917DE4"/>
    <w:rsid w:val="00917E48"/>
    <w:rsid w:val="00920310"/>
    <w:rsid w:val="009206EC"/>
    <w:rsid w:val="009207AF"/>
    <w:rsid w:val="00920B9C"/>
    <w:rsid w:val="00920D69"/>
    <w:rsid w:val="00920D8E"/>
    <w:rsid w:val="00920DD4"/>
    <w:rsid w:val="00920F32"/>
    <w:rsid w:val="00920F62"/>
    <w:rsid w:val="00920FE2"/>
    <w:rsid w:val="009210EF"/>
    <w:rsid w:val="00921108"/>
    <w:rsid w:val="009214C0"/>
    <w:rsid w:val="009214FA"/>
    <w:rsid w:val="009216C7"/>
    <w:rsid w:val="0092181F"/>
    <w:rsid w:val="00921946"/>
    <w:rsid w:val="0092195C"/>
    <w:rsid w:val="00921AF4"/>
    <w:rsid w:val="00921C61"/>
    <w:rsid w:val="00921FBC"/>
    <w:rsid w:val="0092242B"/>
    <w:rsid w:val="009226A7"/>
    <w:rsid w:val="0092270E"/>
    <w:rsid w:val="00922873"/>
    <w:rsid w:val="00922896"/>
    <w:rsid w:val="00922D2D"/>
    <w:rsid w:val="00922EEB"/>
    <w:rsid w:val="00922F9C"/>
    <w:rsid w:val="00923655"/>
    <w:rsid w:val="00923896"/>
    <w:rsid w:val="00923906"/>
    <w:rsid w:val="00923B35"/>
    <w:rsid w:val="00923B85"/>
    <w:rsid w:val="00923DC1"/>
    <w:rsid w:val="00923E77"/>
    <w:rsid w:val="0092408A"/>
    <w:rsid w:val="009240A8"/>
    <w:rsid w:val="00924BA0"/>
    <w:rsid w:val="00924E02"/>
    <w:rsid w:val="009251A5"/>
    <w:rsid w:val="009252A4"/>
    <w:rsid w:val="00925538"/>
    <w:rsid w:val="0092553A"/>
    <w:rsid w:val="0092585F"/>
    <w:rsid w:val="00925AC5"/>
    <w:rsid w:val="00925B28"/>
    <w:rsid w:val="00925B67"/>
    <w:rsid w:val="00925DD7"/>
    <w:rsid w:val="00925E46"/>
    <w:rsid w:val="009260C2"/>
    <w:rsid w:val="00926195"/>
    <w:rsid w:val="0092640E"/>
    <w:rsid w:val="00926474"/>
    <w:rsid w:val="00926522"/>
    <w:rsid w:val="009265D6"/>
    <w:rsid w:val="00926625"/>
    <w:rsid w:val="009266EC"/>
    <w:rsid w:val="009267C8"/>
    <w:rsid w:val="00926976"/>
    <w:rsid w:val="009269F2"/>
    <w:rsid w:val="00926A5B"/>
    <w:rsid w:val="00926B10"/>
    <w:rsid w:val="00926B2D"/>
    <w:rsid w:val="00926B36"/>
    <w:rsid w:val="00926ECE"/>
    <w:rsid w:val="00927131"/>
    <w:rsid w:val="0092723A"/>
    <w:rsid w:val="00927273"/>
    <w:rsid w:val="00927328"/>
    <w:rsid w:val="00927563"/>
    <w:rsid w:val="0092775C"/>
    <w:rsid w:val="0092798B"/>
    <w:rsid w:val="00927A50"/>
    <w:rsid w:val="00927A78"/>
    <w:rsid w:val="00927BF2"/>
    <w:rsid w:val="00927F52"/>
    <w:rsid w:val="0093023A"/>
    <w:rsid w:val="00930341"/>
    <w:rsid w:val="00930500"/>
    <w:rsid w:val="009305A6"/>
    <w:rsid w:val="009309DC"/>
    <w:rsid w:val="00930B6C"/>
    <w:rsid w:val="00930B8D"/>
    <w:rsid w:val="00930CE1"/>
    <w:rsid w:val="00930D14"/>
    <w:rsid w:val="00930DDD"/>
    <w:rsid w:val="00931049"/>
    <w:rsid w:val="00931083"/>
    <w:rsid w:val="009312CB"/>
    <w:rsid w:val="00931301"/>
    <w:rsid w:val="0093132F"/>
    <w:rsid w:val="009313DE"/>
    <w:rsid w:val="0093145F"/>
    <w:rsid w:val="0093179E"/>
    <w:rsid w:val="0093197C"/>
    <w:rsid w:val="00931A8F"/>
    <w:rsid w:val="00931B33"/>
    <w:rsid w:val="00931B4D"/>
    <w:rsid w:val="00931BAA"/>
    <w:rsid w:val="00931CEB"/>
    <w:rsid w:val="00931E27"/>
    <w:rsid w:val="0093203D"/>
    <w:rsid w:val="00932193"/>
    <w:rsid w:val="009323FD"/>
    <w:rsid w:val="009324E0"/>
    <w:rsid w:val="0093271F"/>
    <w:rsid w:val="00932970"/>
    <w:rsid w:val="00932E81"/>
    <w:rsid w:val="00932EB5"/>
    <w:rsid w:val="00932EB9"/>
    <w:rsid w:val="00933057"/>
    <w:rsid w:val="0093323F"/>
    <w:rsid w:val="009333E0"/>
    <w:rsid w:val="0093344E"/>
    <w:rsid w:val="009334DB"/>
    <w:rsid w:val="0093379E"/>
    <w:rsid w:val="009337BD"/>
    <w:rsid w:val="0093381C"/>
    <w:rsid w:val="0093387F"/>
    <w:rsid w:val="00933906"/>
    <w:rsid w:val="00933942"/>
    <w:rsid w:val="00933980"/>
    <w:rsid w:val="00933981"/>
    <w:rsid w:val="00933FC9"/>
    <w:rsid w:val="009340C2"/>
    <w:rsid w:val="009340FD"/>
    <w:rsid w:val="00934126"/>
    <w:rsid w:val="0093427A"/>
    <w:rsid w:val="0093438F"/>
    <w:rsid w:val="009344C1"/>
    <w:rsid w:val="009344E0"/>
    <w:rsid w:val="00934676"/>
    <w:rsid w:val="00934771"/>
    <w:rsid w:val="009347B4"/>
    <w:rsid w:val="009349DA"/>
    <w:rsid w:val="00934C15"/>
    <w:rsid w:val="00934CF4"/>
    <w:rsid w:val="00934E32"/>
    <w:rsid w:val="00934F6F"/>
    <w:rsid w:val="0093512E"/>
    <w:rsid w:val="0093516F"/>
    <w:rsid w:val="0093574D"/>
    <w:rsid w:val="009357BD"/>
    <w:rsid w:val="009359B7"/>
    <w:rsid w:val="00935B72"/>
    <w:rsid w:val="00935BF2"/>
    <w:rsid w:val="00935C51"/>
    <w:rsid w:val="00935CDE"/>
    <w:rsid w:val="00935F74"/>
    <w:rsid w:val="0093609B"/>
    <w:rsid w:val="009360D9"/>
    <w:rsid w:val="00936363"/>
    <w:rsid w:val="00936495"/>
    <w:rsid w:val="0093657A"/>
    <w:rsid w:val="00936990"/>
    <w:rsid w:val="00936D66"/>
    <w:rsid w:val="0093706A"/>
    <w:rsid w:val="00937144"/>
    <w:rsid w:val="00937362"/>
    <w:rsid w:val="00937427"/>
    <w:rsid w:val="0093780E"/>
    <w:rsid w:val="00937B67"/>
    <w:rsid w:val="00937DFD"/>
    <w:rsid w:val="00937F9E"/>
    <w:rsid w:val="00940047"/>
    <w:rsid w:val="009401C2"/>
    <w:rsid w:val="0094082A"/>
    <w:rsid w:val="00940846"/>
    <w:rsid w:val="00940E04"/>
    <w:rsid w:val="00941057"/>
    <w:rsid w:val="0094113F"/>
    <w:rsid w:val="00941446"/>
    <w:rsid w:val="009414FA"/>
    <w:rsid w:val="0094157A"/>
    <w:rsid w:val="00941850"/>
    <w:rsid w:val="00941A18"/>
    <w:rsid w:val="00941A72"/>
    <w:rsid w:val="00941A81"/>
    <w:rsid w:val="00941AE1"/>
    <w:rsid w:val="00941E01"/>
    <w:rsid w:val="00941EA9"/>
    <w:rsid w:val="00941ED5"/>
    <w:rsid w:val="00941F18"/>
    <w:rsid w:val="00942155"/>
    <w:rsid w:val="009426D4"/>
    <w:rsid w:val="009429D8"/>
    <w:rsid w:val="00942AB7"/>
    <w:rsid w:val="00942BC6"/>
    <w:rsid w:val="00942CC3"/>
    <w:rsid w:val="00942D1F"/>
    <w:rsid w:val="00942E07"/>
    <w:rsid w:val="00942F1E"/>
    <w:rsid w:val="00942F77"/>
    <w:rsid w:val="0094366B"/>
    <w:rsid w:val="00943838"/>
    <w:rsid w:val="009439EB"/>
    <w:rsid w:val="00943C4F"/>
    <w:rsid w:val="009441FD"/>
    <w:rsid w:val="0094446A"/>
    <w:rsid w:val="009444B4"/>
    <w:rsid w:val="00944923"/>
    <w:rsid w:val="00944B6A"/>
    <w:rsid w:val="00944BC0"/>
    <w:rsid w:val="00944DD9"/>
    <w:rsid w:val="00944DEA"/>
    <w:rsid w:val="00944E44"/>
    <w:rsid w:val="0094513B"/>
    <w:rsid w:val="0094535C"/>
    <w:rsid w:val="00945397"/>
    <w:rsid w:val="009453B7"/>
    <w:rsid w:val="00945428"/>
    <w:rsid w:val="00945496"/>
    <w:rsid w:val="0094563B"/>
    <w:rsid w:val="009457EB"/>
    <w:rsid w:val="00945AD3"/>
    <w:rsid w:val="00945BEA"/>
    <w:rsid w:val="00945E7D"/>
    <w:rsid w:val="00946061"/>
    <w:rsid w:val="00946132"/>
    <w:rsid w:val="00946277"/>
    <w:rsid w:val="00946390"/>
    <w:rsid w:val="009463AB"/>
    <w:rsid w:val="0094654F"/>
    <w:rsid w:val="009466C5"/>
    <w:rsid w:val="009467EC"/>
    <w:rsid w:val="00946ACB"/>
    <w:rsid w:val="00946AE1"/>
    <w:rsid w:val="00946D06"/>
    <w:rsid w:val="00946EDC"/>
    <w:rsid w:val="009473C5"/>
    <w:rsid w:val="00947455"/>
    <w:rsid w:val="009474E9"/>
    <w:rsid w:val="0094759A"/>
    <w:rsid w:val="00947949"/>
    <w:rsid w:val="00947A4E"/>
    <w:rsid w:val="00947BB2"/>
    <w:rsid w:val="0095007B"/>
    <w:rsid w:val="00950169"/>
    <w:rsid w:val="009502CD"/>
    <w:rsid w:val="0095031A"/>
    <w:rsid w:val="009506D2"/>
    <w:rsid w:val="009507B7"/>
    <w:rsid w:val="009507D8"/>
    <w:rsid w:val="009508DB"/>
    <w:rsid w:val="00950A58"/>
    <w:rsid w:val="00950AD3"/>
    <w:rsid w:val="00950B99"/>
    <w:rsid w:val="00950DB2"/>
    <w:rsid w:val="00950E72"/>
    <w:rsid w:val="00951228"/>
    <w:rsid w:val="009512B1"/>
    <w:rsid w:val="009514DA"/>
    <w:rsid w:val="00951678"/>
    <w:rsid w:val="009516D1"/>
    <w:rsid w:val="009517E2"/>
    <w:rsid w:val="009519FA"/>
    <w:rsid w:val="00951C72"/>
    <w:rsid w:val="009523FE"/>
    <w:rsid w:val="0095279E"/>
    <w:rsid w:val="009527C8"/>
    <w:rsid w:val="009528D6"/>
    <w:rsid w:val="00952A00"/>
    <w:rsid w:val="00952A31"/>
    <w:rsid w:val="00952CD4"/>
    <w:rsid w:val="00952D3A"/>
    <w:rsid w:val="00952ED5"/>
    <w:rsid w:val="00952F83"/>
    <w:rsid w:val="0095315D"/>
    <w:rsid w:val="009533B2"/>
    <w:rsid w:val="009533E2"/>
    <w:rsid w:val="009536B7"/>
    <w:rsid w:val="009536F9"/>
    <w:rsid w:val="00953737"/>
    <w:rsid w:val="00953865"/>
    <w:rsid w:val="00953B20"/>
    <w:rsid w:val="00953BAB"/>
    <w:rsid w:val="00953C14"/>
    <w:rsid w:val="00954249"/>
    <w:rsid w:val="0095438E"/>
    <w:rsid w:val="009544AE"/>
    <w:rsid w:val="00954720"/>
    <w:rsid w:val="00954798"/>
    <w:rsid w:val="00954A32"/>
    <w:rsid w:val="00954AE0"/>
    <w:rsid w:val="00954AF4"/>
    <w:rsid w:val="00954B98"/>
    <w:rsid w:val="00954EEC"/>
    <w:rsid w:val="0095553C"/>
    <w:rsid w:val="00955567"/>
    <w:rsid w:val="00955643"/>
    <w:rsid w:val="0095584E"/>
    <w:rsid w:val="0095594C"/>
    <w:rsid w:val="00955A51"/>
    <w:rsid w:val="00955A9D"/>
    <w:rsid w:val="00955C4A"/>
    <w:rsid w:val="00955CD4"/>
    <w:rsid w:val="00955D5C"/>
    <w:rsid w:val="00955DC1"/>
    <w:rsid w:val="009563C4"/>
    <w:rsid w:val="009564C5"/>
    <w:rsid w:val="00956619"/>
    <w:rsid w:val="0095672B"/>
    <w:rsid w:val="00956764"/>
    <w:rsid w:val="00956850"/>
    <w:rsid w:val="009569F2"/>
    <w:rsid w:val="00956A9E"/>
    <w:rsid w:val="00956B9B"/>
    <w:rsid w:val="00956C1C"/>
    <w:rsid w:val="00956CC9"/>
    <w:rsid w:val="00956DF8"/>
    <w:rsid w:val="00956E9A"/>
    <w:rsid w:val="0095716C"/>
    <w:rsid w:val="0095722F"/>
    <w:rsid w:val="009576B2"/>
    <w:rsid w:val="009576E8"/>
    <w:rsid w:val="009577FF"/>
    <w:rsid w:val="0095784A"/>
    <w:rsid w:val="00957A61"/>
    <w:rsid w:val="00957ABE"/>
    <w:rsid w:val="00957C0B"/>
    <w:rsid w:val="00957C23"/>
    <w:rsid w:val="00957F73"/>
    <w:rsid w:val="00957F91"/>
    <w:rsid w:val="009600B7"/>
    <w:rsid w:val="009603D3"/>
    <w:rsid w:val="0096042A"/>
    <w:rsid w:val="009607C9"/>
    <w:rsid w:val="00960A1B"/>
    <w:rsid w:val="00960A98"/>
    <w:rsid w:val="00960C0F"/>
    <w:rsid w:val="00960C83"/>
    <w:rsid w:val="00960E1B"/>
    <w:rsid w:val="00960F14"/>
    <w:rsid w:val="009611DA"/>
    <w:rsid w:val="00961535"/>
    <w:rsid w:val="009615C1"/>
    <w:rsid w:val="00961830"/>
    <w:rsid w:val="0096183B"/>
    <w:rsid w:val="00961A90"/>
    <w:rsid w:val="00961E95"/>
    <w:rsid w:val="00961EE5"/>
    <w:rsid w:val="00961F89"/>
    <w:rsid w:val="0096210C"/>
    <w:rsid w:val="00962218"/>
    <w:rsid w:val="0096228D"/>
    <w:rsid w:val="009623CA"/>
    <w:rsid w:val="009623D7"/>
    <w:rsid w:val="00962438"/>
    <w:rsid w:val="0096247E"/>
    <w:rsid w:val="009626FA"/>
    <w:rsid w:val="00962B56"/>
    <w:rsid w:val="00962CB1"/>
    <w:rsid w:val="009630EB"/>
    <w:rsid w:val="00963470"/>
    <w:rsid w:val="00963471"/>
    <w:rsid w:val="009634A6"/>
    <w:rsid w:val="009637DB"/>
    <w:rsid w:val="00963E19"/>
    <w:rsid w:val="00964095"/>
    <w:rsid w:val="009640D6"/>
    <w:rsid w:val="009642CA"/>
    <w:rsid w:val="009645A8"/>
    <w:rsid w:val="00964659"/>
    <w:rsid w:val="009647E2"/>
    <w:rsid w:val="00964858"/>
    <w:rsid w:val="00964889"/>
    <w:rsid w:val="0096489E"/>
    <w:rsid w:val="00964AA8"/>
    <w:rsid w:val="00964E59"/>
    <w:rsid w:val="00964F80"/>
    <w:rsid w:val="00965095"/>
    <w:rsid w:val="00965135"/>
    <w:rsid w:val="00965700"/>
    <w:rsid w:val="009657CE"/>
    <w:rsid w:val="00965809"/>
    <w:rsid w:val="0096594A"/>
    <w:rsid w:val="0096595D"/>
    <w:rsid w:val="00965B7A"/>
    <w:rsid w:val="00965C47"/>
    <w:rsid w:val="00965FAA"/>
    <w:rsid w:val="00966292"/>
    <w:rsid w:val="0096632D"/>
    <w:rsid w:val="009664E1"/>
    <w:rsid w:val="009665DB"/>
    <w:rsid w:val="0096677B"/>
    <w:rsid w:val="0096682A"/>
    <w:rsid w:val="0096691C"/>
    <w:rsid w:val="00966A05"/>
    <w:rsid w:val="00966B22"/>
    <w:rsid w:val="00966B8B"/>
    <w:rsid w:val="00966CBC"/>
    <w:rsid w:val="00966CD1"/>
    <w:rsid w:val="00966F95"/>
    <w:rsid w:val="0096702F"/>
    <w:rsid w:val="0096735D"/>
    <w:rsid w:val="0096783F"/>
    <w:rsid w:val="00967DC0"/>
    <w:rsid w:val="00967F29"/>
    <w:rsid w:val="00970068"/>
    <w:rsid w:val="00970167"/>
    <w:rsid w:val="009701E1"/>
    <w:rsid w:val="009702AB"/>
    <w:rsid w:val="009707D8"/>
    <w:rsid w:val="00970A0C"/>
    <w:rsid w:val="00970C8B"/>
    <w:rsid w:val="00970DE2"/>
    <w:rsid w:val="00971124"/>
    <w:rsid w:val="0097132B"/>
    <w:rsid w:val="00971335"/>
    <w:rsid w:val="009716DB"/>
    <w:rsid w:val="009717FC"/>
    <w:rsid w:val="00971AF1"/>
    <w:rsid w:val="00971CF4"/>
    <w:rsid w:val="00971F3E"/>
    <w:rsid w:val="00971FF1"/>
    <w:rsid w:val="00972044"/>
    <w:rsid w:val="0097204F"/>
    <w:rsid w:val="0097233E"/>
    <w:rsid w:val="00972412"/>
    <w:rsid w:val="00972740"/>
    <w:rsid w:val="00972A2F"/>
    <w:rsid w:val="00972AE8"/>
    <w:rsid w:val="00972E67"/>
    <w:rsid w:val="00972E8D"/>
    <w:rsid w:val="00972F73"/>
    <w:rsid w:val="0097304D"/>
    <w:rsid w:val="0097305D"/>
    <w:rsid w:val="009731BF"/>
    <w:rsid w:val="00973353"/>
    <w:rsid w:val="009736D2"/>
    <w:rsid w:val="009738CD"/>
    <w:rsid w:val="0097398C"/>
    <w:rsid w:val="00973C6E"/>
    <w:rsid w:val="00973F2E"/>
    <w:rsid w:val="00973F40"/>
    <w:rsid w:val="00973FAE"/>
    <w:rsid w:val="00974020"/>
    <w:rsid w:val="009741BD"/>
    <w:rsid w:val="0097420D"/>
    <w:rsid w:val="0097436D"/>
    <w:rsid w:val="00974436"/>
    <w:rsid w:val="00974ABE"/>
    <w:rsid w:val="00974ACE"/>
    <w:rsid w:val="00974D4B"/>
    <w:rsid w:val="00974F7E"/>
    <w:rsid w:val="00974FD2"/>
    <w:rsid w:val="009750B1"/>
    <w:rsid w:val="0097511C"/>
    <w:rsid w:val="00975766"/>
    <w:rsid w:val="009757FA"/>
    <w:rsid w:val="0097589B"/>
    <w:rsid w:val="00975A8F"/>
    <w:rsid w:val="00975B59"/>
    <w:rsid w:val="00975BCA"/>
    <w:rsid w:val="00975C05"/>
    <w:rsid w:val="00976398"/>
    <w:rsid w:val="009764BC"/>
    <w:rsid w:val="00976829"/>
    <w:rsid w:val="009768A2"/>
    <w:rsid w:val="00976A78"/>
    <w:rsid w:val="00976B14"/>
    <w:rsid w:val="00976B62"/>
    <w:rsid w:val="00976C66"/>
    <w:rsid w:val="00976DF1"/>
    <w:rsid w:val="00976E57"/>
    <w:rsid w:val="00976FC3"/>
    <w:rsid w:val="0097711C"/>
    <w:rsid w:val="0097747B"/>
    <w:rsid w:val="009774BC"/>
    <w:rsid w:val="009779A7"/>
    <w:rsid w:val="00977AD3"/>
    <w:rsid w:val="00977CE5"/>
    <w:rsid w:val="00977CF2"/>
    <w:rsid w:val="00977D05"/>
    <w:rsid w:val="00977EEA"/>
    <w:rsid w:val="00977FEF"/>
    <w:rsid w:val="00977FFB"/>
    <w:rsid w:val="00980152"/>
    <w:rsid w:val="00980559"/>
    <w:rsid w:val="00980816"/>
    <w:rsid w:val="00980BDE"/>
    <w:rsid w:val="00980EC0"/>
    <w:rsid w:val="0098153C"/>
    <w:rsid w:val="009816E5"/>
    <w:rsid w:val="00981731"/>
    <w:rsid w:val="00981C28"/>
    <w:rsid w:val="009820E2"/>
    <w:rsid w:val="0098225C"/>
    <w:rsid w:val="00982309"/>
    <w:rsid w:val="009823A3"/>
    <w:rsid w:val="009823C9"/>
    <w:rsid w:val="009825E8"/>
    <w:rsid w:val="009826E2"/>
    <w:rsid w:val="00982726"/>
    <w:rsid w:val="00982838"/>
    <w:rsid w:val="00982CAB"/>
    <w:rsid w:val="00982CFC"/>
    <w:rsid w:val="00982E3D"/>
    <w:rsid w:val="00982E98"/>
    <w:rsid w:val="00982F64"/>
    <w:rsid w:val="00983065"/>
    <w:rsid w:val="009835F7"/>
    <w:rsid w:val="00983795"/>
    <w:rsid w:val="0098379F"/>
    <w:rsid w:val="00983BAA"/>
    <w:rsid w:val="00983CB4"/>
    <w:rsid w:val="00983CC6"/>
    <w:rsid w:val="009840D7"/>
    <w:rsid w:val="00984658"/>
    <w:rsid w:val="00984A2A"/>
    <w:rsid w:val="00984C51"/>
    <w:rsid w:val="00984E03"/>
    <w:rsid w:val="009850A5"/>
    <w:rsid w:val="00985154"/>
    <w:rsid w:val="00985171"/>
    <w:rsid w:val="009855C7"/>
    <w:rsid w:val="00985930"/>
    <w:rsid w:val="0098596A"/>
    <w:rsid w:val="00985E91"/>
    <w:rsid w:val="00985EDA"/>
    <w:rsid w:val="0098606A"/>
    <w:rsid w:val="00986335"/>
    <w:rsid w:val="009863EE"/>
    <w:rsid w:val="00986491"/>
    <w:rsid w:val="009864A8"/>
    <w:rsid w:val="009865A1"/>
    <w:rsid w:val="00986738"/>
    <w:rsid w:val="0098693C"/>
    <w:rsid w:val="00986CFE"/>
    <w:rsid w:val="00986F42"/>
    <w:rsid w:val="009870CE"/>
    <w:rsid w:val="009872A3"/>
    <w:rsid w:val="009874A8"/>
    <w:rsid w:val="009877CC"/>
    <w:rsid w:val="0098796E"/>
    <w:rsid w:val="00987ABC"/>
    <w:rsid w:val="00987B75"/>
    <w:rsid w:val="00987E05"/>
    <w:rsid w:val="00987FEF"/>
    <w:rsid w:val="00990028"/>
    <w:rsid w:val="00990287"/>
    <w:rsid w:val="00990419"/>
    <w:rsid w:val="009907B6"/>
    <w:rsid w:val="00990827"/>
    <w:rsid w:val="00990830"/>
    <w:rsid w:val="00990857"/>
    <w:rsid w:val="00990A20"/>
    <w:rsid w:val="00990DFD"/>
    <w:rsid w:val="00991033"/>
    <w:rsid w:val="009911E4"/>
    <w:rsid w:val="009913A8"/>
    <w:rsid w:val="00991492"/>
    <w:rsid w:val="0099152E"/>
    <w:rsid w:val="0099180B"/>
    <w:rsid w:val="00991D95"/>
    <w:rsid w:val="0099204D"/>
    <w:rsid w:val="009920B7"/>
    <w:rsid w:val="009920E0"/>
    <w:rsid w:val="009921D3"/>
    <w:rsid w:val="0099240E"/>
    <w:rsid w:val="00992508"/>
    <w:rsid w:val="0099251D"/>
    <w:rsid w:val="00992544"/>
    <w:rsid w:val="00992769"/>
    <w:rsid w:val="009928E8"/>
    <w:rsid w:val="00992C1E"/>
    <w:rsid w:val="00992CCC"/>
    <w:rsid w:val="00992F66"/>
    <w:rsid w:val="00992F74"/>
    <w:rsid w:val="009931C8"/>
    <w:rsid w:val="00993213"/>
    <w:rsid w:val="0099338B"/>
    <w:rsid w:val="00993909"/>
    <w:rsid w:val="00993DBA"/>
    <w:rsid w:val="00993FF0"/>
    <w:rsid w:val="00994416"/>
    <w:rsid w:val="00994606"/>
    <w:rsid w:val="00994755"/>
    <w:rsid w:val="00994A7D"/>
    <w:rsid w:val="00994CDC"/>
    <w:rsid w:val="00995001"/>
    <w:rsid w:val="00995191"/>
    <w:rsid w:val="009951F3"/>
    <w:rsid w:val="0099523F"/>
    <w:rsid w:val="009954A6"/>
    <w:rsid w:val="00995691"/>
    <w:rsid w:val="00995AA6"/>
    <w:rsid w:val="00995AEC"/>
    <w:rsid w:val="00995F88"/>
    <w:rsid w:val="00996585"/>
    <w:rsid w:val="0099684D"/>
    <w:rsid w:val="0099684E"/>
    <w:rsid w:val="0099688F"/>
    <w:rsid w:val="00996A07"/>
    <w:rsid w:val="00996A2E"/>
    <w:rsid w:val="00996E62"/>
    <w:rsid w:val="0099723B"/>
    <w:rsid w:val="009975F9"/>
    <w:rsid w:val="00997C0E"/>
    <w:rsid w:val="00997DA1"/>
    <w:rsid w:val="00997DAA"/>
    <w:rsid w:val="00997F26"/>
    <w:rsid w:val="00997F4A"/>
    <w:rsid w:val="00997F59"/>
    <w:rsid w:val="009A0160"/>
    <w:rsid w:val="009A06D5"/>
    <w:rsid w:val="009A0CBC"/>
    <w:rsid w:val="009A103F"/>
    <w:rsid w:val="009A1073"/>
    <w:rsid w:val="009A11BD"/>
    <w:rsid w:val="009A1257"/>
    <w:rsid w:val="009A129B"/>
    <w:rsid w:val="009A139E"/>
    <w:rsid w:val="009A1756"/>
    <w:rsid w:val="009A1A47"/>
    <w:rsid w:val="009A1EC3"/>
    <w:rsid w:val="009A202B"/>
    <w:rsid w:val="009A2282"/>
    <w:rsid w:val="009A22FF"/>
    <w:rsid w:val="009A24C6"/>
    <w:rsid w:val="009A2800"/>
    <w:rsid w:val="009A2A36"/>
    <w:rsid w:val="009A2D38"/>
    <w:rsid w:val="009A2E45"/>
    <w:rsid w:val="009A2EED"/>
    <w:rsid w:val="009A3181"/>
    <w:rsid w:val="009A34B4"/>
    <w:rsid w:val="009A358D"/>
    <w:rsid w:val="009A370F"/>
    <w:rsid w:val="009A37BB"/>
    <w:rsid w:val="009A3824"/>
    <w:rsid w:val="009A38FC"/>
    <w:rsid w:val="009A39C7"/>
    <w:rsid w:val="009A3F54"/>
    <w:rsid w:val="009A3FC8"/>
    <w:rsid w:val="009A401E"/>
    <w:rsid w:val="009A4072"/>
    <w:rsid w:val="009A4114"/>
    <w:rsid w:val="009A41C4"/>
    <w:rsid w:val="009A4231"/>
    <w:rsid w:val="009A4392"/>
    <w:rsid w:val="009A4684"/>
    <w:rsid w:val="009A4712"/>
    <w:rsid w:val="009A4872"/>
    <w:rsid w:val="009A4B76"/>
    <w:rsid w:val="009A4C39"/>
    <w:rsid w:val="009A4CC3"/>
    <w:rsid w:val="009A4E66"/>
    <w:rsid w:val="009A5018"/>
    <w:rsid w:val="009A5158"/>
    <w:rsid w:val="009A5340"/>
    <w:rsid w:val="009A54CE"/>
    <w:rsid w:val="009A555C"/>
    <w:rsid w:val="009A5585"/>
    <w:rsid w:val="009A55CD"/>
    <w:rsid w:val="009A572B"/>
    <w:rsid w:val="009A59D1"/>
    <w:rsid w:val="009A59F0"/>
    <w:rsid w:val="009A5A8D"/>
    <w:rsid w:val="009A5E5F"/>
    <w:rsid w:val="009A601C"/>
    <w:rsid w:val="009A6148"/>
    <w:rsid w:val="009A6379"/>
    <w:rsid w:val="009A6693"/>
    <w:rsid w:val="009A66AB"/>
    <w:rsid w:val="009A674B"/>
    <w:rsid w:val="009A6895"/>
    <w:rsid w:val="009A6DB9"/>
    <w:rsid w:val="009A6FFD"/>
    <w:rsid w:val="009A7014"/>
    <w:rsid w:val="009A7061"/>
    <w:rsid w:val="009A70DF"/>
    <w:rsid w:val="009A7203"/>
    <w:rsid w:val="009A729B"/>
    <w:rsid w:val="009A741B"/>
    <w:rsid w:val="009A74DB"/>
    <w:rsid w:val="009A78FA"/>
    <w:rsid w:val="009A7E0E"/>
    <w:rsid w:val="009A7F63"/>
    <w:rsid w:val="009B0544"/>
    <w:rsid w:val="009B0564"/>
    <w:rsid w:val="009B0616"/>
    <w:rsid w:val="009B06F5"/>
    <w:rsid w:val="009B0D07"/>
    <w:rsid w:val="009B0EB1"/>
    <w:rsid w:val="009B0F22"/>
    <w:rsid w:val="009B0F68"/>
    <w:rsid w:val="009B1059"/>
    <w:rsid w:val="009B108D"/>
    <w:rsid w:val="009B10A9"/>
    <w:rsid w:val="009B1365"/>
    <w:rsid w:val="009B1827"/>
    <w:rsid w:val="009B199A"/>
    <w:rsid w:val="009B19B8"/>
    <w:rsid w:val="009B1E58"/>
    <w:rsid w:val="009B1F42"/>
    <w:rsid w:val="009B1F78"/>
    <w:rsid w:val="009B2296"/>
    <w:rsid w:val="009B22AD"/>
    <w:rsid w:val="009B22B6"/>
    <w:rsid w:val="009B23D8"/>
    <w:rsid w:val="009B29DF"/>
    <w:rsid w:val="009B2BD3"/>
    <w:rsid w:val="009B2E86"/>
    <w:rsid w:val="009B2FBC"/>
    <w:rsid w:val="009B316C"/>
    <w:rsid w:val="009B32A0"/>
    <w:rsid w:val="009B337E"/>
    <w:rsid w:val="009B34AC"/>
    <w:rsid w:val="009B34C8"/>
    <w:rsid w:val="009B350A"/>
    <w:rsid w:val="009B36B3"/>
    <w:rsid w:val="009B380D"/>
    <w:rsid w:val="009B38FA"/>
    <w:rsid w:val="009B3BAF"/>
    <w:rsid w:val="009B3C04"/>
    <w:rsid w:val="009B3FCF"/>
    <w:rsid w:val="009B44A5"/>
    <w:rsid w:val="009B4887"/>
    <w:rsid w:val="009B4906"/>
    <w:rsid w:val="009B4AD9"/>
    <w:rsid w:val="009B4BCA"/>
    <w:rsid w:val="009B4C4B"/>
    <w:rsid w:val="009B5233"/>
    <w:rsid w:val="009B526E"/>
    <w:rsid w:val="009B5296"/>
    <w:rsid w:val="009B5708"/>
    <w:rsid w:val="009B578B"/>
    <w:rsid w:val="009B5820"/>
    <w:rsid w:val="009B58B3"/>
    <w:rsid w:val="009B5D26"/>
    <w:rsid w:val="009B5FF3"/>
    <w:rsid w:val="009B60B8"/>
    <w:rsid w:val="009B6277"/>
    <w:rsid w:val="009B66A0"/>
    <w:rsid w:val="009B691E"/>
    <w:rsid w:val="009B6B69"/>
    <w:rsid w:val="009B6D4B"/>
    <w:rsid w:val="009B6D6B"/>
    <w:rsid w:val="009B7085"/>
    <w:rsid w:val="009B714C"/>
    <w:rsid w:val="009B72F5"/>
    <w:rsid w:val="009B7344"/>
    <w:rsid w:val="009B744C"/>
    <w:rsid w:val="009B78BD"/>
    <w:rsid w:val="009B7927"/>
    <w:rsid w:val="009B7A02"/>
    <w:rsid w:val="009B7A15"/>
    <w:rsid w:val="009B7D6C"/>
    <w:rsid w:val="009B7DF9"/>
    <w:rsid w:val="009B7FA4"/>
    <w:rsid w:val="009C0345"/>
    <w:rsid w:val="009C062B"/>
    <w:rsid w:val="009C06CF"/>
    <w:rsid w:val="009C0AD5"/>
    <w:rsid w:val="009C0F02"/>
    <w:rsid w:val="009C1367"/>
    <w:rsid w:val="009C1749"/>
    <w:rsid w:val="009C1818"/>
    <w:rsid w:val="009C19EA"/>
    <w:rsid w:val="009C1A30"/>
    <w:rsid w:val="009C1E4A"/>
    <w:rsid w:val="009C1E82"/>
    <w:rsid w:val="009C1F5C"/>
    <w:rsid w:val="009C209B"/>
    <w:rsid w:val="009C20BE"/>
    <w:rsid w:val="009C22AE"/>
    <w:rsid w:val="009C2366"/>
    <w:rsid w:val="009C2BAC"/>
    <w:rsid w:val="009C2E09"/>
    <w:rsid w:val="009C2F97"/>
    <w:rsid w:val="009C327B"/>
    <w:rsid w:val="009C34A2"/>
    <w:rsid w:val="009C35F7"/>
    <w:rsid w:val="009C3635"/>
    <w:rsid w:val="009C3702"/>
    <w:rsid w:val="009C3D1D"/>
    <w:rsid w:val="009C3DA9"/>
    <w:rsid w:val="009C3E8E"/>
    <w:rsid w:val="009C413F"/>
    <w:rsid w:val="009C4296"/>
    <w:rsid w:val="009C42D5"/>
    <w:rsid w:val="009C45AC"/>
    <w:rsid w:val="009C4612"/>
    <w:rsid w:val="009C462C"/>
    <w:rsid w:val="009C4935"/>
    <w:rsid w:val="009C4A23"/>
    <w:rsid w:val="009C4ACD"/>
    <w:rsid w:val="009C4B8F"/>
    <w:rsid w:val="009C4F55"/>
    <w:rsid w:val="009C504E"/>
    <w:rsid w:val="009C5480"/>
    <w:rsid w:val="009C5870"/>
    <w:rsid w:val="009C5C8D"/>
    <w:rsid w:val="009C5E54"/>
    <w:rsid w:val="009C615B"/>
    <w:rsid w:val="009C640D"/>
    <w:rsid w:val="009C640F"/>
    <w:rsid w:val="009C64A4"/>
    <w:rsid w:val="009C657D"/>
    <w:rsid w:val="009C68AD"/>
    <w:rsid w:val="009C6A2F"/>
    <w:rsid w:val="009C6CAC"/>
    <w:rsid w:val="009C72DB"/>
    <w:rsid w:val="009C7CD0"/>
    <w:rsid w:val="009C7D8F"/>
    <w:rsid w:val="009C7DC5"/>
    <w:rsid w:val="009D040E"/>
    <w:rsid w:val="009D0537"/>
    <w:rsid w:val="009D083B"/>
    <w:rsid w:val="009D0AB7"/>
    <w:rsid w:val="009D0BB8"/>
    <w:rsid w:val="009D0CCF"/>
    <w:rsid w:val="009D0D5A"/>
    <w:rsid w:val="009D0E8B"/>
    <w:rsid w:val="009D0F7E"/>
    <w:rsid w:val="009D10B9"/>
    <w:rsid w:val="009D10FE"/>
    <w:rsid w:val="009D1227"/>
    <w:rsid w:val="009D12FE"/>
    <w:rsid w:val="009D14B5"/>
    <w:rsid w:val="009D17B1"/>
    <w:rsid w:val="009D1991"/>
    <w:rsid w:val="009D1BA1"/>
    <w:rsid w:val="009D1C03"/>
    <w:rsid w:val="009D1CE1"/>
    <w:rsid w:val="009D1D18"/>
    <w:rsid w:val="009D1EF4"/>
    <w:rsid w:val="009D1FC0"/>
    <w:rsid w:val="009D2009"/>
    <w:rsid w:val="009D2216"/>
    <w:rsid w:val="009D23C0"/>
    <w:rsid w:val="009D2421"/>
    <w:rsid w:val="009D2539"/>
    <w:rsid w:val="009D26F8"/>
    <w:rsid w:val="009D280E"/>
    <w:rsid w:val="009D2813"/>
    <w:rsid w:val="009D2982"/>
    <w:rsid w:val="009D2B1F"/>
    <w:rsid w:val="009D2B46"/>
    <w:rsid w:val="009D2C9E"/>
    <w:rsid w:val="009D2D88"/>
    <w:rsid w:val="009D3089"/>
    <w:rsid w:val="009D3238"/>
    <w:rsid w:val="009D324D"/>
    <w:rsid w:val="009D3327"/>
    <w:rsid w:val="009D35B2"/>
    <w:rsid w:val="009D370B"/>
    <w:rsid w:val="009D37EB"/>
    <w:rsid w:val="009D3A03"/>
    <w:rsid w:val="009D3E83"/>
    <w:rsid w:val="009D3F20"/>
    <w:rsid w:val="009D4556"/>
    <w:rsid w:val="009D4728"/>
    <w:rsid w:val="009D4917"/>
    <w:rsid w:val="009D4B15"/>
    <w:rsid w:val="009D4FFC"/>
    <w:rsid w:val="009D506C"/>
    <w:rsid w:val="009D53E0"/>
    <w:rsid w:val="009D5552"/>
    <w:rsid w:val="009D562F"/>
    <w:rsid w:val="009D5742"/>
    <w:rsid w:val="009D5851"/>
    <w:rsid w:val="009D5975"/>
    <w:rsid w:val="009D60A2"/>
    <w:rsid w:val="009D61E4"/>
    <w:rsid w:val="009D6343"/>
    <w:rsid w:val="009D6A3B"/>
    <w:rsid w:val="009D6C12"/>
    <w:rsid w:val="009D6D16"/>
    <w:rsid w:val="009D701A"/>
    <w:rsid w:val="009D7169"/>
    <w:rsid w:val="009D7281"/>
    <w:rsid w:val="009D7340"/>
    <w:rsid w:val="009D7680"/>
    <w:rsid w:val="009D7B9A"/>
    <w:rsid w:val="009D7C5D"/>
    <w:rsid w:val="009D7D79"/>
    <w:rsid w:val="009D7F65"/>
    <w:rsid w:val="009E0383"/>
    <w:rsid w:val="009E05B5"/>
    <w:rsid w:val="009E05E0"/>
    <w:rsid w:val="009E060C"/>
    <w:rsid w:val="009E0669"/>
    <w:rsid w:val="009E07AE"/>
    <w:rsid w:val="009E089F"/>
    <w:rsid w:val="009E0A12"/>
    <w:rsid w:val="009E0B4D"/>
    <w:rsid w:val="009E0F07"/>
    <w:rsid w:val="009E1083"/>
    <w:rsid w:val="009E1175"/>
    <w:rsid w:val="009E127E"/>
    <w:rsid w:val="009E1385"/>
    <w:rsid w:val="009E13A6"/>
    <w:rsid w:val="009E1646"/>
    <w:rsid w:val="009E16B1"/>
    <w:rsid w:val="009E1907"/>
    <w:rsid w:val="009E1AE8"/>
    <w:rsid w:val="009E1D7A"/>
    <w:rsid w:val="009E1EE4"/>
    <w:rsid w:val="009E1EF8"/>
    <w:rsid w:val="009E2077"/>
    <w:rsid w:val="009E2301"/>
    <w:rsid w:val="009E262A"/>
    <w:rsid w:val="009E2649"/>
    <w:rsid w:val="009E2FAB"/>
    <w:rsid w:val="009E3208"/>
    <w:rsid w:val="009E3259"/>
    <w:rsid w:val="009E328D"/>
    <w:rsid w:val="009E33F8"/>
    <w:rsid w:val="009E369C"/>
    <w:rsid w:val="009E36A4"/>
    <w:rsid w:val="009E38B8"/>
    <w:rsid w:val="009E39A5"/>
    <w:rsid w:val="009E39FC"/>
    <w:rsid w:val="009E3AFC"/>
    <w:rsid w:val="009E3E31"/>
    <w:rsid w:val="009E3F1E"/>
    <w:rsid w:val="009E41FB"/>
    <w:rsid w:val="009E42F7"/>
    <w:rsid w:val="009E4422"/>
    <w:rsid w:val="009E46AD"/>
    <w:rsid w:val="009E475E"/>
    <w:rsid w:val="009E4805"/>
    <w:rsid w:val="009E48DE"/>
    <w:rsid w:val="009E4C85"/>
    <w:rsid w:val="009E4CC3"/>
    <w:rsid w:val="009E4D47"/>
    <w:rsid w:val="009E4EBD"/>
    <w:rsid w:val="009E4FBF"/>
    <w:rsid w:val="009E559F"/>
    <w:rsid w:val="009E5816"/>
    <w:rsid w:val="009E5872"/>
    <w:rsid w:val="009E5B34"/>
    <w:rsid w:val="009E5B47"/>
    <w:rsid w:val="009E5DAB"/>
    <w:rsid w:val="009E5E9B"/>
    <w:rsid w:val="009E610B"/>
    <w:rsid w:val="009E64EF"/>
    <w:rsid w:val="009E6586"/>
    <w:rsid w:val="009E6627"/>
    <w:rsid w:val="009E670F"/>
    <w:rsid w:val="009E6787"/>
    <w:rsid w:val="009E6809"/>
    <w:rsid w:val="009E68C2"/>
    <w:rsid w:val="009E68E2"/>
    <w:rsid w:val="009E6BC5"/>
    <w:rsid w:val="009E6BE6"/>
    <w:rsid w:val="009E7059"/>
    <w:rsid w:val="009E70BA"/>
    <w:rsid w:val="009E716A"/>
    <w:rsid w:val="009E7201"/>
    <w:rsid w:val="009E724A"/>
    <w:rsid w:val="009E7303"/>
    <w:rsid w:val="009E7454"/>
    <w:rsid w:val="009E7483"/>
    <w:rsid w:val="009E7904"/>
    <w:rsid w:val="009E7997"/>
    <w:rsid w:val="009E79E2"/>
    <w:rsid w:val="009E79E7"/>
    <w:rsid w:val="009E7A6A"/>
    <w:rsid w:val="009E7BB2"/>
    <w:rsid w:val="009E7BD3"/>
    <w:rsid w:val="009E7CB9"/>
    <w:rsid w:val="009E7D7B"/>
    <w:rsid w:val="009F02DF"/>
    <w:rsid w:val="009F040D"/>
    <w:rsid w:val="009F06DF"/>
    <w:rsid w:val="009F0777"/>
    <w:rsid w:val="009F077A"/>
    <w:rsid w:val="009F07D2"/>
    <w:rsid w:val="009F08BA"/>
    <w:rsid w:val="009F0970"/>
    <w:rsid w:val="009F098E"/>
    <w:rsid w:val="009F0E8E"/>
    <w:rsid w:val="009F110A"/>
    <w:rsid w:val="009F115A"/>
    <w:rsid w:val="009F13CE"/>
    <w:rsid w:val="009F1404"/>
    <w:rsid w:val="009F163C"/>
    <w:rsid w:val="009F16B2"/>
    <w:rsid w:val="009F17B1"/>
    <w:rsid w:val="009F1897"/>
    <w:rsid w:val="009F1B78"/>
    <w:rsid w:val="009F1C9F"/>
    <w:rsid w:val="009F1CC1"/>
    <w:rsid w:val="009F1D02"/>
    <w:rsid w:val="009F1DEB"/>
    <w:rsid w:val="009F1E0D"/>
    <w:rsid w:val="009F1F2B"/>
    <w:rsid w:val="009F20DB"/>
    <w:rsid w:val="009F231D"/>
    <w:rsid w:val="009F2433"/>
    <w:rsid w:val="009F24F4"/>
    <w:rsid w:val="009F25BD"/>
    <w:rsid w:val="009F2672"/>
    <w:rsid w:val="009F2674"/>
    <w:rsid w:val="009F26B9"/>
    <w:rsid w:val="009F282F"/>
    <w:rsid w:val="009F2A2E"/>
    <w:rsid w:val="009F2F85"/>
    <w:rsid w:val="009F33C9"/>
    <w:rsid w:val="009F3606"/>
    <w:rsid w:val="009F38D9"/>
    <w:rsid w:val="009F3ADA"/>
    <w:rsid w:val="009F405D"/>
    <w:rsid w:val="009F4061"/>
    <w:rsid w:val="009F461E"/>
    <w:rsid w:val="009F4716"/>
    <w:rsid w:val="009F479D"/>
    <w:rsid w:val="009F47DA"/>
    <w:rsid w:val="009F4BC0"/>
    <w:rsid w:val="009F4C83"/>
    <w:rsid w:val="009F4CEC"/>
    <w:rsid w:val="009F4DE8"/>
    <w:rsid w:val="009F4F4A"/>
    <w:rsid w:val="009F5258"/>
    <w:rsid w:val="009F5356"/>
    <w:rsid w:val="009F5607"/>
    <w:rsid w:val="009F5869"/>
    <w:rsid w:val="009F58B9"/>
    <w:rsid w:val="009F5A11"/>
    <w:rsid w:val="009F5A8E"/>
    <w:rsid w:val="009F5AB4"/>
    <w:rsid w:val="009F5BD5"/>
    <w:rsid w:val="009F5BF6"/>
    <w:rsid w:val="009F5E66"/>
    <w:rsid w:val="009F5F03"/>
    <w:rsid w:val="009F5FBF"/>
    <w:rsid w:val="009F61DE"/>
    <w:rsid w:val="009F6291"/>
    <w:rsid w:val="009F64A4"/>
    <w:rsid w:val="009F64B3"/>
    <w:rsid w:val="009F6712"/>
    <w:rsid w:val="009F67DD"/>
    <w:rsid w:val="009F6B1F"/>
    <w:rsid w:val="009F6D4B"/>
    <w:rsid w:val="009F6DE1"/>
    <w:rsid w:val="009F6FD4"/>
    <w:rsid w:val="009F73AF"/>
    <w:rsid w:val="009F76C4"/>
    <w:rsid w:val="009F76D8"/>
    <w:rsid w:val="009F787C"/>
    <w:rsid w:val="009F78A4"/>
    <w:rsid w:val="009F7D6C"/>
    <w:rsid w:val="009F7E3B"/>
    <w:rsid w:val="009F7F06"/>
    <w:rsid w:val="00A0011E"/>
    <w:rsid w:val="00A002E7"/>
    <w:rsid w:val="00A0052F"/>
    <w:rsid w:val="00A008D2"/>
    <w:rsid w:val="00A0092D"/>
    <w:rsid w:val="00A00ABC"/>
    <w:rsid w:val="00A00B8A"/>
    <w:rsid w:val="00A00E03"/>
    <w:rsid w:val="00A00F28"/>
    <w:rsid w:val="00A010F3"/>
    <w:rsid w:val="00A01138"/>
    <w:rsid w:val="00A0114D"/>
    <w:rsid w:val="00A0155C"/>
    <w:rsid w:val="00A017E7"/>
    <w:rsid w:val="00A018C6"/>
    <w:rsid w:val="00A01A39"/>
    <w:rsid w:val="00A01A44"/>
    <w:rsid w:val="00A01B4C"/>
    <w:rsid w:val="00A01B4F"/>
    <w:rsid w:val="00A0276E"/>
    <w:rsid w:val="00A027A5"/>
    <w:rsid w:val="00A02988"/>
    <w:rsid w:val="00A02A15"/>
    <w:rsid w:val="00A02D10"/>
    <w:rsid w:val="00A02D6D"/>
    <w:rsid w:val="00A03011"/>
    <w:rsid w:val="00A033AC"/>
    <w:rsid w:val="00A03549"/>
    <w:rsid w:val="00A035F2"/>
    <w:rsid w:val="00A03621"/>
    <w:rsid w:val="00A039DA"/>
    <w:rsid w:val="00A03DDC"/>
    <w:rsid w:val="00A0400D"/>
    <w:rsid w:val="00A041F4"/>
    <w:rsid w:val="00A04304"/>
    <w:rsid w:val="00A04421"/>
    <w:rsid w:val="00A045E5"/>
    <w:rsid w:val="00A045FE"/>
    <w:rsid w:val="00A047C5"/>
    <w:rsid w:val="00A047E7"/>
    <w:rsid w:val="00A047FC"/>
    <w:rsid w:val="00A04B41"/>
    <w:rsid w:val="00A04BE5"/>
    <w:rsid w:val="00A04CE6"/>
    <w:rsid w:val="00A04D94"/>
    <w:rsid w:val="00A04E99"/>
    <w:rsid w:val="00A05101"/>
    <w:rsid w:val="00A0522C"/>
    <w:rsid w:val="00A0529E"/>
    <w:rsid w:val="00A05355"/>
    <w:rsid w:val="00A05387"/>
    <w:rsid w:val="00A0581C"/>
    <w:rsid w:val="00A05965"/>
    <w:rsid w:val="00A059B3"/>
    <w:rsid w:val="00A05C3A"/>
    <w:rsid w:val="00A05C4C"/>
    <w:rsid w:val="00A05C7D"/>
    <w:rsid w:val="00A05D0A"/>
    <w:rsid w:val="00A05DAC"/>
    <w:rsid w:val="00A063F6"/>
    <w:rsid w:val="00A06414"/>
    <w:rsid w:val="00A06572"/>
    <w:rsid w:val="00A06781"/>
    <w:rsid w:val="00A06866"/>
    <w:rsid w:val="00A06A91"/>
    <w:rsid w:val="00A06DFA"/>
    <w:rsid w:val="00A06E82"/>
    <w:rsid w:val="00A07005"/>
    <w:rsid w:val="00A07044"/>
    <w:rsid w:val="00A0727C"/>
    <w:rsid w:val="00A072CF"/>
    <w:rsid w:val="00A0791D"/>
    <w:rsid w:val="00A07973"/>
    <w:rsid w:val="00A07D21"/>
    <w:rsid w:val="00A07F30"/>
    <w:rsid w:val="00A1014A"/>
    <w:rsid w:val="00A10192"/>
    <w:rsid w:val="00A10201"/>
    <w:rsid w:val="00A10265"/>
    <w:rsid w:val="00A102C6"/>
    <w:rsid w:val="00A10367"/>
    <w:rsid w:val="00A10523"/>
    <w:rsid w:val="00A10818"/>
    <w:rsid w:val="00A108F5"/>
    <w:rsid w:val="00A10AEB"/>
    <w:rsid w:val="00A10C24"/>
    <w:rsid w:val="00A1116F"/>
    <w:rsid w:val="00A11267"/>
    <w:rsid w:val="00A112B0"/>
    <w:rsid w:val="00A11307"/>
    <w:rsid w:val="00A11596"/>
    <w:rsid w:val="00A11624"/>
    <w:rsid w:val="00A11794"/>
    <w:rsid w:val="00A118E0"/>
    <w:rsid w:val="00A11ACB"/>
    <w:rsid w:val="00A11BE1"/>
    <w:rsid w:val="00A11C5C"/>
    <w:rsid w:val="00A11D05"/>
    <w:rsid w:val="00A11E61"/>
    <w:rsid w:val="00A12452"/>
    <w:rsid w:val="00A12564"/>
    <w:rsid w:val="00A12729"/>
    <w:rsid w:val="00A127B8"/>
    <w:rsid w:val="00A12FD6"/>
    <w:rsid w:val="00A1312B"/>
    <w:rsid w:val="00A13227"/>
    <w:rsid w:val="00A1344E"/>
    <w:rsid w:val="00A13561"/>
    <w:rsid w:val="00A13774"/>
    <w:rsid w:val="00A137A9"/>
    <w:rsid w:val="00A13B5D"/>
    <w:rsid w:val="00A13D5C"/>
    <w:rsid w:val="00A13E6B"/>
    <w:rsid w:val="00A13FBF"/>
    <w:rsid w:val="00A1406D"/>
    <w:rsid w:val="00A1411E"/>
    <w:rsid w:val="00A1436D"/>
    <w:rsid w:val="00A14391"/>
    <w:rsid w:val="00A1466D"/>
    <w:rsid w:val="00A147B6"/>
    <w:rsid w:val="00A14B31"/>
    <w:rsid w:val="00A14FB9"/>
    <w:rsid w:val="00A15364"/>
    <w:rsid w:val="00A15870"/>
    <w:rsid w:val="00A158FD"/>
    <w:rsid w:val="00A15A64"/>
    <w:rsid w:val="00A15D0E"/>
    <w:rsid w:val="00A15DF9"/>
    <w:rsid w:val="00A16134"/>
    <w:rsid w:val="00A162A2"/>
    <w:rsid w:val="00A1633C"/>
    <w:rsid w:val="00A1660D"/>
    <w:rsid w:val="00A166B9"/>
    <w:rsid w:val="00A16A67"/>
    <w:rsid w:val="00A16A72"/>
    <w:rsid w:val="00A16B9D"/>
    <w:rsid w:val="00A16D72"/>
    <w:rsid w:val="00A16E33"/>
    <w:rsid w:val="00A17082"/>
    <w:rsid w:val="00A17304"/>
    <w:rsid w:val="00A1755F"/>
    <w:rsid w:val="00A17659"/>
    <w:rsid w:val="00A17AB3"/>
    <w:rsid w:val="00A17BC6"/>
    <w:rsid w:val="00A20389"/>
    <w:rsid w:val="00A204BB"/>
    <w:rsid w:val="00A207B8"/>
    <w:rsid w:val="00A207C1"/>
    <w:rsid w:val="00A20835"/>
    <w:rsid w:val="00A208FF"/>
    <w:rsid w:val="00A2093A"/>
    <w:rsid w:val="00A20947"/>
    <w:rsid w:val="00A20A91"/>
    <w:rsid w:val="00A20A9C"/>
    <w:rsid w:val="00A20AA2"/>
    <w:rsid w:val="00A20C48"/>
    <w:rsid w:val="00A20D60"/>
    <w:rsid w:val="00A20E09"/>
    <w:rsid w:val="00A212BB"/>
    <w:rsid w:val="00A2137A"/>
    <w:rsid w:val="00A2139E"/>
    <w:rsid w:val="00A21649"/>
    <w:rsid w:val="00A219FD"/>
    <w:rsid w:val="00A21C9D"/>
    <w:rsid w:val="00A221FF"/>
    <w:rsid w:val="00A2225B"/>
    <w:rsid w:val="00A223B7"/>
    <w:rsid w:val="00A223C9"/>
    <w:rsid w:val="00A2262B"/>
    <w:rsid w:val="00A22730"/>
    <w:rsid w:val="00A22807"/>
    <w:rsid w:val="00A228F0"/>
    <w:rsid w:val="00A22915"/>
    <w:rsid w:val="00A22A5F"/>
    <w:rsid w:val="00A22B79"/>
    <w:rsid w:val="00A22DBB"/>
    <w:rsid w:val="00A22DD2"/>
    <w:rsid w:val="00A22E0D"/>
    <w:rsid w:val="00A23062"/>
    <w:rsid w:val="00A23097"/>
    <w:rsid w:val="00A23157"/>
    <w:rsid w:val="00A231BB"/>
    <w:rsid w:val="00A23330"/>
    <w:rsid w:val="00A23979"/>
    <w:rsid w:val="00A23AF5"/>
    <w:rsid w:val="00A23F5B"/>
    <w:rsid w:val="00A2432A"/>
    <w:rsid w:val="00A24417"/>
    <w:rsid w:val="00A245C4"/>
    <w:rsid w:val="00A245EB"/>
    <w:rsid w:val="00A24644"/>
    <w:rsid w:val="00A24BD9"/>
    <w:rsid w:val="00A24D1F"/>
    <w:rsid w:val="00A24DB8"/>
    <w:rsid w:val="00A24E0E"/>
    <w:rsid w:val="00A250B8"/>
    <w:rsid w:val="00A252F3"/>
    <w:rsid w:val="00A2532B"/>
    <w:rsid w:val="00A2543B"/>
    <w:rsid w:val="00A256F3"/>
    <w:rsid w:val="00A25ABA"/>
    <w:rsid w:val="00A25F81"/>
    <w:rsid w:val="00A262C1"/>
    <w:rsid w:val="00A262F8"/>
    <w:rsid w:val="00A263E4"/>
    <w:rsid w:val="00A264B2"/>
    <w:rsid w:val="00A2659A"/>
    <w:rsid w:val="00A26A4A"/>
    <w:rsid w:val="00A26C8E"/>
    <w:rsid w:val="00A26E67"/>
    <w:rsid w:val="00A26EEF"/>
    <w:rsid w:val="00A2709B"/>
    <w:rsid w:val="00A270DB"/>
    <w:rsid w:val="00A27107"/>
    <w:rsid w:val="00A2713A"/>
    <w:rsid w:val="00A27250"/>
    <w:rsid w:val="00A2753A"/>
    <w:rsid w:val="00A2755B"/>
    <w:rsid w:val="00A2758E"/>
    <w:rsid w:val="00A276B0"/>
    <w:rsid w:val="00A2770F"/>
    <w:rsid w:val="00A2796D"/>
    <w:rsid w:val="00A27AAE"/>
    <w:rsid w:val="00A27BCE"/>
    <w:rsid w:val="00A27F7B"/>
    <w:rsid w:val="00A300B8"/>
    <w:rsid w:val="00A30174"/>
    <w:rsid w:val="00A30297"/>
    <w:rsid w:val="00A302A3"/>
    <w:rsid w:val="00A30383"/>
    <w:rsid w:val="00A305E0"/>
    <w:rsid w:val="00A306E4"/>
    <w:rsid w:val="00A30BB4"/>
    <w:rsid w:val="00A30F75"/>
    <w:rsid w:val="00A30FFB"/>
    <w:rsid w:val="00A3106F"/>
    <w:rsid w:val="00A31116"/>
    <w:rsid w:val="00A31190"/>
    <w:rsid w:val="00A3154F"/>
    <w:rsid w:val="00A315BC"/>
    <w:rsid w:val="00A319BD"/>
    <w:rsid w:val="00A31AC5"/>
    <w:rsid w:val="00A31C63"/>
    <w:rsid w:val="00A31EF3"/>
    <w:rsid w:val="00A31F30"/>
    <w:rsid w:val="00A32117"/>
    <w:rsid w:val="00A326EB"/>
    <w:rsid w:val="00A32813"/>
    <w:rsid w:val="00A32958"/>
    <w:rsid w:val="00A32F16"/>
    <w:rsid w:val="00A3352C"/>
    <w:rsid w:val="00A3368B"/>
    <w:rsid w:val="00A337D3"/>
    <w:rsid w:val="00A33C94"/>
    <w:rsid w:val="00A33E23"/>
    <w:rsid w:val="00A34043"/>
    <w:rsid w:val="00A3412B"/>
    <w:rsid w:val="00A341F7"/>
    <w:rsid w:val="00A34646"/>
    <w:rsid w:val="00A34749"/>
    <w:rsid w:val="00A34A80"/>
    <w:rsid w:val="00A34AAF"/>
    <w:rsid w:val="00A34B6F"/>
    <w:rsid w:val="00A34BCB"/>
    <w:rsid w:val="00A34BEE"/>
    <w:rsid w:val="00A34C14"/>
    <w:rsid w:val="00A34D86"/>
    <w:rsid w:val="00A34DC0"/>
    <w:rsid w:val="00A34E3C"/>
    <w:rsid w:val="00A34E5E"/>
    <w:rsid w:val="00A34E8B"/>
    <w:rsid w:val="00A351A5"/>
    <w:rsid w:val="00A35212"/>
    <w:rsid w:val="00A3536D"/>
    <w:rsid w:val="00A3550B"/>
    <w:rsid w:val="00A3557B"/>
    <w:rsid w:val="00A355C7"/>
    <w:rsid w:val="00A3583A"/>
    <w:rsid w:val="00A35A15"/>
    <w:rsid w:val="00A35BC9"/>
    <w:rsid w:val="00A35D88"/>
    <w:rsid w:val="00A35E4A"/>
    <w:rsid w:val="00A36A24"/>
    <w:rsid w:val="00A36CA9"/>
    <w:rsid w:val="00A36CF2"/>
    <w:rsid w:val="00A36D70"/>
    <w:rsid w:val="00A36D9B"/>
    <w:rsid w:val="00A36FF7"/>
    <w:rsid w:val="00A37112"/>
    <w:rsid w:val="00A37278"/>
    <w:rsid w:val="00A3738D"/>
    <w:rsid w:val="00A373D6"/>
    <w:rsid w:val="00A374F0"/>
    <w:rsid w:val="00A376BB"/>
    <w:rsid w:val="00A378A2"/>
    <w:rsid w:val="00A37C15"/>
    <w:rsid w:val="00A37EF5"/>
    <w:rsid w:val="00A37FBF"/>
    <w:rsid w:val="00A40221"/>
    <w:rsid w:val="00A40287"/>
    <w:rsid w:val="00A402C8"/>
    <w:rsid w:val="00A40364"/>
    <w:rsid w:val="00A40471"/>
    <w:rsid w:val="00A406E0"/>
    <w:rsid w:val="00A40867"/>
    <w:rsid w:val="00A4090D"/>
    <w:rsid w:val="00A40BDB"/>
    <w:rsid w:val="00A40C42"/>
    <w:rsid w:val="00A40C70"/>
    <w:rsid w:val="00A40E99"/>
    <w:rsid w:val="00A40F62"/>
    <w:rsid w:val="00A41012"/>
    <w:rsid w:val="00A41303"/>
    <w:rsid w:val="00A41416"/>
    <w:rsid w:val="00A4143A"/>
    <w:rsid w:val="00A41A6C"/>
    <w:rsid w:val="00A41BB2"/>
    <w:rsid w:val="00A41BF6"/>
    <w:rsid w:val="00A420C4"/>
    <w:rsid w:val="00A42573"/>
    <w:rsid w:val="00A425D2"/>
    <w:rsid w:val="00A4262A"/>
    <w:rsid w:val="00A428BC"/>
    <w:rsid w:val="00A42A01"/>
    <w:rsid w:val="00A42C29"/>
    <w:rsid w:val="00A42C89"/>
    <w:rsid w:val="00A42CDA"/>
    <w:rsid w:val="00A42F06"/>
    <w:rsid w:val="00A43026"/>
    <w:rsid w:val="00A436BA"/>
    <w:rsid w:val="00A438AE"/>
    <w:rsid w:val="00A438FB"/>
    <w:rsid w:val="00A43988"/>
    <w:rsid w:val="00A43A26"/>
    <w:rsid w:val="00A43AEC"/>
    <w:rsid w:val="00A43C84"/>
    <w:rsid w:val="00A43DB0"/>
    <w:rsid w:val="00A43E11"/>
    <w:rsid w:val="00A43F9E"/>
    <w:rsid w:val="00A44201"/>
    <w:rsid w:val="00A44423"/>
    <w:rsid w:val="00A4450F"/>
    <w:rsid w:val="00A4460B"/>
    <w:rsid w:val="00A44689"/>
    <w:rsid w:val="00A446AE"/>
    <w:rsid w:val="00A448A2"/>
    <w:rsid w:val="00A44A82"/>
    <w:rsid w:val="00A44E7A"/>
    <w:rsid w:val="00A44FB5"/>
    <w:rsid w:val="00A45070"/>
    <w:rsid w:val="00A4510D"/>
    <w:rsid w:val="00A45311"/>
    <w:rsid w:val="00A45337"/>
    <w:rsid w:val="00A4535D"/>
    <w:rsid w:val="00A456F7"/>
    <w:rsid w:val="00A45A5D"/>
    <w:rsid w:val="00A45AA6"/>
    <w:rsid w:val="00A45C62"/>
    <w:rsid w:val="00A45C93"/>
    <w:rsid w:val="00A4618A"/>
    <w:rsid w:val="00A462E2"/>
    <w:rsid w:val="00A4636B"/>
    <w:rsid w:val="00A464FE"/>
    <w:rsid w:val="00A46771"/>
    <w:rsid w:val="00A46ED1"/>
    <w:rsid w:val="00A46F71"/>
    <w:rsid w:val="00A46FB0"/>
    <w:rsid w:val="00A4713E"/>
    <w:rsid w:val="00A472C9"/>
    <w:rsid w:val="00A477B8"/>
    <w:rsid w:val="00A4782F"/>
    <w:rsid w:val="00A47BC9"/>
    <w:rsid w:val="00A47C49"/>
    <w:rsid w:val="00A47EA0"/>
    <w:rsid w:val="00A504BC"/>
    <w:rsid w:val="00A50588"/>
    <w:rsid w:val="00A506A3"/>
    <w:rsid w:val="00A50752"/>
    <w:rsid w:val="00A507DA"/>
    <w:rsid w:val="00A50B50"/>
    <w:rsid w:val="00A50C42"/>
    <w:rsid w:val="00A50C67"/>
    <w:rsid w:val="00A50D6B"/>
    <w:rsid w:val="00A511BD"/>
    <w:rsid w:val="00A5130D"/>
    <w:rsid w:val="00A513D4"/>
    <w:rsid w:val="00A51513"/>
    <w:rsid w:val="00A516C7"/>
    <w:rsid w:val="00A517D6"/>
    <w:rsid w:val="00A518BD"/>
    <w:rsid w:val="00A5193D"/>
    <w:rsid w:val="00A5199E"/>
    <w:rsid w:val="00A51AAF"/>
    <w:rsid w:val="00A51C49"/>
    <w:rsid w:val="00A51DE1"/>
    <w:rsid w:val="00A51E34"/>
    <w:rsid w:val="00A51F8E"/>
    <w:rsid w:val="00A52121"/>
    <w:rsid w:val="00A52408"/>
    <w:rsid w:val="00A52447"/>
    <w:rsid w:val="00A52468"/>
    <w:rsid w:val="00A524CD"/>
    <w:rsid w:val="00A527DA"/>
    <w:rsid w:val="00A52844"/>
    <w:rsid w:val="00A52959"/>
    <w:rsid w:val="00A53050"/>
    <w:rsid w:val="00A5317B"/>
    <w:rsid w:val="00A531D8"/>
    <w:rsid w:val="00A53321"/>
    <w:rsid w:val="00A5350C"/>
    <w:rsid w:val="00A53515"/>
    <w:rsid w:val="00A53946"/>
    <w:rsid w:val="00A53BC7"/>
    <w:rsid w:val="00A53CFE"/>
    <w:rsid w:val="00A53EF4"/>
    <w:rsid w:val="00A5422C"/>
    <w:rsid w:val="00A54245"/>
    <w:rsid w:val="00A54326"/>
    <w:rsid w:val="00A543EA"/>
    <w:rsid w:val="00A54525"/>
    <w:rsid w:val="00A54577"/>
    <w:rsid w:val="00A5485E"/>
    <w:rsid w:val="00A548C6"/>
    <w:rsid w:val="00A549F0"/>
    <w:rsid w:val="00A54C3E"/>
    <w:rsid w:val="00A54FA5"/>
    <w:rsid w:val="00A55230"/>
    <w:rsid w:val="00A55554"/>
    <w:rsid w:val="00A556E7"/>
    <w:rsid w:val="00A559D4"/>
    <w:rsid w:val="00A55DEB"/>
    <w:rsid w:val="00A56179"/>
    <w:rsid w:val="00A56636"/>
    <w:rsid w:val="00A56951"/>
    <w:rsid w:val="00A56BC0"/>
    <w:rsid w:val="00A56BF6"/>
    <w:rsid w:val="00A570F4"/>
    <w:rsid w:val="00A57153"/>
    <w:rsid w:val="00A571B8"/>
    <w:rsid w:val="00A57245"/>
    <w:rsid w:val="00A57398"/>
    <w:rsid w:val="00A574C2"/>
    <w:rsid w:val="00A57640"/>
    <w:rsid w:val="00A5776F"/>
    <w:rsid w:val="00A57A0D"/>
    <w:rsid w:val="00A57A23"/>
    <w:rsid w:val="00A57C7F"/>
    <w:rsid w:val="00A57E12"/>
    <w:rsid w:val="00A57E1B"/>
    <w:rsid w:val="00A57E4F"/>
    <w:rsid w:val="00A57E5C"/>
    <w:rsid w:val="00A601EB"/>
    <w:rsid w:val="00A60424"/>
    <w:rsid w:val="00A60629"/>
    <w:rsid w:val="00A60762"/>
    <w:rsid w:val="00A607D8"/>
    <w:rsid w:val="00A60A16"/>
    <w:rsid w:val="00A60D56"/>
    <w:rsid w:val="00A60F14"/>
    <w:rsid w:val="00A60F80"/>
    <w:rsid w:val="00A610A6"/>
    <w:rsid w:val="00A61104"/>
    <w:rsid w:val="00A6114D"/>
    <w:rsid w:val="00A612BF"/>
    <w:rsid w:val="00A61384"/>
    <w:rsid w:val="00A61456"/>
    <w:rsid w:val="00A614F9"/>
    <w:rsid w:val="00A61568"/>
    <w:rsid w:val="00A61783"/>
    <w:rsid w:val="00A61814"/>
    <w:rsid w:val="00A61AAB"/>
    <w:rsid w:val="00A61C8E"/>
    <w:rsid w:val="00A61E9E"/>
    <w:rsid w:val="00A61F54"/>
    <w:rsid w:val="00A62214"/>
    <w:rsid w:val="00A6227F"/>
    <w:rsid w:val="00A624B3"/>
    <w:rsid w:val="00A62502"/>
    <w:rsid w:val="00A6261A"/>
    <w:rsid w:val="00A62673"/>
    <w:rsid w:val="00A627DD"/>
    <w:rsid w:val="00A6289B"/>
    <w:rsid w:val="00A628C9"/>
    <w:rsid w:val="00A62CCE"/>
    <w:rsid w:val="00A62CCF"/>
    <w:rsid w:val="00A62D51"/>
    <w:rsid w:val="00A62F47"/>
    <w:rsid w:val="00A62F85"/>
    <w:rsid w:val="00A630CD"/>
    <w:rsid w:val="00A635E0"/>
    <w:rsid w:val="00A63836"/>
    <w:rsid w:val="00A63A0A"/>
    <w:rsid w:val="00A63AAC"/>
    <w:rsid w:val="00A63C18"/>
    <w:rsid w:val="00A63E44"/>
    <w:rsid w:val="00A64006"/>
    <w:rsid w:val="00A641AE"/>
    <w:rsid w:val="00A642F2"/>
    <w:rsid w:val="00A64362"/>
    <w:rsid w:val="00A64374"/>
    <w:rsid w:val="00A644DA"/>
    <w:rsid w:val="00A64510"/>
    <w:rsid w:val="00A6483E"/>
    <w:rsid w:val="00A64CC5"/>
    <w:rsid w:val="00A64E08"/>
    <w:rsid w:val="00A64E77"/>
    <w:rsid w:val="00A65002"/>
    <w:rsid w:val="00A652BD"/>
    <w:rsid w:val="00A654C0"/>
    <w:rsid w:val="00A654CD"/>
    <w:rsid w:val="00A654F1"/>
    <w:rsid w:val="00A655F3"/>
    <w:rsid w:val="00A6580D"/>
    <w:rsid w:val="00A6587A"/>
    <w:rsid w:val="00A65923"/>
    <w:rsid w:val="00A65A06"/>
    <w:rsid w:val="00A65AC2"/>
    <w:rsid w:val="00A65C45"/>
    <w:rsid w:val="00A65DC6"/>
    <w:rsid w:val="00A65E4F"/>
    <w:rsid w:val="00A65ED3"/>
    <w:rsid w:val="00A66638"/>
    <w:rsid w:val="00A6668A"/>
    <w:rsid w:val="00A6670D"/>
    <w:rsid w:val="00A66746"/>
    <w:rsid w:val="00A667DA"/>
    <w:rsid w:val="00A6681A"/>
    <w:rsid w:val="00A66FFB"/>
    <w:rsid w:val="00A670FD"/>
    <w:rsid w:val="00A673A8"/>
    <w:rsid w:val="00A674CD"/>
    <w:rsid w:val="00A676E5"/>
    <w:rsid w:val="00A67888"/>
    <w:rsid w:val="00A67C73"/>
    <w:rsid w:val="00A67C93"/>
    <w:rsid w:val="00A67D24"/>
    <w:rsid w:val="00A67D28"/>
    <w:rsid w:val="00A67F0E"/>
    <w:rsid w:val="00A70416"/>
    <w:rsid w:val="00A7047C"/>
    <w:rsid w:val="00A70585"/>
    <w:rsid w:val="00A70973"/>
    <w:rsid w:val="00A70C23"/>
    <w:rsid w:val="00A70D7C"/>
    <w:rsid w:val="00A70E1B"/>
    <w:rsid w:val="00A71080"/>
    <w:rsid w:val="00A719A8"/>
    <w:rsid w:val="00A71B05"/>
    <w:rsid w:val="00A71B69"/>
    <w:rsid w:val="00A71CEC"/>
    <w:rsid w:val="00A71CEF"/>
    <w:rsid w:val="00A71DF8"/>
    <w:rsid w:val="00A71EA9"/>
    <w:rsid w:val="00A71F16"/>
    <w:rsid w:val="00A72072"/>
    <w:rsid w:val="00A720EB"/>
    <w:rsid w:val="00A723CC"/>
    <w:rsid w:val="00A72730"/>
    <w:rsid w:val="00A72865"/>
    <w:rsid w:val="00A729DD"/>
    <w:rsid w:val="00A72A5D"/>
    <w:rsid w:val="00A72CB4"/>
    <w:rsid w:val="00A72E16"/>
    <w:rsid w:val="00A72F72"/>
    <w:rsid w:val="00A730CC"/>
    <w:rsid w:val="00A731AB"/>
    <w:rsid w:val="00A73316"/>
    <w:rsid w:val="00A735F1"/>
    <w:rsid w:val="00A73626"/>
    <w:rsid w:val="00A73AA2"/>
    <w:rsid w:val="00A73BE6"/>
    <w:rsid w:val="00A73DC4"/>
    <w:rsid w:val="00A73E5D"/>
    <w:rsid w:val="00A73EEC"/>
    <w:rsid w:val="00A741EB"/>
    <w:rsid w:val="00A744AD"/>
    <w:rsid w:val="00A7462E"/>
    <w:rsid w:val="00A7494E"/>
    <w:rsid w:val="00A74A8A"/>
    <w:rsid w:val="00A74AE7"/>
    <w:rsid w:val="00A74B91"/>
    <w:rsid w:val="00A74CA2"/>
    <w:rsid w:val="00A74D0A"/>
    <w:rsid w:val="00A74E98"/>
    <w:rsid w:val="00A74E9C"/>
    <w:rsid w:val="00A74EA4"/>
    <w:rsid w:val="00A74F35"/>
    <w:rsid w:val="00A75056"/>
    <w:rsid w:val="00A750BC"/>
    <w:rsid w:val="00A750F3"/>
    <w:rsid w:val="00A75118"/>
    <w:rsid w:val="00A7523A"/>
    <w:rsid w:val="00A75548"/>
    <w:rsid w:val="00A756AD"/>
    <w:rsid w:val="00A757C8"/>
    <w:rsid w:val="00A75A23"/>
    <w:rsid w:val="00A75A43"/>
    <w:rsid w:val="00A75B97"/>
    <w:rsid w:val="00A75C2F"/>
    <w:rsid w:val="00A75EA4"/>
    <w:rsid w:val="00A75F23"/>
    <w:rsid w:val="00A75FCF"/>
    <w:rsid w:val="00A7615D"/>
    <w:rsid w:val="00A761AD"/>
    <w:rsid w:val="00A765C7"/>
    <w:rsid w:val="00A76714"/>
    <w:rsid w:val="00A76964"/>
    <w:rsid w:val="00A76CCE"/>
    <w:rsid w:val="00A76D54"/>
    <w:rsid w:val="00A7709D"/>
    <w:rsid w:val="00A771A0"/>
    <w:rsid w:val="00A771C1"/>
    <w:rsid w:val="00A77247"/>
    <w:rsid w:val="00A7727D"/>
    <w:rsid w:val="00A77368"/>
    <w:rsid w:val="00A77398"/>
    <w:rsid w:val="00A773C5"/>
    <w:rsid w:val="00A774D2"/>
    <w:rsid w:val="00A779A7"/>
    <w:rsid w:val="00A77AA0"/>
    <w:rsid w:val="00A77BA8"/>
    <w:rsid w:val="00A77CBD"/>
    <w:rsid w:val="00A77DC7"/>
    <w:rsid w:val="00A800CC"/>
    <w:rsid w:val="00A80112"/>
    <w:rsid w:val="00A801C4"/>
    <w:rsid w:val="00A80344"/>
    <w:rsid w:val="00A808CE"/>
    <w:rsid w:val="00A80A20"/>
    <w:rsid w:val="00A80A56"/>
    <w:rsid w:val="00A80D3B"/>
    <w:rsid w:val="00A80EE1"/>
    <w:rsid w:val="00A80F9A"/>
    <w:rsid w:val="00A81088"/>
    <w:rsid w:val="00A81141"/>
    <w:rsid w:val="00A811B1"/>
    <w:rsid w:val="00A81225"/>
    <w:rsid w:val="00A817CE"/>
    <w:rsid w:val="00A81CB5"/>
    <w:rsid w:val="00A81DBF"/>
    <w:rsid w:val="00A81EAB"/>
    <w:rsid w:val="00A81EED"/>
    <w:rsid w:val="00A82166"/>
    <w:rsid w:val="00A821AD"/>
    <w:rsid w:val="00A82283"/>
    <w:rsid w:val="00A822A1"/>
    <w:rsid w:val="00A8244F"/>
    <w:rsid w:val="00A82492"/>
    <w:rsid w:val="00A82A7B"/>
    <w:rsid w:val="00A82B7A"/>
    <w:rsid w:val="00A82D79"/>
    <w:rsid w:val="00A82E6A"/>
    <w:rsid w:val="00A82FF4"/>
    <w:rsid w:val="00A8304A"/>
    <w:rsid w:val="00A8313E"/>
    <w:rsid w:val="00A83228"/>
    <w:rsid w:val="00A8325C"/>
    <w:rsid w:val="00A833DB"/>
    <w:rsid w:val="00A83440"/>
    <w:rsid w:val="00A8349D"/>
    <w:rsid w:val="00A83589"/>
    <w:rsid w:val="00A837D5"/>
    <w:rsid w:val="00A83937"/>
    <w:rsid w:val="00A839BF"/>
    <w:rsid w:val="00A839F7"/>
    <w:rsid w:val="00A83BB8"/>
    <w:rsid w:val="00A83F79"/>
    <w:rsid w:val="00A83FAB"/>
    <w:rsid w:val="00A83FE3"/>
    <w:rsid w:val="00A840EB"/>
    <w:rsid w:val="00A84153"/>
    <w:rsid w:val="00A842E0"/>
    <w:rsid w:val="00A842FF"/>
    <w:rsid w:val="00A84AEB"/>
    <w:rsid w:val="00A84B5D"/>
    <w:rsid w:val="00A84D25"/>
    <w:rsid w:val="00A84DA2"/>
    <w:rsid w:val="00A84DBD"/>
    <w:rsid w:val="00A84E21"/>
    <w:rsid w:val="00A85066"/>
    <w:rsid w:val="00A8511F"/>
    <w:rsid w:val="00A853F9"/>
    <w:rsid w:val="00A85620"/>
    <w:rsid w:val="00A8599B"/>
    <w:rsid w:val="00A859E4"/>
    <w:rsid w:val="00A85C15"/>
    <w:rsid w:val="00A85C6F"/>
    <w:rsid w:val="00A85D2C"/>
    <w:rsid w:val="00A85EA0"/>
    <w:rsid w:val="00A862CE"/>
    <w:rsid w:val="00A8650D"/>
    <w:rsid w:val="00A866F3"/>
    <w:rsid w:val="00A8670F"/>
    <w:rsid w:val="00A86AFF"/>
    <w:rsid w:val="00A86C09"/>
    <w:rsid w:val="00A86CFC"/>
    <w:rsid w:val="00A86D20"/>
    <w:rsid w:val="00A86EA0"/>
    <w:rsid w:val="00A86F8E"/>
    <w:rsid w:val="00A86FDE"/>
    <w:rsid w:val="00A874D4"/>
    <w:rsid w:val="00A8769F"/>
    <w:rsid w:val="00A8786A"/>
    <w:rsid w:val="00A87900"/>
    <w:rsid w:val="00A879CF"/>
    <w:rsid w:val="00A87DF5"/>
    <w:rsid w:val="00A87F99"/>
    <w:rsid w:val="00A87FF2"/>
    <w:rsid w:val="00A9015E"/>
    <w:rsid w:val="00A902CE"/>
    <w:rsid w:val="00A90341"/>
    <w:rsid w:val="00A90574"/>
    <w:rsid w:val="00A90594"/>
    <w:rsid w:val="00A90AE1"/>
    <w:rsid w:val="00A90B78"/>
    <w:rsid w:val="00A90C43"/>
    <w:rsid w:val="00A90E93"/>
    <w:rsid w:val="00A91202"/>
    <w:rsid w:val="00A912CF"/>
    <w:rsid w:val="00A91310"/>
    <w:rsid w:val="00A914B2"/>
    <w:rsid w:val="00A91784"/>
    <w:rsid w:val="00A918D9"/>
    <w:rsid w:val="00A91B51"/>
    <w:rsid w:val="00A91BBA"/>
    <w:rsid w:val="00A91C6B"/>
    <w:rsid w:val="00A91C6F"/>
    <w:rsid w:val="00A91E3F"/>
    <w:rsid w:val="00A91EE2"/>
    <w:rsid w:val="00A92020"/>
    <w:rsid w:val="00A921DB"/>
    <w:rsid w:val="00A921E9"/>
    <w:rsid w:val="00A92225"/>
    <w:rsid w:val="00A92687"/>
    <w:rsid w:val="00A9290D"/>
    <w:rsid w:val="00A92A76"/>
    <w:rsid w:val="00A92B1A"/>
    <w:rsid w:val="00A92B82"/>
    <w:rsid w:val="00A92BB4"/>
    <w:rsid w:val="00A92BCE"/>
    <w:rsid w:val="00A92F39"/>
    <w:rsid w:val="00A931E9"/>
    <w:rsid w:val="00A932F9"/>
    <w:rsid w:val="00A93430"/>
    <w:rsid w:val="00A935CE"/>
    <w:rsid w:val="00A93685"/>
    <w:rsid w:val="00A937D2"/>
    <w:rsid w:val="00A9396F"/>
    <w:rsid w:val="00A93F20"/>
    <w:rsid w:val="00A94035"/>
    <w:rsid w:val="00A944EA"/>
    <w:rsid w:val="00A9471A"/>
    <w:rsid w:val="00A94D71"/>
    <w:rsid w:val="00A94D80"/>
    <w:rsid w:val="00A94FBD"/>
    <w:rsid w:val="00A9555C"/>
    <w:rsid w:val="00A95591"/>
    <w:rsid w:val="00A95708"/>
    <w:rsid w:val="00A9589B"/>
    <w:rsid w:val="00A95A47"/>
    <w:rsid w:val="00A95EEF"/>
    <w:rsid w:val="00A9636B"/>
    <w:rsid w:val="00A963C1"/>
    <w:rsid w:val="00A96413"/>
    <w:rsid w:val="00A964B5"/>
    <w:rsid w:val="00A9672B"/>
    <w:rsid w:val="00A9693D"/>
    <w:rsid w:val="00A9714D"/>
    <w:rsid w:val="00A9736F"/>
    <w:rsid w:val="00A97425"/>
    <w:rsid w:val="00A97452"/>
    <w:rsid w:val="00A9773C"/>
    <w:rsid w:val="00A9778A"/>
    <w:rsid w:val="00A97966"/>
    <w:rsid w:val="00A979F1"/>
    <w:rsid w:val="00A97B82"/>
    <w:rsid w:val="00A97DD6"/>
    <w:rsid w:val="00A97E0C"/>
    <w:rsid w:val="00A97E59"/>
    <w:rsid w:val="00A97EA5"/>
    <w:rsid w:val="00AA02F3"/>
    <w:rsid w:val="00AA0431"/>
    <w:rsid w:val="00AA06A1"/>
    <w:rsid w:val="00AA072D"/>
    <w:rsid w:val="00AA0934"/>
    <w:rsid w:val="00AA0B30"/>
    <w:rsid w:val="00AA0B75"/>
    <w:rsid w:val="00AA0BBF"/>
    <w:rsid w:val="00AA0D1A"/>
    <w:rsid w:val="00AA0DE3"/>
    <w:rsid w:val="00AA1010"/>
    <w:rsid w:val="00AA1011"/>
    <w:rsid w:val="00AA12F5"/>
    <w:rsid w:val="00AA130D"/>
    <w:rsid w:val="00AA1425"/>
    <w:rsid w:val="00AA180E"/>
    <w:rsid w:val="00AA1A44"/>
    <w:rsid w:val="00AA1B25"/>
    <w:rsid w:val="00AA1C6C"/>
    <w:rsid w:val="00AA2024"/>
    <w:rsid w:val="00AA20F5"/>
    <w:rsid w:val="00AA21F6"/>
    <w:rsid w:val="00AA23A1"/>
    <w:rsid w:val="00AA23FA"/>
    <w:rsid w:val="00AA254D"/>
    <w:rsid w:val="00AA2603"/>
    <w:rsid w:val="00AA26B8"/>
    <w:rsid w:val="00AA26D4"/>
    <w:rsid w:val="00AA2A6F"/>
    <w:rsid w:val="00AA2B80"/>
    <w:rsid w:val="00AA2C26"/>
    <w:rsid w:val="00AA2ECA"/>
    <w:rsid w:val="00AA3145"/>
    <w:rsid w:val="00AA321E"/>
    <w:rsid w:val="00AA3471"/>
    <w:rsid w:val="00AA34CF"/>
    <w:rsid w:val="00AA35A5"/>
    <w:rsid w:val="00AA35D7"/>
    <w:rsid w:val="00AA35E7"/>
    <w:rsid w:val="00AA388B"/>
    <w:rsid w:val="00AA38E2"/>
    <w:rsid w:val="00AA39CF"/>
    <w:rsid w:val="00AA39D4"/>
    <w:rsid w:val="00AA3B06"/>
    <w:rsid w:val="00AA3B30"/>
    <w:rsid w:val="00AA3D70"/>
    <w:rsid w:val="00AA3DBB"/>
    <w:rsid w:val="00AA3DD7"/>
    <w:rsid w:val="00AA4140"/>
    <w:rsid w:val="00AA4190"/>
    <w:rsid w:val="00AA42A2"/>
    <w:rsid w:val="00AA4301"/>
    <w:rsid w:val="00AA43A9"/>
    <w:rsid w:val="00AA4442"/>
    <w:rsid w:val="00AA44F8"/>
    <w:rsid w:val="00AA4507"/>
    <w:rsid w:val="00AA46CA"/>
    <w:rsid w:val="00AA4808"/>
    <w:rsid w:val="00AA4863"/>
    <w:rsid w:val="00AA4AA0"/>
    <w:rsid w:val="00AA4B2F"/>
    <w:rsid w:val="00AA544D"/>
    <w:rsid w:val="00AA5614"/>
    <w:rsid w:val="00AA57E8"/>
    <w:rsid w:val="00AA582C"/>
    <w:rsid w:val="00AA593E"/>
    <w:rsid w:val="00AA59B9"/>
    <w:rsid w:val="00AA5EAB"/>
    <w:rsid w:val="00AA62EC"/>
    <w:rsid w:val="00AA6475"/>
    <w:rsid w:val="00AA6648"/>
    <w:rsid w:val="00AA6663"/>
    <w:rsid w:val="00AA672B"/>
    <w:rsid w:val="00AA67BF"/>
    <w:rsid w:val="00AA6A79"/>
    <w:rsid w:val="00AA6B29"/>
    <w:rsid w:val="00AA6E83"/>
    <w:rsid w:val="00AA6ED7"/>
    <w:rsid w:val="00AA7369"/>
    <w:rsid w:val="00AA75BF"/>
    <w:rsid w:val="00AA7694"/>
    <w:rsid w:val="00AA76D7"/>
    <w:rsid w:val="00AA786C"/>
    <w:rsid w:val="00AA79B9"/>
    <w:rsid w:val="00AA7D37"/>
    <w:rsid w:val="00AA7F1A"/>
    <w:rsid w:val="00AA7FD9"/>
    <w:rsid w:val="00AB027F"/>
    <w:rsid w:val="00AB03CF"/>
    <w:rsid w:val="00AB03E4"/>
    <w:rsid w:val="00AB0416"/>
    <w:rsid w:val="00AB05A3"/>
    <w:rsid w:val="00AB0670"/>
    <w:rsid w:val="00AB0773"/>
    <w:rsid w:val="00AB090D"/>
    <w:rsid w:val="00AB09E6"/>
    <w:rsid w:val="00AB0CD2"/>
    <w:rsid w:val="00AB0F8F"/>
    <w:rsid w:val="00AB0FD4"/>
    <w:rsid w:val="00AB1001"/>
    <w:rsid w:val="00AB1023"/>
    <w:rsid w:val="00AB116E"/>
    <w:rsid w:val="00AB163F"/>
    <w:rsid w:val="00AB18FC"/>
    <w:rsid w:val="00AB1936"/>
    <w:rsid w:val="00AB1AD7"/>
    <w:rsid w:val="00AB1B65"/>
    <w:rsid w:val="00AB1CA4"/>
    <w:rsid w:val="00AB1D4A"/>
    <w:rsid w:val="00AB1D79"/>
    <w:rsid w:val="00AB1DFD"/>
    <w:rsid w:val="00AB1EA3"/>
    <w:rsid w:val="00AB2160"/>
    <w:rsid w:val="00AB249D"/>
    <w:rsid w:val="00AB2A7A"/>
    <w:rsid w:val="00AB2BA9"/>
    <w:rsid w:val="00AB2C51"/>
    <w:rsid w:val="00AB2C52"/>
    <w:rsid w:val="00AB2DA8"/>
    <w:rsid w:val="00AB2DB4"/>
    <w:rsid w:val="00AB30CB"/>
    <w:rsid w:val="00AB31CE"/>
    <w:rsid w:val="00AB32C3"/>
    <w:rsid w:val="00AB32E1"/>
    <w:rsid w:val="00AB3547"/>
    <w:rsid w:val="00AB357C"/>
    <w:rsid w:val="00AB370F"/>
    <w:rsid w:val="00AB3922"/>
    <w:rsid w:val="00AB39D7"/>
    <w:rsid w:val="00AB3A9A"/>
    <w:rsid w:val="00AB3B42"/>
    <w:rsid w:val="00AB411A"/>
    <w:rsid w:val="00AB41B6"/>
    <w:rsid w:val="00AB437D"/>
    <w:rsid w:val="00AB440D"/>
    <w:rsid w:val="00AB46DF"/>
    <w:rsid w:val="00AB4EC5"/>
    <w:rsid w:val="00AB4F8E"/>
    <w:rsid w:val="00AB5171"/>
    <w:rsid w:val="00AB52AF"/>
    <w:rsid w:val="00AB5456"/>
    <w:rsid w:val="00AB54CB"/>
    <w:rsid w:val="00AB556F"/>
    <w:rsid w:val="00AB55F2"/>
    <w:rsid w:val="00AB57C9"/>
    <w:rsid w:val="00AB596B"/>
    <w:rsid w:val="00AB5B48"/>
    <w:rsid w:val="00AB5CF9"/>
    <w:rsid w:val="00AB5DFA"/>
    <w:rsid w:val="00AB6255"/>
    <w:rsid w:val="00AB6338"/>
    <w:rsid w:val="00AB6F5B"/>
    <w:rsid w:val="00AB7303"/>
    <w:rsid w:val="00AB730E"/>
    <w:rsid w:val="00AB744A"/>
    <w:rsid w:val="00AB746A"/>
    <w:rsid w:val="00AB75DD"/>
    <w:rsid w:val="00AB7655"/>
    <w:rsid w:val="00AB7B68"/>
    <w:rsid w:val="00AB7C11"/>
    <w:rsid w:val="00AB7F67"/>
    <w:rsid w:val="00AC0050"/>
    <w:rsid w:val="00AC0065"/>
    <w:rsid w:val="00AC009C"/>
    <w:rsid w:val="00AC03C5"/>
    <w:rsid w:val="00AC06CA"/>
    <w:rsid w:val="00AC096D"/>
    <w:rsid w:val="00AC097F"/>
    <w:rsid w:val="00AC099B"/>
    <w:rsid w:val="00AC0CAF"/>
    <w:rsid w:val="00AC0D42"/>
    <w:rsid w:val="00AC0DB3"/>
    <w:rsid w:val="00AC0DDF"/>
    <w:rsid w:val="00AC0E5A"/>
    <w:rsid w:val="00AC0F7F"/>
    <w:rsid w:val="00AC137B"/>
    <w:rsid w:val="00AC13E3"/>
    <w:rsid w:val="00AC1409"/>
    <w:rsid w:val="00AC163E"/>
    <w:rsid w:val="00AC176D"/>
    <w:rsid w:val="00AC18BC"/>
    <w:rsid w:val="00AC1CD6"/>
    <w:rsid w:val="00AC2191"/>
    <w:rsid w:val="00AC219E"/>
    <w:rsid w:val="00AC2584"/>
    <w:rsid w:val="00AC26E9"/>
    <w:rsid w:val="00AC28FD"/>
    <w:rsid w:val="00AC2A1E"/>
    <w:rsid w:val="00AC2ACE"/>
    <w:rsid w:val="00AC2AD1"/>
    <w:rsid w:val="00AC2C1D"/>
    <w:rsid w:val="00AC2CD1"/>
    <w:rsid w:val="00AC2D63"/>
    <w:rsid w:val="00AC301D"/>
    <w:rsid w:val="00AC3074"/>
    <w:rsid w:val="00AC32D3"/>
    <w:rsid w:val="00AC33FA"/>
    <w:rsid w:val="00AC34D4"/>
    <w:rsid w:val="00AC363A"/>
    <w:rsid w:val="00AC3758"/>
    <w:rsid w:val="00AC3A4D"/>
    <w:rsid w:val="00AC3AFE"/>
    <w:rsid w:val="00AC3CBD"/>
    <w:rsid w:val="00AC3CD8"/>
    <w:rsid w:val="00AC3F89"/>
    <w:rsid w:val="00AC407D"/>
    <w:rsid w:val="00AC40A8"/>
    <w:rsid w:val="00AC40B6"/>
    <w:rsid w:val="00AC4337"/>
    <w:rsid w:val="00AC4380"/>
    <w:rsid w:val="00AC44FE"/>
    <w:rsid w:val="00AC4547"/>
    <w:rsid w:val="00AC4590"/>
    <w:rsid w:val="00AC465F"/>
    <w:rsid w:val="00AC48B4"/>
    <w:rsid w:val="00AC4903"/>
    <w:rsid w:val="00AC491A"/>
    <w:rsid w:val="00AC4A4D"/>
    <w:rsid w:val="00AC4B8D"/>
    <w:rsid w:val="00AC4DD0"/>
    <w:rsid w:val="00AC4E60"/>
    <w:rsid w:val="00AC4EF3"/>
    <w:rsid w:val="00AC4FFC"/>
    <w:rsid w:val="00AC5887"/>
    <w:rsid w:val="00AC5A43"/>
    <w:rsid w:val="00AC5A9D"/>
    <w:rsid w:val="00AC5AD1"/>
    <w:rsid w:val="00AC5AE8"/>
    <w:rsid w:val="00AC5B70"/>
    <w:rsid w:val="00AC5C1F"/>
    <w:rsid w:val="00AC60E3"/>
    <w:rsid w:val="00AC6454"/>
    <w:rsid w:val="00AC66F3"/>
    <w:rsid w:val="00AC6700"/>
    <w:rsid w:val="00AC6908"/>
    <w:rsid w:val="00AC6B56"/>
    <w:rsid w:val="00AC6CEE"/>
    <w:rsid w:val="00AC6E2B"/>
    <w:rsid w:val="00AC6E70"/>
    <w:rsid w:val="00AC6FBD"/>
    <w:rsid w:val="00AC704A"/>
    <w:rsid w:val="00AC7198"/>
    <w:rsid w:val="00AC7546"/>
    <w:rsid w:val="00AC77DD"/>
    <w:rsid w:val="00AC7C9F"/>
    <w:rsid w:val="00AC7EB1"/>
    <w:rsid w:val="00AD03E3"/>
    <w:rsid w:val="00AD05FD"/>
    <w:rsid w:val="00AD06A1"/>
    <w:rsid w:val="00AD08B0"/>
    <w:rsid w:val="00AD094E"/>
    <w:rsid w:val="00AD0BA9"/>
    <w:rsid w:val="00AD0DB2"/>
    <w:rsid w:val="00AD1007"/>
    <w:rsid w:val="00AD106F"/>
    <w:rsid w:val="00AD1098"/>
    <w:rsid w:val="00AD1170"/>
    <w:rsid w:val="00AD1181"/>
    <w:rsid w:val="00AD1210"/>
    <w:rsid w:val="00AD1464"/>
    <w:rsid w:val="00AD17A1"/>
    <w:rsid w:val="00AD193E"/>
    <w:rsid w:val="00AD1A77"/>
    <w:rsid w:val="00AD1D87"/>
    <w:rsid w:val="00AD1F91"/>
    <w:rsid w:val="00AD22F7"/>
    <w:rsid w:val="00AD236C"/>
    <w:rsid w:val="00AD2617"/>
    <w:rsid w:val="00AD263F"/>
    <w:rsid w:val="00AD2749"/>
    <w:rsid w:val="00AD27E2"/>
    <w:rsid w:val="00AD295F"/>
    <w:rsid w:val="00AD2BF1"/>
    <w:rsid w:val="00AD2D4F"/>
    <w:rsid w:val="00AD2D5A"/>
    <w:rsid w:val="00AD349C"/>
    <w:rsid w:val="00AD3757"/>
    <w:rsid w:val="00AD3814"/>
    <w:rsid w:val="00AD384E"/>
    <w:rsid w:val="00AD3C1A"/>
    <w:rsid w:val="00AD3C6B"/>
    <w:rsid w:val="00AD3E29"/>
    <w:rsid w:val="00AD3E63"/>
    <w:rsid w:val="00AD437E"/>
    <w:rsid w:val="00AD45EC"/>
    <w:rsid w:val="00AD465D"/>
    <w:rsid w:val="00AD46DC"/>
    <w:rsid w:val="00AD49D5"/>
    <w:rsid w:val="00AD5159"/>
    <w:rsid w:val="00AD537F"/>
    <w:rsid w:val="00AD5451"/>
    <w:rsid w:val="00AD5458"/>
    <w:rsid w:val="00AD54F5"/>
    <w:rsid w:val="00AD556E"/>
    <w:rsid w:val="00AD5616"/>
    <w:rsid w:val="00AD5BEB"/>
    <w:rsid w:val="00AD5E57"/>
    <w:rsid w:val="00AD60B3"/>
    <w:rsid w:val="00AD68C1"/>
    <w:rsid w:val="00AD6A93"/>
    <w:rsid w:val="00AD6CB5"/>
    <w:rsid w:val="00AD6D75"/>
    <w:rsid w:val="00AD6DC6"/>
    <w:rsid w:val="00AD72E7"/>
    <w:rsid w:val="00AD7351"/>
    <w:rsid w:val="00AD7395"/>
    <w:rsid w:val="00AD76CD"/>
    <w:rsid w:val="00AD7A3A"/>
    <w:rsid w:val="00AD7B90"/>
    <w:rsid w:val="00AD7BC2"/>
    <w:rsid w:val="00AD7CF6"/>
    <w:rsid w:val="00AD7EED"/>
    <w:rsid w:val="00AD7F9D"/>
    <w:rsid w:val="00AE04D4"/>
    <w:rsid w:val="00AE0585"/>
    <w:rsid w:val="00AE0794"/>
    <w:rsid w:val="00AE085C"/>
    <w:rsid w:val="00AE08E4"/>
    <w:rsid w:val="00AE0CFD"/>
    <w:rsid w:val="00AE0E80"/>
    <w:rsid w:val="00AE0ECC"/>
    <w:rsid w:val="00AE106D"/>
    <w:rsid w:val="00AE1192"/>
    <w:rsid w:val="00AE1410"/>
    <w:rsid w:val="00AE1434"/>
    <w:rsid w:val="00AE146D"/>
    <w:rsid w:val="00AE147D"/>
    <w:rsid w:val="00AE154C"/>
    <w:rsid w:val="00AE16EB"/>
    <w:rsid w:val="00AE1E24"/>
    <w:rsid w:val="00AE1E6E"/>
    <w:rsid w:val="00AE2065"/>
    <w:rsid w:val="00AE207F"/>
    <w:rsid w:val="00AE21D2"/>
    <w:rsid w:val="00AE2209"/>
    <w:rsid w:val="00AE2252"/>
    <w:rsid w:val="00AE22D4"/>
    <w:rsid w:val="00AE248E"/>
    <w:rsid w:val="00AE25DB"/>
    <w:rsid w:val="00AE2629"/>
    <w:rsid w:val="00AE262F"/>
    <w:rsid w:val="00AE27E3"/>
    <w:rsid w:val="00AE2868"/>
    <w:rsid w:val="00AE29EE"/>
    <w:rsid w:val="00AE29FA"/>
    <w:rsid w:val="00AE2A21"/>
    <w:rsid w:val="00AE2BB1"/>
    <w:rsid w:val="00AE2C55"/>
    <w:rsid w:val="00AE2CA7"/>
    <w:rsid w:val="00AE2CBC"/>
    <w:rsid w:val="00AE2F9A"/>
    <w:rsid w:val="00AE342C"/>
    <w:rsid w:val="00AE34CB"/>
    <w:rsid w:val="00AE35E1"/>
    <w:rsid w:val="00AE3605"/>
    <w:rsid w:val="00AE37B2"/>
    <w:rsid w:val="00AE388D"/>
    <w:rsid w:val="00AE3A73"/>
    <w:rsid w:val="00AE3AFC"/>
    <w:rsid w:val="00AE3EA8"/>
    <w:rsid w:val="00AE40A1"/>
    <w:rsid w:val="00AE413D"/>
    <w:rsid w:val="00AE4154"/>
    <w:rsid w:val="00AE44D6"/>
    <w:rsid w:val="00AE45C5"/>
    <w:rsid w:val="00AE4605"/>
    <w:rsid w:val="00AE475A"/>
    <w:rsid w:val="00AE47A4"/>
    <w:rsid w:val="00AE4E6E"/>
    <w:rsid w:val="00AE4FA0"/>
    <w:rsid w:val="00AE4FD9"/>
    <w:rsid w:val="00AE526C"/>
    <w:rsid w:val="00AE5534"/>
    <w:rsid w:val="00AE55BB"/>
    <w:rsid w:val="00AE5711"/>
    <w:rsid w:val="00AE579E"/>
    <w:rsid w:val="00AE57D7"/>
    <w:rsid w:val="00AE57E4"/>
    <w:rsid w:val="00AE584C"/>
    <w:rsid w:val="00AE58EB"/>
    <w:rsid w:val="00AE5926"/>
    <w:rsid w:val="00AE59F5"/>
    <w:rsid w:val="00AE5D4B"/>
    <w:rsid w:val="00AE5E74"/>
    <w:rsid w:val="00AE6247"/>
    <w:rsid w:val="00AE6379"/>
    <w:rsid w:val="00AE64B3"/>
    <w:rsid w:val="00AE65F9"/>
    <w:rsid w:val="00AE6836"/>
    <w:rsid w:val="00AE6B08"/>
    <w:rsid w:val="00AE6B44"/>
    <w:rsid w:val="00AE6BC7"/>
    <w:rsid w:val="00AE6C46"/>
    <w:rsid w:val="00AE70B2"/>
    <w:rsid w:val="00AE72E3"/>
    <w:rsid w:val="00AE75EE"/>
    <w:rsid w:val="00AE771D"/>
    <w:rsid w:val="00AE773A"/>
    <w:rsid w:val="00AE7970"/>
    <w:rsid w:val="00AE7974"/>
    <w:rsid w:val="00AE7B34"/>
    <w:rsid w:val="00AE7B5E"/>
    <w:rsid w:val="00AE7C39"/>
    <w:rsid w:val="00AE7E1E"/>
    <w:rsid w:val="00AF0143"/>
    <w:rsid w:val="00AF0578"/>
    <w:rsid w:val="00AF05E9"/>
    <w:rsid w:val="00AF0618"/>
    <w:rsid w:val="00AF0751"/>
    <w:rsid w:val="00AF0982"/>
    <w:rsid w:val="00AF09AF"/>
    <w:rsid w:val="00AF0E6E"/>
    <w:rsid w:val="00AF1014"/>
    <w:rsid w:val="00AF14CB"/>
    <w:rsid w:val="00AF15F5"/>
    <w:rsid w:val="00AF1BA7"/>
    <w:rsid w:val="00AF1C22"/>
    <w:rsid w:val="00AF1C9F"/>
    <w:rsid w:val="00AF1DCE"/>
    <w:rsid w:val="00AF2047"/>
    <w:rsid w:val="00AF20CF"/>
    <w:rsid w:val="00AF2353"/>
    <w:rsid w:val="00AF247E"/>
    <w:rsid w:val="00AF2553"/>
    <w:rsid w:val="00AF2724"/>
    <w:rsid w:val="00AF288D"/>
    <w:rsid w:val="00AF28DF"/>
    <w:rsid w:val="00AF2EC0"/>
    <w:rsid w:val="00AF2FFF"/>
    <w:rsid w:val="00AF300D"/>
    <w:rsid w:val="00AF307E"/>
    <w:rsid w:val="00AF3158"/>
    <w:rsid w:val="00AF35EB"/>
    <w:rsid w:val="00AF36FF"/>
    <w:rsid w:val="00AF3760"/>
    <w:rsid w:val="00AF386F"/>
    <w:rsid w:val="00AF3887"/>
    <w:rsid w:val="00AF397B"/>
    <w:rsid w:val="00AF3C68"/>
    <w:rsid w:val="00AF3CC9"/>
    <w:rsid w:val="00AF40CA"/>
    <w:rsid w:val="00AF41C9"/>
    <w:rsid w:val="00AF4755"/>
    <w:rsid w:val="00AF47C3"/>
    <w:rsid w:val="00AF4ADA"/>
    <w:rsid w:val="00AF4DC4"/>
    <w:rsid w:val="00AF4E57"/>
    <w:rsid w:val="00AF5598"/>
    <w:rsid w:val="00AF5819"/>
    <w:rsid w:val="00AF5990"/>
    <w:rsid w:val="00AF5F64"/>
    <w:rsid w:val="00AF615F"/>
    <w:rsid w:val="00AF62EF"/>
    <w:rsid w:val="00AF6311"/>
    <w:rsid w:val="00AF6961"/>
    <w:rsid w:val="00AF6A5E"/>
    <w:rsid w:val="00AF6BA4"/>
    <w:rsid w:val="00AF6C60"/>
    <w:rsid w:val="00AF6C8F"/>
    <w:rsid w:val="00AF6E20"/>
    <w:rsid w:val="00AF6E9E"/>
    <w:rsid w:val="00AF6F2E"/>
    <w:rsid w:val="00AF74AC"/>
    <w:rsid w:val="00AF751D"/>
    <w:rsid w:val="00AF755C"/>
    <w:rsid w:val="00AF75E5"/>
    <w:rsid w:val="00AF7623"/>
    <w:rsid w:val="00AF774F"/>
    <w:rsid w:val="00AF78E6"/>
    <w:rsid w:val="00AF7CDF"/>
    <w:rsid w:val="00AF7D48"/>
    <w:rsid w:val="00AF7D73"/>
    <w:rsid w:val="00AF7DF3"/>
    <w:rsid w:val="00AF7E55"/>
    <w:rsid w:val="00AF7F56"/>
    <w:rsid w:val="00AF7FE1"/>
    <w:rsid w:val="00B00448"/>
    <w:rsid w:val="00B00451"/>
    <w:rsid w:val="00B0048A"/>
    <w:rsid w:val="00B004DC"/>
    <w:rsid w:val="00B00555"/>
    <w:rsid w:val="00B00645"/>
    <w:rsid w:val="00B00668"/>
    <w:rsid w:val="00B00B88"/>
    <w:rsid w:val="00B00E39"/>
    <w:rsid w:val="00B01004"/>
    <w:rsid w:val="00B0101A"/>
    <w:rsid w:val="00B010D6"/>
    <w:rsid w:val="00B011BC"/>
    <w:rsid w:val="00B01260"/>
    <w:rsid w:val="00B014EF"/>
    <w:rsid w:val="00B0154F"/>
    <w:rsid w:val="00B0165D"/>
    <w:rsid w:val="00B0173B"/>
    <w:rsid w:val="00B019BA"/>
    <w:rsid w:val="00B01DBB"/>
    <w:rsid w:val="00B0216C"/>
    <w:rsid w:val="00B02183"/>
    <w:rsid w:val="00B021FA"/>
    <w:rsid w:val="00B02377"/>
    <w:rsid w:val="00B025CF"/>
    <w:rsid w:val="00B02CFA"/>
    <w:rsid w:val="00B02D48"/>
    <w:rsid w:val="00B02E75"/>
    <w:rsid w:val="00B03138"/>
    <w:rsid w:val="00B03141"/>
    <w:rsid w:val="00B0322C"/>
    <w:rsid w:val="00B03270"/>
    <w:rsid w:val="00B033AC"/>
    <w:rsid w:val="00B03B05"/>
    <w:rsid w:val="00B03BA3"/>
    <w:rsid w:val="00B03EEA"/>
    <w:rsid w:val="00B0412B"/>
    <w:rsid w:val="00B04188"/>
    <w:rsid w:val="00B0450F"/>
    <w:rsid w:val="00B04591"/>
    <w:rsid w:val="00B0462C"/>
    <w:rsid w:val="00B046F0"/>
    <w:rsid w:val="00B04873"/>
    <w:rsid w:val="00B0491A"/>
    <w:rsid w:val="00B049DB"/>
    <w:rsid w:val="00B04D02"/>
    <w:rsid w:val="00B04D52"/>
    <w:rsid w:val="00B04D54"/>
    <w:rsid w:val="00B04EA0"/>
    <w:rsid w:val="00B05308"/>
    <w:rsid w:val="00B05368"/>
    <w:rsid w:val="00B05573"/>
    <w:rsid w:val="00B05CA1"/>
    <w:rsid w:val="00B05E0B"/>
    <w:rsid w:val="00B06079"/>
    <w:rsid w:val="00B060F0"/>
    <w:rsid w:val="00B0621A"/>
    <w:rsid w:val="00B063C2"/>
    <w:rsid w:val="00B06483"/>
    <w:rsid w:val="00B0681E"/>
    <w:rsid w:val="00B068AF"/>
    <w:rsid w:val="00B06AA2"/>
    <w:rsid w:val="00B06BB4"/>
    <w:rsid w:val="00B06C1C"/>
    <w:rsid w:val="00B07217"/>
    <w:rsid w:val="00B07345"/>
    <w:rsid w:val="00B076E0"/>
    <w:rsid w:val="00B079FB"/>
    <w:rsid w:val="00B07AEC"/>
    <w:rsid w:val="00B07B00"/>
    <w:rsid w:val="00B07C91"/>
    <w:rsid w:val="00B07CB6"/>
    <w:rsid w:val="00B07D37"/>
    <w:rsid w:val="00B07F4C"/>
    <w:rsid w:val="00B101F0"/>
    <w:rsid w:val="00B10489"/>
    <w:rsid w:val="00B1071A"/>
    <w:rsid w:val="00B10935"/>
    <w:rsid w:val="00B10BF7"/>
    <w:rsid w:val="00B10CB6"/>
    <w:rsid w:val="00B10D84"/>
    <w:rsid w:val="00B10FBE"/>
    <w:rsid w:val="00B1110F"/>
    <w:rsid w:val="00B11172"/>
    <w:rsid w:val="00B1125B"/>
    <w:rsid w:val="00B112CF"/>
    <w:rsid w:val="00B11327"/>
    <w:rsid w:val="00B1149E"/>
    <w:rsid w:val="00B114F5"/>
    <w:rsid w:val="00B114FC"/>
    <w:rsid w:val="00B11578"/>
    <w:rsid w:val="00B118DD"/>
    <w:rsid w:val="00B11A35"/>
    <w:rsid w:val="00B11C6D"/>
    <w:rsid w:val="00B11F27"/>
    <w:rsid w:val="00B11F7D"/>
    <w:rsid w:val="00B12006"/>
    <w:rsid w:val="00B12111"/>
    <w:rsid w:val="00B1242A"/>
    <w:rsid w:val="00B12480"/>
    <w:rsid w:val="00B1249B"/>
    <w:rsid w:val="00B12559"/>
    <w:rsid w:val="00B125C6"/>
    <w:rsid w:val="00B1265B"/>
    <w:rsid w:val="00B1267B"/>
    <w:rsid w:val="00B12A28"/>
    <w:rsid w:val="00B12C90"/>
    <w:rsid w:val="00B12D4D"/>
    <w:rsid w:val="00B13388"/>
    <w:rsid w:val="00B136DF"/>
    <w:rsid w:val="00B13796"/>
    <w:rsid w:val="00B13977"/>
    <w:rsid w:val="00B13A66"/>
    <w:rsid w:val="00B13AAD"/>
    <w:rsid w:val="00B13AB2"/>
    <w:rsid w:val="00B13E19"/>
    <w:rsid w:val="00B13E74"/>
    <w:rsid w:val="00B14147"/>
    <w:rsid w:val="00B14448"/>
    <w:rsid w:val="00B14522"/>
    <w:rsid w:val="00B1457E"/>
    <w:rsid w:val="00B145CF"/>
    <w:rsid w:val="00B145ED"/>
    <w:rsid w:val="00B14B49"/>
    <w:rsid w:val="00B14DBE"/>
    <w:rsid w:val="00B14E5D"/>
    <w:rsid w:val="00B14ECA"/>
    <w:rsid w:val="00B15226"/>
    <w:rsid w:val="00B154D3"/>
    <w:rsid w:val="00B15591"/>
    <w:rsid w:val="00B155B6"/>
    <w:rsid w:val="00B15725"/>
    <w:rsid w:val="00B15AC6"/>
    <w:rsid w:val="00B15B9B"/>
    <w:rsid w:val="00B15EDE"/>
    <w:rsid w:val="00B15F74"/>
    <w:rsid w:val="00B162FE"/>
    <w:rsid w:val="00B164FB"/>
    <w:rsid w:val="00B16889"/>
    <w:rsid w:val="00B169C6"/>
    <w:rsid w:val="00B16B0B"/>
    <w:rsid w:val="00B16B85"/>
    <w:rsid w:val="00B16C7D"/>
    <w:rsid w:val="00B16E4E"/>
    <w:rsid w:val="00B1707B"/>
    <w:rsid w:val="00B1737E"/>
    <w:rsid w:val="00B17597"/>
    <w:rsid w:val="00B176B8"/>
    <w:rsid w:val="00B17982"/>
    <w:rsid w:val="00B179FA"/>
    <w:rsid w:val="00B17A00"/>
    <w:rsid w:val="00B17C81"/>
    <w:rsid w:val="00B17D43"/>
    <w:rsid w:val="00B17FA0"/>
    <w:rsid w:val="00B20062"/>
    <w:rsid w:val="00B2018C"/>
    <w:rsid w:val="00B20423"/>
    <w:rsid w:val="00B20558"/>
    <w:rsid w:val="00B20844"/>
    <w:rsid w:val="00B20DA1"/>
    <w:rsid w:val="00B20EF2"/>
    <w:rsid w:val="00B20FCA"/>
    <w:rsid w:val="00B21265"/>
    <w:rsid w:val="00B2149A"/>
    <w:rsid w:val="00B216E6"/>
    <w:rsid w:val="00B2177E"/>
    <w:rsid w:val="00B219C4"/>
    <w:rsid w:val="00B21AD8"/>
    <w:rsid w:val="00B21C86"/>
    <w:rsid w:val="00B21D0A"/>
    <w:rsid w:val="00B22136"/>
    <w:rsid w:val="00B22499"/>
    <w:rsid w:val="00B224BC"/>
    <w:rsid w:val="00B224E6"/>
    <w:rsid w:val="00B22707"/>
    <w:rsid w:val="00B22996"/>
    <w:rsid w:val="00B22A05"/>
    <w:rsid w:val="00B22AAD"/>
    <w:rsid w:val="00B22B2E"/>
    <w:rsid w:val="00B22B5E"/>
    <w:rsid w:val="00B22BE2"/>
    <w:rsid w:val="00B22E7E"/>
    <w:rsid w:val="00B2312B"/>
    <w:rsid w:val="00B2332A"/>
    <w:rsid w:val="00B2341F"/>
    <w:rsid w:val="00B234BC"/>
    <w:rsid w:val="00B2377D"/>
    <w:rsid w:val="00B237B3"/>
    <w:rsid w:val="00B23960"/>
    <w:rsid w:val="00B23BBA"/>
    <w:rsid w:val="00B23BEB"/>
    <w:rsid w:val="00B23E29"/>
    <w:rsid w:val="00B23E60"/>
    <w:rsid w:val="00B23E63"/>
    <w:rsid w:val="00B23EA7"/>
    <w:rsid w:val="00B240CF"/>
    <w:rsid w:val="00B24417"/>
    <w:rsid w:val="00B24493"/>
    <w:rsid w:val="00B245C3"/>
    <w:rsid w:val="00B24626"/>
    <w:rsid w:val="00B24AA4"/>
    <w:rsid w:val="00B24B2F"/>
    <w:rsid w:val="00B24B77"/>
    <w:rsid w:val="00B24D20"/>
    <w:rsid w:val="00B24FDC"/>
    <w:rsid w:val="00B24FF3"/>
    <w:rsid w:val="00B25353"/>
    <w:rsid w:val="00B256CC"/>
    <w:rsid w:val="00B25832"/>
    <w:rsid w:val="00B25AEE"/>
    <w:rsid w:val="00B25C30"/>
    <w:rsid w:val="00B261B3"/>
    <w:rsid w:val="00B266EE"/>
    <w:rsid w:val="00B2671B"/>
    <w:rsid w:val="00B26A0D"/>
    <w:rsid w:val="00B26B77"/>
    <w:rsid w:val="00B26B97"/>
    <w:rsid w:val="00B26CE7"/>
    <w:rsid w:val="00B26D08"/>
    <w:rsid w:val="00B26E31"/>
    <w:rsid w:val="00B27043"/>
    <w:rsid w:val="00B271E8"/>
    <w:rsid w:val="00B273BA"/>
    <w:rsid w:val="00B274BC"/>
    <w:rsid w:val="00B27679"/>
    <w:rsid w:val="00B276B0"/>
    <w:rsid w:val="00B277C8"/>
    <w:rsid w:val="00B27BEA"/>
    <w:rsid w:val="00B27C8C"/>
    <w:rsid w:val="00B27D01"/>
    <w:rsid w:val="00B27E8F"/>
    <w:rsid w:val="00B30181"/>
    <w:rsid w:val="00B30438"/>
    <w:rsid w:val="00B30596"/>
    <w:rsid w:val="00B307E0"/>
    <w:rsid w:val="00B30920"/>
    <w:rsid w:val="00B30934"/>
    <w:rsid w:val="00B30947"/>
    <w:rsid w:val="00B309E8"/>
    <w:rsid w:val="00B309FA"/>
    <w:rsid w:val="00B30C10"/>
    <w:rsid w:val="00B3130B"/>
    <w:rsid w:val="00B316DC"/>
    <w:rsid w:val="00B317FE"/>
    <w:rsid w:val="00B31A08"/>
    <w:rsid w:val="00B31C10"/>
    <w:rsid w:val="00B31F91"/>
    <w:rsid w:val="00B31FEF"/>
    <w:rsid w:val="00B32012"/>
    <w:rsid w:val="00B321A4"/>
    <w:rsid w:val="00B32395"/>
    <w:rsid w:val="00B3247A"/>
    <w:rsid w:val="00B32609"/>
    <w:rsid w:val="00B3265D"/>
    <w:rsid w:val="00B32742"/>
    <w:rsid w:val="00B328B6"/>
    <w:rsid w:val="00B32916"/>
    <w:rsid w:val="00B32930"/>
    <w:rsid w:val="00B32D0E"/>
    <w:rsid w:val="00B32E39"/>
    <w:rsid w:val="00B33153"/>
    <w:rsid w:val="00B331DC"/>
    <w:rsid w:val="00B331F6"/>
    <w:rsid w:val="00B333D1"/>
    <w:rsid w:val="00B33794"/>
    <w:rsid w:val="00B337E7"/>
    <w:rsid w:val="00B33829"/>
    <w:rsid w:val="00B33A9D"/>
    <w:rsid w:val="00B33C1A"/>
    <w:rsid w:val="00B33E03"/>
    <w:rsid w:val="00B33FC0"/>
    <w:rsid w:val="00B343E1"/>
    <w:rsid w:val="00B346BC"/>
    <w:rsid w:val="00B34853"/>
    <w:rsid w:val="00B34A0F"/>
    <w:rsid w:val="00B34CB1"/>
    <w:rsid w:val="00B34D3F"/>
    <w:rsid w:val="00B34DA6"/>
    <w:rsid w:val="00B35313"/>
    <w:rsid w:val="00B353F9"/>
    <w:rsid w:val="00B35623"/>
    <w:rsid w:val="00B35940"/>
    <w:rsid w:val="00B35A88"/>
    <w:rsid w:val="00B35B69"/>
    <w:rsid w:val="00B35C5C"/>
    <w:rsid w:val="00B35E2F"/>
    <w:rsid w:val="00B35E73"/>
    <w:rsid w:val="00B35FBE"/>
    <w:rsid w:val="00B36362"/>
    <w:rsid w:val="00B36400"/>
    <w:rsid w:val="00B3658F"/>
    <w:rsid w:val="00B3675E"/>
    <w:rsid w:val="00B367ED"/>
    <w:rsid w:val="00B36849"/>
    <w:rsid w:val="00B36891"/>
    <w:rsid w:val="00B368F8"/>
    <w:rsid w:val="00B36AED"/>
    <w:rsid w:val="00B36E84"/>
    <w:rsid w:val="00B36F88"/>
    <w:rsid w:val="00B37147"/>
    <w:rsid w:val="00B3728A"/>
    <w:rsid w:val="00B3753B"/>
    <w:rsid w:val="00B3761D"/>
    <w:rsid w:val="00B3767D"/>
    <w:rsid w:val="00B37888"/>
    <w:rsid w:val="00B37920"/>
    <w:rsid w:val="00B37A84"/>
    <w:rsid w:val="00B37AF2"/>
    <w:rsid w:val="00B401FE"/>
    <w:rsid w:val="00B4023C"/>
    <w:rsid w:val="00B4025F"/>
    <w:rsid w:val="00B40297"/>
    <w:rsid w:val="00B40363"/>
    <w:rsid w:val="00B4076E"/>
    <w:rsid w:val="00B40772"/>
    <w:rsid w:val="00B40811"/>
    <w:rsid w:val="00B4088F"/>
    <w:rsid w:val="00B4095E"/>
    <w:rsid w:val="00B40ABE"/>
    <w:rsid w:val="00B40BA8"/>
    <w:rsid w:val="00B40CD7"/>
    <w:rsid w:val="00B40F28"/>
    <w:rsid w:val="00B41262"/>
    <w:rsid w:val="00B4139E"/>
    <w:rsid w:val="00B4166E"/>
    <w:rsid w:val="00B41709"/>
    <w:rsid w:val="00B41A97"/>
    <w:rsid w:val="00B41ED3"/>
    <w:rsid w:val="00B421A9"/>
    <w:rsid w:val="00B42427"/>
    <w:rsid w:val="00B426EB"/>
    <w:rsid w:val="00B429E5"/>
    <w:rsid w:val="00B42A26"/>
    <w:rsid w:val="00B431C9"/>
    <w:rsid w:val="00B433BE"/>
    <w:rsid w:val="00B4351D"/>
    <w:rsid w:val="00B43657"/>
    <w:rsid w:val="00B439DA"/>
    <w:rsid w:val="00B43C6B"/>
    <w:rsid w:val="00B43D0B"/>
    <w:rsid w:val="00B44336"/>
    <w:rsid w:val="00B443A6"/>
    <w:rsid w:val="00B443B6"/>
    <w:rsid w:val="00B44467"/>
    <w:rsid w:val="00B44E0C"/>
    <w:rsid w:val="00B450A2"/>
    <w:rsid w:val="00B453A4"/>
    <w:rsid w:val="00B453F4"/>
    <w:rsid w:val="00B45708"/>
    <w:rsid w:val="00B45A41"/>
    <w:rsid w:val="00B45C1E"/>
    <w:rsid w:val="00B45CC9"/>
    <w:rsid w:val="00B46325"/>
    <w:rsid w:val="00B46795"/>
    <w:rsid w:val="00B46874"/>
    <w:rsid w:val="00B46A32"/>
    <w:rsid w:val="00B46B37"/>
    <w:rsid w:val="00B46C3F"/>
    <w:rsid w:val="00B46FB0"/>
    <w:rsid w:val="00B4701B"/>
    <w:rsid w:val="00B4704C"/>
    <w:rsid w:val="00B4710A"/>
    <w:rsid w:val="00B47118"/>
    <w:rsid w:val="00B471EC"/>
    <w:rsid w:val="00B47309"/>
    <w:rsid w:val="00B4730A"/>
    <w:rsid w:val="00B47331"/>
    <w:rsid w:val="00B474DE"/>
    <w:rsid w:val="00B477EF"/>
    <w:rsid w:val="00B4780B"/>
    <w:rsid w:val="00B47D77"/>
    <w:rsid w:val="00B50099"/>
    <w:rsid w:val="00B5026E"/>
    <w:rsid w:val="00B50286"/>
    <w:rsid w:val="00B50396"/>
    <w:rsid w:val="00B50A94"/>
    <w:rsid w:val="00B50E18"/>
    <w:rsid w:val="00B5117A"/>
    <w:rsid w:val="00B514E9"/>
    <w:rsid w:val="00B5176B"/>
    <w:rsid w:val="00B5195E"/>
    <w:rsid w:val="00B51D28"/>
    <w:rsid w:val="00B51E6D"/>
    <w:rsid w:val="00B52090"/>
    <w:rsid w:val="00B52224"/>
    <w:rsid w:val="00B522E9"/>
    <w:rsid w:val="00B52457"/>
    <w:rsid w:val="00B52878"/>
    <w:rsid w:val="00B52901"/>
    <w:rsid w:val="00B52B1F"/>
    <w:rsid w:val="00B52BF4"/>
    <w:rsid w:val="00B532C2"/>
    <w:rsid w:val="00B53571"/>
    <w:rsid w:val="00B535D0"/>
    <w:rsid w:val="00B53707"/>
    <w:rsid w:val="00B53714"/>
    <w:rsid w:val="00B53B2F"/>
    <w:rsid w:val="00B53C0E"/>
    <w:rsid w:val="00B53F0F"/>
    <w:rsid w:val="00B540CE"/>
    <w:rsid w:val="00B541CA"/>
    <w:rsid w:val="00B541F9"/>
    <w:rsid w:val="00B543FD"/>
    <w:rsid w:val="00B5441B"/>
    <w:rsid w:val="00B54492"/>
    <w:rsid w:val="00B544B3"/>
    <w:rsid w:val="00B54BA0"/>
    <w:rsid w:val="00B54BC9"/>
    <w:rsid w:val="00B54C32"/>
    <w:rsid w:val="00B54CD0"/>
    <w:rsid w:val="00B54F42"/>
    <w:rsid w:val="00B550E2"/>
    <w:rsid w:val="00B55136"/>
    <w:rsid w:val="00B5513C"/>
    <w:rsid w:val="00B551AB"/>
    <w:rsid w:val="00B55245"/>
    <w:rsid w:val="00B55251"/>
    <w:rsid w:val="00B55399"/>
    <w:rsid w:val="00B553DD"/>
    <w:rsid w:val="00B55425"/>
    <w:rsid w:val="00B55B4A"/>
    <w:rsid w:val="00B55BEF"/>
    <w:rsid w:val="00B55C16"/>
    <w:rsid w:val="00B55F0B"/>
    <w:rsid w:val="00B56061"/>
    <w:rsid w:val="00B561E4"/>
    <w:rsid w:val="00B563AF"/>
    <w:rsid w:val="00B56535"/>
    <w:rsid w:val="00B56576"/>
    <w:rsid w:val="00B566D0"/>
    <w:rsid w:val="00B56746"/>
    <w:rsid w:val="00B567AB"/>
    <w:rsid w:val="00B567D7"/>
    <w:rsid w:val="00B5695C"/>
    <w:rsid w:val="00B56AB6"/>
    <w:rsid w:val="00B56B5A"/>
    <w:rsid w:val="00B56C05"/>
    <w:rsid w:val="00B56CE6"/>
    <w:rsid w:val="00B56ED9"/>
    <w:rsid w:val="00B56F0F"/>
    <w:rsid w:val="00B571BF"/>
    <w:rsid w:val="00B57719"/>
    <w:rsid w:val="00B5772D"/>
    <w:rsid w:val="00B5795D"/>
    <w:rsid w:val="00B57A4E"/>
    <w:rsid w:val="00B57B42"/>
    <w:rsid w:val="00B57E01"/>
    <w:rsid w:val="00B57E11"/>
    <w:rsid w:val="00B57FD7"/>
    <w:rsid w:val="00B57FDE"/>
    <w:rsid w:val="00B60077"/>
    <w:rsid w:val="00B60094"/>
    <w:rsid w:val="00B602BF"/>
    <w:rsid w:val="00B604BC"/>
    <w:rsid w:val="00B6053F"/>
    <w:rsid w:val="00B60668"/>
    <w:rsid w:val="00B606FB"/>
    <w:rsid w:val="00B60C32"/>
    <w:rsid w:val="00B60C5E"/>
    <w:rsid w:val="00B60C91"/>
    <w:rsid w:val="00B60CC5"/>
    <w:rsid w:val="00B60E2E"/>
    <w:rsid w:val="00B60EDF"/>
    <w:rsid w:val="00B61122"/>
    <w:rsid w:val="00B61313"/>
    <w:rsid w:val="00B613C8"/>
    <w:rsid w:val="00B613FA"/>
    <w:rsid w:val="00B615AF"/>
    <w:rsid w:val="00B6175F"/>
    <w:rsid w:val="00B61861"/>
    <w:rsid w:val="00B6186E"/>
    <w:rsid w:val="00B618D8"/>
    <w:rsid w:val="00B6194D"/>
    <w:rsid w:val="00B61ABE"/>
    <w:rsid w:val="00B61B5E"/>
    <w:rsid w:val="00B61DD6"/>
    <w:rsid w:val="00B61FCA"/>
    <w:rsid w:val="00B6247E"/>
    <w:rsid w:val="00B624E3"/>
    <w:rsid w:val="00B624E5"/>
    <w:rsid w:val="00B6270A"/>
    <w:rsid w:val="00B62725"/>
    <w:rsid w:val="00B62738"/>
    <w:rsid w:val="00B62A91"/>
    <w:rsid w:val="00B62BD5"/>
    <w:rsid w:val="00B62C86"/>
    <w:rsid w:val="00B62E66"/>
    <w:rsid w:val="00B62FB4"/>
    <w:rsid w:val="00B62FB8"/>
    <w:rsid w:val="00B630CF"/>
    <w:rsid w:val="00B63223"/>
    <w:rsid w:val="00B635A5"/>
    <w:rsid w:val="00B6374F"/>
    <w:rsid w:val="00B63824"/>
    <w:rsid w:val="00B63D3C"/>
    <w:rsid w:val="00B63E12"/>
    <w:rsid w:val="00B63F16"/>
    <w:rsid w:val="00B6409F"/>
    <w:rsid w:val="00B64312"/>
    <w:rsid w:val="00B643F4"/>
    <w:rsid w:val="00B644B6"/>
    <w:rsid w:val="00B64590"/>
    <w:rsid w:val="00B64615"/>
    <w:rsid w:val="00B6465F"/>
    <w:rsid w:val="00B647CF"/>
    <w:rsid w:val="00B64825"/>
    <w:rsid w:val="00B64A17"/>
    <w:rsid w:val="00B64CD7"/>
    <w:rsid w:val="00B64D1D"/>
    <w:rsid w:val="00B64DB1"/>
    <w:rsid w:val="00B64DB5"/>
    <w:rsid w:val="00B64E86"/>
    <w:rsid w:val="00B65128"/>
    <w:rsid w:val="00B65136"/>
    <w:rsid w:val="00B658F8"/>
    <w:rsid w:val="00B65A32"/>
    <w:rsid w:val="00B65B82"/>
    <w:rsid w:val="00B65CAF"/>
    <w:rsid w:val="00B65E2F"/>
    <w:rsid w:val="00B65E73"/>
    <w:rsid w:val="00B662A6"/>
    <w:rsid w:val="00B662DD"/>
    <w:rsid w:val="00B66454"/>
    <w:rsid w:val="00B66475"/>
    <w:rsid w:val="00B664BB"/>
    <w:rsid w:val="00B6671B"/>
    <w:rsid w:val="00B66A40"/>
    <w:rsid w:val="00B66D6E"/>
    <w:rsid w:val="00B66DD2"/>
    <w:rsid w:val="00B66E38"/>
    <w:rsid w:val="00B671A7"/>
    <w:rsid w:val="00B67628"/>
    <w:rsid w:val="00B6763B"/>
    <w:rsid w:val="00B677C6"/>
    <w:rsid w:val="00B67841"/>
    <w:rsid w:val="00B6789B"/>
    <w:rsid w:val="00B67A9D"/>
    <w:rsid w:val="00B700CA"/>
    <w:rsid w:val="00B70137"/>
    <w:rsid w:val="00B70385"/>
    <w:rsid w:val="00B7050C"/>
    <w:rsid w:val="00B70546"/>
    <w:rsid w:val="00B7078A"/>
    <w:rsid w:val="00B7079B"/>
    <w:rsid w:val="00B70B2D"/>
    <w:rsid w:val="00B70CE1"/>
    <w:rsid w:val="00B70DEF"/>
    <w:rsid w:val="00B70EA1"/>
    <w:rsid w:val="00B710ED"/>
    <w:rsid w:val="00B71256"/>
    <w:rsid w:val="00B71329"/>
    <w:rsid w:val="00B717CA"/>
    <w:rsid w:val="00B71977"/>
    <w:rsid w:val="00B7197C"/>
    <w:rsid w:val="00B719E1"/>
    <w:rsid w:val="00B71C8D"/>
    <w:rsid w:val="00B71E92"/>
    <w:rsid w:val="00B723D6"/>
    <w:rsid w:val="00B728B1"/>
    <w:rsid w:val="00B72B69"/>
    <w:rsid w:val="00B72C57"/>
    <w:rsid w:val="00B72CAB"/>
    <w:rsid w:val="00B72D73"/>
    <w:rsid w:val="00B72DF5"/>
    <w:rsid w:val="00B72E39"/>
    <w:rsid w:val="00B73081"/>
    <w:rsid w:val="00B73138"/>
    <w:rsid w:val="00B7313D"/>
    <w:rsid w:val="00B73272"/>
    <w:rsid w:val="00B733ED"/>
    <w:rsid w:val="00B73444"/>
    <w:rsid w:val="00B73868"/>
    <w:rsid w:val="00B7394D"/>
    <w:rsid w:val="00B73976"/>
    <w:rsid w:val="00B73A12"/>
    <w:rsid w:val="00B73D37"/>
    <w:rsid w:val="00B73EE5"/>
    <w:rsid w:val="00B74376"/>
    <w:rsid w:val="00B745D1"/>
    <w:rsid w:val="00B74696"/>
    <w:rsid w:val="00B746E2"/>
    <w:rsid w:val="00B74912"/>
    <w:rsid w:val="00B749A8"/>
    <w:rsid w:val="00B74DE3"/>
    <w:rsid w:val="00B74E17"/>
    <w:rsid w:val="00B75049"/>
    <w:rsid w:val="00B751DB"/>
    <w:rsid w:val="00B752EF"/>
    <w:rsid w:val="00B754B0"/>
    <w:rsid w:val="00B758D7"/>
    <w:rsid w:val="00B75CCE"/>
    <w:rsid w:val="00B75EC3"/>
    <w:rsid w:val="00B761B1"/>
    <w:rsid w:val="00B76291"/>
    <w:rsid w:val="00B76338"/>
    <w:rsid w:val="00B764F1"/>
    <w:rsid w:val="00B76609"/>
    <w:rsid w:val="00B76A29"/>
    <w:rsid w:val="00B76C41"/>
    <w:rsid w:val="00B77178"/>
    <w:rsid w:val="00B77185"/>
    <w:rsid w:val="00B7767F"/>
    <w:rsid w:val="00B77754"/>
    <w:rsid w:val="00B7777C"/>
    <w:rsid w:val="00B779E6"/>
    <w:rsid w:val="00B77D7A"/>
    <w:rsid w:val="00B77E8F"/>
    <w:rsid w:val="00B80061"/>
    <w:rsid w:val="00B80066"/>
    <w:rsid w:val="00B8033E"/>
    <w:rsid w:val="00B803A4"/>
    <w:rsid w:val="00B804F4"/>
    <w:rsid w:val="00B80681"/>
    <w:rsid w:val="00B807AD"/>
    <w:rsid w:val="00B80800"/>
    <w:rsid w:val="00B80A32"/>
    <w:rsid w:val="00B80CFD"/>
    <w:rsid w:val="00B80EEE"/>
    <w:rsid w:val="00B8105E"/>
    <w:rsid w:val="00B81086"/>
    <w:rsid w:val="00B8144F"/>
    <w:rsid w:val="00B8192B"/>
    <w:rsid w:val="00B81C2D"/>
    <w:rsid w:val="00B81D64"/>
    <w:rsid w:val="00B82035"/>
    <w:rsid w:val="00B821A9"/>
    <w:rsid w:val="00B821F3"/>
    <w:rsid w:val="00B82328"/>
    <w:rsid w:val="00B824BF"/>
    <w:rsid w:val="00B82742"/>
    <w:rsid w:val="00B8277A"/>
    <w:rsid w:val="00B82A21"/>
    <w:rsid w:val="00B82A58"/>
    <w:rsid w:val="00B82AB9"/>
    <w:rsid w:val="00B82ABC"/>
    <w:rsid w:val="00B831D0"/>
    <w:rsid w:val="00B83449"/>
    <w:rsid w:val="00B83802"/>
    <w:rsid w:val="00B8388F"/>
    <w:rsid w:val="00B838DC"/>
    <w:rsid w:val="00B83A09"/>
    <w:rsid w:val="00B83A39"/>
    <w:rsid w:val="00B83CDA"/>
    <w:rsid w:val="00B83EC9"/>
    <w:rsid w:val="00B84098"/>
    <w:rsid w:val="00B8447E"/>
    <w:rsid w:val="00B8456F"/>
    <w:rsid w:val="00B845A3"/>
    <w:rsid w:val="00B846B2"/>
    <w:rsid w:val="00B84950"/>
    <w:rsid w:val="00B84F1A"/>
    <w:rsid w:val="00B84FAB"/>
    <w:rsid w:val="00B84FD1"/>
    <w:rsid w:val="00B8559F"/>
    <w:rsid w:val="00B85629"/>
    <w:rsid w:val="00B85704"/>
    <w:rsid w:val="00B8579E"/>
    <w:rsid w:val="00B85AD9"/>
    <w:rsid w:val="00B85C59"/>
    <w:rsid w:val="00B85E0A"/>
    <w:rsid w:val="00B86145"/>
    <w:rsid w:val="00B86317"/>
    <w:rsid w:val="00B86B14"/>
    <w:rsid w:val="00B86B4D"/>
    <w:rsid w:val="00B86CDA"/>
    <w:rsid w:val="00B86FFB"/>
    <w:rsid w:val="00B87031"/>
    <w:rsid w:val="00B87332"/>
    <w:rsid w:val="00B873D8"/>
    <w:rsid w:val="00B8752B"/>
    <w:rsid w:val="00B87645"/>
    <w:rsid w:val="00B8795C"/>
    <w:rsid w:val="00B8799A"/>
    <w:rsid w:val="00B87CE3"/>
    <w:rsid w:val="00B87DA8"/>
    <w:rsid w:val="00B87EC6"/>
    <w:rsid w:val="00B903E1"/>
    <w:rsid w:val="00B90437"/>
    <w:rsid w:val="00B9052C"/>
    <w:rsid w:val="00B90718"/>
    <w:rsid w:val="00B9072D"/>
    <w:rsid w:val="00B907F0"/>
    <w:rsid w:val="00B9092E"/>
    <w:rsid w:val="00B909A0"/>
    <w:rsid w:val="00B909D1"/>
    <w:rsid w:val="00B90A7C"/>
    <w:rsid w:val="00B90B05"/>
    <w:rsid w:val="00B90B56"/>
    <w:rsid w:val="00B90CCB"/>
    <w:rsid w:val="00B90EF4"/>
    <w:rsid w:val="00B911C2"/>
    <w:rsid w:val="00B913A4"/>
    <w:rsid w:val="00B91697"/>
    <w:rsid w:val="00B91832"/>
    <w:rsid w:val="00B9190B"/>
    <w:rsid w:val="00B91925"/>
    <w:rsid w:val="00B91AEA"/>
    <w:rsid w:val="00B91DE5"/>
    <w:rsid w:val="00B91F67"/>
    <w:rsid w:val="00B920F4"/>
    <w:rsid w:val="00B920F8"/>
    <w:rsid w:val="00B923FE"/>
    <w:rsid w:val="00B9245A"/>
    <w:rsid w:val="00B92777"/>
    <w:rsid w:val="00B92A2E"/>
    <w:rsid w:val="00B92C3C"/>
    <w:rsid w:val="00B92C9E"/>
    <w:rsid w:val="00B92E0E"/>
    <w:rsid w:val="00B93036"/>
    <w:rsid w:val="00B9328D"/>
    <w:rsid w:val="00B937D0"/>
    <w:rsid w:val="00B93823"/>
    <w:rsid w:val="00B9392A"/>
    <w:rsid w:val="00B93D4A"/>
    <w:rsid w:val="00B93ECD"/>
    <w:rsid w:val="00B93FC6"/>
    <w:rsid w:val="00B94103"/>
    <w:rsid w:val="00B94386"/>
    <w:rsid w:val="00B947FB"/>
    <w:rsid w:val="00B94876"/>
    <w:rsid w:val="00B949DB"/>
    <w:rsid w:val="00B94B89"/>
    <w:rsid w:val="00B94C57"/>
    <w:rsid w:val="00B94F31"/>
    <w:rsid w:val="00B94FE5"/>
    <w:rsid w:val="00B951FE"/>
    <w:rsid w:val="00B95646"/>
    <w:rsid w:val="00B95A6E"/>
    <w:rsid w:val="00B95C89"/>
    <w:rsid w:val="00B95CFE"/>
    <w:rsid w:val="00B95DD7"/>
    <w:rsid w:val="00B95E45"/>
    <w:rsid w:val="00B95F72"/>
    <w:rsid w:val="00B95FD3"/>
    <w:rsid w:val="00B9600C"/>
    <w:rsid w:val="00B9622B"/>
    <w:rsid w:val="00B962AD"/>
    <w:rsid w:val="00B9636E"/>
    <w:rsid w:val="00B9638F"/>
    <w:rsid w:val="00B9649F"/>
    <w:rsid w:val="00B96ABE"/>
    <w:rsid w:val="00B96ACD"/>
    <w:rsid w:val="00B96BF7"/>
    <w:rsid w:val="00B96F0E"/>
    <w:rsid w:val="00B971DE"/>
    <w:rsid w:val="00B97218"/>
    <w:rsid w:val="00B97428"/>
    <w:rsid w:val="00B97467"/>
    <w:rsid w:val="00B9756B"/>
    <w:rsid w:val="00B97729"/>
    <w:rsid w:val="00B977C5"/>
    <w:rsid w:val="00B97842"/>
    <w:rsid w:val="00B978A4"/>
    <w:rsid w:val="00B979AA"/>
    <w:rsid w:val="00B97B49"/>
    <w:rsid w:val="00B97BD3"/>
    <w:rsid w:val="00B97F4A"/>
    <w:rsid w:val="00B97FD0"/>
    <w:rsid w:val="00BA0068"/>
    <w:rsid w:val="00BA03A1"/>
    <w:rsid w:val="00BA0437"/>
    <w:rsid w:val="00BA09D8"/>
    <w:rsid w:val="00BA0BE2"/>
    <w:rsid w:val="00BA0CA2"/>
    <w:rsid w:val="00BA0CAD"/>
    <w:rsid w:val="00BA0CE8"/>
    <w:rsid w:val="00BA0D6C"/>
    <w:rsid w:val="00BA0E1F"/>
    <w:rsid w:val="00BA0E70"/>
    <w:rsid w:val="00BA0EFF"/>
    <w:rsid w:val="00BA0F14"/>
    <w:rsid w:val="00BA1278"/>
    <w:rsid w:val="00BA1636"/>
    <w:rsid w:val="00BA1843"/>
    <w:rsid w:val="00BA1AF8"/>
    <w:rsid w:val="00BA1DCC"/>
    <w:rsid w:val="00BA21CD"/>
    <w:rsid w:val="00BA21E3"/>
    <w:rsid w:val="00BA22F7"/>
    <w:rsid w:val="00BA249E"/>
    <w:rsid w:val="00BA2610"/>
    <w:rsid w:val="00BA2650"/>
    <w:rsid w:val="00BA2B38"/>
    <w:rsid w:val="00BA2B8C"/>
    <w:rsid w:val="00BA2C60"/>
    <w:rsid w:val="00BA2DA3"/>
    <w:rsid w:val="00BA2F3E"/>
    <w:rsid w:val="00BA3027"/>
    <w:rsid w:val="00BA303B"/>
    <w:rsid w:val="00BA3286"/>
    <w:rsid w:val="00BA3508"/>
    <w:rsid w:val="00BA3513"/>
    <w:rsid w:val="00BA354A"/>
    <w:rsid w:val="00BA393D"/>
    <w:rsid w:val="00BA3BE4"/>
    <w:rsid w:val="00BA3C44"/>
    <w:rsid w:val="00BA3DB2"/>
    <w:rsid w:val="00BA3DFD"/>
    <w:rsid w:val="00BA3F0C"/>
    <w:rsid w:val="00BA40A8"/>
    <w:rsid w:val="00BA423B"/>
    <w:rsid w:val="00BA428C"/>
    <w:rsid w:val="00BA42D9"/>
    <w:rsid w:val="00BA437C"/>
    <w:rsid w:val="00BA45BB"/>
    <w:rsid w:val="00BA4650"/>
    <w:rsid w:val="00BA47B6"/>
    <w:rsid w:val="00BA47CE"/>
    <w:rsid w:val="00BA4808"/>
    <w:rsid w:val="00BA483A"/>
    <w:rsid w:val="00BA494B"/>
    <w:rsid w:val="00BA4E02"/>
    <w:rsid w:val="00BA5031"/>
    <w:rsid w:val="00BA520E"/>
    <w:rsid w:val="00BA538F"/>
    <w:rsid w:val="00BA5510"/>
    <w:rsid w:val="00BA5706"/>
    <w:rsid w:val="00BA5811"/>
    <w:rsid w:val="00BA5925"/>
    <w:rsid w:val="00BA5A4B"/>
    <w:rsid w:val="00BA5DF8"/>
    <w:rsid w:val="00BA6268"/>
    <w:rsid w:val="00BA62C4"/>
    <w:rsid w:val="00BA6383"/>
    <w:rsid w:val="00BA6690"/>
    <w:rsid w:val="00BA673A"/>
    <w:rsid w:val="00BA6847"/>
    <w:rsid w:val="00BA695A"/>
    <w:rsid w:val="00BA6AA7"/>
    <w:rsid w:val="00BA6EF8"/>
    <w:rsid w:val="00BA6FC2"/>
    <w:rsid w:val="00BA70A0"/>
    <w:rsid w:val="00BA728A"/>
    <w:rsid w:val="00BA733C"/>
    <w:rsid w:val="00BA7347"/>
    <w:rsid w:val="00BA74D9"/>
    <w:rsid w:val="00BA751D"/>
    <w:rsid w:val="00BA767F"/>
    <w:rsid w:val="00BA76F6"/>
    <w:rsid w:val="00BA776C"/>
    <w:rsid w:val="00BA77DC"/>
    <w:rsid w:val="00BA7AAB"/>
    <w:rsid w:val="00BA7BEC"/>
    <w:rsid w:val="00BA7EBB"/>
    <w:rsid w:val="00BB0068"/>
    <w:rsid w:val="00BB00A7"/>
    <w:rsid w:val="00BB0539"/>
    <w:rsid w:val="00BB07DA"/>
    <w:rsid w:val="00BB0AE1"/>
    <w:rsid w:val="00BB0CE5"/>
    <w:rsid w:val="00BB0CEE"/>
    <w:rsid w:val="00BB0F4D"/>
    <w:rsid w:val="00BB1144"/>
    <w:rsid w:val="00BB11A5"/>
    <w:rsid w:val="00BB133B"/>
    <w:rsid w:val="00BB146A"/>
    <w:rsid w:val="00BB1609"/>
    <w:rsid w:val="00BB16AC"/>
    <w:rsid w:val="00BB18BA"/>
    <w:rsid w:val="00BB1A81"/>
    <w:rsid w:val="00BB1AC7"/>
    <w:rsid w:val="00BB1B5D"/>
    <w:rsid w:val="00BB1D7A"/>
    <w:rsid w:val="00BB21B0"/>
    <w:rsid w:val="00BB23F2"/>
    <w:rsid w:val="00BB2537"/>
    <w:rsid w:val="00BB25AC"/>
    <w:rsid w:val="00BB26E1"/>
    <w:rsid w:val="00BB29EE"/>
    <w:rsid w:val="00BB29FB"/>
    <w:rsid w:val="00BB2B84"/>
    <w:rsid w:val="00BB2C60"/>
    <w:rsid w:val="00BB3274"/>
    <w:rsid w:val="00BB32BA"/>
    <w:rsid w:val="00BB34EE"/>
    <w:rsid w:val="00BB3833"/>
    <w:rsid w:val="00BB386E"/>
    <w:rsid w:val="00BB3B63"/>
    <w:rsid w:val="00BB3CA3"/>
    <w:rsid w:val="00BB3CA9"/>
    <w:rsid w:val="00BB3DA1"/>
    <w:rsid w:val="00BB3DBB"/>
    <w:rsid w:val="00BB40F2"/>
    <w:rsid w:val="00BB411E"/>
    <w:rsid w:val="00BB42B6"/>
    <w:rsid w:val="00BB42CB"/>
    <w:rsid w:val="00BB431A"/>
    <w:rsid w:val="00BB439B"/>
    <w:rsid w:val="00BB451D"/>
    <w:rsid w:val="00BB46F6"/>
    <w:rsid w:val="00BB47E0"/>
    <w:rsid w:val="00BB4C2B"/>
    <w:rsid w:val="00BB4C6A"/>
    <w:rsid w:val="00BB4FF6"/>
    <w:rsid w:val="00BB5010"/>
    <w:rsid w:val="00BB54C3"/>
    <w:rsid w:val="00BB55A4"/>
    <w:rsid w:val="00BB56C1"/>
    <w:rsid w:val="00BB5724"/>
    <w:rsid w:val="00BB586B"/>
    <w:rsid w:val="00BB5999"/>
    <w:rsid w:val="00BB59F9"/>
    <w:rsid w:val="00BB5D0A"/>
    <w:rsid w:val="00BB5E88"/>
    <w:rsid w:val="00BB62A3"/>
    <w:rsid w:val="00BB659F"/>
    <w:rsid w:val="00BB6854"/>
    <w:rsid w:val="00BB686F"/>
    <w:rsid w:val="00BB69FE"/>
    <w:rsid w:val="00BB6D74"/>
    <w:rsid w:val="00BB6F2A"/>
    <w:rsid w:val="00BB6F2E"/>
    <w:rsid w:val="00BB701B"/>
    <w:rsid w:val="00BB7410"/>
    <w:rsid w:val="00BB74EB"/>
    <w:rsid w:val="00BB75A0"/>
    <w:rsid w:val="00BB7DEA"/>
    <w:rsid w:val="00BB7DF9"/>
    <w:rsid w:val="00BB7E35"/>
    <w:rsid w:val="00BC00F6"/>
    <w:rsid w:val="00BC01BE"/>
    <w:rsid w:val="00BC04CB"/>
    <w:rsid w:val="00BC0754"/>
    <w:rsid w:val="00BC0958"/>
    <w:rsid w:val="00BC0A47"/>
    <w:rsid w:val="00BC0AC5"/>
    <w:rsid w:val="00BC0B76"/>
    <w:rsid w:val="00BC0E83"/>
    <w:rsid w:val="00BC11F9"/>
    <w:rsid w:val="00BC1231"/>
    <w:rsid w:val="00BC12DE"/>
    <w:rsid w:val="00BC1932"/>
    <w:rsid w:val="00BC1990"/>
    <w:rsid w:val="00BC1BCA"/>
    <w:rsid w:val="00BC1D1E"/>
    <w:rsid w:val="00BC2502"/>
    <w:rsid w:val="00BC270F"/>
    <w:rsid w:val="00BC27C9"/>
    <w:rsid w:val="00BC3021"/>
    <w:rsid w:val="00BC3113"/>
    <w:rsid w:val="00BC3341"/>
    <w:rsid w:val="00BC33B0"/>
    <w:rsid w:val="00BC3429"/>
    <w:rsid w:val="00BC360A"/>
    <w:rsid w:val="00BC37A1"/>
    <w:rsid w:val="00BC3919"/>
    <w:rsid w:val="00BC3B30"/>
    <w:rsid w:val="00BC3B33"/>
    <w:rsid w:val="00BC3C03"/>
    <w:rsid w:val="00BC3CA6"/>
    <w:rsid w:val="00BC3DE8"/>
    <w:rsid w:val="00BC3EE3"/>
    <w:rsid w:val="00BC3F36"/>
    <w:rsid w:val="00BC43FF"/>
    <w:rsid w:val="00BC444E"/>
    <w:rsid w:val="00BC460D"/>
    <w:rsid w:val="00BC475D"/>
    <w:rsid w:val="00BC49F1"/>
    <w:rsid w:val="00BC4AA0"/>
    <w:rsid w:val="00BC4AB2"/>
    <w:rsid w:val="00BC4AC4"/>
    <w:rsid w:val="00BC5101"/>
    <w:rsid w:val="00BC518C"/>
    <w:rsid w:val="00BC51E4"/>
    <w:rsid w:val="00BC52AD"/>
    <w:rsid w:val="00BC52D9"/>
    <w:rsid w:val="00BC5458"/>
    <w:rsid w:val="00BC54C4"/>
    <w:rsid w:val="00BC5617"/>
    <w:rsid w:val="00BC5748"/>
    <w:rsid w:val="00BC57EE"/>
    <w:rsid w:val="00BC5939"/>
    <w:rsid w:val="00BC5C20"/>
    <w:rsid w:val="00BC5DCD"/>
    <w:rsid w:val="00BC5E7E"/>
    <w:rsid w:val="00BC60B1"/>
    <w:rsid w:val="00BC65A1"/>
    <w:rsid w:val="00BC65F0"/>
    <w:rsid w:val="00BC68D7"/>
    <w:rsid w:val="00BC69B3"/>
    <w:rsid w:val="00BC6B06"/>
    <w:rsid w:val="00BC6BAB"/>
    <w:rsid w:val="00BC6BAE"/>
    <w:rsid w:val="00BC6C19"/>
    <w:rsid w:val="00BC6DC9"/>
    <w:rsid w:val="00BC6E1A"/>
    <w:rsid w:val="00BC709C"/>
    <w:rsid w:val="00BC70E4"/>
    <w:rsid w:val="00BC714F"/>
    <w:rsid w:val="00BC73E2"/>
    <w:rsid w:val="00BC75E7"/>
    <w:rsid w:val="00BC799B"/>
    <w:rsid w:val="00BC79EF"/>
    <w:rsid w:val="00BC79FE"/>
    <w:rsid w:val="00BC7DB9"/>
    <w:rsid w:val="00BC7FAF"/>
    <w:rsid w:val="00BC7FB1"/>
    <w:rsid w:val="00BD03D8"/>
    <w:rsid w:val="00BD0AA9"/>
    <w:rsid w:val="00BD0CAC"/>
    <w:rsid w:val="00BD0EDE"/>
    <w:rsid w:val="00BD1122"/>
    <w:rsid w:val="00BD12AF"/>
    <w:rsid w:val="00BD12EF"/>
    <w:rsid w:val="00BD136A"/>
    <w:rsid w:val="00BD1516"/>
    <w:rsid w:val="00BD1528"/>
    <w:rsid w:val="00BD1582"/>
    <w:rsid w:val="00BD183B"/>
    <w:rsid w:val="00BD1955"/>
    <w:rsid w:val="00BD1AB1"/>
    <w:rsid w:val="00BD1B1C"/>
    <w:rsid w:val="00BD1B96"/>
    <w:rsid w:val="00BD1F1B"/>
    <w:rsid w:val="00BD22BE"/>
    <w:rsid w:val="00BD2522"/>
    <w:rsid w:val="00BD2A51"/>
    <w:rsid w:val="00BD2BD0"/>
    <w:rsid w:val="00BD2E07"/>
    <w:rsid w:val="00BD3293"/>
    <w:rsid w:val="00BD3372"/>
    <w:rsid w:val="00BD34BF"/>
    <w:rsid w:val="00BD366D"/>
    <w:rsid w:val="00BD369E"/>
    <w:rsid w:val="00BD392E"/>
    <w:rsid w:val="00BD3ABC"/>
    <w:rsid w:val="00BD3E42"/>
    <w:rsid w:val="00BD3F20"/>
    <w:rsid w:val="00BD3F8F"/>
    <w:rsid w:val="00BD4083"/>
    <w:rsid w:val="00BD4235"/>
    <w:rsid w:val="00BD4369"/>
    <w:rsid w:val="00BD45B3"/>
    <w:rsid w:val="00BD48D1"/>
    <w:rsid w:val="00BD4941"/>
    <w:rsid w:val="00BD49D3"/>
    <w:rsid w:val="00BD50B0"/>
    <w:rsid w:val="00BD5145"/>
    <w:rsid w:val="00BD521C"/>
    <w:rsid w:val="00BD55E1"/>
    <w:rsid w:val="00BD5918"/>
    <w:rsid w:val="00BD5A13"/>
    <w:rsid w:val="00BD5A2D"/>
    <w:rsid w:val="00BD5A9A"/>
    <w:rsid w:val="00BD5D9D"/>
    <w:rsid w:val="00BD5DD4"/>
    <w:rsid w:val="00BD5E67"/>
    <w:rsid w:val="00BD5F14"/>
    <w:rsid w:val="00BD5FB8"/>
    <w:rsid w:val="00BD64D7"/>
    <w:rsid w:val="00BD66C1"/>
    <w:rsid w:val="00BD680D"/>
    <w:rsid w:val="00BD6852"/>
    <w:rsid w:val="00BD6C63"/>
    <w:rsid w:val="00BD6D41"/>
    <w:rsid w:val="00BD6DB4"/>
    <w:rsid w:val="00BD7021"/>
    <w:rsid w:val="00BD7102"/>
    <w:rsid w:val="00BD7222"/>
    <w:rsid w:val="00BD767D"/>
    <w:rsid w:val="00BD7757"/>
    <w:rsid w:val="00BD781A"/>
    <w:rsid w:val="00BD79C9"/>
    <w:rsid w:val="00BD7A3B"/>
    <w:rsid w:val="00BD7A99"/>
    <w:rsid w:val="00BD7AB2"/>
    <w:rsid w:val="00BD7B2B"/>
    <w:rsid w:val="00BD7DE1"/>
    <w:rsid w:val="00BD7E73"/>
    <w:rsid w:val="00BD7F70"/>
    <w:rsid w:val="00BE022A"/>
    <w:rsid w:val="00BE03D0"/>
    <w:rsid w:val="00BE0452"/>
    <w:rsid w:val="00BE062A"/>
    <w:rsid w:val="00BE06F5"/>
    <w:rsid w:val="00BE0714"/>
    <w:rsid w:val="00BE0750"/>
    <w:rsid w:val="00BE07E5"/>
    <w:rsid w:val="00BE0AC3"/>
    <w:rsid w:val="00BE0B17"/>
    <w:rsid w:val="00BE0B68"/>
    <w:rsid w:val="00BE0DC6"/>
    <w:rsid w:val="00BE0E04"/>
    <w:rsid w:val="00BE1182"/>
    <w:rsid w:val="00BE14EF"/>
    <w:rsid w:val="00BE1B1D"/>
    <w:rsid w:val="00BE1B9E"/>
    <w:rsid w:val="00BE20C6"/>
    <w:rsid w:val="00BE221C"/>
    <w:rsid w:val="00BE22AD"/>
    <w:rsid w:val="00BE247C"/>
    <w:rsid w:val="00BE2982"/>
    <w:rsid w:val="00BE298D"/>
    <w:rsid w:val="00BE2A75"/>
    <w:rsid w:val="00BE2A97"/>
    <w:rsid w:val="00BE2AA8"/>
    <w:rsid w:val="00BE2BCB"/>
    <w:rsid w:val="00BE2C3E"/>
    <w:rsid w:val="00BE2FC9"/>
    <w:rsid w:val="00BE2FCE"/>
    <w:rsid w:val="00BE3165"/>
    <w:rsid w:val="00BE3188"/>
    <w:rsid w:val="00BE328C"/>
    <w:rsid w:val="00BE3319"/>
    <w:rsid w:val="00BE33CD"/>
    <w:rsid w:val="00BE364F"/>
    <w:rsid w:val="00BE3678"/>
    <w:rsid w:val="00BE3E27"/>
    <w:rsid w:val="00BE3E2B"/>
    <w:rsid w:val="00BE3F21"/>
    <w:rsid w:val="00BE3F35"/>
    <w:rsid w:val="00BE3F47"/>
    <w:rsid w:val="00BE4302"/>
    <w:rsid w:val="00BE43CF"/>
    <w:rsid w:val="00BE43FF"/>
    <w:rsid w:val="00BE44BF"/>
    <w:rsid w:val="00BE461C"/>
    <w:rsid w:val="00BE4904"/>
    <w:rsid w:val="00BE49D8"/>
    <w:rsid w:val="00BE4B41"/>
    <w:rsid w:val="00BE4E2B"/>
    <w:rsid w:val="00BE4F63"/>
    <w:rsid w:val="00BE4FFB"/>
    <w:rsid w:val="00BE5239"/>
    <w:rsid w:val="00BE52D8"/>
    <w:rsid w:val="00BE5570"/>
    <w:rsid w:val="00BE5597"/>
    <w:rsid w:val="00BE55AD"/>
    <w:rsid w:val="00BE572D"/>
    <w:rsid w:val="00BE5A8A"/>
    <w:rsid w:val="00BE5A9F"/>
    <w:rsid w:val="00BE5B03"/>
    <w:rsid w:val="00BE5D65"/>
    <w:rsid w:val="00BE5D8D"/>
    <w:rsid w:val="00BE5E8B"/>
    <w:rsid w:val="00BE5FFF"/>
    <w:rsid w:val="00BE642E"/>
    <w:rsid w:val="00BE6518"/>
    <w:rsid w:val="00BE659A"/>
    <w:rsid w:val="00BE6762"/>
    <w:rsid w:val="00BE6A33"/>
    <w:rsid w:val="00BE6C25"/>
    <w:rsid w:val="00BE6F6B"/>
    <w:rsid w:val="00BE6F73"/>
    <w:rsid w:val="00BE7082"/>
    <w:rsid w:val="00BE71E2"/>
    <w:rsid w:val="00BE7278"/>
    <w:rsid w:val="00BE739C"/>
    <w:rsid w:val="00BE7A27"/>
    <w:rsid w:val="00BE7B45"/>
    <w:rsid w:val="00BE7B88"/>
    <w:rsid w:val="00BE7BAA"/>
    <w:rsid w:val="00BE7F6B"/>
    <w:rsid w:val="00BE7FA2"/>
    <w:rsid w:val="00BE7FD5"/>
    <w:rsid w:val="00BF00D6"/>
    <w:rsid w:val="00BF023A"/>
    <w:rsid w:val="00BF02E3"/>
    <w:rsid w:val="00BF0336"/>
    <w:rsid w:val="00BF03C5"/>
    <w:rsid w:val="00BF0459"/>
    <w:rsid w:val="00BF05C0"/>
    <w:rsid w:val="00BF072F"/>
    <w:rsid w:val="00BF0A68"/>
    <w:rsid w:val="00BF0B39"/>
    <w:rsid w:val="00BF0C37"/>
    <w:rsid w:val="00BF0D0E"/>
    <w:rsid w:val="00BF0F5F"/>
    <w:rsid w:val="00BF1476"/>
    <w:rsid w:val="00BF1710"/>
    <w:rsid w:val="00BF17D6"/>
    <w:rsid w:val="00BF1A48"/>
    <w:rsid w:val="00BF1DE6"/>
    <w:rsid w:val="00BF1F3D"/>
    <w:rsid w:val="00BF1F76"/>
    <w:rsid w:val="00BF2036"/>
    <w:rsid w:val="00BF20A4"/>
    <w:rsid w:val="00BF2143"/>
    <w:rsid w:val="00BF24EE"/>
    <w:rsid w:val="00BF24F6"/>
    <w:rsid w:val="00BF256E"/>
    <w:rsid w:val="00BF2719"/>
    <w:rsid w:val="00BF2793"/>
    <w:rsid w:val="00BF27A8"/>
    <w:rsid w:val="00BF2B2B"/>
    <w:rsid w:val="00BF2C0A"/>
    <w:rsid w:val="00BF2D3B"/>
    <w:rsid w:val="00BF2E7D"/>
    <w:rsid w:val="00BF2ECF"/>
    <w:rsid w:val="00BF2FBA"/>
    <w:rsid w:val="00BF3220"/>
    <w:rsid w:val="00BF33E2"/>
    <w:rsid w:val="00BF3497"/>
    <w:rsid w:val="00BF362A"/>
    <w:rsid w:val="00BF39B2"/>
    <w:rsid w:val="00BF3F90"/>
    <w:rsid w:val="00BF4005"/>
    <w:rsid w:val="00BF40F3"/>
    <w:rsid w:val="00BF423D"/>
    <w:rsid w:val="00BF42C9"/>
    <w:rsid w:val="00BF4733"/>
    <w:rsid w:val="00BF475A"/>
    <w:rsid w:val="00BF4A78"/>
    <w:rsid w:val="00BF4A94"/>
    <w:rsid w:val="00BF4ABB"/>
    <w:rsid w:val="00BF4AFD"/>
    <w:rsid w:val="00BF4CF3"/>
    <w:rsid w:val="00BF4DEC"/>
    <w:rsid w:val="00BF4E72"/>
    <w:rsid w:val="00BF4FD1"/>
    <w:rsid w:val="00BF54F6"/>
    <w:rsid w:val="00BF5545"/>
    <w:rsid w:val="00BF5A9D"/>
    <w:rsid w:val="00BF5CC8"/>
    <w:rsid w:val="00BF5D6D"/>
    <w:rsid w:val="00BF5FD6"/>
    <w:rsid w:val="00BF607D"/>
    <w:rsid w:val="00BF6312"/>
    <w:rsid w:val="00BF657E"/>
    <w:rsid w:val="00BF6596"/>
    <w:rsid w:val="00BF65F0"/>
    <w:rsid w:val="00BF65FB"/>
    <w:rsid w:val="00BF696E"/>
    <w:rsid w:val="00BF6EA2"/>
    <w:rsid w:val="00BF6FFA"/>
    <w:rsid w:val="00BF6FFB"/>
    <w:rsid w:val="00BF71D5"/>
    <w:rsid w:val="00BF725A"/>
    <w:rsid w:val="00BF72CD"/>
    <w:rsid w:val="00BF741A"/>
    <w:rsid w:val="00BF74D2"/>
    <w:rsid w:val="00BF7570"/>
    <w:rsid w:val="00BF7870"/>
    <w:rsid w:val="00BF7875"/>
    <w:rsid w:val="00BF78D0"/>
    <w:rsid w:val="00BF7DDE"/>
    <w:rsid w:val="00BF7F54"/>
    <w:rsid w:val="00C000F9"/>
    <w:rsid w:val="00C00427"/>
    <w:rsid w:val="00C0048E"/>
    <w:rsid w:val="00C00606"/>
    <w:rsid w:val="00C0074B"/>
    <w:rsid w:val="00C008D0"/>
    <w:rsid w:val="00C009C8"/>
    <w:rsid w:val="00C00B65"/>
    <w:rsid w:val="00C00C55"/>
    <w:rsid w:val="00C00EEA"/>
    <w:rsid w:val="00C01267"/>
    <w:rsid w:val="00C014DE"/>
    <w:rsid w:val="00C0159C"/>
    <w:rsid w:val="00C019C2"/>
    <w:rsid w:val="00C01D67"/>
    <w:rsid w:val="00C01DBE"/>
    <w:rsid w:val="00C01DC1"/>
    <w:rsid w:val="00C01DD3"/>
    <w:rsid w:val="00C020FE"/>
    <w:rsid w:val="00C02135"/>
    <w:rsid w:val="00C021AE"/>
    <w:rsid w:val="00C0239D"/>
    <w:rsid w:val="00C02650"/>
    <w:rsid w:val="00C02715"/>
    <w:rsid w:val="00C02741"/>
    <w:rsid w:val="00C02805"/>
    <w:rsid w:val="00C02896"/>
    <w:rsid w:val="00C02B88"/>
    <w:rsid w:val="00C02F9A"/>
    <w:rsid w:val="00C0332A"/>
    <w:rsid w:val="00C03363"/>
    <w:rsid w:val="00C03384"/>
    <w:rsid w:val="00C03587"/>
    <w:rsid w:val="00C03658"/>
    <w:rsid w:val="00C036A7"/>
    <w:rsid w:val="00C036CF"/>
    <w:rsid w:val="00C0380D"/>
    <w:rsid w:val="00C0381F"/>
    <w:rsid w:val="00C038AE"/>
    <w:rsid w:val="00C03D7E"/>
    <w:rsid w:val="00C03E44"/>
    <w:rsid w:val="00C03E66"/>
    <w:rsid w:val="00C03EC4"/>
    <w:rsid w:val="00C03F11"/>
    <w:rsid w:val="00C03F56"/>
    <w:rsid w:val="00C0406F"/>
    <w:rsid w:val="00C04089"/>
    <w:rsid w:val="00C041BB"/>
    <w:rsid w:val="00C0448A"/>
    <w:rsid w:val="00C04704"/>
    <w:rsid w:val="00C04802"/>
    <w:rsid w:val="00C04833"/>
    <w:rsid w:val="00C04889"/>
    <w:rsid w:val="00C049EE"/>
    <w:rsid w:val="00C04BF3"/>
    <w:rsid w:val="00C04C99"/>
    <w:rsid w:val="00C04EA6"/>
    <w:rsid w:val="00C04EBB"/>
    <w:rsid w:val="00C04EEA"/>
    <w:rsid w:val="00C05065"/>
    <w:rsid w:val="00C052C7"/>
    <w:rsid w:val="00C052F4"/>
    <w:rsid w:val="00C05309"/>
    <w:rsid w:val="00C0531E"/>
    <w:rsid w:val="00C05663"/>
    <w:rsid w:val="00C056B0"/>
    <w:rsid w:val="00C056BA"/>
    <w:rsid w:val="00C056D6"/>
    <w:rsid w:val="00C0592E"/>
    <w:rsid w:val="00C059ED"/>
    <w:rsid w:val="00C05A49"/>
    <w:rsid w:val="00C06183"/>
    <w:rsid w:val="00C06373"/>
    <w:rsid w:val="00C0639B"/>
    <w:rsid w:val="00C06712"/>
    <w:rsid w:val="00C06900"/>
    <w:rsid w:val="00C06987"/>
    <w:rsid w:val="00C06FB4"/>
    <w:rsid w:val="00C0721E"/>
    <w:rsid w:val="00C07574"/>
    <w:rsid w:val="00C07622"/>
    <w:rsid w:val="00C076B7"/>
    <w:rsid w:val="00C07755"/>
    <w:rsid w:val="00C0781F"/>
    <w:rsid w:val="00C07A1C"/>
    <w:rsid w:val="00C07A6D"/>
    <w:rsid w:val="00C07D89"/>
    <w:rsid w:val="00C100E4"/>
    <w:rsid w:val="00C10398"/>
    <w:rsid w:val="00C1055A"/>
    <w:rsid w:val="00C10611"/>
    <w:rsid w:val="00C10703"/>
    <w:rsid w:val="00C10E8D"/>
    <w:rsid w:val="00C10F30"/>
    <w:rsid w:val="00C10F38"/>
    <w:rsid w:val="00C1100C"/>
    <w:rsid w:val="00C1120D"/>
    <w:rsid w:val="00C112D9"/>
    <w:rsid w:val="00C11698"/>
    <w:rsid w:val="00C117E2"/>
    <w:rsid w:val="00C118BA"/>
    <w:rsid w:val="00C1190C"/>
    <w:rsid w:val="00C1198C"/>
    <w:rsid w:val="00C11C0E"/>
    <w:rsid w:val="00C11D9A"/>
    <w:rsid w:val="00C11F6B"/>
    <w:rsid w:val="00C12432"/>
    <w:rsid w:val="00C1260D"/>
    <w:rsid w:val="00C12A02"/>
    <w:rsid w:val="00C12BCF"/>
    <w:rsid w:val="00C12D4A"/>
    <w:rsid w:val="00C12DEF"/>
    <w:rsid w:val="00C12E4B"/>
    <w:rsid w:val="00C12F51"/>
    <w:rsid w:val="00C132B9"/>
    <w:rsid w:val="00C132D5"/>
    <w:rsid w:val="00C133E7"/>
    <w:rsid w:val="00C13532"/>
    <w:rsid w:val="00C13744"/>
    <w:rsid w:val="00C13755"/>
    <w:rsid w:val="00C13863"/>
    <w:rsid w:val="00C139C0"/>
    <w:rsid w:val="00C13AA1"/>
    <w:rsid w:val="00C13B2A"/>
    <w:rsid w:val="00C13B2D"/>
    <w:rsid w:val="00C13D33"/>
    <w:rsid w:val="00C13D5B"/>
    <w:rsid w:val="00C13EAC"/>
    <w:rsid w:val="00C13F30"/>
    <w:rsid w:val="00C14080"/>
    <w:rsid w:val="00C144AE"/>
    <w:rsid w:val="00C14775"/>
    <w:rsid w:val="00C147E7"/>
    <w:rsid w:val="00C14A7F"/>
    <w:rsid w:val="00C14AD1"/>
    <w:rsid w:val="00C14B66"/>
    <w:rsid w:val="00C14BC0"/>
    <w:rsid w:val="00C14CA6"/>
    <w:rsid w:val="00C14CFD"/>
    <w:rsid w:val="00C14D01"/>
    <w:rsid w:val="00C14D23"/>
    <w:rsid w:val="00C14D66"/>
    <w:rsid w:val="00C14F74"/>
    <w:rsid w:val="00C1521D"/>
    <w:rsid w:val="00C15574"/>
    <w:rsid w:val="00C1560B"/>
    <w:rsid w:val="00C15827"/>
    <w:rsid w:val="00C1597E"/>
    <w:rsid w:val="00C15B0E"/>
    <w:rsid w:val="00C15C1A"/>
    <w:rsid w:val="00C15D33"/>
    <w:rsid w:val="00C15FB9"/>
    <w:rsid w:val="00C161C6"/>
    <w:rsid w:val="00C1621A"/>
    <w:rsid w:val="00C1621E"/>
    <w:rsid w:val="00C1626F"/>
    <w:rsid w:val="00C163D2"/>
    <w:rsid w:val="00C16562"/>
    <w:rsid w:val="00C1661C"/>
    <w:rsid w:val="00C168F9"/>
    <w:rsid w:val="00C16BEC"/>
    <w:rsid w:val="00C16C31"/>
    <w:rsid w:val="00C16D74"/>
    <w:rsid w:val="00C16E1D"/>
    <w:rsid w:val="00C16EB7"/>
    <w:rsid w:val="00C16F25"/>
    <w:rsid w:val="00C16F42"/>
    <w:rsid w:val="00C16F7C"/>
    <w:rsid w:val="00C172D9"/>
    <w:rsid w:val="00C1735A"/>
    <w:rsid w:val="00C173DE"/>
    <w:rsid w:val="00C1749A"/>
    <w:rsid w:val="00C17506"/>
    <w:rsid w:val="00C17B35"/>
    <w:rsid w:val="00C17BFC"/>
    <w:rsid w:val="00C17CB0"/>
    <w:rsid w:val="00C17D2A"/>
    <w:rsid w:val="00C17FF5"/>
    <w:rsid w:val="00C201FD"/>
    <w:rsid w:val="00C2023F"/>
    <w:rsid w:val="00C2099D"/>
    <w:rsid w:val="00C20B76"/>
    <w:rsid w:val="00C20B9C"/>
    <w:rsid w:val="00C20D75"/>
    <w:rsid w:val="00C20D85"/>
    <w:rsid w:val="00C20F80"/>
    <w:rsid w:val="00C210B3"/>
    <w:rsid w:val="00C210F9"/>
    <w:rsid w:val="00C21B2F"/>
    <w:rsid w:val="00C21B97"/>
    <w:rsid w:val="00C21BFB"/>
    <w:rsid w:val="00C21C28"/>
    <w:rsid w:val="00C21C67"/>
    <w:rsid w:val="00C21C9C"/>
    <w:rsid w:val="00C21F36"/>
    <w:rsid w:val="00C22210"/>
    <w:rsid w:val="00C22377"/>
    <w:rsid w:val="00C22426"/>
    <w:rsid w:val="00C224FF"/>
    <w:rsid w:val="00C2273F"/>
    <w:rsid w:val="00C22803"/>
    <w:rsid w:val="00C22903"/>
    <w:rsid w:val="00C2292A"/>
    <w:rsid w:val="00C22960"/>
    <w:rsid w:val="00C229C3"/>
    <w:rsid w:val="00C22A0A"/>
    <w:rsid w:val="00C22A4F"/>
    <w:rsid w:val="00C22B28"/>
    <w:rsid w:val="00C22C37"/>
    <w:rsid w:val="00C22C41"/>
    <w:rsid w:val="00C22DF6"/>
    <w:rsid w:val="00C22ECE"/>
    <w:rsid w:val="00C22F83"/>
    <w:rsid w:val="00C22FA3"/>
    <w:rsid w:val="00C230B9"/>
    <w:rsid w:val="00C230D2"/>
    <w:rsid w:val="00C232CD"/>
    <w:rsid w:val="00C232E1"/>
    <w:rsid w:val="00C235E6"/>
    <w:rsid w:val="00C23687"/>
    <w:rsid w:val="00C236C8"/>
    <w:rsid w:val="00C23969"/>
    <w:rsid w:val="00C23A0E"/>
    <w:rsid w:val="00C23CA6"/>
    <w:rsid w:val="00C240F7"/>
    <w:rsid w:val="00C24244"/>
    <w:rsid w:val="00C242C9"/>
    <w:rsid w:val="00C244C7"/>
    <w:rsid w:val="00C2451F"/>
    <w:rsid w:val="00C2467A"/>
    <w:rsid w:val="00C24BA1"/>
    <w:rsid w:val="00C24D70"/>
    <w:rsid w:val="00C24EB2"/>
    <w:rsid w:val="00C252F9"/>
    <w:rsid w:val="00C25313"/>
    <w:rsid w:val="00C25318"/>
    <w:rsid w:val="00C25752"/>
    <w:rsid w:val="00C258E8"/>
    <w:rsid w:val="00C25A40"/>
    <w:rsid w:val="00C25A87"/>
    <w:rsid w:val="00C25BA5"/>
    <w:rsid w:val="00C25CD6"/>
    <w:rsid w:val="00C25E10"/>
    <w:rsid w:val="00C25F12"/>
    <w:rsid w:val="00C25F56"/>
    <w:rsid w:val="00C25FF0"/>
    <w:rsid w:val="00C26237"/>
    <w:rsid w:val="00C26423"/>
    <w:rsid w:val="00C2660A"/>
    <w:rsid w:val="00C26656"/>
    <w:rsid w:val="00C2696F"/>
    <w:rsid w:val="00C26C75"/>
    <w:rsid w:val="00C26C88"/>
    <w:rsid w:val="00C26D4B"/>
    <w:rsid w:val="00C2707C"/>
    <w:rsid w:val="00C270FD"/>
    <w:rsid w:val="00C27158"/>
    <w:rsid w:val="00C27292"/>
    <w:rsid w:val="00C27303"/>
    <w:rsid w:val="00C27736"/>
    <w:rsid w:val="00C277D1"/>
    <w:rsid w:val="00C27A11"/>
    <w:rsid w:val="00C27C13"/>
    <w:rsid w:val="00C27F23"/>
    <w:rsid w:val="00C27FAB"/>
    <w:rsid w:val="00C27FDF"/>
    <w:rsid w:val="00C30002"/>
    <w:rsid w:val="00C303D1"/>
    <w:rsid w:val="00C3061A"/>
    <w:rsid w:val="00C30674"/>
    <w:rsid w:val="00C30681"/>
    <w:rsid w:val="00C307A9"/>
    <w:rsid w:val="00C3086C"/>
    <w:rsid w:val="00C309FD"/>
    <w:rsid w:val="00C30A4A"/>
    <w:rsid w:val="00C30A8F"/>
    <w:rsid w:val="00C30DF8"/>
    <w:rsid w:val="00C3109C"/>
    <w:rsid w:val="00C313FC"/>
    <w:rsid w:val="00C31696"/>
    <w:rsid w:val="00C31A97"/>
    <w:rsid w:val="00C31ACB"/>
    <w:rsid w:val="00C31B2C"/>
    <w:rsid w:val="00C31BEA"/>
    <w:rsid w:val="00C31E05"/>
    <w:rsid w:val="00C31F41"/>
    <w:rsid w:val="00C31F4D"/>
    <w:rsid w:val="00C31F85"/>
    <w:rsid w:val="00C32176"/>
    <w:rsid w:val="00C3224D"/>
    <w:rsid w:val="00C323D5"/>
    <w:rsid w:val="00C325EC"/>
    <w:rsid w:val="00C328CC"/>
    <w:rsid w:val="00C328E0"/>
    <w:rsid w:val="00C329BE"/>
    <w:rsid w:val="00C32E80"/>
    <w:rsid w:val="00C32ED2"/>
    <w:rsid w:val="00C33210"/>
    <w:rsid w:val="00C33295"/>
    <w:rsid w:val="00C332B0"/>
    <w:rsid w:val="00C333AE"/>
    <w:rsid w:val="00C33521"/>
    <w:rsid w:val="00C33597"/>
    <w:rsid w:val="00C3362C"/>
    <w:rsid w:val="00C3370C"/>
    <w:rsid w:val="00C33759"/>
    <w:rsid w:val="00C339A6"/>
    <w:rsid w:val="00C33A25"/>
    <w:rsid w:val="00C33B32"/>
    <w:rsid w:val="00C33CE6"/>
    <w:rsid w:val="00C33E84"/>
    <w:rsid w:val="00C340E3"/>
    <w:rsid w:val="00C342FF"/>
    <w:rsid w:val="00C34327"/>
    <w:rsid w:val="00C3448E"/>
    <w:rsid w:val="00C346E1"/>
    <w:rsid w:val="00C34C06"/>
    <w:rsid w:val="00C34EB7"/>
    <w:rsid w:val="00C34FA4"/>
    <w:rsid w:val="00C34FB0"/>
    <w:rsid w:val="00C34FD0"/>
    <w:rsid w:val="00C34FD9"/>
    <w:rsid w:val="00C351A7"/>
    <w:rsid w:val="00C35342"/>
    <w:rsid w:val="00C353D3"/>
    <w:rsid w:val="00C356BF"/>
    <w:rsid w:val="00C35810"/>
    <w:rsid w:val="00C359AD"/>
    <w:rsid w:val="00C35B83"/>
    <w:rsid w:val="00C35B8C"/>
    <w:rsid w:val="00C35E97"/>
    <w:rsid w:val="00C35FCE"/>
    <w:rsid w:val="00C3604A"/>
    <w:rsid w:val="00C36265"/>
    <w:rsid w:val="00C36335"/>
    <w:rsid w:val="00C3635B"/>
    <w:rsid w:val="00C36412"/>
    <w:rsid w:val="00C36592"/>
    <w:rsid w:val="00C36611"/>
    <w:rsid w:val="00C3661A"/>
    <w:rsid w:val="00C366D8"/>
    <w:rsid w:val="00C36813"/>
    <w:rsid w:val="00C368E7"/>
    <w:rsid w:val="00C3693E"/>
    <w:rsid w:val="00C369E1"/>
    <w:rsid w:val="00C36F02"/>
    <w:rsid w:val="00C3702D"/>
    <w:rsid w:val="00C370CD"/>
    <w:rsid w:val="00C37216"/>
    <w:rsid w:val="00C37309"/>
    <w:rsid w:val="00C373B3"/>
    <w:rsid w:val="00C37492"/>
    <w:rsid w:val="00C37596"/>
    <w:rsid w:val="00C376CF"/>
    <w:rsid w:val="00C37A22"/>
    <w:rsid w:val="00C37B0D"/>
    <w:rsid w:val="00C37B8D"/>
    <w:rsid w:val="00C37D37"/>
    <w:rsid w:val="00C37D5F"/>
    <w:rsid w:val="00C37DEB"/>
    <w:rsid w:val="00C37E3F"/>
    <w:rsid w:val="00C37F29"/>
    <w:rsid w:val="00C40003"/>
    <w:rsid w:val="00C40390"/>
    <w:rsid w:val="00C403A7"/>
    <w:rsid w:val="00C403DD"/>
    <w:rsid w:val="00C40768"/>
    <w:rsid w:val="00C409CC"/>
    <w:rsid w:val="00C40A2F"/>
    <w:rsid w:val="00C40CE0"/>
    <w:rsid w:val="00C40FAA"/>
    <w:rsid w:val="00C41047"/>
    <w:rsid w:val="00C413DF"/>
    <w:rsid w:val="00C41475"/>
    <w:rsid w:val="00C414B0"/>
    <w:rsid w:val="00C4181E"/>
    <w:rsid w:val="00C419BB"/>
    <w:rsid w:val="00C41B29"/>
    <w:rsid w:val="00C41CD1"/>
    <w:rsid w:val="00C41DFC"/>
    <w:rsid w:val="00C41F4B"/>
    <w:rsid w:val="00C42575"/>
    <w:rsid w:val="00C4277F"/>
    <w:rsid w:val="00C42814"/>
    <w:rsid w:val="00C42A3F"/>
    <w:rsid w:val="00C432D7"/>
    <w:rsid w:val="00C43417"/>
    <w:rsid w:val="00C43617"/>
    <w:rsid w:val="00C43654"/>
    <w:rsid w:val="00C43677"/>
    <w:rsid w:val="00C43884"/>
    <w:rsid w:val="00C439DA"/>
    <w:rsid w:val="00C43A42"/>
    <w:rsid w:val="00C43B31"/>
    <w:rsid w:val="00C43C68"/>
    <w:rsid w:val="00C43F92"/>
    <w:rsid w:val="00C440F1"/>
    <w:rsid w:val="00C4414E"/>
    <w:rsid w:val="00C441A8"/>
    <w:rsid w:val="00C44203"/>
    <w:rsid w:val="00C44245"/>
    <w:rsid w:val="00C44280"/>
    <w:rsid w:val="00C442EE"/>
    <w:rsid w:val="00C4441A"/>
    <w:rsid w:val="00C44730"/>
    <w:rsid w:val="00C4475D"/>
    <w:rsid w:val="00C44C3C"/>
    <w:rsid w:val="00C44E2B"/>
    <w:rsid w:val="00C44E89"/>
    <w:rsid w:val="00C454E1"/>
    <w:rsid w:val="00C45541"/>
    <w:rsid w:val="00C45650"/>
    <w:rsid w:val="00C459D9"/>
    <w:rsid w:val="00C45B05"/>
    <w:rsid w:val="00C45B9D"/>
    <w:rsid w:val="00C45CF4"/>
    <w:rsid w:val="00C45D92"/>
    <w:rsid w:val="00C45E9E"/>
    <w:rsid w:val="00C46060"/>
    <w:rsid w:val="00C4618D"/>
    <w:rsid w:val="00C46537"/>
    <w:rsid w:val="00C46582"/>
    <w:rsid w:val="00C46636"/>
    <w:rsid w:val="00C46859"/>
    <w:rsid w:val="00C46879"/>
    <w:rsid w:val="00C469CC"/>
    <w:rsid w:val="00C46E19"/>
    <w:rsid w:val="00C46E39"/>
    <w:rsid w:val="00C46E8B"/>
    <w:rsid w:val="00C46FCE"/>
    <w:rsid w:val="00C47065"/>
    <w:rsid w:val="00C47078"/>
    <w:rsid w:val="00C4711A"/>
    <w:rsid w:val="00C4727A"/>
    <w:rsid w:val="00C472A3"/>
    <w:rsid w:val="00C472C5"/>
    <w:rsid w:val="00C47372"/>
    <w:rsid w:val="00C4761F"/>
    <w:rsid w:val="00C4779E"/>
    <w:rsid w:val="00C47836"/>
    <w:rsid w:val="00C4794B"/>
    <w:rsid w:val="00C47969"/>
    <w:rsid w:val="00C4796B"/>
    <w:rsid w:val="00C47B36"/>
    <w:rsid w:val="00C47C0B"/>
    <w:rsid w:val="00C47CB2"/>
    <w:rsid w:val="00C47D72"/>
    <w:rsid w:val="00C50214"/>
    <w:rsid w:val="00C50262"/>
    <w:rsid w:val="00C5052E"/>
    <w:rsid w:val="00C506CF"/>
    <w:rsid w:val="00C50953"/>
    <w:rsid w:val="00C50956"/>
    <w:rsid w:val="00C50B94"/>
    <w:rsid w:val="00C511E7"/>
    <w:rsid w:val="00C513C5"/>
    <w:rsid w:val="00C51900"/>
    <w:rsid w:val="00C5191C"/>
    <w:rsid w:val="00C51978"/>
    <w:rsid w:val="00C519AC"/>
    <w:rsid w:val="00C51B0A"/>
    <w:rsid w:val="00C51D38"/>
    <w:rsid w:val="00C520E2"/>
    <w:rsid w:val="00C52277"/>
    <w:rsid w:val="00C52302"/>
    <w:rsid w:val="00C52432"/>
    <w:rsid w:val="00C524D2"/>
    <w:rsid w:val="00C52795"/>
    <w:rsid w:val="00C528C7"/>
    <w:rsid w:val="00C52A97"/>
    <w:rsid w:val="00C52AA4"/>
    <w:rsid w:val="00C52BE4"/>
    <w:rsid w:val="00C52C8B"/>
    <w:rsid w:val="00C52E62"/>
    <w:rsid w:val="00C52FB0"/>
    <w:rsid w:val="00C52FF6"/>
    <w:rsid w:val="00C531FC"/>
    <w:rsid w:val="00C53250"/>
    <w:rsid w:val="00C53500"/>
    <w:rsid w:val="00C535C4"/>
    <w:rsid w:val="00C53645"/>
    <w:rsid w:val="00C5388F"/>
    <w:rsid w:val="00C53E59"/>
    <w:rsid w:val="00C54348"/>
    <w:rsid w:val="00C54421"/>
    <w:rsid w:val="00C5444E"/>
    <w:rsid w:val="00C54698"/>
    <w:rsid w:val="00C546B7"/>
    <w:rsid w:val="00C54716"/>
    <w:rsid w:val="00C548B2"/>
    <w:rsid w:val="00C549F6"/>
    <w:rsid w:val="00C54AEB"/>
    <w:rsid w:val="00C54B08"/>
    <w:rsid w:val="00C54CDD"/>
    <w:rsid w:val="00C54F7A"/>
    <w:rsid w:val="00C5504A"/>
    <w:rsid w:val="00C55096"/>
    <w:rsid w:val="00C550F3"/>
    <w:rsid w:val="00C553F9"/>
    <w:rsid w:val="00C5579A"/>
    <w:rsid w:val="00C558A3"/>
    <w:rsid w:val="00C55F18"/>
    <w:rsid w:val="00C56231"/>
    <w:rsid w:val="00C563B1"/>
    <w:rsid w:val="00C5649C"/>
    <w:rsid w:val="00C564C3"/>
    <w:rsid w:val="00C56892"/>
    <w:rsid w:val="00C56B6C"/>
    <w:rsid w:val="00C56CA7"/>
    <w:rsid w:val="00C56D03"/>
    <w:rsid w:val="00C56D49"/>
    <w:rsid w:val="00C56DAC"/>
    <w:rsid w:val="00C571BC"/>
    <w:rsid w:val="00C5743E"/>
    <w:rsid w:val="00C57443"/>
    <w:rsid w:val="00C5789B"/>
    <w:rsid w:val="00C57907"/>
    <w:rsid w:val="00C57A3C"/>
    <w:rsid w:val="00C57BCC"/>
    <w:rsid w:val="00C57D30"/>
    <w:rsid w:val="00C60224"/>
    <w:rsid w:val="00C605A7"/>
    <w:rsid w:val="00C60707"/>
    <w:rsid w:val="00C607D4"/>
    <w:rsid w:val="00C609DF"/>
    <w:rsid w:val="00C60A28"/>
    <w:rsid w:val="00C60D15"/>
    <w:rsid w:val="00C60D53"/>
    <w:rsid w:val="00C60ED0"/>
    <w:rsid w:val="00C60F45"/>
    <w:rsid w:val="00C61021"/>
    <w:rsid w:val="00C6104B"/>
    <w:rsid w:val="00C61334"/>
    <w:rsid w:val="00C614C7"/>
    <w:rsid w:val="00C6176A"/>
    <w:rsid w:val="00C61899"/>
    <w:rsid w:val="00C62224"/>
    <w:rsid w:val="00C62317"/>
    <w:rsid w:val="00C62344"/>
    <w:rsid w:val="00C62377"/>
    <w:rsid w:val="00C626DB"/>
    <w:rsid w:val="00C626F3"/>
    <w:rsid w:val="00C627B6"/>
    <w:rsid w:val="00C6282A"/>
    <w:rsid w:val="00C62893"/>
    <w:rsid w:val="00C629DF"/>
    <w:rsid w:val="00C62A62"/>
    <w:rsid w:val="00C62CA5"/>
    <w:rsid w:val="00C62CAC"/>
    <w:rsid w:val="00C62DE7"/>
    <w:rsid w:val="00C62ECB"/>
    <w:rsid w:val="00C62F18"/>
    <w:rsid w:val="00C62FFE"/>
    <w:rsid w:val="00C63003"/>
    <w:rsid w:val="00C63057"/>
    <w:rsid w:val="00C63238"/>
    <w:rsid w:val="00C63351"/>
    <w:rsid w:val="00C63458"/>
    <w:rsid w:val="00C63594"/>
    <w:rsid w:val="00C635E9"/>
    <w:rsid w:val="00C63895"/>
    <w:rsid w:val="00C63B7A"/>
    <w:rsid w:val="00C63C2E"/>
    <w:rsid w:val="00C63E75"/>
    <w:rsid w:val="00C64009"/>
    <w:rsid w:val="00C64121"/>
    <w:rsid w:val="00C6434F"/>
    <w:rsid w:val="00C64492"/>
    <w:rsid w:val="00C64606"/>
    <w:rsid w:val="00C646D2"/>
    <w:rsid w:val="00C646FE"/>
    <w:rsid w:val="00C64A75"/>
    <w:rsid w:val="00C64EF1"/>
    <w:rsid w:val="00C6502A"/>
    <w:rsid w:val="00C6524D"/>
    <w:rsid w:val="00C652C9"/>
    <w:rsid w:val="00C6556B"/>
    <w:rsid w:val="00C6570F"/>
    <w:rsid w:val="00C65833"/>
    <w:rsid w:val="00C65CCC"/>
    <w:rsid w:val="00C65D1B"/>
    <w:rsid w:val="00C65D92"/>
    <w:rsid w:val="00C65E02"/>
    <w:rsid w:val="00C65E19"/>
    <w:rsid w:val="00C660FB"/>
    <w:rsid w:val="00C66447"/>
    <w:rsid w:val="00C6669A"/>
    <w:rsid w:val="00C66714"/>
    <w:rsid w:val="00C670E5"/>
    <w:rsid w:val="00C671B8"/>
    <w:rsid w:val="00C671F5"/>
    <w:rsid w:val="00C672B8"/>
    <w:rsid w:val="00C67353"/>
    <w:rsid w:val="00C674F5"/>
    <w:rsid w:val="00C67553"/>
    <w:rsid w:val="00C677DD"/>
    <w:rsid w:val="00C678CE"/>
    <w:rsid w:val="00C678D2"/>
    <w:rsid w:val="00C67B42"/>
    <w:rsid w:val="00C67CAC"/>
    <w:rsid w:val="00C67DCD"/>
    <w:rsid w:val="00C67DDC"/>
    <w:rsid w:val="00C67E35"/>
    <w:rsid w:val="00C67F18"/>
    <w:rsid w:val="00C70033"/>
    <w:rsid w:val="00C704F7"/>
    <w:rsid w:val="00C70526"/>
    <w:rsid w:val="00C7055D"/>
    <w:rsid w:val="00C70616"/>
    <w:rsid w:val="00C70632"/>
    <w:rsid w:val="00C70633"/>
    <w:rsid w:val="00C707C9"/>
    <w:rsid w:val="00C707D3"/>
    <w:rsid w:val="00C7097B"/>
    <w:rsid w:val="00C70C07"/>
    <w:rsid w:val="00C70E3F"/>
    <w:rsid w:val="00C70E6D"/>
    <w:rsid w:val="00C71027"/>
    <w:rsid w:val="00C710F2"/>
    <w:rsid w:val="00C71306"/>
    <w:rsid w:val="00C71423"/>
    <w:rsid w:val="00C71517"/>
    <w:rsid w:val="00C717C3"/>
    <w:rsid w:val="00C7184C"/>
    <w:rsid w:val="00C71BAA"/>
    <w:rsid w:val="00C71C07"/>
    <w:rsid w:val="00C71C1A"/>
    <w:rsid w:val="00C71D6D"/>
    <w:rsid w:val="00C71E39"/>
    <w:rsid w:val="00C7206F"/>
    <w:rsid w:val="00C72157"/>
    <w:rsid w:val="00C72E01"/>
    <w:rsid w:val="00C72E0D"/>
    <w:rsid w:val="00C72F7F"/>
    <w:rsid w:val="00C730C4"/>
    <w:rsid w:val="00C73354"/>
    <w:rsid w:val="00C7345D"/>
    <w:rsid w:val="00C73483"/>
    <w:rsid w:val="00C735E6"/>
    <w:rsid w:val="00C739A4"/>
    <w:rsid w:val="00C73AFE"/>
    <w:rsid w:val="00C73FD8"/>
    <w:rsid w:val="00C740A5"/>
    <w:rsid w:val="00C74126"/>
    <w:rsid w:val="00C741FE"/>
    <w:rsid w:val="00C743DA"/>
    <w:rsid w:val="00C7470D"/>
    <w:rsid w:val="00C74858"/>
    <w:rsid w:val="00C74952"/>
    <w:rsid w:val="00C7497C"/>
    <w:rsid w:val="00C74A8B"/>
    <w:rsid w:val="00C74ABD"/>
    <w:rsid w:val="00C74B2C"/>
    <w:rsid w:val="00C74B3F"/>
    <w:rsid w:val="00C74BC3"/>
    <w:rsid w:val="00C74E1F"/>
    <w:rsid w:val="00C7531C"/>
    <w:rsid w:val="00C756ED"/>
    <w:rsid w:val="00C75773"/>
    <w:rsid w:val="00C75851"/>
    <w:rsid w:val="00C7598A"/>
    <w:rsid w:val="00C7622F"/>
    <w:rsid w:val="00C76242"/>
    <w:rsid w:val="00C7648A"/>
    <w:rsid w:val="00C765EF"/>
    <w:rsid w:val="00C769CD"/>
    <w:rsid w:val="00C769F9"/>
    <w:rsid w:val="00C76AD1"/>
    <w:rsid w:val="00C76B77"/>
    <w:rsid w:val="00C77005"/>
    <w:rsid w:val="00C77595"/>
    <w:rsid w:val="00C7796F"/>
    <w:rsid w:val="00C77AFF"/>
    <w:rsid w:val="00C77F07"/>
    <w:rsid w:val="00C77FB4"/>
    <w:rsid w:val="00C800A5"/>
    <w:rsid w:val="00C8014B"/>
    <w:rsid w:val="00C802E8"/>
    <w:rsid w:val="00C8038B"/>
    <w:rsid w:val="00C80475"/>
    <w:rsid w:val="00C805AA"/>
    <w:rsid w:val="00C80ABD"/>
    <w:rsid w:val="00C8113D"/>
    <w:rsid w:val="00C81196"/>
    <w:rsid w:val="00C81ABE"/>
    <w:rsid w:val="00C81ED6"/>
    <w:rsid w:val="00C821E1"/>
    <w:rsid w:val="00C821F2"/>
    <w:rsid w:val="00C826A0"/>
    <w:rsid w:val="00C826A6"/>
    <w:rsid w:val="00C82D04"/>
    <w:rsid w:val="00C82EE8"/>
    <w:rsid w:val="00C8309B"/>
    <w:rsid w:val="00C832B3"/>
    <w:rsid w:val="00C83319"/>
    <w:rsid w:val="00C8338E"/>
    <w:rsid w:val="00C834A4"/>
    <w:rsid w:val="00C83667"/>
    <w:rsid w:val="00C8371E"/>
    <w:rsid w:val="00C8375C"/>
    <w:rsid w:val="00C838A4"/>
    <w:rsid w:val="00C8395D"/>
    <w:rsid w:val="00C8398A"/>
    <w:rsid w:val="00C839AD"/>
    <w:rsid w:val="00C83AE8"/>
    <w:rsid w:val="00C83D17"/>
    <w:rsid w:val="00C83D87"/>
    <w:rsid w:val="00C83DA2"/>
    <w:rsid w:val="00C83ECA"/>
    <w:rsid w:val="00C83FE4"/>
    <w:rsid w:val="00C842D8"/>
    <w:rsid w:val="00C84501"/>
    <w:rsid w:val="00C845C9"/>
    <w:rsid w:val="00C845D6"/>
    <w:rsid w:val="00C8460F"/>
    <w:rsid w:val="00C847AA"/>
    <w:rsid w:val="00C84B5E"/>
    <w:rsid w:val="00C84C9A"/>
    <w:rsid w:val="00C84D79"/>
    <w:rsid w:val="00C84DD9"/>
    <w:rsid w:val="00C84E4D"/>
    <w:rsid w:val="00C85064"/>
    <w:rsid w:val="00C85405"/>
    <w:rsid w:val="00C8588C"/>
    <w:rsid w:val="00C85962"/>
    <w:rsid w:val="00C8598B"/>
    <w:rsid w:val="00C859AE"/>
    <w:rsid w:val="00C85A40"/>
    <w:rsid w:val="00C85AC3"/>
    <w:rsid w:val="00C85BE2"/>
    <w:rsid w:val="00C85BF4"/>
    <w:rsid w:val="00C85EE9"/>
    <w:rsid w:val="00C86068"/>
    <w:rsid w:val="00C861D1"/>
    <w:rsid w:val="00C86230"/>
    <w:rsid w:val="00C86281"/>
    <w:rsid w:val="00C86332"/>
    <w:rsid w:val="00C86335"/>
    <w:rsid w:val="00C86645"/>
    <w:rsid w:val="00C86814"/>
    <w:rsid w:val="00C86850"/>
    <w:rsid w:val="00C868D3"/>
    <w:rsid w:val="00C869A1"/>
    <w:rsid w:val="00C869D2"/>
    <w:rsid w:val="00C869F9"/>
    <w:rsid w:val="00C86C74"/>
    <w:rsid w:val="00C8711E"/>
    <w:rsid w:val="00C87124"/>
    <w:rsid w:val="00C87201"/>
    <w:rsid w:val="00C872E3"/>
    <w:rsid w:val="00C8731A"/>
    <w:rsid w:val="00C8738F"/>
    <w:rsid w:val="00C875EC"/>
    <w:rsid w:val="00C87614"/>
    <w:rsid w:val="00C87A5E"/>
    <w:rsid w:val="00C87BF3"/>
    <w:rsid w:val="00C87D57"/>
    <w:rsid w:val="00C9003F"/>
    <w:rsid w:val="00C902A2"/>
    <w:rsid w:val="00C905E8"/>
    <w:rsid w:val="00C90897"/>
    <w:rsid w:val="00C90C84"/>
    <w:rsid w:val="00C90F14"/>
    <w:rsid w:val="00C91154"/>
    <w:rsid w:val="00C911B0"/>
    <w:rsid w:val="00C9123D"/>
    <w:rsid w:val="00C915D0"/>
    <w:rsid w:val="00C916AF"/>
    <w:rsid w:val="00C919C5"/>
    <w:rsid w:val="00C91AFB"/>
    <w:rsid w:val="00C92230"/>
    <w:rsid w:val="00C9230E"/>
    <w:rsid w:val="00C92377"/>
    <w:rsid w:val="00C92408"/>
    <w:rsid w:val="00C924F1"/>
    <w:rsid w:val="00C92A3D"/>
    <w:rsid w:val="00C92DD8"/>
    <w:rsid w:val="00C92EB6"/>
    <w:rsid w:val="00C930D7"/>
    <w:rsid w:val="00C9320F"/>
    <w:rsid w:val="00C93223"/>
    <w:rsid w:val="00C9338D"/>
    <w:rsid w:val="00C933A2"/>
    <w:rsid w:val="00C937FA"/>
    <w:rsid w:val="00C93CD4"/>
    <w:rsid w:val="00C941E6"/>
    <w:rsid w:val="00C94596"/>
    <w:rsid w:val="00C9460C"/>
    <w:rsid w:val="00C946DF"/>
    <w:rsid w:val="00C94936"/>
    <w:rsid w:val="00C94B1E"/>
    <w:rsid w:val="00C94B56"/>
    <w:rsid w:val="00C94C4A"/>
    <w:rsid w:val="00C94D8B"/>
    <w:rsid w:val="00C94F75"/>
    <w:rsid w:val="00C95016"/>
    <w:rsid w:val="00C9508E"/>
    <w:rsid w:val="00C9509A"/>
    <w:rsid w:val="00C9522E"/>
    <w:rsid w:val="00C95506"/>
    <w:rsid w:val="00C957F2"/>
    <w:rsid w:val="00C9593B"/>
    <w:rsid w:val="00C959B0"/>
    <w:rsid w:val="00C959BA"/>
    <w:rsid w:val="00C95AD6"/>
    <w:rsid w:val="00C962FD"/>
    <w:rsid w:val="00C96312"/>
    <w:rsid w:val="00C967D7"/>
    <w:rsid w:val="00C96974"/>
    <w:rsid w:val="00C96B09"/>
    <w:rsid w:val="00C96C4C"/>
    <w:rsid w:val="00C96CBF"/>
    <w:rsid w:val="00C96EF5"/>
    <w:rsid w:val="00C97002"/>
    <w:rsid w:val="00C970E1"/>
    <w:rsid w:val="00C970FD"/>
    <w:rsid w:val="00C9714C"/>
    <w:rsid w:val="00C975F9"/>
    <w:rsid w:val="00C97677"/>
    <w:rsid w:val="00C9768D"/>
    <w:rsid w:val="00C9786A"/>
    <w:rsid w:val="00C9790E"/>
    <w:rsid w:val="00C97B3C"/>
    <w:rsid w:val="00C97C0E"/>
    <w:rsid w:val="00C97C5B"/>
    <w:rsid w:val="00C97FB7"/>
    <w:rsid w:val="00CA020A"/>
    <w:rsid w:val="00CA03FB"/>
    <w:rsid w:val="00CA0635"/>
    <w:rsid w:val="00CA068D"/>
    <w:rsid w:val="00CA06F8"/>
    <w:rsid w:val="00CA0777"/>
    <w:rsid w:val="00CA07CE"/>
    <w:rsid w:val="00CA0AFC"/>
    <w:rsid w:val="00CA0D5D"/>
    <w:rsid w:val="00CA0FD5"/>
    <w:rsid w:val="00CA10DE"/>
    <w:rsid w:val="00CA11AB"/>
    <w:rsid w:val="00CA11F3"/>
    <w:rsid w:val="00CA13ED"/>
    <w:rsid w:val="00CA15F3"/>
    <w:rsid w:val="00CA17EA"/>
    <w:rsid w:val="00CA199C"/>
    <w:rsid w:val="00CA1D5F"/>
    <w:rsid w:val="00CA1F0D"/>
    <w:rsid w:val="00CA2190"/>
    <w:rsid w:val="00CA2307"/>
    <w:rsid w:val="00CA282F"/>
    <w:rsid w:val="00CA2A08"/>
    <w:rsid w:val="00CA2CEA"/>
    <w:rsid w:val="00CA2DE8"/>
    <w:rsid w:val="00CA30E4"/>
    <w:rsid w:val="00CA3573"/>
    <w:rsid w:val="00CA3575"/>
    <w:rsid w:val="00CA3781"/>
    <w:rsid w:val="00CA39BA"/>
    <w:rsid w:val="00CA3BF5"/>
    <w:rsid w:val="00CA3DAA"/>
    <w:rsid w:val="00CA3E40"/>
    <w:rsid w:val="00CA3FB6"/>
    <w:rsid w:val="00CA3FC7"/>
    <w:rsid w:val="00CA4041"/>
    <w:rsid w:val="00CA418E"/>
    <w:rsid w:val="00CA44C3"/>
    <w:rsid w:val="00CA4797"/>
    <w:rsid w:val="00CA48B8"/>
    <w:rsid w:val="00CA4972"/>
    <w:rsid w:val="00CA4A2B"/>
    <w:rsid w:val="00CA4A35"/>
    <w:rsid w:val="00CA4BD2"/>
    <w:rsid w:val="00CA4C07"/>
    <w:rsid w:val="00CA4DAE"/>
    <w:rsid w:val="00CA4F66"/>
    <w:rsid w:val="00CA4FB7"/>
    <w:rsid w:val="00CA50E6"/>
    <w:rsid w:val="00CA5133"/>
    <w:rsid w:val="00CA5453"/>
    <w:rsid w:val="00CA5536"/>
    <w:rsid w:val="00CA5631"/>
    <w:rsid w:val="00CA57C6"/>
    <w:rsid w:val="00CA5834"/>
    <w:rsid w:val="00CA583C"/>
    <w:rsid w:val="00CA5A90"/>
    <w:rsid w:val="00CA5E37"/>
    <w:rsid w:val="00CA625A"/>
    <w:rsid w:val="00CA64C2"/>
    <w:rsid w:val="00CA64C7"/>
    <w:rsid w:val="00CA65B3"/>
    <w:rsid w:val="00CA67C8"/>
    <w:rsid w:val="00CA699D"/>
    <w:rsid w:val="00CA6C10"/>
    <w:rsid w:val="00CA6D4E"/>
    <w:rsid w:val="00CA6D62"/>
    <w:rsid w:val="00CA6E41"/>
    <w:rsid w:val="00CA6FFF"/>
    <w:rsid w:val="00CA711D"/>
    <w:rsid w:val="00CA726F"/>
    <w:rsid w:val="00CA72E3"/>
    <w:rsid w:val="00CA7394"/>
    <w:rsid w:val="00CA745E"/>
    <w:rsid w:val="00CA76EE"/>
    <w:rsid w:val="00CA7A44"/>
    <w:rsid w:val="00CA7ABF"/>
    <w:rsid w:val="00CA7C53"/>
    <w:rsid w:val="00CA7D5E"/>
    <w:rsid w:val="00CA7EAA"/>
    <w:rsid w:val="00CA7F20"/>
    <w:rsid w:val="00CB07B7"/>
    <w:rsid w:val="00CB0CCF"/>
    <w:rsid w:val="00CB0D2F"/>
    <w:rsid w:val="00CB0EAD"/>
    <w:rsid w:val="00CB0F7C"/>
    <w:rsid w:val="00CB1181"/>
    <w:rsid w:val="00CB11D4"/>
    <w:rsid w:val="00CB12CB"/>
    <w:rsid w:val="00CB13C7"/>
    <w:rsid w:val="00CB14EA"/>
    <w:rsid w:val="00CB15B5"/>
    <w:rsid w:val="00CB16AD"/>
    <w:rsid w:val="00CB1762"/>
    <w:rsid w:val="00CB1782"/>
    <w:rsid w:val="00CB1788"/>
    <w:rsid w:val="00CB1933"/>
    <w:rsid w:val="00CB1BA5"/>
    <w:rsid w:val="00CB1E6E"/>
    <w:rsid w:val="00CB1E7D"/>
    <w:rsid w:val="00CB1ED5"/>
    <w:rsid w:val="00CB20C7"/>
    <w:rsid w:val="00CB20DA"/>
    <w:rsid w:val="00CB20E0"/>
    <w:rsid w:val="00CB20F1"/>
    <w:rsid w:val="00CB2362"/>
    <w:rsid w:val="00CB23AA"/>
    <w:rsid w:val="00CB28C6"/>
    <w:rsid w:val="00CB2910"/>
    <w:rsid w:val="00CB29C1"/>
    <w:rsid w:val="00CB29CB"/>
    <w:rsid w:val="00CB2CCF"/>
    <w:rsid w:val="00CB2D79"/>
    <w:rsid w:val="00CB2F2C"/>
    <w:rsid w:val="00CB2FAF"/>
    <w:rsid w:val="00CB32CD"/>
    <w:rsid w:val="00CB3333"/>
    <w:rsid w:val="00CB3538"/>
    <w:rsid w:val="00CB36BA"/>
    <w:rsid w:val="00CB39D6"/>
    <w:rsid w:val="00CB3B03"/>
    <w:rsid w:val="00CB3FC8"/>
    <w:rsid w:val="00CB468F"/>
    <w:rsid w:val="00CB4A87"/>
    <w:rsid w:val="00CB4ACB"/>
    <w:rsid w:val="00CB4B87"/>
    <w:rsid w:val="00CB4D90"/>
    <w:rsid w:val="00CB4E3F"/>
    <w:rsid w:val="00CB4F45"/>
    <w:rsid w:val="00CB54AA"/>
    <w:rsid w:val="00CB5B87"/>
    <w:rsid w:val="00CB5BE7"/>
    <w:rsid w:val="00CB5DA7"/>
    <w:rsid w:val="00CB5E9F"/>
    <w:rsid w:val="00CB605E"/>
    <w:rsid w:val="00CB61CC"/>
    <w:rsid w:val="00CB62E8"/>
    <w:rsid w:val="00CB640A"/>
    <w:rsid w:val="00CB65C6"/>
    <w:rsid w:val="00CB65E2"/>
    <w:rsid w:val="00CB68B1"/>
    <w:rsid w:val="00CB697B"/>
    <w:rsid w:val="00CB6AFD"/>
    <w:rsid w:val="00CB6EC2"/>
    <w:rsid w:val="00CB700B"/>
    <w:rsid w:val="00CB70D3"/>
    <w:rsid w:val="00CB7A7E"/>
    <w:rsid w:val="00CB7B1C"/>
    <w:rsid w:val="00CB7BED"/>
    <w:rsid w:val="00CB7CC7"/>
    <w:rsid w:val="00CC0017"/>
    <w:rsid w:val="00CC0063"/>
    <w:rsid w:val="00CC02BC"/>
    <w:rsid w:val="00CC04AD"/>
    <w:rsid w:val="00CC0633"/>
    <w:rsid w:val="00CC083C"/>
    <w:rsid w:val="00CC090B"/>
    <w:rsid w:val="00CC0A6F"/>
    <w:rsid w:val="00CC0AD1"/>
    <w:rsid w:val="00CC0B45"/>
    <w:rsid w:val="00CC0CF1"/>
    <w:rsid w:val="00CC0E33"/>
    <w:rsid w:val="00CC0F66"/>
    <w:rsid w:val="00CC10C2"/>
    <w:rsid w:val="00CC10E0"/>
    <w:rsid w:val="00CC1275"/>
    <w:rsid w:val="00CC13F0"/>
    <w:rsid w:val="00CC151D"/>
    <w:rsid w:val="00CC15BF"/>
    <w:rsid w:val="00CC160B"/>
    <w:rsid w:val="00CC1622"/>
    <w:rsid w:val="00CC1709"/>
    <w:rsid w:val="00CC19F4"/>
    <w:rsid w:val="00CC1A08"/>
    <w:rsid w:val="00CC1B35"/>
    <w:rsid w:val="00CC1B48"/>
    <w:rsid w:val="00CC1BE5"/>
    <w:rsid w:val="00CC1BF6"/>
    <w:rsid w:val="00CC1DB7"/>
    <w:rsid w:val="00CC216E"/>
    <w:rsid w:val="00CC24F3"/>
    <w:rsid w:val="00CC2A74"/>
    <w:rsid w:val="00CC2B80"/>
    <w:rsid w:val="00CC2BF1"/>
    <w:rsid w:val="00CC2D59"/>
    <w:rsid w:val="00CC3358"/>
    <w:rsid w:val="00CC3741"/>
    <w:rsid w:val="00CC38D2"/>
    <w:rsid w:val="00CC3B7B"/>
    <w:rsid w:val="00CC3C3F"/>
    <w:rsid w:val="00CC3D1E"/>
    <w:rsid w:val="00CC3D4F"/>
    <w:rsid w:val="00CC3E3C"/>
    <w:rsid w:val="00CC3E52"/>
    <w:rsid w:val="00CC4267"/>
    <w:rsid w:val="00CC43E6"/>
    <w:rsid w:val="00CC445C"/>
    <w:rsid w:val="00CC44A8"/>
    <w:rsid w:val="00CC474F"/>
    <w:rsid w:val="00CC4B64"/>
    <w:rsid w:val="00CC4B6D"/>
    <w:rsid w:val="00CC4CA2"/>
    <w:rsid w:val="00CC4FBD"/>
    <w:rsid w:val="00CC50D8"/>
    <w:rsid w:val="00CC511A"/>
    <w:rsid w:val="00CC5182"/>
    <w:rsid w:val="00CC54D3"/>
    <w:rsid w:val="00CC5534"/>
    <w:rsid w:val="00CC59DD"/>
    <w:rsid w:val="00CC5CA0"/>
    <w:rsid w:val="00CC5E22"/>
    <w:rsid w:val="00CC6175"/>
    <w:rsid w:val="00CC617B"/>
    <w:rsid w:val="00CC662B"/>
    <w:rsid w:val="00CC69E7"/>
    <w:rsid w:val="00CC6D7E"/>
    <w:rsid w:val="00CC6DE4"/>
    <w:rsid w:val="00CC7199"/>
    <w:rsid w:val="00CC73F7"/>
    <w:rsid w:val="00CC7683"/>
    <w:rsid w:val="00CC76D4"/>
    <w:rsid w:val="00CC7705"/>
    <w:rsid w:val="00CC788C"/>
    <w:rsid w:val="00CC7AA4"/>
    <w:rsid w:val="00CC7B6F"/>
    <w:rsid w:val="00CC7BEA"/>
    <w:rsid w:val="00CC7EB7"/>
    <w:rsid w:val="00CD0121"/>
    <w:rsid w:val="00CD036F"/>
    <w:rsid w:val="00CD0400"/>
    <w:rsid w:val="00CD0837"/>
    <w:rsid w:val="00CD110E"/>
    <w:rsid w:val="00CD13BC"/>
    <w:rsid w:val="00CD168B"/>
    <w:rsid w:val="00CD185C"/>
    <w:rsid w:val="00CD18D7"/>
    <w:rsid w:val="00CD18F6"/>
    <w:rsid w:val="00CD1B27"/>
    <w:rsid w:val="00CD202D"/>
    <w:rsid w:val="00CD21DC"/>
    <w:rsid w:val="00CD2589"/>
    <w:rsid w:val="00CD276B"/>
    <w:rsid w:val="00CD27A9"/>
    <w:rsid w:val="00CD28E7"/>
    <w:rsid w:val="00CD2901"/>
    <w:rsid w:val="00CD2960"/>
    <w:rsid w:val="00CD2A27"/>
    <w:rsid w:val="00CD2A5B"/>
    <w:rsid w:val="00CD2D9E"/>
    <w:rsid w:val="00CD2FCE"/>
    <w:rsid w:val="00CD2FD9"/>
    <w:rsid w:val="00CD307D"/>
    <w:rsid w:val="00CD3441"/>
    <w:rsid w:val="00CD35FB"/>
    <w:rsid w:val="00CD3909"/>
    <w:rsid w:val="00CD39BC"/>
    <w:rsid w:val="00CD3A6C"/>
    <w:rsid w:val="00CD3B50"/>
    <w:rsid w:val="00CD3D19"/>
    <w:rsid w:val="00CD3F96"/>
    <w:rsid w:val="00CD40F2"/>
    <w:rsid w:val="00CD417F"/>
    <w:rsid w:val="00CD426E"/>
    <w:rsid w:val="00CD4B82"/>
    <w:rsid w:val="00CD4C30"/>
    <w:rsid w:val="00CD4F33"/>
    <w:rsid w:val="00CD50BA"/>
    <w:rsid w:val="00CD51A4"/>
    <w:rsid w:val="00CD51AA"/>
    <w:rsid w:val="00CD5262"/>
    <w:rsid w:val="00CD52FA"/>
    <w:rsid w:val="00CD537A"/>
    <w:rsid w:val="00CD5397"/>
    <w:rsid w:val="00CD53F3"/>
    <w:rsid w:val="00CD5740"/>
    <w:rsid w:val="00CD57EF"/>
    <w:rsid w:val="00CD5ABE"/>
    <w:rsid w:val="00CD5ACB"/>
    <w:rsid w:val="00CD5C96"/>
    <w:rsid w:val="00CD600C"/>
    <w:rsid w:val="00CD6127"/>
    <w:rsid w:val="00CD617C"/>
    <w:rsid w:val="00CD6592"/>
    <w:rsid w:val="00CD6765"/>
    <w:rsid w:val="00CD69B2"/>
    <w:rsid w:val="00CD6B27"/>
    <w:rsid w:val="00CD6C69"/>
    <w:rsid w:val="00CD7724"/>
    <w:rsid w:val="00CD79B5"/>
    <w:rsid w:val="00CD7DFA"/>
    <w:rsid w:val="00CD7E20"/>
    <w:rsid w:val="00CE051F"/>
    <w:rsid w:val="00CE0550"/>
    <w:rsid w:val="00CE0626"/>
    <w:rsid w:val="00CE0663"/>
    <w:rsid w:val="00CE06F7"/>
    <w:rsid w:val="00CE0AED"/>
    <w:rsid w:val="00CE0B04"/>
    <w:rsid w:val="00CE0B9B"/>
    <w:rsid w:val="00CE0CA2"/>
    <w:rsid w:val="00CE0E50"/>
    <w:rsid w:val="00CE10DB"/>
    <w:rsid w:val="00CE1160"/>
    <w:rsid w:val="00CE1184"/>
    <w:rsid w:val="00CE1313"/>
    <w:rsid w:val="00CE16F4"/>
    <w:rsid w:val="00CE1E3F"/>
    <w:rsid w:val="00CE21BF"/>
    <w:rsid w:val="00CE222C"/>
    <w:rsid w:val="00CE2466"/>
    <w:rsid w:val="00CE259A"/>
    <w:rsid w:val="00CE259E"/>
    <w:rsid w:val="00CE2970"/>
    <w:rsid w:val="00CE2A3C"/>
    <w:rsid w:val="00CE2D36"/>
    <w:rsid w:val="00CE2DC4"/>
    <w:rsid w:val="00CE2E4B"/>
    <w:rsid w:val="00CE302D"/>
    <w:rsid w:val="00CE326A"/>
    <w:rsid w:val="00CE338E"/>
    <w:rsid w:val="00CE3722"/>
    <w:rsid w:val="00CE3793"/>
    <w:rsid w:val="00CE3A5E"/>
    <w:rsid w:val="00CE3B65"/>
    <w:rsid w:val="00CE3C4F"/>
    <w:rsid w:val="00CE3E49"/>
    <w:rsid w:val="00CE3EA0"/>
    <w:rsid w:val="00CE3F3A"/>
    <w:rsid w:val="00CE4038"/>
    <w:rsid w:val="00CE4521"/>
    <w:rsid w:val="00CE4573"/>
    <w:rsid w:val="00CE47CA"/>
    <w:rsid w:val="00CE47DD"/>
    <w:rsid w:val="00CE48FF"/>
    <w:rsid w:val="00CE4A52"/>
    <w:rsid w:val="00CE4D3A"/>
    <w:rsid w:val="00CE50C3"/>
    <w:rsid w:val="00CE52D8"/>
    <w:rsid w:val="00CE533F"/>
    <w:rsid w:val="00CE54BE"/>
    <w:rsid w:val="00CE55DC"/>
    <w:rsid w:val="00CE5675"/>
    <w:rsid w:val="00CE5824"/>
    <w:rsid w:val="00CE5BD7"/>
    <w:rsid w:val="00CE5C96"/>
    <w:rsid w:val="00CE5D29"/>
    <w:rsid w:val="00CE6228"/>
    <w:rsid w:val="00CE628C"/>
    <w:rsid w:val="00CE632D"/>
    <w:rsid w:val="00CE664D"/>
    <w:rsid w:val="00CE67FE"/>
    <w:rsid w:val="00CE680C"/>
    <w:rsid w:val="00CE6B71"/>
    <w:rsid w:val="00CE6B8A"/>
    <w:rsid w:val="00CE6C78"/>
    <w:rsid w:val="00CE6CB8"/>
    <w:rsid w:val="00CE6D12"/>
    <w:rsid w:val="00CE6EDF"/>
    <w:rsid w:val="00CE6EE9"/>
    <w:rsid w:val="00CE6F11"/>
    <w:rsid w:val="00CE6FD1"/>
    <w:rsid w:val="00CE7272"/>
    <w:rsid w:val="00CE72EC"/>
    <w:rsid w:val="00CE7364"/>
    <w:rsid w:val="00CE768A"/>
    <w:rsid w:val="00CE771B"/>
    <w:rsid w:val="00CE7753"/>
    <w:rsid w:val="00CE77A1"/>
    <w:rsid w:val="00CE7A6F"/>
    <w:rsid w:val="00CE7B2D"/>
    <w:rsid w:val="00CE7B70"/>
    <w:rsid w:val="00CE7D35"/>
    <w:rsid w:val="00CE7EB0"/>
    <w:rsid w:val="00CE7ED8"/>
    <w:rsid w:val="00CF002D"/>
    <w:rsid w:val="00CF0217"/>
    <w:rsid w:val="00CF0813"/>
    <w:rsid w:val="00CF083B"/>
    <w:rsid w:val="00CF0A03"/>
    <w:rsid w:val="00CF0A1F"/>
    <w:rsid w:val="00CF0DC8"/>
    <w:rsid w:val="00CF105E"/>
    <w:rsid w:val="00CF1074"/>
    <w:rsid w:val="00CF132E"/>
    <w:rsid w:val="00CF1630"/>
    <w:rsid w:val="00CF1875"/>
    <w:rsid w:val="00CF198F"/>
    <w:rsid w:val="00CF1B03"/>
    <w:rsid w:val="00CF1B26"/>
    <w:rsid w:val="00CF1D8B"/>
    <w:rsid w:val="00CF1EFE"/>
    <w:rsid w:val="00CF215B"/>
    <w:rsid w:val="00CF22BC"/>
    <w:rsid w:val="00CF2307"/>
    <w:rsid w:val="00CF2376"/>
    <w:rsid w:val="00CF23E3"/>
    <w:rsid w:val="00CF25C5"/>
    <w:rsid w:val="00CF2AA8"/>
    <w:rsid w:val="00CF2D9E"/>
    <w:rsid w:val="00CF2E47"/>
    <w:rsid w:val="00CF2F5F"/>
    <w:rsid w:val="00CF31B9"/>
    <w:rsid w:val="00CF31CA"/>
    <w:rsid w:val="00CF32B4"/>
    <w:rsid w:val="00CF32FA"/>
    <w:rsid w:val="00CF3504"/>
    <w:rsid w:val="00CF37D8"/>
    <w:rsid w:val="00CF396D"/>
    <w:rsid w:val="00CF39FD"/>
    <w:rsid w:val="00CF3B00"/>
    <w:rsid w:val="00CF3C35"/>
    <w:rsid w:val="00CF3ECB"/>
    <w:rsid w:val="00CF3F8D"/>
    <w:rsid w:val="00CF437C"/>
    <w:rsid w:val="00CF4430"/>
    <w:rsid w:val="00CF4511"/>
    <w:rsid w:val="00CF46B0"/>
    <w:rsid w:val="00CF4810"/>
    <w:rsid w:val="00CF4855"/>
    <w:rsid w:val="00CF48C4"/>
    <w:rsid w:val="00CF4A58"/>
    <w:rsid w:val="00CF4A9B"/>
    <w:rsid w:val="00CF4F6C"/>
    <w:rsid w:val="00CF55AC"/>
    <w:rsid w:val="00CF55D6"/>
    <w:rsid w:val="00CF575D"/>
    <w:rsid w:val="00CF598B"/>
    <w:rsid w:val="00CF59E9"/>
    <w:rsid w:val="00CF5A21"/>
    <w:rsid w:val="00CF5A7A"/>
    <w:rsid w:val="00CF5E68"/>
    <w:rsid w:val="00CF5E8C"/>
    <w:rsid w:val="00CF6003"/>
    <w:rsid w:val="00CF6177"/>
    <w:rsid w:val="00CF632E"/>
    <w:rsid w:val="00CF6441"/>
    <w:rsid w:val="00CF644A"/>
    <w:rsid w:val="00CF6486"/>
    <w:rsid w:val="00CF6532"/>
    <w:rsid w:val="00CF65E5"/>
    <w:rsid w:val="00CF666F"/>
    <w:rsid w:val="00CF6B09"/>
    <w:rsid w:val="00CF6DD0"/>
    <w:rsid w:val="00CF72DD"/>
    <w:rsid w:val="00CF737E"/>
    <w:rsid w:val="00CF7402"/>
    <w:rsid w:val="00CF773C"/>
    <w:rsid w:val="00CF7760"/>
    <w:rsid w:val="00CF7769"/>
    <w:rsid w:val="00CF7A3A"/>
    <w:rsid w:val="00CF7B54"/>
    <w:rsid w:val="00CF7F74"/>
    <w:rsid w:val="00D00043"/>
    <w:rsid w:val="00D0027F"/>
    <w:rsid w:val="00D002F4"/>
    <w:rsid w:val="00D00370"/>
    <w:rsid w:val="00D004A1"/>
    <w:rsid w:val="00D0070E"/>
    <w:rsid w:val="00D00993"/>
    <w:rsid w:val="00D0099C"/>
    <w:rsid w:val="00D00A03"/>
    <w:rsid w:val="00D00F99"/>
    <w:rsid w:val="00D010F2"/>
    <w:rsid w:val="00D0182C"/>
    <w:rsid w:val="00D01850"/>
    <w:rsid w:val="00D01A5C"/>
    <w:rsid w:val="00D01D7B"/>
    <w:rsid w:val="00D01FD0"/>
    <w:rsid w:val="00D0219B"/>
    <w:rsid w:val="00D024D1"/>
    <w:rsid w:val="00D02671"/>
    <w:rsid w:val="00D02791"/>
    <w:rsid w:val="00D02BA1"/>
    <w:rsid w:val="00D02D86"/>
    <w:rsid w:val="00D032FF"/>
    <w:rsid w:val="00D03349"/>
    <w:rsid w:val="00D034BD"/>
    <w:rsid w:val="00D0352C"/>
    <w:rsid w:val="00D035F6"/>
    <w:rsid w:val="00D039DC"/>
    <w:rsid w:val="00D03C04"/>
    <w:rsid w:val="00D03DF7"/>
    <w:rsid w:val="00D03E2D"/>
    <w:rsid w:val="00D0409F"/>
    <w:rsid w:val="00D042AB"/>
    <w:rsid w:val="00D042C9"/>
    <w:rsid w:val="00D0436E"/>
    <w:rsid w:val="00D04375"/>
    <w:rsid w:val="00D04444"/>
    <w:rsid w:val="00D045E0"/>
    <w:rsid w:val="00D04689"/>
    <w:rsid w:val="00D0468F"/>
    <w:rsid w:val="00D048A1"/>
    <w:rsid w:val="00D048A5"/>
    <w:rsid w:val="00D048D7"/>
    <w:rsid w:val="00D049A0"/>
    <w:rsid w:val="00D04A6F"/>
    <w:rsid w:val="00D04ACD"/>
    <w:rsid w:val="00D04B91"/>
    <w:rsid w:val="00D04DD5"/>
    <w:rsid w:val="00D052A7"/>
    <w:rsid w:val="00D056D7"/>
    <w:rsid w:val="00D057AE"/>
    <w:rsid w:val="00D05896"/>
    <w:rsid w:val="00D0591A"/>
    <w:rsid w:val="00D05D56"/>
    <w:rsid w:val="00D060EB"/>
    <w:rsid w:val="00D0610E"/>
    <w:rsid w:val="00D06134"/>
    <w:rsid w:val="00D06218"/>
    <w:rsid w:val="00D06439"/>
    <w:rsid w:val="00D069E7"/>
    <w:rsid w:val="00D06B97"/>
    <w:rsid w:val="00D06E98"/>
    <w:rsid w:val="00D0706E"/>
    <w:rsid w:val="00D070C4"/>
    <w:rsid w:val="00D0738C"/>
    <w:rsid w:val="00D0753B"/>
    <w:rsid w:val="00D07783"/>
    <w:rsid w:val="00D07804"/>
    <w:rsid w:val="00D0783E"/>
    <w:rsid w:val="00D07871"/>
    <w:rsid w:val="00D079EA"/>
    <w:rsid w:val="00D07A7F"/>
    <w:rsid w:val="00D07A83"/>
    <w:rsid w:val="00D07B98"/>
    <w:rsid w:val="00D07C1C"/>
    <w:rsid w:val="00D07CF2"/>
    <w:rsid w:val="00D07E4D"/>
    <w:rsid w:val="00D102CD"/>
    <w:rsid w:val="00D10498"/>
    <w:rsid w:val="00D10560"/>
    <w:rsid w:val="00D105C5"/>
    <w:rsid w:val="00D10693"/>
    <w:rsid w:val="00D10742"/>
    <w:rsid w:val="00D107AB"/>
    <w:rsid w:val="00D108E8"/>
    <w:rsid w:val="00D10F2F"/>
    <w:rsid w:val="00D11252"/>
    <w:rsid w:val="00D11389"/>
    <w:rsid w:val="00D1144D"/>
    <w:rsid w:val="00D11BD4"/>
    <w:rsid w:val="00D11C97"/>
    <w:rsid w:val="00D11CEC"/>
    <w:rsid w:val="00D11E2D"/>
    <w:rsid w:val="00D11ED2"/>
    <w:rsid w:val="00D12262"/>
    <w:rsid w:val="00D12578"/>
    <w:rsid w:val="00D12652"/>
    <w:rsid w:val="00D128DA"/>
    <w:rsid w:val="00D12C65"/>
    <w:rsid w:val="00D12EAB"/>
    <w:rsid w:val="00D12F36"/>
    <w:rsid w:val="00D13339"/>
    <w:rsid w:val="00D133C9"/>
    <w:rsid w:val="00D13499"/>
    <w:rsid w:val="00D134B4"/>
    <w:rsid w:val="00D13707"/>
    <w:rsid w:val="00D137F0"/>
    <w:rsid w:val="00D13A24"/>
    <w:rsid w:val="00D13AC7"/>
    <w:rsid w:val="00D13B98"/>
    <w:rsid w:val="00D13F3F"/>
    <w:rsid w:val="00D14166"/>
    <w:rsid w:val="00D1421C"/>
    <w:rsid w:val="00D144B6"/>
    <w:rsid w:val="00D14524"/>
    <w:rsid w:val="00D145FA"/>
    <w:rsid w:val="00D146E8"/>
    <w:rsid w:val="00D1476E"/>
    <w:rsid w:val="00D1479A"/>
    <w:rsid w:val="00D14894"/>
    <w:rsid w:val="00D148CE"/>
    <w:rsid w:val="00D14988"/>
    <w:rsid w:val="00D14A47"/>
    <w:rsid w:val="00D14A5C"/>
    <w:rsid w:val="00D14AF3"/>
    <w:rsid w:val="00D14B3E"/>
    <w:rsid w:val="00D14B70"/>
    <w:rsid w:val="00D14D48"/>
    <w:rsid w:val="00D14E0D"/>
    <w:rsid w:val="00D14E3D"/>
    <w:rsid w:val="00D14E90"/>
    <w:rsid w:val="00D15004"/>
    <w:rsid w:val="00D15212"/>
    <w:rsid w:val="00D152AD"/>
    <w:rsid w:val="00D1553D"/>
    <w:rsid w:val="00D15572"/>
    <w:rsid w:val="00D1588C"/>
    <w:rsid w:val="00D15CDC"/>
    <w:rsid w:val="00D15DC8"/>
    <w:rsid w:val="00D16371"/>
    <w:rsid w:val="00D1647A"/>
    <w:rsid w:val="00D164EC"/>
    <w:rsid w:val="00D1654E"/>
    <w:rsid w:val="00D16625"/>
    <w:rsid w:val="00D1663B"/>
    <w:rsid w:val="00D166F9"/>
    <w:rsid w:val="00D1672F"/>
    <w:rsid w:val="00D16966"/>
    <w:rsid w:val="00D16A89"/>
    <w:rsid w:val="00D16D95"/>
    <w:rsid w:val="00D16E16"/>
    <w:rsid w:val="00D1742B"/>
    <w:rsid w:val="00D17478"/>
    <w:rsid w:val="00D177B8"/>
    <w:rsid w:val="00D17A0F"/>
    <w:rsid w:val="00D17C2A"/>
    <w:rsid w:val="00D17D5A"/>
    <w:rsid w:val="00D17E6D"/>
    <w:rsid w:val="00D17F04"/>
    <w:rsid w:val="00D200AC"/>
    <w:rsid w:val="00D20160"/>
    <w:rsid w:val="00D20576"/>
    <w:rsid w:val="00D20970"/>
    <w:rsid w:val="00D20998"/>
    <w:rsid w:val="00D20B6C"/>
    <w:rsid w:val="00D20CCE"/>
    <w:rsid w:val="00D21356"/>
    <w:rsid w:val="00D21412"/>
    <w:rsid w:val="00D21488"/>
    <w:rsid w:val="00D2158A"/>
    <w:rsid w:val="00D2166B"/>
    <w:rsid w:val="00D218CE"/>
    <w:rsid w:val="00D21C4A"/>
    <w:rsid w:val="00D21D2F"/>
    <w:rsid w:val="00D221A4"/>
    <w:rsid w:val="00D22279"/>
    <w:rsid w:val="00D2241A"/>
    <w:rsid w:val="00D22548"/>
    <w:rsid w:val="00D22551"/>
    <w:rsid w:val="00D22777"/>
    <w:rsid w:val="00D22AA9"/>
    <w:rsid w:val="00D22D72"/>
    <w:rsid w:val="00D22E64"/>
    <w:rsid w:val="00D22EB7"/>
    <w:rsid w:val="00D234BE"/>
    <w:rsid w:val="00D23502"/>
    <w:rsid w:val="00D23C7A"/>
    <w:rsid w:val="00D23CAA"/>
    <w:rsid w:val="00D23D7B"/>
    <w:rsid w:val="00D23F1D"/>
    <w:rsid w:val="00D2401B"/>
    <w:rsid w:val="00D24059"/>
    <w:rsid w:val="00D24157"/>
    <w:rsid w:val="00D243A0"/>
    <w:rsid w:val="00D24454"/>
    <w:rsid w:val="00D2458A"/>
    <w:rsid w:val="00D2469E"/>
    <w:rsid w:val="00D246BF"/>
    <w:rsid w:val="00D24853"/>
    <w:rsid w:val="00D248E4"/>
    <w:rsid w:val="00D2495F"/>
    <w:rsid w:val="00D24CA6"/>
    <w:rsid w:val="00D24CAB"/>
    <w:rsid w:val="00D24CDF"/>
    <w:rsid w:val="00D24E3E"/>
    <w:rsid w:val="00D24ED8"/>
    <w:rsid w:val="00D250C8"/>
    <w:rsid w:val="00D252F4"/>
    <w:rsid w:val="00D25354"/>
    <w:rsid w:val="00D25383"/>
    <w:rsid w:val="00D25568"/>
    <w:rsid w:val="00D25971"/>
    <w:rsid w:val="00D25BCD"/>
    <w:rsid w:val="00D25D0B"/>
    <w:rsid w:val="00D25E66"/>
    <w:rsid w:val="00D25EE2"/>
    <w:rsid w:val="00D26087"/>
    <w:rsid w:val="00D263D2"/>
    <w:rsid w:val="00D26572"/>
    <w:rsid w:val="00D2657E"/>
    <w:rsid w:val="00D268C7"/>
    <w:rsid w:val="00D26E35"/>
    <w:rsid w:val="00D26E55"/>
    <w:rsid w:val="00D27138"/>
    <w:rsid w:val="00D273E8"/>
    <w:rsid w:val="00D2745A"/>
    <w:rsid w:val="00D2748C"/>
    <w:rsid w:val="00D275A2"/>
    <w:rsid w:val="00D27681"/>
    <w:rsid w:val="00D276A4"/>
    <w:rsid w:val="00D27877"/>
    <w:rsid w:val="00D27A00"/>
    <w:rsid w:val="00D27A88"/>
    <w:rsid w:val="00D27AD1"/>
    <w:rsid w:val="00D30101"/>
    <w:rsid w:val="00D3024C"/>
    <w:rsid w:val="00D302EC"/>
    <w:rsid w:val="00D30553"/>
    <w:rsid w:val="00D30581"/>
    <w:rsid w:val="00D307DF"/>
    <w:rsid w:val="00D3091B"/>
    <w:rsid w:val="00D30A23"/>
    <w:rsid w:val="00D30A60"/>
    <w:rsid w:val="00D30DD8"/>
    <w:rsid w:val="00D312A0"/>
    <w:rsid w:val="00D31662"/>
    <w:rsid w:val="00D3169E"/>
    <w:rsid w:val="00D3170A"/>
    <w:rsid w:val="00D31AF2"/>
    <w:rsid w:val="00D31B00"/>
    <w:rsid w:val="00D31B5B"/>
    <w:rsid w:val="00D31D5E"/>
    <w:rsid w:val="00D31FCB"/>
    <w:rsid w:val="00D32189"/>
    <w:rsid w:val="00D321D5"/>
    <w:rsid w:val="00D32465"/>
    <w:rsid w:val="00D3257C"/>
    <w:rsid w:val="00D3298D"/>
    <w:rsid w:val="00D32FFB"/>
    <w:rsid w:val="00D3318F"/>
    <w:rsid w:val="00D3338A"/>
    <w:rsid w:val="00D33425"/>
    <w:rsid w:val="00D336C2"/>
    <w:rsid w:val="00D336D2"/>
    <w:rsid w:val="00D336F0"/>
    <w:rsid w:val="00D337A1"/>
    <w:rsid w:val="00D3396B"/>
    <w:rsid w:val="00D33B61"/>
    <w:rsid w:val="00D33CF6"/>
    <w:rsid w:val="00D33D2C"/>
    <w:rsid w:val="00D33D4E"/>
    <w:rsid w:val="00D33F7E"/>
    <w:rsid w:val="00D3431A"/>
    <w:rsid w:val="00D34562"/>
    <w:rsid w:val="00D34596"/>
    <w:rsid w:val="00D34646"/>
    <w:rsid w:val="00D348CA"/>
    <w:rsid w:val="00D34BC1"/>
    <w:rsid w:val="00D34BEB"/>
    <w:rsid w:val="00D34C9E"/>
    <w:rsid w:val="00D34D33"/>
    <w:rsid w:val="00D34D53"/>
    <w:rsid w:val="00D34D68"/>
    <w:rsid w:val="00D34E84"/>
    <w:rsid w:val="00D359CD"/>
    <w:rsid w:val="00D35DDF"/>
    <w:rsid w:val="00D35F1D"/>
    <w:rsid w:val="00D361AE"/>
    <w:rsid w:val="00D36374"/>
    <w:rsid w:val="00D3642F"/>
    <w:rsid w:val="00D36757"/>
    <w:rsid w:val="00D367C7"/>
    <w:rsid w:val="00D36801"/>
    <w:rsid w:val="00D369B7"/>
    <w:rsid w:val="00D36C0A"/>
    <w:rsid w:val="00D371A9"/>
    <w:rsid w:val="00D3726C"/>
    <w:rsid w:val="00D37275"/>
    <w:rsid w:val="00D3747B"/>
    <w:rsid w:val="00D3756B"/>
    <w:rsid w:val="00D3759A"/>
    <w:rsid w:val="00D37767"/>
    <w:rsid w:val="00D37938"/>
    <w:rsid w:val="00D37C77"/>
    <w:rsid w:val="00D37F0C"/>
    <w:rsid w:val="00D40103"/>
    <w:rsid w:val="00D4066B"/>
    <w:rsid w:val="00D406CE"/>
    <w:rsid w:val="00D40708"/>
    <w:rsid w:val="00D40A0F"/>
    <w:rsid w:val="00D40A89"/>
    <w:rsid w:val="00D40CF6"/>
    <w:rsid w:val="00D40E06"/>
    <w:rsid w:val="00D40F80"/>
    <w:rsid w:val="00D40FDB"/>
    <w:rsid w:val="00D41108"/>
    <w:rsid w:val="00D41223"/>
    <w:rsid w:val="00D4125A"/>
    <w:rsid w:val="00D41264"/>
    <w:rsid w:val="00D41395"/>
    <w:rsid w:val="00D417AE"/>
    <w:rsid w:val="00D41B4D"/>
    <w:rsid w:val="00D41BD3"/>
    <w:rsid w:val="00D41E98"/>
    <w:rsid w:val="00D422CC"/>
    <w:rsid w:val="00D422EB"/>
    <w:rsid w:val="00D424B4"/>
    <w:rsid w:val="00D425DE"/>
    <w:rsid w:val="00D42840"/>
    <w:rsid w:val="00D42842"/>
    <w:rsid w:val="00D42A6B"/>
    <w:rsid w:val="00D42AC4"/>
    <w:rsid w:val="00D42C00"/>
    <w:rsid w:val="00D42D17"/>
    <w:rsid w:val="00D431E5"/>
    <w:rsid w:val="00D43295"/>
    <w:rsid w:val="00D43305"/>
    <w:rsid w:val="00D4342B"/>
    <w:rsid w:val="00D43632"/>
    <w:rsid w:val="00D43774"/>
    <w:rsid w:val="00D43930"/>
    <w:rsid w:val="00D439F3"/>
    <w:rsid w:val="00D43A8D"/>
    <w:rsid w:val="00D441AA"/>
    <w:rsid w:val="00D44219"/>
    <w:rsid w:val="00D44251"/>
    <w:rsid w:val="00D442CE"/>
    <w:rsid w:val="00D4432B"/>
    <w:rsid w:val="00D44852"/>
    <w:rsid w:val="00D44A58"/>
    <w:rsid w:val="00D44DD1"/>
    <w:rsid w:val="00D44E26"/>
    <w:rsid w:val="00D45014"/>
    <w:rsid w:val="00D4526D"/>
    <w:rsid w:val="00D45400"/>
    <w:rsid w:val="00D4542F"/>
    <w:rsid w:val="00D45558"/>
    <w:rsid w:val="00D456CE"/>
    <w:rsid w:val="00D456D8"/>
    <w:rsid w:val="00D45B5C"/>
    <w:rsid w:val="00D45D1B"/>
    <w:rsid w:val="00D45D4A"/>
    <w:rsid w:val="00D45DE5"/>
    <w:rsid w:val="00D45EA0"/>
    <w:rsid w:val="00D462F0"/>
    <w:rsid w:val="00D463DC"/>
    <w:rsid w:val="00D469A8"/>
    <w:rsid w:val="00D469F3"/>
    <w:rsid w:val="00D46C27"/>
    <w:rsid w:val="00D46C2C"/>
    <w:rsid w:val="00D46CD2"/>
    <w:rsid w:val="00D46E0F"/>
    <w:rsid w:val="00D470B0"/>
    <w:rsid w:val="00D47272"/>
    <w:rsid w:val="00D4737C"/>
    <w:rsid w:val="00D4751A"/>
    <w:rsid w:val="00D47738"/>
    <w:rsid w:val="00D479B2"/>
    <w:rsid w:val="00D47C88"/>
    <w:rsid w:val="00D47E75"/>
    <w:rsid w:val="00D5030B"/>
    <w:rsid w:val="00D50352"/>
    <w:rsid w:val="00D50753"/>
    <w:rsid w:val="00D5090A"/>
    <w:rsid w:val="00D50B34"/>
    <w:rsid w:val="00D50B9B"/>
    <w:rsid w:val="00D5119B"/>
    <w:rsid w:val="00D51236"/>
    <w:rsid w:val="00D5131B"/>
    <w:rsid w:val="00D515DF"/>
    <w:rsid w:val="00D51615"/>
    <w:rsid w:val="00D51937"/>
    <w:rsid w:val="00D51B1A"/>
    <w:rsid w:val="00D51BE2"/>
    <w:rsid w:val="00D51C4A"/>
    <w:rsid w:val="00D51DFD"/>
    <w:rsid w:val="00D51EDF"/>
    <w:rsid w:val="00D51FAB"/>
    <w:rsid w:val="00D52291"/>
    <w:rsid w:val="00D522B4"/>
    <w:rsid w:val="00D525AC"/>
    <w:rsid w:val="00D52601"/>
    <w:rsid w:val="00D5262D"/>
    <w:rsid w:val="00D526F9"/>
    <w:rsid w:val="00D5278D"/>
    <w:rsid w:val="00D527E2"/>
    <w:rsid w:val="00D52A2F"/>
    <w:rsid w:val="00D52A96"/>
    <w:rsid w:val="00D52D70"/>
    <w:rsid w:val="00D52DD0"/>
    <w:rsid w:val="00D52F98"/>
    <w:rsid w:val="00D53373"/>
    <w:rsid w:val="00D536B2"/>
    <w:rsid w:val="00D536F4"/>
    <w:rsid w:val="00D53975"/>
    <w:rsid w:val="00D53BA8"/>
    <w:rsid w:val="00D53CD2"/>
    <w:rsid w:val="00D53D25"/>
    <w:rsid w:val="00D53E06"/>
    <w:rsid w:val="00D540BE"/>
    <w:rsid w:val="00D540D2"/>
    <w:rsid w:val="00D541DB"/>
    <w:rsid w:val="00D5421C"/>
    <w:rsid w:val="00D54436"/>
    <w:rsid w:val="00D544BF"/>
    <w:rsid w:val="00D546BD"/>
    <w:rsid w:val="00D54B16"/>
    <w:rsid w:val="00D54B76"/>
    <w:rsid w:val="00D54BB2"/>
    <w:rsid w:val="00D54E53"/>
    <w:rsid w:val="00D54EE0"/>
    <w:rsid w:val="00D54F13"/>
    <w:rsid w:val="00D54FEE"/>
    <w:rsid w:val="00D55001"/>
    <w:rsid w:val="00D552EB"/>
    <w:rsid w:val="00D55328"/>
    <w:rsid w:val="00D553E8"/>
    <w:rsid w:val="00D555F8"/>
    <w:rsid w:val="00D55887"/>
    <w:rsid w:val="00D55A2C"/>
    <w:rsid w:val="00D55BB1"/>
    <w:rsid w:val="00D55BB3"/>
    <w:rsid w:val="00D55BE3"/>
    <w:rsid w:val="00D55D5D"/>
    <w:rsid w:val="00D55DD1"/>
    <w:rsid w:val="00D55E3E"/>
    <w:rsid w:val="00D56082"/>
    <w:rsid w:val="00D5646B"/>
    <w:rsid w:val="00D56631"/>
    <w:rsid w:val="00D568CC"/>
    <w:rsid w:val="00D56942"/>
    <w:rsid w:val="00D56B4E"/>
    <w:rsid w:val="00D56B81"/>
    <w:rsid w:val="00D56DA8"/>
    <w:rsid w:val="00D56E47"/>
    <w:rsid w:val="00D56F0E"/>
    <w:rsid w:val="00D5708B"/>
    <w:rsid w:val="00D570DF"/>
    <w:rsid w:val="00D571A6"/>
    <w:rsid w:val="00D57251"/>
    <w:rsid w:val="00D5727D"/>
    <w:rsid w:val="00D577B8"/>
    <w:rsid w:val="00D577C5"/>
    <w:rsid w:val="00D577CD"/>
    <w:rsid w:val="00D57EF6"/>
    <w:rsid w:val="00D6012C"/>
    <w:rsid w:val="00D60167"/>
    <w:rsid w:val="00D6016B"/>
    <w:rsid w:val="00D606B8"/>
    <w:rsid w:val="00D60707"/>
    <w:rsid w:val="00D607C3"/>
    <w:rsid w:val="00D60B5D"/>
    <w:rsid w:val="00D60BAF"/>
    <w:rsid w:val="00D60BB1"/>
    <w:rsid w:val="00D60C57"/>
    <w:rsid w:val="00D60D2D"/>
    <w:rsid w:val="00D60D81"/>
    <w:rsid w:val="00D60E4A"/>
    <w:rsid w:val="00D60F3A"/>
    <w:rsid w:val="00D61052"/>
    <w:rsid w:val="00D612AA"/>
    <w:rsid w:val="00D6150E"/>
    <w:rsid w:val="00D615E2"/>
    <w:rsid w:val="00D6165E"/>
    <w:rsid w:val="00D6177D"/>
    <w:rsid w:val="00D61795"/>
    <w:rsid w:val="00D61832"/>
    <w:rsid w:val="00D61909"/>
    <w:rsid w:val="00D619CC"/>
    <w:rsid w:val="00D61B76"/>
    <w:rsid w:val="00D61B9B"/>
    <w:rsid w:val="00D61C4B"/>
    <w:rsid w:val="00D61D6A"/>
    <w:rsid w:val="00D61D96"/>
    <w:rsid w:val="00D61E68"/>
    <w:rsid w:val="00D61EE7"/>
    <w:rsid w:val="00D620D1"/>
    <w:rsid w:val="00D62426"/>
    <w:rsid w:val="00D6243D"/>
    <w:rsid w:val="00D6248C"/>
    <w:rsid w:val="00D62542"/>
    <w:rsid w:val="00D625DC"/>
    <w:rsid w:val="00D62849"/>
    <w:rsid w:val="00D62987"/>
    <w:rsid w:val="00D62A2B"/>
    <w:rsid w:val="00D62D19"/>
    <w:rsid w:val="00D62ED7"/>
    <w:rsid w:val="00D63411"/>
    <w:rsid w:val="00D636A7"/>
    <w:rsid w:val="00D6377F"/>
    <w:rsid w:val="00D637FC"/>
    <w:rsid w:val="00D63906"/>
    <w:rsid w:val="00D63992"/>
    <w:rsid w:val="00D63B23"/>
    <w:rsid w:val="00D63DEF"/>
    <w:rsid w:val="00D63E91"/>
    <w:rsid w:val="00D641B4"/>
    <w:rsid w:val="00D64260"/>
    <w:rsid w:val="00D6442B"/>
    <w:rsid w:val="00D64452"/>
    <w:rsid w:val="00D645AE"/>
    <w:rsid w:val="00D646A4"/>
    <w:rsid w:val="00D648B9"/>
    <w:rsid w:val="00D648C3"/>
    <w:rsid w:val="00D64DEF"/>
    <w:rsid w:val="00D64E4B"/>
    <w:rsid w:val="00D64F25"/>
    <w:rsid w:val="00D65002"/>
    <w:rsid w:val="00D65366"/>
    <w:rsid w:val="00D65512"/>
    <w:rsid w:val="00D65719"/>
    <w:rsid w:val="00D65791"/>
    <w:rsid w:val="00D65919"/>
    <w:rsid w:val="00D659E6"/>
    <w:rsid w:val="00D65BFF"/>
    <w:rsid w:val="00D65D36"/>
    <w:rsid w:val="00D65E2D"/>
    <w:rsid w:val="00D66268"/>
    <w:rsid w:val="00D6659C"/>
    <w:rsid w:val="00D6659D"/>
    <w:rsid w:val="00D665D2"/>
    <w:rsid w:val="00D665EE"/>
    <w:rsid w:val="00D6664A"/>
    <w:rsid w:val="00D66697"/>
    <w:rsid w:val="00D6670F"/>
    <w:rsid w:val="00D66859"/>
    <w:rsid w:val="00D66BCB"/>
    <w:rsid w:val="00D66BF3"/>
    <w:rsid w:val="00D66BFD"/>
    <w:rsid w:val="00D66E84"/>
    <w:rsid w:val="00D66E86"/>
    <w:rsid w:val="00D66FB7"/>
    <w:rsid w:val="00D6720E"/>
    <w:rsid w:val="00D67445"/>
    <w:rsid w:val="00D67508"/>
    <w:rsid w:val="00D67693"/>
    <w:rsid w:val="00D67A44"/>
    <w:rsid w:val="00D67B2A"/>
    <w:rsid w:val="00D67CC2"/>
    <w:rsid w:val="00D67F15"/>
    <w:rsid w:val="00D67F69"/>
    <w:rsid w:val="00D700DF"/>
    <w:rsid w:val="00D70113"/>
    <w:rsid w:val="00D7017C"/>
    <w:rsid w:val="00D702CD"/>
    <w:rsid w:val="00D7031C"/>
    <w:rsid w:val="00D70796"/>
    <w:rsid w:val="00D70851"/>
    <w:rsid w:val="00D70CDB"/>
    <w:rsid w:val="00D70E0B"/>
    <w:rsid w:val="00D70E82"/>
    <w:rsid w:val="00D70EA6"/>
    <w:rsid w:val="00D70EB2"/>
    <w:rsid w:val="00D70F85"/>
    <w:rsid w:val="00D711F6"/>
    <w:rsid w:val="00D714C5"/>
    <w:rsid w:val="00D715BB"/>
    <w:rsid w:val="00D71632"/>
    <w:rsid w:val="00D7175E"/>
    <w:rsid w:val="00D71EED"/>
    <w:rsid w:val="00D7200D"/>
    <w:rsid w:val="00D721A8"/>
    <w:rsid w:val="00D72338"/>
    <w:rsid w:val="00D7234F"/>
    <w:rsid w:val="00D723B7"/>
    <w:rsid w:val="00D723F8"/>
    <w:rsid w:val="00D72555"/>
    <w:rsid w:val="00D72559"/>
    <w:rsid w:val="00D727C0"/>
    <w:rsid w:val="00D727EC"/>
    <w:rsid w:val="00D72874"/>
    <w:rsid w:val="00D728E1"/>
    <w:rsid w:val="00D72990"/>
    <w:rsid w:val="00D729F0"/>
    <w:rsid w:val="00D72ADB"/>
    <w:rsid w:val="00D72C5E"/>
    <w:rsid w:val="00D731E4"/>
    <w:rsid w:val="00D7330F"/>
    <w:rsid w:val="00D734BA"/>
    <w:rsid w:val="00D736F5"/>
    <w:rsid w:val="00D73D87"/>
    <w:rsid w:val="00D73E23"/>
    <w:rsid w:val="00D740BD"/>
    <w:rsid w:val="00D740FA"/>
    <w:rsid w:val="00D74374"/>
    <w:rsid w:val="00D743CA"/>
    <w:rsid w:val="00D74706"/>
    <w:rsid w:val="00D748A4"/>
    <w:rsid w:val="00D74912"/>
    <w:rsid w:val="00D749F7"/>
    <w:rsid w:val="00D74B8C"/>
    <w:rsid w:val="00D74E39"/>
    <w:rsid w:val="00D753C7"/>
    <w:rsid w:val="00D755E1"/>
    <w:rsid w:val="00D757B9"/>
    <w:rsid w:val="00D757E0"/>
    <w:rsid w:val="00D75834"/>
    <w:rsid w:val="00D7594D"/>
    <w:rsid w:val="00D75C3B"/>
    <w:rsid w:val="00D75DD5"/>
    <w:rsid w:val="00D75E46"/>
    <w:rsid w:val="00D76089"/>
    <w:rsid w:val="00D760D4"/>
    <w:rsid w:val="00D76199"/>
    <w:rsid w:val="00D762F0"/>
    <w:rsid w:val="00D76760"/>
    <w:rsid w:val="00D76A09"/>
    <w:rsid w:val="00D76D5D"/>
    <w:rsid w:val="00D76D97"/>
    <w:rsid w:val="00D7729A"/>
    <w:rsid w:val="00D77418"/>
    <w:rsid w:val="00D7749E"/>
    <w:rsid w:val="00D776AB"/>
    <w:rsid w:val="00D7771B"/>
    <w:rsid w:val="00D7784B"/>
    <w:rsid w:val="00D779CD"/>
    <w:rsid w:val="00D77A48"/>
    <w:rsid w:val="00D77D69"/>
    <w:rsid w:val="00D77E80"/>
    <w:rsid w:val="00D77EFC"/>
    <w:rsid w:val="00D80009"/>
    <w:rsid w:val="00D806B4"/>
    <w:rsid w:val="00D807DA"/>
    <w:rsid w:val="00D80B8D"/>
    <w:rsid w:val="00D80C45"/>
    <w:rsid w:val="00D80C5D"/>
    <w:rsid w:val="00D80D87"/>
    <w:rsid w:val="00D80F56"/>
    <w:rsid w:val="00D812CD"/>
    <w:rsid w:val="00D813AB"/>
    <w:rsid w:val="00D813CA"/>
    <w:rsid w:val="00D81524"/>
    <w:rsid w:val="00D817A4"/>
    <w:rsid w:val="00D8182E"/>
    <w:rsid w:val="00D81A86"/>
    <w:rsid w:val="00D81CA4"/>
    <w:rsid w:val="00D81D61"/>
    <w:rsid w:val="00D81DB4"/>
    <w:rsid w:val="00D81DBD"/>
    <w:rsid w:val="00D81E5E"/>
    <w:rsid w:val="00D81F84"/>
    <w:rsid w:val="00D82512"/>
    <w:rsid w:val="00D8267A"/>
    <w:rsid w:val="00D8273E"/>
    <w:rsid w:val="00D8291A"/>
    <w:rsid w:val="00D82967"/>
    <w:rsid w:val="00D82CB0"/>
    <w:rsid w:val="00D82FAE"/>
    <w:rsid w:val="00D833D0"/>
    <w:rsid w:val="00D834BD"/>
    <w:rsid w:val="00D835D2"/>
    <w:rsid w:val="00D83633"/>
    <w:rsid w:val="00D836D6"/>
    <w:rsid w:val="00D83797"/>
    <w:rsid w:val="00D83967"/>
    <w:rsid w:val="00D83A39"/>
    <w:rsid w:val="00D83C35"/>
    <w:rsid w:val="00D83D82"/>
    <w:rsid w:val="00D83E2D"/>
    <w:rsid w:val="00D83EFA"/>
    <w:rsid w:val="00D84007"/>
    <w:rsid w:val="00D84103"/>
    <w:rsid w:val="00D84ACC"/>
    <w:rsid w:val="00D84BF7"/>
    <w:rsid w:val="00D84CA2"/>
    <w:rsid w:val="00D8509D"/>
    <w:rsid w:val="00D851A3"/>
    <w:rsid w:val="00D8558F"/>
    <w:rsid w:val="00D855FF"/>
    <w:rsid w:val="00D856FB"/>
    <w:rsid w:val="00D857B7"/>
    <w:rsid w:val="00D859A9"/>
    <w:rsid w:val="00D85D43"/>
    <w:rsid w:val="00D85D51"/>
    <w:rsid w:val="00D85D8A"/>
    <w:rsid w:val="00D85E3E"/>
    <w:rsid w:val="00D85EFB"/>
    <w:rsid w:val="00D85F13"/>
    <w:rsid w:val="00D861C5"/>
    <w:rsid w:val="00D863CC"/>
    <w:rsid w:val="00D863E4"/>
    <w:rsid w:val="00D86533"/>
    <w:rsid w:val="00D868B8"/>
    <w:rsid w:val="00D86A15"/>
    <w:rsid w:val="00D86C7C"/>
    <w:rsid w:val="00D86C8D"/>
    <w:rsid w:val="00D86CF5"/>
    <w:rsid w:val="00D86D5E"/>
    <w:rsid w:val="00D87406"/>
    <w:rsid w:val="00D87504"/>
    <w:rsid w:val="00D878CE"/>
    <w:rsid w:val="00D8799A"/>
    <w:rsid w:val="00D87B54"/>
    <w:rsid w:val="00D87C12"/>
    <w:rsid w:val="00D87C5D"/>
    <w:rsid w:val="00D87DD8"/>
    <w:rsid w:val="00D87E45"/>
    <w:rsid w:val="00D87F25"/>
    <w:rsid w:val="00D87FDD"/>
    <w:rsid w:val="00D902CE"/>
    <w:rsid w:val="00D90366"/>
    <w:rsid w:val="00D90372"/>
    <w:rsid w:val="00D903B8"/>
    <w:rsid w:val="00D9042F"/>
    <w:rsid w:val="00D90514"/>
    <w:rsid w:val="00D9080D"/>
    <w:rsid w:val="00D9087C"/>
    <w:rsid w:val="00D908F9"/>
    <w:rsid w:val="00D909B2"/>
    <w:rsid w:val="00D90AF3"/>
    <w:rsid w:val="00D90B8A"/>
    <w:rsid w:val="00D90FE8"/>
    <w:rsid w:val="00D91264"/>
    <w:rsid w:val="00D9131E"/>
    <w:rsid w:val="00D91458"/>
    <w:rsid w:val="00D91537"/>
    <w:rsid w:val="00D91558"/>
    <w:rsid w:val="00D9167E"/>
    <w:rsid w:val="00D916F4"/>
    <w:rsid w:val="00D91A30"/>
    <w:rsid w:val="00D91AE1"/>
    <w:rsid w:val="00D91B59"/>
    <w:rsid w:val="00D91B6E"/>
    <w:rsid w:val="00D91C35"/>
    <w:rsid w:val="00D91C94"/>
    <w:rsid w:val="00D91F63"/>
    <w:rsid w:val="00D9205F"/>
    <w:rsid w:val="00D920B4"/>
    <w:rsid w:val="00D924D6"/>
    <w:rsid w:val="00D926D3"/>
    <w:rsid w:val="00D92702"/>
    <w:rsid w:val="00D9293F"/>
    <w:rsid w:val="00D92A4F"/>
    <w:rsid w:val="00D92B1E"/>
    <w:rsid w:val="00D92BBA"/>
    <w:rsid w:val="00D92EEE"/>
    <w:rsid w:val="00D93111"/>
    <w:rsid w:val="00D93261"/>
    <w:rsid w:val="00D93489"/>
    <w:rsid w:val="00D9362C"/>
    <w:rsid w:val="00D93763"/>
    <w:rsid w:val="00D9384B"/>
    <w:rsid w:val="00D93940"/>
    <w:rsid w:val="00D93999"/>
    <w:rsid w:val="00D93B0B"/>
    <w:rsid w:val="00D93B58"/>
    <w:rsid w:val="00D93D57"/>
    <w:rsid w:val="00D940CE"/>
    <w:rsid w:val="00D94280"/>
    <w:rsid w:val="00D94331"/>
    <w:rsid w:val="00D9449F"/>
    <w:rsid w:val="00D944E9"/>
    <w:rsid w:val="00D94566"/>
    <w:rsid w:val="00D946ED"/>
    <w:rsid w:val="00D9497B"/>
    <w:rsid w:val="00D94AFC"/>
    <w:rsid w:val="00D94B5E"/>
    <w:rsid w:val="00D94D35"/>
    <w:rsid w:val="00D94DE9"/>
    <w:rsid w:val="00D94EAA"/>
    <w:rsid w:val="00D94F9B"/>
    <w:rsid w:val="00D951A7"/>
    <w:rsid w:val="00D95322"/>
    <w:rsid w:val="00D953C1"/>
    <w:rsid w:val="00D958EE"/>
    <w:rsid w:val="00D95941"/>
    <w:rsid w:val="00D959DC"/>
    <w:rsid w:val="00D95BDB"/>
    <w:rsid w:val="00D961FA"/>
    <w:rsid w:val="00D96308"/>
    <w:rsid w:val="00D96427"/>
    <w:rsid w:val="00D9662E"/>
    <w:rsid w:val="00D96756"/>
    <w:rsid w:val="00D969CA"/>
    <w:rsid w:val="00D96BA1"/>
    <w:rsid w:val="00D96C26"/>
    <w:rsid w:val="00D96E6F"/>
    <w:rsid w:val="00D970DA"/>
    <w:rsid w:val="00D97443"/>
    <w:rsid w:val="00D9750F"/>
    <w:rsid w:val="00D975FB"/>
    <w:rsid w:val="00D9766B"/>
    <w:rsid w:val="00D9777F"/>
    <w:rsid w:val="00D97B1F"/>
    <w:rsid w:val="00D97D6D"/>
    <w:rsid w:val="00D97E7B"/>
    <w:rsid w:val="00DA0147"/>
    <w:rsid w:val="00DA0379"/>
    <w:rsid w:val="00DA0421"/>
    <w:rsid w:val="00DA06D9"/>
    <w:rsid w:val="00DA0B82"/>
    <w:rsid w:val="00DA0BBD"/>
    <w:rsid w:val="00DA0C7A"/>
    <w:rsid w:val="00DA0F0F"/>
    <w:rsid w:val="00DA1013"/>
    <w:rsid w:val="00DA12FD"/>
    <w:rsid w:val="00DA135D"/>
    <w:rsid w:val="00DA13BE"/>
    <w:rsid w:val="00DA151B"/>
    <w:rsid w:val="00DA152E"/>
    <w:rsid w:val="00DA1835"/>
    <w:rsid w:val="00DA1A53"/>
    <w:rsid w:val="00DA1B84"/>
    <w:rsid w:val="00DA1C9F"/>
    <w:rsid w:val="00DA1EA5"/>
    <w:rsid w:val="00DA20D6"/>
    <w:rsid w:val="00DA221B"/>
    <w:rsid w:val="00DA222C"/>
    <w:rsid w:val="00DA24AD"/>
    <w:rsid w:val="00DA24E3"/>
    <w:rsid w:val="00DA25BF"/>
    <w:rsid w:val="00DA25DD"/>
    <w:rsid w:val="00DA269A"/>
    <w:rsid w:val="00DA2707"/>
    <w:rsid w:val="00DA28FC"/>
    <w:rsid w:val="00DA2A0D"/>
    <w:rsid w:val="00DA2D7B"/>
    <w:rsid w:val="00DA2F40"/>
    <w:rsid w:val="00DA31A4"/>
    <w:rsid w:val="00DA32FF"/>
    <w:rsid w:val="00DA336A"/>
    <w:rsid w:val="00DA3646"/>
    <w:rsid w:val="00DA3686"/>
    <w:rsid w:val="00DA369B"/>
    <w:rsid w:val="00DA3923"/>
    <w:rsid w:val="00DA3B0E"/>
    <w:rsid w:val="00DA3BE5"/>
    <w:rsid w:val="00DA3DE9"/>
    <w:rsid w:val="00DA3E81"/>
    <w:rsid w:val="00DA3E9B"/>
    <w:rsid w:val="00DA441B"/>
    <w:rsid w:val="00DA444C"/>
    <w:rsid w:val="00DA44DE"/>
    <w:rsid w:val="00DA45AB"/>
    <w:rsid w:val="00DA4818"/>
    <w:rsid w:val="00DA49C9"/>
    <w:rsid w:val="00DA4A16"/>
    <w:rsid w:val="00DA4A22"/>
    <w:rsid w:val="00DA4A7E"/>
    <w:rsid w:val="00DA4D7E"/>
    <w:rsid w:val="00DA4E3E"/>
    <w:rsid w:val="00DA4FE7"/>
    <w:rsid w:val="00DA52C3"/>
    <w:rsid w:val="00DA5330"/>
    <w:rsid w:val="00DA534C"/>
    <w:rsid w:val="00DA54B5"/>
    <w:rsid w:val="00DA56DA"/>
    <w:rsid w:val="00DA5C72"/>
    <w:rsid w:val="00DA5D56"/>
    <w:rsid w:val="00DA610B"/>
    <w:rsid w:val="00DA6212"/>
    <w:rsid w:val="00DA63B8"/>
    <w:rsid w:val="00DA6858"/>
    <w:rsid w:val="00DA688D"/>
    <w:rsid w:val="00DA6AB8"/>
    <w:rsid w:val="00DA6B33"/>
    <w:rsid w:val="00DA6C34"/>
    <w:rsid w:val="00DA6CE1"/>
    <w:rsid w:val="00DA6CE2"/>
    <w:rsid w:val="00DA6FF9"/>
    <w:rsid w:val="00DA7604"/>
    <w:rsid w:val="00DA76DC"/>
    <w:rsid w:val="00DA7B1C"/>
    <w:rsid w:val="00DA7F36"/>
    <w:rsid w:val="00DB0019"/>
    <w:rsid w:val="00DB06E8"/>
    <w:rsid w:val="00DB0C68"/>
    <w:rsid w:val="00DB0D8A"/>
    <w:rsid w:val="00DB104C"/>
    <w:rsid w:val="00DB11ED"/>
    <w:rsid w:val="00DB1405"/>
    <w:rsid w:val="00DB149C"/>
    <w:rsid w:val="00DB17FB"/>
    <w:rsid w:val="00DB18FF"/>
    <w:rsid w:val="00DB198A"/>
    <w:rsid w:val="00DB1C5A"/>
    <w:rsid w:val="00DB1C96"/>
    <w:rsid w:val="00DB1CE4"/>
    <w:rsid w:val="00DB1E8A"/>
    <w:rsid w:val="00DB1EEB"/>
    <w:rsid w:val="00DB1F75"/>
    <w:rsid w:val="00DB22FE"/>
    <w:rsid w:val="00DB2558"/>
    <w:rsid w:val="00DB294F"/>
    <w:rsid w:val="00DB2D3E"/>
    <w:rsid w:val="00DB2E83"/>
    <w:rsid w:val="00DB3096"/>
    <w:rsid w:val="00DB30E5"/>
    <w:rsid w:val="00DB30F7"/>
    <w:rsid w:val="00DB327F"/>
    <w:rsid w:val="00DB3399"/>
    <w:rsid w:val="00DB33DF"/>
    <w:rsid w:val="00DB3412"/>
    <w:rsid w:val="00DB359A"/>
    <w:rsid w:val="00DB38EA"/>
    <w:rsid w:val="00DB3A12"/>
    <w:rsid w:val="00DB3B86"/>
    <w:rsid w:val="00DB3C20"/>
    <w:rsid w:val="00DB3D75"/>
    <w:rsid w:val="00DB3D9F"/>
    <w:rsid w:val="00DB40DE"/>
    <w:rsid w:val="00DB40EC"/>
    <w:rsid w:val="00DB4152"/>
    <w:rsid w:val="00DB41BD"/>
    <w:rsid w:val="00DB45C0"/>
    <w:rsid w:val="00DB4732"/>
    <w:rsid w:val="00DB4737"/>
    <w:rsid w:val="00DB4986"/>
    <w:rsid w:val="00DB4C4B"/>
    <w:rsid w:val="00DB4C79"/>
    <w:rsid w:val="00DB5358"/>
    <w:rsid w:val="00DB571B"/>
    <w:rsid w:val="00DB5A4B"/>
    <w:rsid w:val="00DB5B2A"/>
    <w:rsid w:val="00DB5C82"/>
    <w:rsid w:val="00DB5D8B"/>
    <w:rsid w:val="00DB5EA8"/>
    <w:rsid w:val="00DB5F2C"/>
    <w:rsid w:val="00DB629D"/>
    <w:rsid w:val="00DB6340"/>
    <w:rsid w:val="00DB636A"/>
    <w:rsid w:val="00DB66BD"/>
    <w:rsid w:val="00DB66DB"/>
    <w:rsid w:val="00DB66EC"/>
    <w:rsid w:val="00DB6776"/>
    <w:rsid w:val="00DB6A00"/>
    <w:rsid w:val="00DB6A42"/>
    <w:rsid w:val="00DB70CD"/>
    <w:rsid w:val="00DB70D5"/>
    <w:rsid w:val="00DB7138"/>
    <w:rsid w:val="00DB7145"/>
    <w:rsid w:val="00DB7297"/>
    <w:rsid w:val="00DB72F4"/>
    <w:rsid w:val="00DB7444"/>
    <w:rsid w:val="00DB7622"/>
    <w:rsid w:val="00DB7A85"/>
    <w:rsid w:val="00DC0077"/>
    <w:rsid w:val="00DC0129"/>
    <w:rsid w:val="00DC0339"/>
    <w:rsid w:val="00DC04C0"/>
    <w:rsid w:val="00DC0648"/>
    <w:rsid w:val="00DC0677"/>
    <w:rsid w:val="00DC0735"/>
    <w:rsid w:val="00DC0D58"/>
    <w:rsid w:val="00DC149E"/>
    <w:rsid w:val="00DC14A1"/>
    <w:rsid w:val="00DC1570"/>
    <w:rsid w:val="00DC187D"/>
    <w:rsid w:val="00DC1935"/>
    <w:rsid w:val="00DC1BD8"/>
    <w:rsid w:val="00DC1D40"/>
    <w:rsid w:val="00DC1DCD"/>
    <w:rsid w:val="00DC28B1"/>
    <w:rsid w:val="00DC2991"/>
    <w:rsid w:val="00DC29AA"/>
    <w:rsid w:val="00DC2A2D"/>
    <w:rsid w:val="00DC2D22"/>
    <w:rsid w:val="00DC2FA6"/>
    <w:rsid w:val="00DC3629"/>
    <w:rsid w:val="00DC386C"/>
    <w:rsid w:val="00DC3922"/>
    <w:rsid w:val="00DC3931"/>
    <w:rsid w:val="00DC3951"/>
    <w:rsid w:val="00DC3A5D"/>
    <w:rsid w:val="00DC3BC6"/>
    <w:rsid w:val="00DC3EF4"/>
    <w:rsid w:val="00DC415C"/>
    <w:rsid w:val="00DC463F"/>
    <w:rsid w:val="00DC46C7"/>
    <w:rsid w:val="00DC46F0"/>
    <w:rsid w:val="00DC4E1B"/>
    <w:rsid w:val="00DC4F54"/>
    <w:rsid w:val="00DC52B1"/>
    <w:rsid w:val="00DC558E"/>
    <w:rsid w:val="00DC55D4"/>
    <w:rsid w:val="00DC577D"/>
    <w:rsid w:val="00DC5792"/>
    <w:rsid w:val="00DC57FF"/>
    <w:rsid w:val="00DC5A4C"/>
    <w:rsid w:val="00DC5D30"/>
    <w:rsid w:val="00DC5F3B"/>
    <w:rsid w:val="00DC5F4E"/>
    <w:rsid w:val="00DC6031"/>
    <w:rsid w:val="00DC6129"/>
    <w:rsid w:val="00DC63A0"/>
    <w:rsid w:val="00DC665B"/>
    <w:rsid w:val="00DC6777"/>
    <w:rsid w:val="00DC689D"/>
    <w:rsid w:val="00DC6980"/>
    <w:rsid w:val="00DC6CBE"/>
    <w:rsid w:val="00DC6D63"/>
    <w:rsid w:val="00DC6D75"/>
    <w:rsid w:val="00DC6FBD"/>
    <w:rsid w:val="00DC702D"/>
    <w:rsid w:val="00DC7031"/>
    <w:rsid w:val="00DC70F4"/>
    <w:rsid w:val="00DC70FF"/>
    <w:rsid w:val="00DC71F2"/>
    <w:rsid w:val="00DC7652"/>
    <w:rsid w:val="00DC765B"/>
    <w:rsid w:val="00DC7CD2"/>
    <w:rsid w:val="00DC7CDD"/>
    <w:rsid w:val="00DC7D30"/>
    <w:rsid w:val="00DC7F20"/>
    <w:rsid w:val="00DD013C"/>
    <w:rsid w:val="00DD013D"/>
    <w:rsid w:val="00DD0361"/>
    <w:rsid w:val="00DD0583"/>
    <w:rsid w:val="00DD09D0"/>
    <w:rsid w:val="00DD0A68"/>
    <w:rsid w:val="00DD0AE3"/>
    <w:rsid w:val="00DD0BAF"/>
    <w:rsid w:val="00DD0CDB"/>
    <w:rsid w:val="00DD0CF4"/>
    <w:rsid w:val="00DD0D39"/>
    <w:rsid w:val="00DD0DEF"/>
    <w:rsid w:val="00DD0F2A"/>
    <w:rsid w:val="00DD1024"/>
    <w:rsid w:val="00DD112C"/>
    <w:rsid w:val="00DD13B6"/>
    <w:rsid w:val="00DD1549"/>
    <w:rsid w:val="00DD1940"/>
    <w:rsid w:val="00DD1A24"/>
    <w:rsid w:val="00DD1E9E"/>
    <w:rsid w:val="00DD2110"/>
    <w:rsid w:val="00DD2166"/>
    <w:rsid w:val="00DD238E"/>
    <w:rsid w:val="00DD25D3"/>
    <w:rsid w:val="00DD26AD"/>
    <w:rsid w:val="00DD28F9"/>
    <w:rsid w:val="00DD29E7"/>
    <w:rsid w:val="00DD2BB6"/>
    <w:rsid w:val="00DD2D0E"/>
    <w:rsid w:val="00DD2F25"/>
    <w:rsid w:val="00DD2F2C"/>
    <w:rsid w:val="00DD353D"/>
    <w:rsid w:val="00DD3816"/>
    <w:rsid w:val="00DD38E8"/>
    <w:rsid w:val="00DD39C6"/>
    <w:rsid w:val="00DD39CB"/>
    <w:rsid w:val="00DD3AAF"/>
    <w:rsid w:val="00DD3AF8"/>
    <w:rsid w:val="00DD3F45"/>
    <w:rsid w:val="00DD3F6A"/>
    <w:rsid w:val="00DD4193"/>
    <w:rsid w:val="00DD461E"/>
    <w:rsid w:val="00DD4698"/>
    <w:rsid w:val="00DD481E"/>
    <w:rsid w:val="00DD49DF"/>
    <w:rsid w:val="00DD4A47"/>
    <w:rsid w:val="00DD4B05"/>
    <w:rsid w:val="00DD509D"/>
    <w:rsid w:val="00DD553D"/>
    <w:rsid w:val="00DD5740"/>
    <w:rsid w:val="00DD5821"/>
    <w:rsid w:val="00DD5C8E"/>
    <w:rsid w:val="00DD5D23"/>
    <w:rsid w:val="00DD5DF9"/>
    <w:rsid w:val="00DD5E7A"/>
    <w:rsid w:val="00DD5FE4"/>
    <w:rsid w:val="00DD60E8"/>
    <w:rsid w:val="00DD629A"/>
    <w:rsid w:val="00DD6469"/>
    <w:rsid w:val="00DD68E3"/>
    <w:rsid w:val="00DD6B9A"/>
    <w:rsid w:val="00DD6CBB"/>
    <w:rsid w:val="00DD6D28"/>
    <w:rsid w:val="00DD6E1F"/>
    <w:rsid w:val="00DD6E5A"/>
    <w:rsid w:val="00DD71CB"/>
    <w:rsid w:val="00DD75FB"/>
    <w:rsid w:val="00DD77E5"/>
    <w:rsid w:val="00DD7989"/>
    <w:rsid w:val="00DD7A33"/>
    <w:rsid w:val="00DD7BD2"/>
    <w:rsid w:val="00DD7BEC"/>
    <w:rsid w:val="00DD7D58"/>
    <w:rsid w:val="00DE0204"/>
    <w:rsid w:val="00DE023B"/>
    <w:rsid w:val="00DE0459"/>
    <w:rsid w:val="00DE046E"/>
    <w:rsid w:val="00DE079D"/>
    <w:rsid w:val="00DE0808"/>
    <w:rsid w:val="00DE09D6"/>
    <w:rsid w:val="00DE0A20"/>
    <w:rsid w:val="00DE0AD1"/>
    <w:rsid w:val="00DE0B2A"/>
    <w:rsid w:val="00DE0B98"/>
    <w:rsid w:val="00DE0BFA"/>
    <w:rsid w:val="00DE1013"/>
    <w:rsid w:val="00DE1046"/>
    <w:rsid w:val="00DE12B6"/>
    <w:rsid w:val="00DE14B3"/>
    <w:rsid w:val="00DE1729"/>
    <w:rsid w:val="00DE1C37"/>
    <w:rsid w:val="00DE1D55"/>
    <w:rsid w:val="00DE1EEE"/>
    <w:rsid w:val="00DE21C2"/>
    <w:rsid w:val="00DE2433"/>
    <w:rsid w:val="00DE2980"/>
    <w:rsid w:val="00DE2C0B"/>
    <w:rsid w:val="00DE2CF9"/>
    <w:rsid w:val="00DE2E93"/>
    <w:rsid w:val="00DE2F7A"/>
    <w:rsid w:val="00DE2FD3"/>
    <w:rsid w:val="00DE33C0"/>
    <w:rsid w:val="00DE355C"/>
    <w:rsid w:val="00DE3696"/>
    <w:rsid w:val="00DE373C"/>
    <w:rsid w:val="00DE37F2"/>
    <w:rsid w:val="00DE3946"/>
    <w:rsid w:val="00DE3A59"/>
    <w:rsid w:val="00DE3D2F"/>
    <w:rsid w:val="00DE3EFB"/>
    <w:rsid w:val="00DE42BE"/>
    <w:rsid w:val="00DE4608"/>
    <w:rsid w:val="00DE46C2"/>
    <w:rsid w:val="00DE472A"/>
    <w:rsid w:val="00DE496E"/>
    <w:rsid w:val="00DE4A0E"/>
    <w:rsid w:val="00DE4C0F"/>
    <w:rsid w:val="00DE4CFB"/>
    <w:rsid w:val="00DE53AE"/>
    <w:rsid w:val="00DE5418"/>
    <w:rsid w:val="00DE5449"/>
    <w:rsid w:val="00DE5471"/>
    <w:rsid w:val="00DE54D1"/>
    <w:rsid w:val="00DE54EF"/>
    <w:rsid w:val="00DE568D"/>
    <w:rsid w:val="00DE56A9"/>
    <w:rsid w:val="00DE58AE"/>
    <w:rsid w:val="00DE58C2"/>
    <w:rsid w:val="00DE58F5"/>
    <w:rsid w:val="00DE595D"/>
    <w:rsid w:val="00DE5E37"/>
    <w:rsid w:val="00DE6026"/>
    <w:rsid w:val="00DE60B7"/>
    <w:rsid w:val="00DE651C"/>
    <w:rsid w:val="00DE65F6"/>
    <w:rsid w:val="00DE66E7"/>
    <w:rsid w:val="00DE67F9"/>
    <w:rsid w:val="00DE69A2"/>
    <w:rsid w:val="00DE6B3E"/>
    <w:rsid w:val="00DE6E1C"/>
    <w:rsid w:val="00DE6FFE"/>
    <w:rsid w:val="00DE70C5"/>
    <w:rsid w:val="00DE718B"/>
    <w:rsid w:val="00DE731E"/>
    <w:rsid w:val="00DE7466"/>
    <w:rsid w:val="00DE76B2"/>
    <w:rsid w:val="00DE7743"/>
    <w:rsid w:val="00DE786A"/>
    <w:rsid w:val="00DE7A2A"/>
    <w:rsid w:val="00DF0537"/>
    <w:rsid w:val="00DF0802"/>
    <w:rsid w:val="00DF0A80"/>
    <w:rsid w:val="00DF0A8C"/>
    <w:rsid w:val="00DF0C65"/>
    <w:rsid w:val="00DF10E1"/>
    <w:rsid w:val="00DF10ED"/>
    <w:rsid w:val="00DF13C0"/>
    <w:rsid w:val="00DF1AF2"/>
    <w:rsid w:val="00DF1B9A"/>
    <w:rsid w:val="00DF1C04"/>
    <w:rsid w:val="00DF1F09"/>
    <w:rsid w:val="00DF212C"/>
    <w:rsid w:val="00DF21C7"/>
    <w:rsid w:val="00DF2310"/>
    <w:rsid w:val="00DF26BA"/>
    <w:rsid w:val="00DF2845"/>
    <w:rsid w:val="00DF2A6C"/>
    <w:rsid w:val="00DF2B69"/>
    <w:rsid w:val="00DF2C44"/>
    <w:rsid w:val="00DF2DD2"/>
    <w:rsid w:val="00DF3138"/>
    <w:rsid w:val="00DF3166"/>
    <w:rsid w:val="00DF34E3"/>
    <w:rsid w:val="00DF35B2"/>
    <w:rsid w:val="00DF35C1"/>
    <w:rsid w:val="00DF35F9"/>
    <w:rsid w:val="00DF3648"/>
    <w:rsid w:val="00DF3A6B"/>
    <w:rsid w:val="00DF3B62"/>
    <w:rsid w:val="00DF3DB9"/>
    <w:rsid w:val="00DF3E0F"/>
    <w:rsid w:val="00DF3E18"/>
    <w:rsid w:val="00DF3F94"/>
    <w:rsid w:val="00DF3FF1"/>
    <w:rsid w:val="00DF40AD"/>
    <w:rsid w:val="00DF417B"/>
    <w:rsid w:val="00DF4187"/>
    <w:rsid w:val="00DF430B"/>
    <w:rsid w:val="00DF437F"/>
    <w:rsid w:val="00DF4521"/>
    <w:rsid w:val="00DF4604"/>
    <w:rsid w:val="00DF4798"/>
    <w:rsid w:val="00DF47C0"/>
    <w:rsid w:val="00DF4AA2"/>
    <w:rsid w:val="00DF4B1A"/>
    <w:rsid w:val="00DF4B5B"/>
    <w:rsid w:val="00DF4B66"/>
    <w:rsid w:val="00DF4F64"/>
    <w:rsid w:val="00DF51F9"/>
    <w:rsid w:val="00DF5343"/>
    <w:rsid w:val="00DF550D"/>
    <w:rsid w:val="00DF552E"/>
    <w:rsid w:val="00DF5673"/>
    <w:rsid w:val="00DF56B1"/>
    <w:rsid w:val="00DF586C"/>
    <w:rsid w:val="00DF5E5A"/>
    <w:rsid w:val="00DF5F7A"/>
    <w:rsid w:val="00DF6127"/>
    <w:rsid w:val="00DF615D"/>
    <w:rsid w:val="00DF627C"/>
    <w:rsid w:val="00DF6413"/>
    <w:rsid w:val="00DF685D"/>
    <w:rsid w:val="00DF68B3"/>
    <w:rsid w:val="00DF6EB3"/>
    <w:rsid w:val="00DF6FCC"/>
    <w:rsid w:val="00DF707A"/>
    <w:rsid w:val="00DF74DD"/>
    <w:rsid w:val="00DF770E"/>
    <w:rsid w:val="00DF7752"/>
    <w:rsid w:val="00DF782B"/>
    <w:rsid w:val="00DF7854"/>
    <w:rsid w:val="00DF78E0"/>
    <w:rsid w:val="00E002B2"/>
    <w:rsid w:val="00E006C4"/>
    <w:rsid w:val="00E00708"/>
    <w:rsid w:val="00E009A7"/>
    <w:rsid w:val="00E00A5B"/>
    <w:rsid w:val="00E00BB1"/>
    <w:rsid w:val="00E00BEA"/>
    <w:rsid w:val="00E010D6"/>
    <w:rsid w:val="00E0115D"/>
    <w:rsid w:val="00E01254"/>
    <w:rsid w:val="00E013C6"/>
    <w:rsid w:val="00E015D3"/>
    <w:rsid w:val="00E016DC"/>
    <w:rsid w:val="00E017D7"/>
    <w:rsid w:val="00E01AE7"/>
    <w:rsid w:val="00E01C67"/>
    <w:rsid w:val="00E0242C"/>
    <w:rsid w:val="00E02466"/>
    <w:rsid w:val="00E02921"/>
    <w:rsid w:val="00E029B6"/>
    <w:rsid w:val="00E031E5"/>
    <w:rsid w:val="00E033EA"/>
    <w:rsid w:val="00E034C0"/>
    <w:rsid w:val="00E038D8"/>
    <w:rsid w:val="00E03915"/>
    <w:rsid w:val="00E03BEB"/>
    <w:rsid w:val="00E03D35"/>
    <w:rsid w:val="00E03D39"/>
    <w:rsid w:val="00E03DC4"/>
    <w:rsid w:val="00E03EF4"/>
    <w:rsid w:val="00E04048"/>
    <w:rsid w:val="00E04101"/>
    <w:rsid w:val="00E04153"/>
    <w:rsid w:val="00E042BC"/>
    <w:rsid w:val="00E04451"/>
    <w:rsid w:val="00E04561"/>
    <w:rsid w:val="00E048B5"/>
    <w:rsid w:val="00E04926"/>
    <w:rsid w:val="00E049C4"/>
    <w:rsid w:val="00E04CB8"/>
    <w:rsid w:val="00E04E4C"/>
    <w:rsid w:val="00E04EDA"/>
    <w:rsid w:val="00E05095"/>
    <w:rsid w:val="00E052A5"/>
    <w:rsid w:val="00E053B9"/>
    <w:rsid w:val="00E05612"/>
    <w:rsid w:val="00E05687"/>
    <w:rsid w:val="00E058F9"/>
    <w:rsid w:val="00E05B8F"/>
    <w:rsid w:val="00E05BD4"/>
    <w:rsid w:val="00E05F8E"/>
    <w:rsid w:val="00E061ED"/>
    <w:rsid w:val="00E06447"/>
    <w:rsid w:val="00E06597"/>
    <w:rsid w:val="00E06679"/>
    <w:rsid w:val="00E067A4"/>
    <w:rsid w:val="00E06A0E"/>
    <w:rsid w:val="00E06ADD"/>
    <w:rsid w:val="00E06C64"/>
    <w:rsid w:val="00E06C65"/>
    <w:rsid w:val="00E06CEE"/>
    <w:rsid w:val="00E06D96"/>
    <w:rsid w:val="00E06D9E"/>
    <w:rsid w:val="00E06E29"/>
    <w:rsid w:val="00E06EE0"/>
    <w:rsid w:val="00E07095"/>
    <w:rsid w:val="00E0722D"/>
    <w:rsid w:val="00E0727C"/>
    <w:rsid w:val="00E075AA"/>
    <w:rsid w:val="00E07729"/>
    <w:rsid w:val="00E07765"/>
    <w:rsid w:val="00E0787B"/>
    <w:rsid w:val="00E078BF"/>
    <w:rsid w:val="00E079D6"/>
    <w:rsid w:val="00E07A40"/>
    <w:rsid w:val="00E07D85"/>
    <w:rsid w:val="00E07F23"/>
    <w:rsid w:val="00E07FB3"/>
    <w:rsid w:val="00E1038A"/>
    <w:rsid w:val="00E10401"/>
    <w:rsid w:val="00E104E9"/>
    <w:rsid w:val="00E1053F"/>
    <w:rsid w:val="00E10546"/>
    <w:rsid w:val="00E10692"/>
    <w:rsid w:val="00E107B6"/>
    <w:rsid w:val="00E10A40"/>
    <w:rsid w:val="00E10B00"/>
    <w:rsid w:val="00E10B25"/>
    <w:rsid w:val="00E10EE0"/>
    <w:rsid w:val="00E10EEC"/>
    <w:rsid w:val="00E11033"/>
    <w:rsid w:val="00E110D5"/>
    <w:rsid w:val="00E111F3"/>
    <w:rsid w:val="00E11568"/>
    <w:rsid w:val="00E116A1"/>
    <w:rsid w:val="00E117FF"/>
    <w:rsid w:val="00E11A34"/>
    <w:rsid w:val="00E11B1D"/>
    <w:rsid w:val="00E11B2D"/>
    <w:rsid w:val="00E11E0D"/>
    <w:rsid w:val="00E11FA9"/>
    <w:rsid w:val="00E12008"/>
    <w:rsid w:val="00E12092"/>
    <w:rsid w:val="00E1238D"/>
    <w:rsid w:val="00E12963"/>
    <w:rsid w:val="00E12C71"/>
    <w:rsid w:val="00E12C90"/>
    <w:rsid w:val="00E12C95"/>
    <w:rsid w:val="00E12D2F"/>
    <w:rsid w:val="00E12E1C"/>
    <w:rsid w:val="00E12ED3"/>
    <w:rsid w:val="00E12F03"/>
    <w:rsid w:val="00E1336F"/>
    <w:rsid w:val="00E134DE"/>
    <w:rsid w:val="00E13650"/>
    <w:rsid w:val="00E13780"/>
    <w:rsid w:val="00E139B9"/>
    <w:rsid w:val="00E13AA2"/>
    <w:rsid w:val="00E13CFE"/>
    <w:rsid w:val="00E13D87"/>
    <w:rsid w:val="00E142AF"/>
    <w:rsid w:val="00E143A9"/>
    <w:rsid w:val="00E1452C"/>
    <w:rsid w:val="00E149B5"/>
    <w:rsid w:val="00E14A08"/>
    <w:rsid w:val="00E14AE1"/>
    <w:rsid w:val="00E14B66"/>
    <w:rsid w:val="00E14CEE"/>
    <w:rsid w:val="00E15011"/>
    <w:rsid w:val="00E15318"/>
    <w:rsid w:val="00E158A3"/>
    <w:rsid w:val="00E15991"/>
    <w:rsid w:val="00E159A1"/>
    <w:rsid w:val="00E15C2C"/>
    <w:rsid w:val="00E15F63"/>
    <w:rsid w:val="00E161E6"/>
    <w:rsid w:val="00E1640B"/>
    <w:rsid w:val="00E164B5"/>
    <w:rsid w:val="00E16A8B"/>
    <w:rsid w:val="00E16F04"/>
    <w:rsid w:val="00E16F41"/>
    <w:rsid w:val="00E16F8B"/>
    <w:rsid w:val="00E1713D"/>
    <w:rsid w:val="00E172EE"/>
    <w:rsid w:val="00E1744B"/>
    <w:rsid w:val="00E17621"/>
    <w:rsid w:val="00E17773"/>
    <w:rsid w:val="00E178F4"/>
    <w:rsid w:val="00E1799D"/>
    <w:rsid w:val="00E179DC"/>
    <w:rsid w:val="00E17AB0"/>
    <w:rsid w:val="00E17DC9"/>
    <w:rsid w:val="00E17F5A"/>
    <w:rsid w:val="00E2006B"/>
    <w:rsid w:val="00E200D1"/>
    <w:rsid w:val="00E2015B"/>
    <w:rsid w:val="00E201CB"/>
    <w:rsid w:val="00E2044D"/>
    <w:rsid w:val="00E20653"/>
    <w:rsid w:val="00E207AA"/>
    <w:rsid w:val="00E209A2"/>
    <w:rsid w:val="00E20FD5"/>
    <w:rsid w:val="00E210D6"/>
    <w:rsid w:val="00E2122F"/>
    <w:rsid w:val="00E213FB"/>
    <w:rsid w:val="00E21881"/>
    <w:rsid w:val="00E218FC"/>
    <w:rsid w:val="00E21991"/>
    <w:rsid w:val="00E21C29"/>
    <w:rsid w:val="00E22162"/>
    <w:rsid w:val="00E2248C"/>
    <w:rsid w:val="00E2258A"/>
    <w:rsid w:val="00E2260F"/>
    <w:rsid w:val="00E226EC"/>
    <w:rsid w:val="00E228A0"/>
    <w:rsid w:val="00E22C12"/>
    <w:rsid w:val="00E22F8A"/>
    <w:rsid w:val="00E231C4"/>
    <w:rsid w:val="00E23A41"/>
    <w:rsid w:val="00E23B08"/>
    <w:rsid w:val="00E23BEF"/>
    <w:rsid w:val="00E2427E"/>
    <w:rsid w:val="00E2453C"/>
    <w:rsid w:val="00E24542"/>
    <w:rsid w:val="00E2489A"/>
    <w:rsid w:val="00E24A61"/>
    <w:rsid w:val="00E24C2A"/>
    <w:rsid w:val="00E2508C"/>
    <w:rsid w:val="00E25102"/>
    <w:rsid w:val="00E25139"/>
    <w:rsid w:val="00E2514B"/>
    <w:rsid w:val="00E25234"/>
    <w:rsid w:val="00E252E5"/>
    <w:rsid w:val="00E2531C"/>
    <w:rsid w:val="00E2538D"/>
    <w:rsid w:val="00E25471"/>
    <w:rsid w:val="00E256B6"/>
    <w:rsid w:val="00E25AD8"/>
    <w:rsid w:val="00E25BC8"/>
    <w:rsid w:val="00E25DF4"/>
    <w:rsid w:val="00E26009"/>
    <w:rsid w:val="00E261FE"/>
    <w:rsid w:val="00E2668B"/>
    <w:rsid w:val="00E26CA0"/>
    <w:rsid w:val="00E26D69"/>
    <w:rsid w:val="00E26E06"/>
    <w:rsid w:val="00E26EDB"/>
    <w:rsid w:val="00E26F6E"/>
    <w:rsid w:val="00E270A4"/>
    <w:rsid w:val="00E27109"/>
    <w:rsid w:val="00E276D0"/>
    <w:rsid w:val="00E2773C"/>
    <w:rsid w:val="00E27AFA"/>
    <w:rsid w:val="00E27BEE"/>
    <w:rsid w:val="00E27D3F"/>
    <w:rsid w:val="00E30241"/>
    <w:rsid w:val="00E30303"/>
    <w:rsid w:val="00E30474"/>
    <w:rsid w:val="00E30493"/>
    <w:rsid w:val="00E3065E"/>
    <w:rsid w:val="00E30E48"/>
    <w:rsid w:val="00E30E7B"/>
    <w:rsid w:val="00E30EE3"/>
    <w:rsid w:val="00E30F72"/>
    <w:rsid w:val="00E30FB4"/>
    <w:rsid w:val="00E3115D"/>
    <w:rsid w:val="00E313C6"/>
    <w:rsid w:val="00E31715"/>
    <w:rsid w:val="00E317BB"/>
    <w:rsid w:val="00E31802"/>
    <w:rsid w:val="00E31B0C"/>
    <w:rsid w:val="00E31CB4"/>
    <w:rsid w:val="00E31E35"/>
    <w:rsid w:val="00E31FFA"/>
    <w:rsid w:val="00E32006"/>
    <w:rsid w:val="00E32082"/>
    <w:rsid w:val="00E3213D"/>
    <w:rsid w:val="00E32655"/>
    <w:rsid w:val="00E32705"/>
    <w:rsid w:val="00E327EC"/>
    <w:rsid w:val="00E32F7A"/>
    <w:rsid w:val="00E3302B"/>
    <w:rsid w:val="00E3305A"/>
    <w:rsid w:val="00E3309D"/>
    <w:rsid w:val="00E333F7"/>
    <w:rsid w:val="00E3349E"/>
    <w:rsid w:val="00E3352D"/>
    <w:rsid w:val="00E335EE"/>
    <w:rsid w:val="00E33895"/>
    <w:rsid w:val="00E338FF"/>
    <w:rsid w:val="00E339F8"/>
    <w:rsid w:val="00E33C1F"/>
    <w:rsid w:val="00E33C60"/>
    <w:rsid w:val="00E3402A"/>
    <w:rsid w:val="00E3436B"/>
    <w:rsid w:val="00E34443"/>
    <w:rsid w:val="00E34444"/>
    <w:rsid w:val="00E34535"/>
    <w:rsid w:val="00E347AC"/>
    <w:rsid w:val="00E34878"/>
    <w:rsid w:val="00E348FB"/>
    <w:rsid w:val="00E34DF2"/>
    <w:rsid w:val="00E35055"/>
    <w:rsid w:val="00E350B8"/>
    <w:rsid w:val="00E350EC"/>
    <w:rsid w:val="00E35308"/>
    <w:rsid w:val="00E35342"/>
    <w:rsid w:val="00E35544"/>
    <w:rsid w:val="00E356A1"/>
    <w:rsid w:val="00E35A6D"/>
    <w:rsid w:val="00E35B74"/>
    <w:rsid w:val="00E35D00"/>
    <w:rsid w:val="00E35D23"/>
    <w:rsid w:val="00E35DA9"/>
    <w:rsid w:val="00E35E2E"/>
    <w:rsid w:val="00E35F1D"/>
    <w:rsid w:val="00E36041"/>
    <w:rsid w:val="00E362BA"/>
    <w:rsid w:val="00E3672F"/>
    <w:rsid w:val="00E36773"/>
    <w:rsid w:val="00E3682C"/>
    <w:rsid w:val="00E368E3"/>
    <w:rsid w:val="00E36925"/>
    <w:rsid w:val="00E3692B"/>
    <w:rsid w:val="00E369BF"/>
    <w:rsid w:val="00E36A33"/>
    <w:rsid w:val="00E36A9C"/>
    <w:rsid w:val="00E36DF4"/>
    <w:rsid w:val="00E36E21"/>
    <w:rsid w:val="00E3714F"/>
    <w:rsid w:val="00E373A2"/>
    <w:rsid w:val="00E37753"/>
    <w:rsid w:val="00E37824"/>
    <w:rsid w:val="00E37A62"/>
    <w:rsid w:val="00E37C76"/>
    <w:rsid w:val="00E37D23"/>
    <w:rsid w:val="00E37F5C"/>
    <w:rsid w:val="00E4016F"/>
    <w:rsid w:val="00E4021F"/>
    <w:rsid w:val="00E40A9F"/>
    <w:rsid w:val="00E40BAC"/>
    <w:rsid w:val="00E412CB"/>
    <w:rsid w:val="00E4154F"/>
    <w:rsid w:val="00E4163E"/>
    <w:rsid w:val="00E41CEA"/>
    <w:rsid w:val="00E41E19"/>
    <w:rsid w:val="00E41EC0"/>
    <w:rsid w:val="00E41EF3"/>
    <w:rsid w:val="00E422C6"/>
    <w:rsid w:val="00E422E0"/>
    <w:rsid w:val="00E4245C"/>
    <w:rsid w:val="00E425C4"/>
    <w:rsid w:val="00E4276A"/>
    <w:rsid w:val="00E4296C"/>
    <w:rsid w:val="00E42ACB"/>
    <w:rsid w:val="00E42BA1"/>
    <w:rsid w:val="00E42C16"/>
    <w:rsid w:val="00E42E29"/>
    <w:rsid w:val="00E42EF7"/>
    <w:rsid w:val="00E433C4"/>
    <w:rsid w:val="00E43410"/>
    <w:rsid w:val="00E436F4"/>
    <w:rsid w:val="00E43792"/>
    <w:rsid w:val="00E43873"/>
    <w:rsid w:val="00E438A9"/>
    <w:rsid w:val="00E439F9"/>
    <w:rsid w:val="00E4411B"/>
    <w:rsid w:val="00E4415D"/>
    <w:rsid w:val="00E44514"/>
    <w:rsid w:val="00E44570"/>
    <w:rsid w:val="00E4472D"/>
    <w:rsid w:val="00E448C9"/>
    <w:rsid w:val="00E44D03"/>
    <w:rsid w:val="00E44DC3"/>
    <w:rsid w:val="00E44DF0"/>
    <w:rsid w:val="00E45230"/>
    <w:rsid w:val="00E456BA"/>
    <w:rsid w:val="00E458B3"/>
    <w:rsid w:val="00E459FA"/>
    <w:rsid w:val="00E45A40"/>
    <w:rsid w:val="00E45ADE"/>
    <w:rsid w:val="00E45BAC"/>
    <w:rsid w:val="00E45C68"/>
    <w:rsid w:val="00E45CB7"/>
    <w:rsid w:val="00E45D21"/>
    <w:rsid w:val="00E45DCF"/>
    <w:rsid w:val="00E46041"/>
    <w:rsid w:val="00E46115"/>
    <w:rsid w:val="00E461DF"/>
    <w:rsid w:val="00E46301"/>
    <w:rsid w:val="00E4670D"/>
    <w:rsid w:val="00E467C1"/>
    <w:rsid w:val="00E46984"/>
    <w:rsid w:val="00E469C3"/>
    <w:rsid w:val="00E46A02"/>
    <w:rsid w:val="00E46B62"/>
    <w:rsid w:val="00E46BF4"/>
    <w:rsid w:val="00E46CE4"/>
    <w:rsid w:val="00E46F81"/>
    <w:rsid w:val="00E47234"/>
    <w:rsid w:val="00E47286"/>
    <w:rsid w:val="00E4732C"/>
    <w:rsid w:val="00E4732D"/>
    <w:rsid w:val="00E4733B"/>
    <w:rsid w:val="00E4741A"/>
    <w:rsid w:val="00E47532"/>
    <w:rsid w:val="00E4773F"/>
    <w:rsid w:val="00E47878"/>
    <w:rsid w:val="00E47938"/>
    <w:rsid w:val="00E47B8F"/>
    <w:rsid w:val="00E47CF2"/>
    <w:rsid w:val="00E47E18"/>
    <w:rsid w:val="00E47ECA"/>
    <w:rsid w:val="00E50103"/>
    <w:rsid w:val="00E5019D"/>
    <w:rsid w:val="00E503FE"/>
    <w:rsid w:val="00E50601"/>
    <w:rsid w:val="00E508D4"/>
    <w:rsid w:val="00E50B5E"/>
    <w:rsid w:val="00E514FC"/>
    <w:rsid w:val="00E515B6"/>
    <w:rsid w:val="00E515FB"/>
    <w:rsid w:val="00E517BC"/>
    <w:rsid w:val="00E51C04"/>
    <w:rsid w:val="00E51F93"/>
    <w:rsid w:val="00E52026"/>
    <w:rsid w:val="00E525B1"/>
    <w:rsid w:val="00E5270D"/>
    <w:rsid w:val="00E5281D"/>
    <w:rsid w:val="00E52B33"/>
    <w:rsid w:val="00E52CC5"/>
    <w:rsid w:val="00E52F25"/>
    <w:rsid w:val="00E52F28"/>
    <w:rsid w:val="00E53077"/>
    <w:rsid w:val="00E5315C"/>
    <w:rsid w:val="00E533A6"/>
    <w:rsid w:val="00E53456"/>
    <w:rsid w:val="00E53477"/>
    <w:rsid w:val="00E53817"/>
    <w:rsid w:val="00E53B3C"/>
    <w:rsid w:val="00E53C73"/>
    <w:rsid w:val="00E53DF4"/>
    <w:rsid w:val="00E53DF7"/>
    <w:rsid w:val="00E53F92"/>
    <w:rsid w:val="00E54186"/>
    <w:rsid w:val="00E5485E"/>
    <w:rsid w:val="00E54867"/>
    <w:rsid w:val="00E54B2C"/>
    <w:rsid w:val="00E54B52"/>
    <w:rsid w:val="00E54D8B"/>
    <w:rsid w:val="00E54E44"/>
    <w:rsid w:val="00E54F05"/>
    <w:rsid w:val="00E54F83"/>
    <w:rsid w:val="00E552FC"/>
    <w:rsid w:val="00E5543A"/>
    <w:rsid w:val="00E55683"/>
    <w:rsid w:val="00E5572B"/>
    <w:rsid w:val="00E55753"/>
    <w:rsid w:val="00E558C2"/>
    <w:rsid w:val="00E55AAE"/>
    <w:rsid w:val="00E55B1F"/>
    <w:rsid w:val="00E55D16"/>
    <w:rsid w:val="00E55E76"/>
    <w:rsid w:val="00E55F7F"/>
    <w:rsid w:val="00E55FAF"/>
    <w:rsid w:val="00E55FFA"/>
    <w:rsid w:val="00E56976"/>
    <w:rsid w:val="00E56ABD"/>
    <w:rsid w:val="00E56E33"/>
    <w:rsid w:val="00E56E82"/>
    <w:rsid w:val="00E570BB"/>
    <w:rsid w:val="00E570F6"/>
    <w:rsid w:val="00E5717A"/>
    <w:rsid w:val="00E571DA"/>
    <w:rsid w:val="00E5727F"/>
    <w:rsid w:val="00E5750D"/>
    <w:rsid w:val="00E576F5"/>
    <w:rsid w:val="00E57991"/>
    <w:rsid w:val="00E579C9"/>
    <w:rsid w:val="00E57E66"/>
    <w:rsid w:val="00E605D8"/>
    <w:rsid w:val="00E6066F"/>
    <w:rsid w:val="00E60735"/>
    <w:rsid w:val="00E607F4"/>
    <w:rsid w:val="00E609A5"/>
    <w:rsid w:val="00E60BAA"/>
    <w:rsid w:val="00E60C03"/>
    <w:rsid w:val="00E61138"/>
    <w:rsid w:val="00E6141F"/>
    <w:rsid w:val="00E616F1"/>
    <w:rsid w:val="00E61963"/>
    <w:rsid w:val="00E61EA0"/>
    <w:rsid w:val="00E61EC0"/>
    <w:rsid w:val="00E621F4"/>
    <w:rsid w:val="00E62426"/>
    <w:rsid w:val="00E62668"/>
    <w:rsid w:val="00E628F7"/>
    <w:rsid w:val="00E62CB0"/>
    <w:rsid w:val="00E62EA2"/>
    <w:rsid w:val="00E6346E"/>
    <w:rsid w:val="00E635A4"/>
    <w:rsid w:val="00E63705"/>
    <w:rsid w:val="00E6389E"/>
    <w:rsid w:val="00E6397A"/>
    <w:rsid w:val="00E63E89"/>
    <w:rsid w:val="00E64767"/>
    <w:rsid w:val="00E647A4"/>
    <w:rsid w:val="00E648B6"/>
    <w:rsid w:val="00E648D5"/>
    <w:rsid w:val="00E64998"/>
    <w:rsid w:val="00E649D8"/>
    <w:rsid w:val="00E64B77"/>
    <w:rsid w:val="00E64BFE"/>
    <w:rsid w:val="00E64E83"/>
    <w:rsid w:val="00E650F1"/>
    <w:rsid w:val="00E6537C"/>
    <w:rsid w:val="00E656FF"/>
    <w:rsid w:val="00E6595F"/>
    <w:rsid w:val="00E6598B"/>
    <w:rsid w:val="00E65B43"/>
    <w:rsid w:val="00E65C87"/>
    <w:rsid w:val="00E65E33"/>
    <w:rsid w:val="00E65E99"/>
    <w:rsid w:val="00E660D6"/>
    <w:rsid w:val="00E66138"/>
    <w:rsid w:val="00E66245"/>
    <w:rsid w:val="00E662C9"/>
    <w:rsid w:val="00E66322"/>
    <w:rsid w:val="00E6664C"/>
    <w:rsid w:val="00E66A2A"/>
    <w:rsid w:val="00E66CAF"/>
    <w:rsid w:val="00E66CB0"/>
    <w:rsid w:val="00E66CCF"/>
    <w:rsid w:val="00E66F96"/>
    <w:rsid w:val="00E670E3"/>
    <w:rsid w:val="00E671DF"/>
    <w:rsid w:val="00E67D6F"/>
    <w:rsid w:val="00E67D7C"/>
    <w:rsid w:val="00E67EA9"/>
    <w:rsid w:val="00E67F06"/>
    <w:rsid w:val="00E67F90"/>
    <w:rsid w:val="00E7001D"/>
    <w:rsid w:val="00E70232"/>
    <w:rsid w:val="00E7024C"/>
    <w:rsid w:val="00E70293"/>
    <w:rsid w:val="00E70976"/>
    <w:rsid w:val="00E709B8"/>
    <w:rsid w:val="00E70DD3"/>
    <w:rsid w:val="00E70EE9"/>
    <w:rsid w:val="00E7141A"/>
    <w:rsid w:val="00E717EC"/>
    <w:rsid w:val="00E717EF"/>
    <w:rsid w:val="00E71806"/>
    <w:rsid w:val="00E71B37"/>
    <w:rsid w:val="00E71C5C"/>
    <w:rsid w:val="00E71CF1"/>
    <w:rsid w:val="00E71ECB"/>
    <w:rsid w:val="00E71F65"/>
    <w:rsid w:val="00E71F7B"/>
    <w:rsid w:val="00E723FA"/>
    <w:rsid w:val="00E727F4"/>
    <w:rsid w:val="00E72824"/>
    <w:rsid w:val="00E729D1"/>
    <w:rsid w:val="00E72A17"/>
    <w:rsid w:val="00E72A9B"/>
    <w:rsid w:val="00E72B2F"/>
    <w:rsid w:val="00E7328C"/>
    <w:rsid w:val="00E7347E"/>
    <w:rsid w:val="00E736DB"/>
    <w:rsid w:val="00E73943"/>
    <w:rsid w:val="00E73A60"/>
    <w:rsid w:val="00E73FC1"/>
    <w:rsid w:val="00E74353"/>
    <w:rsid w:val="00E74581"/>
    <w:rsid w:val="00E746D6"/>
    <w:rsid w:val="00E747D4"/>
    <w:rsid w:val="00E7480B"/>
    <w:rsid w:val="00E748AB"/>
    <w:rsid w:val="00E74EA8"/>
    <w:rsid w:val="00E752F6"/>
    <w:rsid w:val="00E75316"/>
    <w:rsid w:val="00E755F2"/>
    <w:rsid w:val="00E75839"/>
    <w:rsid w:val="00E75AC0"/>
    <w:rsid w:val="00E75AC5"/>
    <w:rsid w:val="00E75ACF"/>
    <w:rsid w:val="00E75B8C"/>
    <w:rsid w:val="00E75C27"/>
    <w:rsid w:val="00E75E1F"/>
    <w:rsid w:val="00E75E9D"/>
    <w:rsid w:val="00E75F8E"/>
    <w:rsid w:val="00E75FA9"/>
    <w:rsid w:val="00E75FAF"/>
    <w:rsid w:val="00E76049"/>
    <w:rsid w:val="00E76096"/>
    <w:rsid w:val="00E760FE"/>
    <w:rsid w:val="00E7627F"/>
    <w:rsid w:val="00E762AF"/>
    <w:rsid w:val="00E763A1"/>
    <w:rsid w:val="00E763FB"/>
    <w:rsid w:val="00E764C2"/>
    <w:rsid w:val="00E764EF"/>
    <w:rsid w:val="00E7680D"/>
    <w:rsid w:val="00E769DE"/>
    <w:rsid w:val="00E76B80"/>
    <w:rsid w:val="00E76FEF"/>
    <w:rsid w:val="00E7737F"/>
    <w:rsid w:val="00E7762E"/>
    <w:rsid w:val="00E776F2"/>
    <w:rsid w:val="00E77DBE"/>
    <w:rsid w:val="00E77EB6"/>
    <w:rsid w:val="00E8009E"/>
    <w:rsid w:val="00E805DC"/>
    <w:rsid w:val="00E8066C"/>
    <w:rsid w:val="00E807F7"/>
    <w:rsid w:val="00E80A2D"/>
    <w:rsid w:val="00E80D92"/>
    <w:rsid w:val="00E80E16"/>
    <w:rsid w:val="00E8102C"/>
    <w:rsid w:val="00E81177"/>
    <w:rsid w:val="00E8119A"/>
    <w:rsid w:val="00E811F5"/>
    <w:rsid w:val="00E817E0"/>
    <w:rsid w:val="00E819A0"/>
    <w:rsid w:val="00E819CF"/>
    <w:rsid w:val="00E81D44"/>
    <w:rsid w:val="00E81D80"/>
    <w:rsid w:val="00E81DB8"/>
    <w:rsid w:val="00E82161"/>
    <w:rsid w:val="00E82219"/>
    <w:rsid w:val="00E823F3"/>
    <w:rsid w:val="00E8248B"/>
    <w:rsid w:val="00E8266D"/>
    <w:rsid w:val="00E8279B"/>
    <w:rsid w:val="00E828CB"/>
    <w:rsid w:val="00E82BC1"/>
    <w:rsid w:val="00E82C1A"/>
    <w:rsid w:val="00E82EDD"/>
    <w:rsid w:val="00E830AD"/>
    <w:rsid w:val="00E83100"/>
    <w:rsid w:val="00E8329A"/>
    <w:rsid w:val="00E837B9"/>
    <w:rsid w:val="00E83837"/>
    <w:rsid w:val="00E83AB9"/>
    <w:rsid w:val="00E83DA1"/>
    <w:rsid w:val="00E83DB1"/>
    <w:rsid w:val="00E83EAE"/>
    <w:rsid w:val="00E840BA"/>
    <w:rsid w:val="00E84236"/>
    <w:rsid w:val="00E8424A"/>
    <w:rsid w:val="00E844F6"/>
    <w:rsid w:val="00E844F8"/>
    <w:rsid w:val="00E84616"/>
    <w:rsid w:val="00E847E4"/>
    <w:rsid w:val="00E848EB"/>
    <w:rsid w:val="00E84A56"/>
    <w:rsid w:val="00E84C30"/>
    <w:rsid w:val="00E84C69"/>
    <w:rsid w:val="00E84FDC"/>
    <w:rsid w:val="00E850A1"/>
    <w:rsid w:val="00E8567D"/>
    <w:rsid w:val="00E8568E"/>
    <w:rsid w:val="00E8589F"/>
    <w:rsid w:val="00E85BAB"/>
    <w:rsid w:val="00E85C59"/>
    <w:rsid w:val="00E85C9B"/>
    <w:rsid w:val="00E85CA8"/>
    <w:rsid w:val="00E85E6C"/>
    <w:rsid w:val="00E85FF1"/>
    <w:rsid w:val="00E8603F"/>
    <w:rsid w:val="00E866A9"/>
    <w:rsid w:val="00E866D9"/>
    <w:rsid w:val="00E86772"/>
    <w:rsid w:val="00E868BF"/>
    <w:rsid w:val="00E868F8"/>
    <w:rsid w:val="00E86B26"/>
    <w:rsid w:val="00E86B72"/>
    <w:rsid w:val="00E86F4E"/>
    <w:rsid w:val="00E86FD1"/>
    <w:rsid w:val="00E870DE"/>
    <w:rsid w:val="00E871D1"/>
    <w:rsid w:val="00E8733A"/>
    <w:rsid w:val="00E874E7"/>
    <w:rsid w:val="00E8753B"/>
    <w:rsid w:val="00E8765D"/>
    <w:rsid w:val="00E8777D"/>
    <w:rsid w:val="00E87793"/>
    <w:rsid w:val="00E8782A"/>
    <w:rsid w:val="00E878FD"/>
    <w:rsid w:val="00E87926"/>
    <w:rsid w:val="00E87A0D"/>
    <w:rsid w:val="00E87AE4"/>
    <w:rsid w:val="00E87BD3"/>
    <w:rsid w:val="00E87F64"/>
    <w:rsid w:val="00E87F6D"/>
    <w:rsid w:val="00E90063"/>
    <w:rsid w:val="00E9016E"/>
    <w:rsid w:val="00E9030C"/>
    <w:rsid w:val="00E90368"/>
    <w:rsid w:val="00E90447"/>
    <w:rsid w:val="00E90536"/>
    <w:rsid w:val="00E90537"/>
    <w:rsid w:val="00E9065F"/>
    <w:rsid w:val="00E908A8"/>
    <w:rsid w:val="00E90DD0"/>
    <w:rsid w:val="00E90F00"/>
    <w:rsid w:val="00E910C1"/>
    <w:rsid w:val="00E91117"/>
    <w:rsid w:val="00E911AA"/>
    <w:rsid w:val="00E9138D"/>
    <w:rsid w:val="00E913BC"/>
    <w:rsid w:val="00E914F3"/>
    <w:rsid w:val="00E91567"/>
    <w:rsid w:val="00E9186D"/>
    <w:rsid w:val="00E918B6"/>
    <w:rsid w:val="00E9190F"/>
    <w:rsid w:val="00E91BAF"/>
    <w:rsid w:val="00E91D03"/>
    <w:rsid w:val="00E91D25"/>
    <w:rsid w:val="00E92063"/>
    <w:rsid w:val="00E92452"/>
    <w:rsid w:val="00E92463"/>
    <w:rsid w:val="00E924C7"/>
    <w:rsid w:val="00E92574"/>
    <w:rsid w:val="00E92FD6"/>
    <w:rsid w:val="00E930FF"/>
    <w:rsid w:val="00E931A6"/>
    <w:rsid w:val="00E932CA"/>
    <w:rsid w:val="00E9362D"/>
    <w:rsid w:val="00E93753"/>
    <w:rsid w:val="00E938A8"/>
    <w:rsid w:val="00E938FB"/>
    <w:rsid w:val="00E94234"/>
    <w:rsid w:val="00E942C3"/>
    <w:rsid w:val="00E943B6"/>
    <w:rsid w:val="00E944E3"/>
    <w:rsid w:val="00E945B7"/>
    <w:rsid w:val="00E945D6"/>
    <w:rsid w:val="00E946FE"/>
    <w:rsid w:val="00E94B96"/>
    <w:rsid w:val="00E94BF8"/>
    <w:rsid w:val="00E94CB4"/>
    <w:rsid w:val="00E94D9C"/>
    <w:rsid w:val="00E94E80"/>
    <w:rsid w:val="00E951A0"/>
    <w:rsid w:val="00E955BA"/>
    <w:rsid w:val="00E9566F"/>
    <w:rsid w:val="00E95735"/>
    <w:rsid w:val="00E957F5"/>
    <w:rsid w:val="00E958EB"/>
    <w:rsid w:val="00E95E0D"/>
    <w:rsid w:val="00E96108"/>
    <w:rsid w:val="00E9622A"/>
    <w:rsid w:val="00E96258"/>
    <w:rsid w:val="00E9658F"/>
    <w:rsid w:val="00E96B03"/>
    <w:rsid w:val="00E970D7"/>
    <w:rsid w:val="00E9715A"/>
    <w:rsid w:val="00E97223"/>
    <w:rsid w:val="00E97234"/>
    <w:rsid w:val="00E973FD"/>
    <w:rsid w:val="00E97411"/>
    <w:rsid w:val="00E975C1"/>
    <w:rsid w:val="00E9767D"/>
    <w:rsid w:val="00E976FE"/>
    <w:rsid w:val="00E9788B"/>
    <w:rsid w:val="00E97A8C"/>
    <w:rsid w:val="00E97AE3"/>
    <w:rsid w:val="00E97AEA"/>
    <w:rsid w:val="00E97B43"/>
    <w:rsid w:val="00E97B52"/>
    <w:rsid w:val="00E97CC0"/>
    <w:rsid w:val="00E97E5F"/>
    <w:rsid w:val="00EA0107"/>
    <w:rsid w:val="00EA012A"/>
    <w:rsid w:val="00EA025D"/>
    <w:rsid w:val="00EA033D"/>
    <w:rsid w:val="00EA03CA"/>
    <w:rsid w:val="00EA03E6"/>
    <w:rsid w:val="00EA0441"/>
    <w:rsid w:val="00EA04AF"/>
    <w:rsid w:val="00EA04F2"/>
    <w:rsid w:val="00EA054A"/>
    <w:rsid w:val="00EA0777"/>
    <w:rsid w:val="00EA0850"/>
    <w:rsid w:val="00EA09C6"/>
    <w:rsid w:val="00EA09EE"/>
    <w:rsid w:val="00EA0B75"/>
    <w:rsid w:val="00EA0DD0"/>
    <w:rsid w:val="00EA0F5C"/>
    <w:rsid w:val="00EA0FBA"/>
    <w:rsid w:val="00EA1035"/>
    <w:rsid w:val="00EA1151"/>
    <w:rsid w:val="00EA121F"/>
    <w:rsid w:val="00EA13CB"/>
    <w:rsid w:val="00EA15F8"/>
    <w:rsid w:val="00EA169B"/>
    <w:rsid w:val="00EA16BE"/>
    <w:rsid w:val="00EA17AC"/>
    <w:rsid w:val="00EA181F"/>
    <w:rsid w:val="00EA19A7"/>
    <w:rsid w:val="00EA19D4"/>
    <w:rsid w:val="00EA1BB6"/>
    <w:rsid w:val="00EA1CA2"/>
    <w:rsid w:val="00EA1CAF"/>
    <w:rsid w:val="00EA1CB6"/>
    <w:rsid w:val="00EA1F01"/>
    <w:rsid w:val="00EA202C"/>
    <w:rsid w:val="00EA216B"/>
    <w:rsid w:val="00EA22BF"/>
    <w:rsid w:val="00EA2358"/>
    <w:rsid w:val="00EA23CF"/>
    <w:rsid w:val="00EA28F7"/>
    <w:rsid w:val="00EA295C"/>
    <w:rsid w:val="00EA2960"/>
    <w:rsid w:val="00EA29DC"/>
    <w:rsid w:val="00EA2BCE"/>
    <w:rsid w:val="00EA2C24"/>
    <w:rsid w:val="00EA2CA6"/>
    <w:rsid w:val="00EA30D9"/>
    <w:rsid w:val="00EA317F"/>
    <w:rsid w:val="00EA3208"/>
    <w:rsid w:val="00EA3726"/>
    <w:rsid w:val="00EA3795"/>
    <w:rsid w:val="00EA37D5"/>
    <w:rsid w:val="00EA37E8"/>
    <w:rsid w:val="00EA388D"/>
    <w:rsid w:val="00EA3CC2"/>
    <w:rsid w:val="00EA3D6A"/>
    <w:rsid w:val="00EA3F0E"/>
    <w:rsid w:val="00EA4255"/>
    <w:rsid w:val="00EA4286"/>
    <w:rsid w:val="00EA43AE"/>
    <w:rsid w:val="00EA43FB"/>
    <w:rsid w:val="00EA465C"/>
    <w:rsid w:val="00EA47FD"/>
    <w:rsid w:val="00EA4A10"/>
    <w:rsid w:val="00EA4DB6"/>
    <w:rsid w:val="00EA512E"/>
    <w:rsid w:val="00EA52AA"/>
    <w:rsid w:val="00EA5326"/>
    <w:rsid w:val="00EA5380"/>
    <w:rsid w:val="00EA54A3"/>
    <w:rsid w:val="00EA5746"/>
    <w:rsid w:val="00EA58C0"/>
    <w:rsid w:val="00EA5C52"/>
    <w:rsid w:val="00EA5E01"/>
    <w:rsid w:val="00EA5F7C"/>
    <w:rsid w:val="00EA5FE8"/>
    <w:rsid w:val="00EA603C"/>
    <w:rsid w:val="00EA607F"/>
    <w:rsid w:val="00EA61E7"/>
    <w:rsid w:val="00EA6559"/>
    <w:rsid w:val="00EA6E9D"/>
    <w:rsid w:val="00EA70EA"/>
    <w:rsid w:val="00EA7116"/>
    <w:rsid w:val="00EA7283"/>
    <w:rsid w:val="00EA74D8"/>
    <w:rsid w:val="00EA758E"/>
    <w:rsid w:val="00EA75B9"/>
    <w:rsid w:val="00EA76E5"/>
    <w:rsid w:val="00EA78F7"/>
    <w:rsid w:val="00EA79BC"/>
    <w:rsid w:val="00EA79F1"/>
    <w:rsid w:val="00EB0208"/>
    <w:rsid w:val="00EB03B2"/>
    <w:rsid w:val="00EB0423"/>
    <w:rsid w:val="00EB0493"/>
    <w:rsid w:val="00EB0534"/>
    <w:rsid w:val="00EB0563"/>
    <w:rsid w:val="00EB0590"/>
    <w:rsid w:val="00EB05F0"/>
    <w:rsid w:val="00EB06A3"/>
    <w:rsid w:val="00EB06DB"/>
    <w:rsid w:val="00EB09D4"/>
    <w:rsid w:val="00EB0BAE"/>
    <w:rsid w:val="00EB0BAF"/>
    <w:rsid w:val="00EB0D25"/>
    <w:rsid w:val="00EB0E6E"/>
    <w:rsid w:val="00EB0F91"/>
    <w:rsid w:val="00EB1095"/>
    <w:rsid w:val="00EB14AC"/>
    <w:rsid w:val="00EB16EC"/>
    <w:rsid w:val="00EB1787"/>
    <w:rsid w:val="00EB17A3"/>
    <w:rsid w:val="00EB1804"/>
    <w:rsid w:val="00EB182B"/>
    <w:rsid w:val="00EB18A9"/>
    <w:rsid w:val="00EB18EE"/>
    <w:rsid w:val="00EB19E2"/>
    <w:rsid w:val="00EB19EB"/>
    <w:rsid w:val="00EB1B1E"/>
    <w:rsid w:val="00EB1C14"/>
    <w:rsid w:val="00EB1C4D"/>
    <w:rsid w:val="00EB1CE5"/>
    <w:rsid w:val="00EB1D0E"/>
    <w:rsid w:val="00EB1E6E"/>
    <w:rsid w:val="00EB1F8E"/>
    <w:rsid w:val="00EB2025"/>
    <w:rsid w:val="00EB2075"/>
    <w:rsid w:val="00EB218A"/>
    <w:rsid w:val="00EB24F9"/>
    <w:rsid w:val="00EB2619"/>
    <w:rsid w:val="00EB2684"/>
    <w:rsid w:val="00EB273B"/>
    <w:rsid w:val="00EB2839"/>
    <w:rsid w:val="00EB2A0D"/>
    <w:rsid w:val="00EB2C62"/>
    <w:rsid w:val="00EB2F09"/>
    <w:rsid w:val="00EB3029"/>
    <w:rsid w:val="00EB31CF"/>
    <w:rsid w:val="00EB35A4"/>
    <w:rsid w:val="00EB360C"/>
    <w:rsid w:val="00EB36FF"/>
    <w:rsid w:val="00EB3BD0"/>
    <w:rsid w:val="00EB3D40"/>
    <w:rsid w:val="00EB3DC1"/>
    <w:rsid w:val="00EB3E3F"/>
    <w:rsid w:val="00EB3E43"/>
    <w:rsid w:val="00EB3EB3"/>
    <w:rsid w:val="00EB4003"/>
    <w:rsid w:val="00EB414F"/>
    <w:rsid w:val="00EB422B"/>
    <w:rsid w:val="00EB43E9"/>
    <w:rsid w:val="00EB44A1"/>
    <w:rsid w:val="00EB4616"/>
    <w:rsid w:val="00EB4AFB"/>
    <w:rsid w:val="00EB4C27"/>
    <w:rsid w:val="00EB4F1E"/>
    <w:rsid w:val="00EB535A"/>
    <w:rsid w:val="00EB546B"/>
    <w:rsid w:val="00EB5563"/>
    <w:rsid w:val="00EB5605"/>
    <w:rsid w:val="00EB5C01"/>
    <w:rsid w:val="00EB5EF4"/>
    <w:rsid w:val="00EB5F15"/>
    <w:rsid w:val="00EB5F4B"/>
    <w:rsid w:val="00EB5F4D"/>
    <w:rsid w:val="00EB6227"/>
    <w:rsid w:val="00EB633D"/>
    <w:rsid w:val="00EB6462"/>
    <w:rsid w:val="00EB658F"/>
    <w:rsid w:val="00EB6717"/>
    <w:rsid w:val="00EB68A8"/>
    <w:rsid w:val="00EB6BDB"/>
    <w:rsid w:val="00EB7424"/>
    <w:rsid w:val="00EB7426"/>
    <w:rsid w:val="00EB7476"/>
    <w:rsid w:val="00EB75A9"/>
    <w:rsid w:val="00EB7947"/>
    <w:rsid w:val="00EB7B78"/>
    <w:rsid w:val="00EB7C09"/>
    <w:rsid w:val="00EB7C57"/>
    <w:rsid w:val="00EB7C78"/>
    <w:rsid w:val="00EB7D94"/>
    <w:rsid w:val="00EB7FE8"/>
    <w:rsid w:val="00EC008E"/>
    <w:rsid w:val="00EC02C3"/>
    <w:rsid w:val="00EC072E"/>
    <w:rsid w:val="00EC0940"/>
    <w:rsid w:val="00EC0A9A"/>
    <w:rsid w:val="00EC0B0E"/>
    <w:rsid w:val="00EC0BA5"/>
    <w:rsid w:val="00EC0C15"/>
    <w:rsid w:val="00EC0D14"/>
    <w:rsid w:val="00EC0DA6"/>
    <w:rsid w:val="00EC0DE8"/>
    <w:rsid w:val="00EC0FC4"/>
    <w:rsid w:val="00EC10D8"/>
    <w:rsid w:val="00EC12CA"/>
    <w:rsid w:val="00EC13CC"/>
    <w:rsid w:val="00EC16DA"/>
    <w:rsid w:val="00EC1B34"/>
    <w:rsid w:val="00EC1CBF"/>
    <w:rsid w:val="00EC1E17"/>
    <w:rsid w:val="00EC2050"/>
    <w:rsid w:val="00EC2322"/>
    <w:rsid w:val="00EC2326"/>
    <w:rsid w:val="00EC23F0"/>
    <w:rsid w:val="00EC24D6"/>
    <w:rsid w:val="00EC2AF7"/>
    <w:rsid w:val="00EC2F59"/>
    <w:rsid w:val="00EC3052"/>
    <w:rsid w:val="00EC31E3"/>
    <w:rsid w:val="00EC3404"/>
    <w:rsid w:val="00EC353D"/>
    <w:rsid w:val="00EC3589"/>
    <w:rsid w:val="00EC378B"/>
    <w:rsid w:val="00EC38B5"/>
    <w:rsid w:val="00EC38EF"/>
    <w:rsid w:val="00EC390A"/>
    <w:rsid w:val="00EC3A3F"/>
    <w:rsid w:val="00EC3AAD"/>
    <w:rsid w:val="00EC3BEF"/>
    <w:rsid w:val="00EC3D0D"/>
    <w:rsid w:val="00EC3DAA"/>
    <w:rsid w:val="00EC40E9"/>
    <w:rsid w:val="00EC4169"/>
    <w:rsid w:val="00EC4847"/>
    <w:rsid w:val="00EC4A0D"/>
    <w:rsid w:val="00EC4C00"/>
    <w:rsid w:val="00EC4C61"/>
    <w:rsid w:val="00EC4E40"/>
    <w:rsid w:val="00EC4E55"/>
    <w:rsid w:val="00EC5798"/>
    <w:rsid w:val="00EC58D2"/>
    <w:rsid w:val="00EC596D"/>
    <w:rsid w:val="00EC5C5F"/>
    <w:rsid w:val="00EC5D07"/>
    <w:rsid w:val="00EC5F15"/>
    <w:rsid w:val="00EC608B"/>
    <w:rsid w:val="00EC62DC"/>
    <w:rsid w:val="00EC62F3"/>
    <w:rsid w:val="00EC64A1"/>
    <w:rsid w:val="00EC6725"/>
    <w:rsid w:val="00EC67D6"/>
    <w:rsid w:val="00EC6811"/>
    <w:rsid w:val="00EC69A8"/>
    <w:rsid w:val="00EC6F68"/>
    <w:rsid w:val="00EC7290"/>
    <w:rsid w:val="00EC7417"/>
    <w:rsid w:val="00EC76CE"/>
    <w:rsid w:val="00EC78D3"/>
    <w:rsid w:val="00EC7910"/>
    <w:rsid w:val="00EC79D3"/>
    <w:rsid w:val="00EC7A9F"/>
    <w:rsid w:val="00EC7B33"/>
    <w:rsid w:val="00EC7C6F"/>
    <w:rsid w:val="00EC7DF9"/>
    <w:rsid w:val="00EC7F58"/>
    <w:rsid w:val="00EC7FAB"/>
    <w:rsid w:val="00EC7FB2"/>
    <w:rsid w:val="00ED0096"/>
    <w:rsid w:val="00ED01DD"/>
    <w:rsid w:val="00ED0653"/>
    <w:rsid w:val="00ED069D"/>
    <w:rsid w:val="00ED078F"/>
    <w:rsid w:val="00ED07DE"/>
    <w:rsid w:val="00ED0A67"/>
    <w:rsid w:val="00ED108C"/>
    <w:rsid w:val="00ED188B"/>
    <w:rsid w:val="00ED1FD8"/>
    <w:rsid w:val="00ED2289"/>
    <w:rsid w:val="00ED22F9"/>
    <w:rsid w:val="00ED23FB"/>
    <w:rsid w:val="00ED2458"/>
    <w:rsid w:val="00ED24F6"/>
    <w:rsid w:val="00ED258C"/>
    <w:rsid w:val="00ED272A"/>
    <w:rsid w:val="00ED2FC9"/>
    <w:rsid w:val="00ED3194"/>
    <w:rsid w:val="00ED3203"/>
    <w:rsid w:val="00ED37AD"/>
    <w:rsid w:val="00ED3874"/>
    <w:rsid w:val="00ED3A10"/>
    <w:rsid w:val="00ED3CA3"/>
    <w:rsid w:val="00ED4097"/>
    <w:rsid w:val="00ED40A5"/>
    <w:rsid w:val="00ED4120"/>
    <w:rsid w:val="00ED41E7"/>
    <w:rsid w:val="00ED448A"/>
    <w:rsid w:val="00ED4589"/>
    <w:rsid w:val="00ED459B"/>
    <w:rsid w:val="00ED47A3"/>
    <w:rsid w:val="00ED484E"/>
    <w:rsid w:val="00ED4AA9"/>
    <w:rsid w:val="00ED4B62"/>
    <w:rsid w:val="00ED4CEB"/>
    <w:rsid w:val="00ED4FAB"/>
    <w:rsid w:val="00ED523D"/>
    <w:rsid w:val="00ED534B"/>
    <w:rsid w:val="00ED569E"/>
    <w:rsid w:val="00ED5F5B"/>
    <w:rsid w:val="00ED5F83"/>
    <w:rsid w:val="00ED5FE5"/>
    <w:rsid w:val="00ED60A5"/>
    <w:rsid w:val="00ED64A7"/>
    <w:rsid w:val="00ED6554"/>
    <w:rsid w:val="00ED67EC"/>
    <w:rsid w:val="00ED68C8"/>
    <w:rsid w:val="00ED6A7D"/>
    <w:rsid w:val="00ED6DBB"/>
    <w:rsid w:val="00ED6FA0"/>
    <w:rsid w:val="00ED705F"/>
    <w:rsid w:val="00ED7304"/>
    <w:rsid w:val="00ED7312"/>
    <w:rsid w:val="00ED7681"/>
    <w:rsid w:val="00ED7A1E"/>
    <w:rsid w:val="00ED7B93"/>
    <w:rsid w:val="00ED7BA7"/>
    <w:rsid w:val="00ED7C29"/>
    <w:rsid w:val="00ED7C60"/>
    <w:rsid w:val="00ED7F37"/>
    <w:rsid w:val="00ED7F43"/>
    <w:rsid w:val="00EE04E7"/>
    <w:rsid w:val="00EE0599"/>
    <w:rsid w:val="00EE064E"/>
    <w:rsid w:val="00EE08AA"/>
    <w:rsid w:val="00EE0B24"/>
    <w:rsid w:val="00EE0B3C"/>
    <w:rsid w:val="00EE0CD0"/>
    <w:rsid w:val="00EE0E99"/>
    <w:rsid w:val="00EE0F6A"/>
    <w:rsid w:val="00EE11DF"/>
    <w:rsid w:val="00EE11EA"/>
    <w:rsid w:val="00EE136C"/>
    <w:rsid w:val="00EE13B8"/>
    <w:rsid w:val="00EE1581"/>
    <w:rsid w:val="00EE19B4"/>
    <w:rsid w:val="00EE1A6D"/>
    <w:rsid w:val="00EE1B81"/>
    <w:rsid w:val="00EE1C03"/>
    <w:rsid w:val="00EE1C93"/>
    <w:rsid w:val="00EE1F4B"/>
    <w:rsid w:val="00EE223F"/>
    <w:rsid w:val="00EE23B6"/>
    <w:rsid w:val="00EE25F9"/>
    <w:rsid w:val="00EE2684"/>
    <w:rsid w:val="00EE26A2"/>
    <w:rsid w:val="00EE26EE"/>
    <w:rsid w:val="00EE27EB"/>
    <w:rsid w:val="00EE290B"/>
    <w:rsid w:val="00EE2B57"/>
    <w:rsid w:val="00EE2E12"/>
    <w:rsid w:val="00EE30F6"/>
    <w:rsid w:val="00EE311C"/>
    <w:rsid w:val="00EE341B"/>
    <w:rsid w:val="00EE34F3"/>
    <w:rsid w:val="00EE3991"/>
    <w:rsid w:val="00EE3A42"/>
    <w:rsid w:val="00EE3A62"/>
    <w:rsid w:val="00EE3E66"/>
    <w:rsid w:val="00EE3EA5"/>
    <w:rsid w:val="00EE3EEC"/>
    <w:rsid w:val="00EE4047"/>
    <w:rsid w:val="00EE438F"/>
    <w:rsid w:val="00EE46CA"/>
    <w:rsid w:val="00EE4713"/>
    <w:rsid w:val="00EE4812"/>
    <w:rsid w:val="00EE48BE"/>
    <w:rsid w:val="00EE4DBB"/>
    <w:rsid w:val="00EE4FA0"/>
    <w:rsid w:val="00EE5018"/>
    <w:rsid w:val="00EE53A6"/>
    <w:rsid w:val="00EE5460"/>
    <w:rsid w:val="00EE548D"/>
    <w:rsid w:val="00EE560D"/>
    <w:rsid w:val="00EE5783"/>
    <w:rsid w:val="00EE57BD"/>
    <w:rsid w:val="00EE5E05"/>
    <w:rsid w:val="00EE607E"/>
    <w:rsid w:val="00EE6160"/>
    <w:rsid w:val="00EE625D"/>
    <w:rsid w:val="00EE631C"/>
    <w:rsid w:val="00EE6455"/>
    <w:rsid w:val="00EE6474"/>
    <w:rsid w:val="00EE6726"/>
    <w:rsid w:val="00EE6947"/>
    <w:rsid w:val="00EE69D0"/>
    <w:rsid w:val="00EE6B95"/>
    <w:rsid w:val="00EE6D86"/>
    <w:rsid w:val="00EE6DBB"/>
    <w:rsid w:val="00EE6F30"/>
    <w:rsid w:val="00EE6F91"/>
    <w:rsid w:val="00EE72F9"/>
    <w:rsid w:val="00EE746E"/>
    <w:rsid w:val="00EE7471"/>
    <w:rsid w:val="00EE7792"/>
    <w:rsid w:val="00EE786F"/>
    <w:rsid w:val="00EE7AA8"/>
    <w:rsid w:val="00EE7D55"/>
    <w:rsid w:val="00EE7E2B"/>
    <w:rsid w:val="00EE7F06"/>
    <w:rsid w:val="00EF0236"/>
    <w:rsid w:val="00EF025A"/>
    <w:rsid w:val="00EF02C5"/>
    <w:rsid w:val="00EF04DA"/>
    <w:rsid w:val="00EF08AC"/>
    <w:rsid w:val="00EF08CC"/>
    <w:rsid w:val="00EF0B39"/>
    <w:rsid w:val="00EF0C51"/>
    <w:rsid w:val="00EF0F45"/>
    <w:rsid w:val="00EF12DD"/>
    <w:rsid w:val="00EF1428"/>
    <w:rsid w:val="00EF15EA"/>
    <w:rsid w:val="00EF18CF"/>
    <w:rsid w:val="00EF1A8B"/>
    <w:rsid w:val="00EF1B69"/>
    <w:rsid w:val="00EF1BD3"/>
    <w:rsid w:val="00EF1CC5"/>
    <w:rsid w:val="00EF1E14"/>
    <w:rsid w:val="00EF21BC"/>
    <w:rsid w:val="00EF2523"/>
    <w:rsid w:val="00EF2569"/>
    <w:rsid w:val="00EF26B0"/>
    <w:rsid w:val="00EF27F7"/>
    <w:rsid w:val="00EF2918"/>
    <w:rsid w:val="00EF2DC2"/>
    <w:rsid w:val="00EF2EA6"/>
    <w:rsid w:val="00EF2F52"/>
    <w:rsid w:val="00EF3025"/>
    <w:rsid w:val="00EF303F"/>
    <w:rsid w:val="00EF3352"/>
    <w:rsid w:val="00EF34BE"/>
    <w:rsid w:val="00EF35FC"/>
    <w:rsid w:val="00EF36B5"/>
    <w:rsid w:val="00EF387E"/>
    <w:rsid w:val="00EF3948"/>
    <w:rsid w:val="00EF3CA7"/>
    <w:rsid w:val="00EF3D17"/>
    <w:rsid w:val="00EF3D34"/>
    <w:rsid w:val="00EF3DAA"/>
    <w:rsid w:val="00EF3EEA"/>
    <w:rsid w:val="00EF40A9"/>
    <w:rsid w:val="00EF40B9"/>
    <w:rsid w:val="00EF413A"/>
    <w:rsid w:val="00EF4491"/>
    <w:rsid w:val="00EF45E3"/>
    <w:rsid w:val="00EF4618"/>
    <w:rsid w:val="00EF48E4"/>
    <w:rsid w:val="00EF4AB7"/>
    <w:rsid w:val="00EF4CBB"/>
    <w:rsid w:val="00EF4DCB"/>
    <w:rsid w:val="00EF504C"/>
    <w:rsid w:val="00EF505F"/>
    <w:rsid w:val="00EF5275"/>
    <w:rsid w:val="00EF52E9"/>
    <w:rsid w:val="00EF5317"/>
    <w:rsid w:val="00EF5402"/>
    <w:rsid w:val="00EF562D"/>
    <w:rsid w:val="00EF56E9"/>
    <w:rsid w:val="00EF58D6"/>
    <w:rsid w:val="00EF59FA"/>
    <w:rsid w:val="00EF5BF6"/>
    <w:rsid w:val="00EF5CFD"/>
    <w:rsid w:val="00EF5EFD"/>
    <w:rsid w:val="00EF5FBA"/>
    <w:rsid w:val="00EF5FFD"/>
    <w:rsid w:val="00EF6302"/>
    <w:rsid w:val="00EF6324"/>
    <w:rsid w:val="00EF6351"/>
    <w:rsid w:val="00EF63E2"/>
    <w:rsid w:val="00EF6598"/>
    <w:rsid w:val="00EF66D0"/>
    <w:rsid w:val="00EF6972"/>
    <w:rsid w:val="00EF6A6D"/>
    <w:rsid w:val="00EF6AD5"/>
    <w:rsid w:val="00EF6BF6"/>
    <w:rsid w:val="00EF6EB3"/>
    <w:rsid w:val="00EF6EE7"/>
    <w:rsid w:val="00EF6FE6"/>
    <w:rsid w:val="00EF70B8"/>
    <w:rsid w:val="00EF714F"/>
    <w:rsid w:val="00EF72D5"/>
    <w:rsid w:val="00EF7454"/>
    <w:rsid w:val="00EF759A"/>
    <w:rsid w:val="00EF7664"/>
    <w:rsid w:val="00EF793D"/>
    <w:rsid w:val="00EF7B74"/>
    <w:rsid w:val="00EF7CF5"/>
    <w:rsid w:val="00EF7DC6"/>
    <w:rsid w:val="00EF7E1F"/>
    <w:rsid w:val="00EF7F28"/>
    <w:rsid w:val="00F002B5"/>
    <w:rsid w:val="00F00592"/>
    <w:rsid w:val="00F00634"/>
    <w:rsid w:val="00F00652"/>
    <w:rsid w:val="00F01096"/>
    <w:rsid w:val="00F01173"/>
    <w:rsid w:val="00F01239"/>
    <w:rsid w:val="00F0126F"/>
    <w:rsid w:val="00F01739"/>
    <w:rsid w:val="00F019D1"/>
    <w:rsid w:val="00F01B8D"/>
    <w:rsid w:val="00F01E8B"/>
    <w:rsid w:val="00F024EA"/>
    <w:rsid w:val="00F027B9"/>
    <w:rsid w:val="00F02BB5"/>
    <w:rsid w:val="00F02EE5"/>
    <w:rsid w:val="00F02FA6"/>
    <w:rsid w:val="00F02FF2"/>
    <w:rsid w:val="00F03139"/>
    <w:rsid w:val="00F031C5"/>
    <w:rsid w:val="00F03417"/>
    <w:rsid w:val="00F037C6"/>
    <w:rsid w:val="00F03871"/>
    <w:rsid w:val="00F03C0E"/>
    <w:rsid w:val="00F03C99"/>
    <w:rsid w:val="00F041F2"/>
    <w:rsid w:val="00F04209"/>
    <w:rsid w:val="00F04300"/>
    <w:rsid w:val="00F04345"/>
    <w:rsid w:val="00F043DA"/>
    <w:rsid w:val="00F04462"/>
    <w:rsid w:val="00F04806"/>
    <w:rsid w:val="00F0481E"/>
    <w:rsid w:val="00F049DF"/>
    <w:rsid w:val="00F049F9"/>
    <w:rsid w:val="00F04AFA"/>
    <w:rsid w:val="00F04B77"/>
    <w:rsid w:val="00F04C83"/>
    <w:rsid w:val="00F04D88"/>
    <w:rsid w:val="00F04F14"/>
    <w:rsid w:val="00F0512E"/>
    <w:rsid w:val="00F05401"/>
    <w:rsid w:val="00F055FD"/>
    <w:rsid w:val="00F0561A"/>
    <w:rsid w:val="00F0566A"/>
    <w:rsid w:val="00F056DA"/>
    <w:rsid w:val="00F0596A"/>
    <w:rsid w:val="00F05FDA"/>
    <w:rsid w:val="00F06232"/>
    <w:rsid w:val="00F063AF"/>
    <w:rsid w:val="00F06409"/>
    <w:rsid w:val="00F06451"/>
    <w:rsid w:val="00F06529"/>
    <w:rsid w:val="00F06595"/>
    <w:rsid w:val="00F06635"/>
    <w:rsid w:val="00F06715"/>
    <w:rsid w:val="00F067C0"/>
    <w:rsid w:val="00F06854"/>
    <w:rsid w:val="00F06A6E"/>
    <w:rsid w:val="00F06CB8"/>
    <w:rsid w:val="00F07097"/>
    <w:rsid w:val="00F070AC"/>
    <w:rsid w:val="00F0733C"/>
    <w:rsid w:val="00F073B1"/>
    <w:rsid w:val="00F07477"/>
    <w:rsid w:val="00F07A60"/>
    <w:rsid w:val="00F07BCE"/>
    <w:rsid w:val="00F07C14"/>
    <w:rsid w:val="00F07C5F"/>
    <w:rsid w:val="00F07EA5"/>
    <w:rsid w:val="00F07F4C"/>
    <w:rsid w:val="00F07F9E"/>
    <w:rsid w:val="00F100A2"/>
    <w:rsid w:val="00F101CA"/>
    <w:rsid w:val="00F103D2"/>
    <w:rsid w:val="00F104D8"/>
    <w:rsid w:val="00F105BB"/>
    <w:rsid w:val="00F106EA"/>
    <w:rsid w:val="00F10825"/>
    <w:rsid w:val="00F10AF4"/>
    <w:rsid w:val="00F10BE8"/>
    <w:rsid w:val="00F10C6D"/>
    <w:rsid w:val="00F10CA9"/>
    <w:rsid w:val="00F10F06"/>
    <w:rsid w:val="00F10F8A"/>
    <w:rsid w:val="00F10FF8"/>
    <w:rsid w:val="00F1104D"/>
    <w:rsid w:val="00F11511"/>
    <w:rsid w:val="00F116E0"/>
    <w:rsid w:val="00F11AAF"/>
    <w:rsid w:val="00F12139"/>
    <w:rsid w:val="00F12332"/>
    <w:rsid w:val="00F12A8F"/>
    <w:rsid w:val="00F131B0"/>
    <w:rsid w:val="00F13297"/>
    <w:rsid w:val="00F132EA"/>
    <w:rsid w:val="00F135DC"/>
    <w:rsid w:val="00F1381E"/>
    <w:rsid w:val="00F13B7C"/>
    <w:rsid w:val="00F13BE6"/>
    <w:rsid w:val="00F13C45"/>
    <w:rsid w:val="00F13E0E"/>
    <w:rsid w:val="00F13E8D"/>
    <w:rsid w:val="00F13FBF"/>
    <w:rsid w:val="00F1421D"/>
    <w:rsid w:val="00F143AD"/>
    <w:rsid w:val="00F14923"/>
    <w:rsid w:val="00F149AF"/>
    <w:rsid w:val="00F14B2C"/>
    <w:rsid w:val="00F14DB6"/>
    <w:rsid w:val="00F15021"/>
    <w:rsid w:val="00F150A2"/>
    <w:rsid w:val="00F150FD"/>
    <w:rsid w:val="00F15174"/>
    <w:rsid w:val="00F15194"/>
    <w:rsid w:val="00F15245"/>
    <w:rsid w:val="00F1553D"/>
    <w:rsid w:val="00F15754"/>
    <w:rsid w:val="00F15913"/>
    <w:rsid w:val="00F15919"/>
    <w:rsid w:val="00F15926"/>
    <w:rsid w:val="00F15A6E"/>
    <w:rsid w:val="00F15A86"/>
    <w:rsid w:val="00F160F0"/>
    <w:rsid w:val="00F161D7"/>
    <w:rsid w:val="00F162A9"/>
    <w:rsid w:val="00F163E0"/>
    <w:rsid w:val="00F1652E"/>
    <w:rsid w:val="00F16541"/>
    <w:rsid w:val="00F16900"/>
    <w:rsid w:val="00F16AC7"/>
    <w:rsid w:val="00F16B09"/>
    <w:rsid w:val="00F16C03"/>
    <w:rsid w:val="00F16D10"/>
    <w:rsid w:val="00F16F30"/>
    <w:rsid w:val="00F171B1"/>
    <w:rsid w:val="00F172BB"/>
    <w:rsid w:val="00F174A8"/>
    <w:rsid w:val="00F1755D"/>
    <w:rsid w:val="00F1760C"/>
    <w:rsid w:val="00F1779B"/>
    <w:rsid w:val="00F17864"/>
    <w:rsid w:val="00F17937"/>
    <w:rsid w:val="00F17AAE"/>
    <w:rsid w:val="00F17B01"/>
    <w:rsid w:val="00F17BA7"/>
    <w:rsid w:val="00F17BDF"/>
    <w:rsid w:val="00F17D6C"/>
    <w:rsid w:val="00F17E36"/>
    <w:rsid w:val="00F205C2"/>
    <w:rsid w:val="00F2066F"/>
    <w:rsid w:val="00F209C4"/>
    <w:rsid w:val="00F209D1"/>
    <w:rsid w:val="00F20B1E"/>
    <w:rsid w:val="00F210F6"/>
    <w:rsid w:val="00F21146"/>
    <w:rsid w:val="00F212CC"/>
    <w:rsid w:val="00F213F7"/>
    <w:rsid w:val="00F2149A"/>
    <w:rsid w:val="00F21545"/>
    <w:rsid w:val="00F2184D"/>
    <w:rsid w:val="00F21BA5"/>
    <w:rsid w:val="00F21D03"/>
    <w:rsid w:val="00F220C0"/>
    <w:rsid w:val="00F223B3"/>
    <w:rsid w:val="00F22539"/>
    <w:rsid w:val="00F225AD"/>
    <w:rsid w:val="00F225CE"/>
    <w:rsid w:val="00F22753"/>
    <w:rsid w:val="00F22AF2"/>
    <w:rsid w:val="00F22C19"/>
    <w:rsid w:val="00F22D90"/>
    <w:rsid w:val="00F22E87"/>
    <w:rsid w:val="00F23061"/>
    <w:rsid w:val="00F23271"/>
    <w:rsid w:val="00F232AC"/>
    <w:rsid w:val="00F2341E"/>
    <w:rsid w:val="00F23435"/>
    <w:rsid w:val="00F23436"/>
    <w:rsid w:val="00F234A5"/>
    <w:rsid w:val="00F23505"/>
    <w:rsid w:val="00F23599"/>
    <w:rsid w:val="00F238B3"/>
    <w:rsid w:val="00F239EE"/>
    <w:rsid w:val="00F23AE5"/>
    <w:rsid w:val="00F23E93"/>
    <w:rsid w:val="00F242BA"/>
    <w:rsid w:val="00F24414"/>
    <w:rsid w:val="00F24586"/>
    <w:rsid w:val="00F24606"/>
    <w:rsid w:val="00F247F9"/>
    <w:rsid w:val="00F249AE"/>
    <w:rsid w:val="00F24AA9"/>
    <w:rsid w:val="00F24D7A"/>
    <w:rsid w:val="00F2517F"/>
    <w:rsid w:val="00F253FA"/>
    <w:rsid w:val="00F2558A"/>
    <w:rsid w:val="00F255D0"/>
    <w:rsid w:val="00F25630"/>
    <w:rsid w:val="00F25647"/>
    <w:rsid w:val="00F25945"/>
    <w:rsid w:val="00F25A40"/>
    <w:rsid w:val="00F25C66"/>
    <w:rsid w:val="00F25C8D"/>
    <w:rsid w:val="00F25CD6"/>
    <w:rsid w:val="00F25F73"/>
    <w:rsid w:val="00F26085"/>
    <w:rsid w:val="00F260EF"/>
    <w:rsid w:val="00F2614C"/>
    <w:rsid w:val="00F2614F"/>
    <w:rsid w:val="00F2627D"/>
    <w:rsid w:val="00F26282"/>
    <w:rsid w:val="00F262DB"/>
    <w:rsid w:val="00F262DF"/>
    <w:rsid w:val="00F264EC"/>
    <w:rsid w:val="00F266A2"/>
    <w:rsid w:val="00F266BF"/>
    <w:rsid w:val="00F26C9E"/>
    <w:rsid w:val="00F26FE6"/>
    <w:rsid w:val="00F27402"/>
    <w:rsid w:val="00F279A1"/>
    <w:rsid w:val="00F27A43"/>
    <w:rsid w:val="00F27B7C"/>
    <w:rsid w:val="00F27B9F"/>
    <w:rsid w:val="00F27C54"/>
    <w:rsid w:val="00F27DC2"/>
    <w:rsid w:val="00F27E17"/>
    <w:rsid w:val="00F27EA0"/>
    <w:rsid w:val="00F3001A"/>
    <w:rsid w:val="00F302B6"/>
    <w:rsid w:val="00F30762"/>
    <w:rsid w:val="00F30A60"/>
    <w:rsid w:val="00F30A6C"/>
    <w:rsid w:val="00F30B80"/>
    <w:rsid w:val="00F30DAC"/>
    <w:rsid w:val="00F30DFB"/>
    <w:rsid w:val="00F3111F"/>
    <w:rsid w:val="00F311C1"/>
    <w:rsid w:val="00F311FE"/>
    <w:rsid w:val="00F313D3"/>
    <w:rsid w:val="00F318B8"/>
    <w:rsid w:val="00F318CE"/>
    <w:rsid w:val="00F31A8C"/>
    <w:rsid w:val="00F31D0E"/>
    <w:rsid w:val="00F31E76"/>
    <w:rsid w:val="00F32092"/>
    <w:rsid w:val="00F322BD"/>
    <w:rsid w:val="00F323BD"/>
    <w:rsid w:val="00F324F3"/>
    <w:rsid w:val="00F3265C"/>
    <w:rsid w:val="00F3271E"/>
    <w:rsid w:val="00F32B60"/>
    <w:rsid w:val="00F32BA1"/>
    <w:rsid w:val="00F32DC4"/>
    <w:rsid w:val="00F32DC9"/>
    <w:rsid w:val="00F32E64"/>
    <w:rsid w:val="00F32F80"/>
    <w:rsid w:val="00F33A5A"/>
    <w:rsid w:val="00F33A99"/>
    <w:rsid w:val="00F33B1A"/>
    <w:rsid w:val="00F33B67"/>
    <w:rsid w:val="00F33D6B"/>
    <w:rsid w:val="00F3415A"/>
    <w:rsid w:val="00F3426F"/>
    <w:rsid w:val="00F3427D"/>
    <w:rsid w:val="00F343D9"/>
    <w:rsid w:val="00F343F6"/>
    <w:rsid w:val="00F344E4"/>
    <w:rsid w:val="00F3461D"/>
    <w:rsid w:val="00F34A9E"/>
    <w:rsid w:val="00F34C4E"/>
    <w:rsid w:val="00F34DE2"/>
    <w:rsid w:val="00F34EA8"/>
    <w:rsid w:val="00F34F2F"/>
    <w:rsid w:val="00F35167"/>
    <w:rsid w:val="00F351D8"/>
    <w:rsid w:val="00F35214"/>
    <w:rsid w:val="00F35261"/>
    <w:rsid w:val="00F354F8"/>
    <w:rsid w:val="00F35539"/>
    <w:rsid w:val="00F35662"/>
    <w:rsid w:val="00F3588B"/>
    <w:rsid w:val="00F358A6"/>
    <w:rsid w:val="00F35A34"/>
    <w:rsid w:val="00F35D67"/>
    <w:rsid w:val="00F36055"/>
    <w:rsid w:val="00F36271"/>
    <w:rsid w:val="00F363AC"/>
    <w:rsid w:val="00F36424"/>
    <w:rsid w:val="00F36446"/>
    <w:rsid w:val="00F364D9"/>
    <w:rsid w:val="00F36868"/>
    <w:rsid w:val="00F3691D"/>
    <w:rsid w:val="00F369F1"/>
    <w:rsid w:val="00F36C2D"/>
    <w:rsid w:val="00F36CA0"/>
    <w:rsid w:val="00F36CD3"/>
    <w:rsid w:val="00F36EE6"/>
    <w:rsid w:val="00F36F89"/>
    <w:rsid w:val="00F37151"/>
    <w:rsid w:val="00F371A3"/>
    <w:rsid w:val="00F3728F"/>
    <w:rsid w:val="00F3737B"/>
    <w:rsid w:val="00F37416"/>
    <w:rsid w:val="00F374F3"/>
    <w:rsid w:val="00F37686"/>
    <w:rsid w:val="00F377DE"/>
    <w:rsid w:val="00F3789A"/>
    <w:rsid w:val="00F379C9"/>
    <w:rsid w:val="00F37B24"/>
    <w:rsid w:val="00F37D74"/>
    <w:rsid w:val="00F37E75"/>
    <w:rsid w:val="00F37F01"/>
    <w:rsid w:val="00F400EB"/>
    <w:rsid w:val="00F404BD"/>
    <w:rsid w:val="00F405E2"/>
    <w:rsid w:val="00F406A9"/>
    <w:rsid w:val="00F407D9"/>
    <w:rsid w:val="00F40A49"/>
    <w:rsid w:val="00F40A9A"/>
    <w:rsid w:val="00F40C95"/>
    <w:rsid w:val="00F40D29"/>
    <w:rsid w:val="00F411C8"/>
    <w:rsid w:val="00F416F9"/>
    <w:rsid w:val="00F41BEE"/>
    <w:rsid w:val="00F41EA7"/>
    <w:rsid w:val="00F4204A"/>
    <w:rsid w:val="00F4238E"/>
    <w:rsid w:val="00F42496"/>
    <w:rsid w:val="00F42520"/>
    <w:rsid w:val="00F429CC"/>
    <w:rsid w:val="00F42A89"/>
    <w:rsid w:val="00F42B41"/>
    <w:rsid w:val="00F42C48"/>
    <w:rsid w:val="00F42C64"/>
    <w:rsid w:val="00F42D36"/>
    <w:rsid w:val="00F42F2E"/>
    <w:rsid w:val="00F4302D"/>
    <w:rsid w:val="00F43247"/>
    <w:rsid w:val="00F4347E"/>
    <w:rsid w:val="00F43535"/>
    <w:rsid w:val="00F435F7"/>
    <w:rsid w:val="00F4375F"/>
    <w:rsid w:val="00F439E8"/>
    <w:rsid w:val="00F43A2F"/>
    <w:rsid w:val="00F43CAB"/>
    <w:rsid w:val="00F43FE3"/>
    <w:rsid w:val="00F4410A"/>
    <w:rsid w:val="00F4411D"/>
    <w:rsid w:val="00F441B2"/>
    <w:rsid w:val="00F44555"/>
    <w:rsid w:val="00F44644"/>
    <w:rsid w:val="00F44733"/>
    <w:rsid w:val="00F448E9"/>
    <w:rsid w:val="00F44A26"/>
    <w:rsid w:val="00F44C94"/>
    <w:rsid w:val="00F44D68"/>
    <w:rsid w:val="00F44E92"/>
    <w:rsid w:val="00F44F8B"/>
    <w:rsid w:val="00F4542F"/>
    <w:rsid w:val="00F45481"/>
    <w:rsid w:val="00F4553E"/>
    <w:rsid w:val="00F45639"/>
    <w:rsid w:val="00F45672"/>
    <w:rsid w:val="00F4571B"/>
    <w:rsid w:val="00F458DE"/>
    <w:rsid w:val="00F459D1"/>
    <w:rsid w:val="00F45A52"/>
    <w:rsid w:val="00F45BCF"/>
    <w:rsid w:val="00F45BDA"/>
    <w:rsid w:val="00F45C70"/>
    <w:rsid w:val="00F45C9D"/>
    <w:rsid w:val="00F45D65"/>
    <w:rsid w:val="00F45DE3"/>
    <w:rsid w:val="00F461E1"/>
    <w:rsid w:val="00F46238"/>
    <w:rsid w:val="00F464B8"/>
    <w:rsid w:val="00F46E67"/>
    <w:rsid w:val="00F4714B"/>
    <w:rsid w:val="00F471F3"/>
    <w:rsid w:val="00F47208"/>
    <w:rsid w:val="00F47233"/>
    <w:rsid w:val="00F47401"/>
    <w:rsid w:val="00F47766"/>
    <w:rsid w:val="00F47AB7"/>
    <w:rsid w:val="00F47B66"/>
    <w:rsid w:val="00F47BEA"/>
    <w:rsid w:val="00F50067"/>
    <w:rsid w:val="00F500C0"/>
    <w:rsid w:val="00F5035A"/>
    <w:rsid w:val="00F50508"/>
    <w:rsid w:val="00F50560"/>
    <w:rsid w:val="00F507BA"/>
    <w:rsid w:val="00F50806"/>
    <w:rsid w:val="00F50DBC"/>
    <w:rsid w:val="00F50F64"/>
    <w:rsid w:val="00F50FAA"/>
    <w:rsid w:val="00F5140F"/>
    <w:rsid w:val="00F51455"/>
    <w:rsid w:val="00F5154C"/>
    <w:rsid w:val="00F515CA"/>
    <w:rsid w:val="00F5179D"/>
    <w:rsid w:val="00F51CFC"/>
    <w:rsid w:val="00F51E74"/>
    <w:rsid w:val="00F51F82"/>
    <w:rsid w:val="00F51FBB"/>
    <w:rsid w:val="00F5217A"/>
    <w:rsid w:val="00F521ED"/>
    <w:rsid w:val="00F5227B"/>
    <w:rsid w:val="00F5233A"/>
    <w:rsid w:val="00F5269E"/>
    <w:rsid w:val="00F529AD"/>
    <w:rsid w:val="00F52A8D"/>
    <w:rsid w:val="00F52E09"/>
    <w:rsid w:val="00F52F69"/>
    <w:rsid w:val="00F53161"/>
    <w:rsid w:val="00F531B3"/>
    <w:rsid w:val="00F53B25"/>
    <w:rsid w:val="00F53B53"/>
    <w:rsid w:val="00F53F90"/>
    <w:rsid w:val="00F540E7"/>
    <w:rsid w:val="00F54143"/>
    <w:rsid w:val="00F541EB"/>
    <w:rsid w:val="00F54350"/>
    <w:rsid w:val="00F54478"/>
    <w:rsid w:val="00F544E2"/>
    <w:rsid w:val="00F54786"/>
    <w:rsid w:val="00F5486B"/>
    <w:rsid w:val="00F54BE9"/>
    <w:rsid w:val="00F54E01"/>
    <w:rsid w:val="00F55252"/>
    <w:rsid w:val="00F553C7"/>
    <w:rsid w:val="00F5542A"/>
    <w:rsid w:val="00F5553F"/>
    <w:rsid w:val="00F555F9"/>
    <w:rsid w:val="00F55651"/>
    <w:rsid w:val="00F5595E"/>
    <w:rsid w:val="00F55AE4"/>
    <w:rsid w:val="00F55E2F"/>
    <w:rsid w:val="00F5602E"/>
    <w:rsid w:val="00F5610B"/>
    <w:rsid w:val="00F563BA"/>
    <w:rsid w:val="00F565AC"/>
    <w:rsid w:val="00F565B4"/>
    <w:rsid w:val="00F56691"/>
    <w:rsid w:val="00F56AC3"/>
    <w:rsid w:val="00F56C1E"/>
    <w:rsid w:val="00F56DC0"/>
    <w:rsid w:val="00F56E78"/>
    <w:rsid w:val="00F56FFB"/>
    <w:rsid w:val="00F57108"/>
    <w:rsid w:val="00F572A9"/>
    <w:rsid w:val="00F57603"/>
    <w:rsid w:val="00F5767F"/>
    <w:rsid w:val="00F57753"/>
    <w:rsid w:val="00F57BC3"/>
    <w:rsid w:val="00F6004B"/>
    <w:rsid w:val="00F6021C"/>
    <w:rsid w:val="00F604BC"/>
    <w:rsid w:val="00F604CC"/>
    <w:rsid w:val="00F60687"/>
    <w:rsid w:val="00F60A5C"/>
    <w:rsid w:val="00F60AAB"/>
    <w:rsid w:val="00F60B1F"/>
    <w:rsid w:val="00F60D25"/>
    <w:rsid w:val="00F60E09"/>
    <w:rsid w:val="00F60FF3"/>
    <w:rsid w:val="00F611DA"/>
    <w:rsid w:val="00F613CD"/>
    <w:rsid w:val="00F61469"/>
    <w:rsid w:val="00F61472"/>
    <w:rsid w:val="00F61629"/>
    <w:rsid w:val="00F6173C"/>
    <w:rsid w:val="00F619DA"/>
    <w:rsid w:val="00F61BCA"/>
    <w:rsid w:val="00F61BD4"/>
    <w:rsid w:val="00F61D20"/>
    <w:rsid w:val="00F61D9A"/>
    <w:rsid w:val="00F61DD0"/>
    <w:rsid w:val="00F6200C"/>
    <w:rsid w:val="00F62074"/>
    <w:rsid w:val="00F6208B"/>
    <w:rsid w:val="00F6212E"/>
    <w:rsid w:val="00F6217E"/>
    <w:rsid w:val="00F622A7"/>
    <w:rsid w:val="00F623C6"/>
    <w:rsid w:val="00F6250F"/>
    <w:rsid w:val="00F62550"/>
    <w:rsid w:val="00F625A4"/>
    <w:rsid w:val="00F625CE"/>
    <w:rsid w:val="00F6278C"/>
    <w:rsid w:val="00F629C2"/>
    <w:rsid w:val="00F62BBE"/>
    <w:rsid w:val="00F63136"/>
    <w:rsid w:val="00F631A3"/>
    <w:rsid w:val="00F63392"/>
    <w:rsid w:val="00F634FA"/>
    <w:rsid w:val="00F63553"/>
    <w:rsid w:val="00F6356F"/>
    <w:rsid w:val="00F6360D"/>
    <w:rsid w:val="00F63762"/>
    <w:rsid w:val="00F6422A"/>
    <w:rsid w:val="00F64422"/>
    <w:rsid w:val="00F64793"/>
    <w:rsid w:val="00F64A1B"/>
    <w:rsid w:val="00F64B45"/>
    <w:rsid w:val="00F64BF2"/>
    <w:rsid w:val="00F64C06"/>
    <w:rsid w:val="00F64FFD"/>
    <w:rsid w:val="00F65030"/>
    <w:rsid w:val="00F6512F"/>
    <w:rsid w:val="00F65145"/>
    <w:rsid w:val="00F651C2"/>
    <w:rsid w:val="00F6526F"/>
    <w:rsid w:val="00F652DA"/>
    <w:rsid w:val="00F652E0"/>
    <w:rsid w:val="00F6550B"/>
    <w:rsid w:val="00F6558D"/>
    <w:rsid w:val="00F65669"/>
    <w:rsid w:val="00F656A0"/>
    <w:rsid w:val="00F65744"/>
    <w:rsid w:val="00F65962"/>
    <w:rsid w:val="00F659F9"/>
    <w:rsid w:val="00F65FCC"/>
    <w:rsid w:val="00F6662A"/>
    <w:rsid w:val="00F66644"/>
    <w:rsid w:val="00F66ADE"/>
    <w:rsid w:val="00F66BFC"/>
    <w:rsid w:val="00F66C57"/>
    <w:rsid w:val="00F66E21"/>
    <w:rsid w:val="00F670EC"/>
    <w:rsid w:val="00F671EA"/>
    <w:rsid w:val="00F674E2"/>
    <w:rsid w:val="00F67637"/>
    <w:rsid w:val="00F677FE"/>
    <w:rsid w:val="00F67BF2"/>
    <w:rsid w:val="00F67C02"/>
    <w:rsid w:val="00F67CC6"/>
    <w:rsid w:val="00F67E3B"/>
    <w:rsid w:val="00F70098"/>
    <w:rsid w:val="00F7009B"/>
    <w:rsid w:val="00F702E6"/>
    <w:rsid w:val="00F7050C"/>
    <w:rsid w:val="00F70613"/>
    <w:rsid w:val="00F70AD2"/>
    <w:rsid w:val="00F70B15"/>
    <w:rsid w:val="00F7112C"/>
    <w:rsid w:val="00F714F5"/>
    <w:rsid w:val="00F715F4"/>
    <w:rsid w:val="00F71B71"/>
    <w:rsid w:val="00F71F99"/>
    <w:rsid w:val="00F71FF5"/>
    <w:rsid w:val="00F721C0"/>
    <w:rsid w:val="00F7225E"/>
    <w:rsid w:val="00F7226E"/>
    <w:rsid w:val="00F722BF"/>
    <w:rsid w:val="00F7248B"/>
    <w:rsid w:val="00F724BE"/>
    <w:rsid w:val="00F72538"/>
    <w:rsid w:val="00F726AE"/>
    <w:rsid w:val="00F727DB"/>
    <w:rsid w:val="00F728DA"/>
    <w:rsid w:val="00F72963"/>
    <w:rsid w:val="00F72A14"/>
    <w:rsid w:val="00F72A9C"/>
    <w:rsid w:val="00F72B98"/>
    <w:rsid w:val="00F72B9D"/>
    <w:rsid w:val="00F72E1F"/>
    <w:rsid w:val="00F72E69"/>
    <w:rsid w:val="00F72E7A"/>
    <w:rsid w:val="00F72F55"/>
    <w:rsid w:val="00F730C6"/>
    <w:rsid w:val="00F73646"/>
    <w:rsid w:val="00F73777"/>
    <w:rsid w:val="00F73826"/>
    <w:rsid w:val="00F7393F"/>
    <w:rsid w:val="00F73AC6"/>
    <w:rsid w:val="00F73C94"/>
    <w:rsid w:val="00F73E2E"/>
    <w:rsid w:val="00F73FB5"/>
    <w:rsid w:val="00F73FE4"/>
    <w:rsid w:val="00F73FF8"/>
    <w:rsid w:val="00F7462D"/>
    <w:rsid w:val="00F7472D"/>
    <w:rsid w:val="00F7474F"/>
    <w:rsid w:val="00F74827"/>
    <w:rsid w:val="00F74B0C"/>
    <w:rsid w:val="00F74DEB"/>
    <w:rsid w:val="00F75067"/>
    <w:rsid w:val="00F7514D"/>
    <w:rsid w:val="00F751CF"/>
    <w:rsid w:val="00F752C3"/>
    <w:rsid w:val="00F753CA"/>
    <w:rsid w:val="00F75491"/>
    <w:rsid w:val="00F755D0"/>
    <w:rsid w:val="00F75857"/>
    <w:rsid w:val="00F75B36"/>
    <w:rsid w:val="00F75B65"/>
    <w:rsid w:val="00F75D79"/>
    <w:rsid w:val="00F75D88"/>
    <w:rsid w:val="00F760FE"/>
    <w:rsid w:val="00F76473"/>
    <w:rsid w:val="00F7651E"/>
    <w:rsid w:val="00F7655D"/>
    <w:rsid w:val="00F7689E"/>
    <w:rsid w:val="00F768D9"/>
    <w:rsid w:val="00F76983"/>
    <w:rsid w:val="00F76A14"/>
    <w:rsid w:val="00F76D75"/>
    <w:rsid w:val="00F76E79"/>
    <w:rsid w:val="00F76EAE"/>
    <w:rsid w:val="00F7709C"/>
    <w:rsid w:val="00F770AE"/>
    <w:rsid w:val="00F7711E"/>
    <w:rsid w:val="00F7740D"/>
    <w:rsid w:val="00F7752E"/>
    <w:rsid w:val="00F775B0"/>
    <w:rsid w:val="00F77958"/>
    <w:rsid w:val="00F77C66"/>
    <w:rsid w:val="00F77DA5"/>
    <w:rsid w:val="00F77DA9"/>
    <w:rsid w:val="00F77E76"/>
    <w:rsid w:val="00F8004B"/>
    <w:rsid w:val="00F8068A"/>
    <w:rsid w:val="00F80714"/>
    <w:rsid w:val="00F808EB"/>
    <w:rsid w:val="00F80954"/>
    <w:rsid w:val="00F809E4"/>
    <w:rsid w:val="00F80DF7"/>
    <w:rsid w:val="00F81053"/>
    <w:rsid w:val="00F8162E"/>
    <w:rsid w:val="00F816F3"/>
    <w:rsid w:val="00F818C2"/>
    <w:rsid w:val="00F81B6F"/>
    <w:rsid w:val="00F820AD"/>
    <w:rsid w:val="00F821BF"/>
    <w:rsid w:val="00F823CC"/>
    <w:rsid w:val="00F82454"/>
    <w:rsid w:val="00F826E2"/>
    <w:rsid w:val="00F82F3A"/>
    <w:rsid w:val="00F82F57"/>
    <w:rsid w:val="00F83155"/>
    <w:rsid w:val="00F8326B"/>
    <w:rsid w:val="00F834A3"/>
    <w:rsid w:val="00F836AC"/>
    <w:rsid w:val="00F837CF"/>
    <w:rsid w:val="00F83A4F"/>
    <w:rsid w:val="00F83AEA"/>
    <w:rsid w:val="00F83BCB"/>
    <w:rsid w:val="00F83C78"/>
    <w:rsid w:val="00F83C8E"/>
    <w:rsid w:val="00F83D5A"/>
    <w:rsid w:val="00F83EBA"/>
    <w:rsid w:val="00F84090"/>
    <w:rsid w:val="00F842BF"/>
    <w:rsid w:val="00F842C6"/>
    <w:rsid w:val="00F842D5"/>
    <w:rsid w:val="00F842E6"/>
    <w:rsid w:val="00F846C3"/>
    <w:rsid w:val="00F846D7"/>
    <w:rsid w:val="00F8496A"/>
    <w:rsid w:val="00F84D4B"/>
    <w:rsid w:val="00F84FE5"/>
    <w:rsid w:val="00F85211"/>
    <w:rsid w:val="00F857A3"/>
    <w:rsid w:val="00F85829"/>
    <w:rsid w:val="00F85C1F"/>
    <w:rsid w:val="00F85CCA"/>
    <w:rsid w:val="00F85F7D"/>
    <w:rsid w:val="00F86128"/>
    <w:rsid w:val="00F8612A"/>
    <w:rsid w:val="00F864DB"/>
    <w:rsid w:val="00F866A0"/>
    <w:rsid w:val="00F866BA"/>
    <w:rsid w:val="00F866D1"/>
    <w:rsid w:val="00F868AE"/>
    <w:rsid w:val="00F86AFC"/>
    <w:rsid w:val="00F86DA2"/>
    <w:rsid w:val="00F86FB0"/>
    <w:rsid w:val="00F8704C"/>
    <w:rsid w:val="00F871A8"/>
    <w:rsid w:val="00F87223"/>
    <w:rsid w:val="00F872D6"/>
    <w:rsid w:val="00F874F5"/>
    <w:rsid w:val="00F875C1"/>
    <w:rsid w:val="00F87669"/>
    <w:rsid w:val="00F876C9"/>
    <w:rsid w:val="00F8771F"/>
    <w:rsid w:val="00F87900"/>
    <w:rsid w:val="00F87978"/>
    <w:rsid w:val="00F87AFE"/>
    <w:rsid w:val="00F87F20"/>
    <w:rsid w:val="00F87FF2"/>
    <w:rsid w:val="00F90159"/>
    <w:rsid w:val="00F90718"/>
    <w:rsid w:val="00F90776"/>
    <w:rsid w:val="00F907EA"/>
    <w:rsid w:val="00F90969"/>
    <w:rsid w:val="00F90AC3"/>
    <w:rsid w:val="00F90B8D"/>
    <w:rsid w:val="00F90E42"/>
    <w:rsid w:val="00F91154"/>
    <w:rsid w:val="00F912A6"/>
    <w:rsid w:val="00F91322"/>
    <w:rsid w:val="00F914AE"/>
    <w:rsid w:val="00F9161F"/>
    <w:rsid w:val="00F916F8"/>
    <w:rsid w:val="00F91A7F"/>
    <w:rsid w:val="00F9207E"/>
    <w:rsid w:val="00F92264"/>
    <w:rsid w:val="00F923C7"/>
    <w:rsid w:val="00F92759"/>
    <w:rsid w:val="00F92906"/>
    <w:rsid w:val="00F92A08"/>
    <w:rsid w:val="00F92AA0"/>
    <w:rsid w:val="00F92BD9"/>
    <w:rsid w:val="00F92DB5"/>
    <w:rsid w:val="00F93045"/>
    <w:rsid w:val="00F931AA"/>
    <w:rsid w:val="00F93404"/>
    <w:rsid w:val="00F9379F"/>
    <w:rsid w:val="00F93876"/>
    <w:rsid w:val="00F93BD6"/>
    <w:rsid w:val="00F93EA4"/>
    <w:rsid w:val="00F942BF"/>
    <w:rsid w:val="00F943AB"/>
    <w:rsid w:val="00F94527"/>
    <w:rsid w:val="00F947A4"/>
    <w:rsid w:val="00F94845"/>
    <w:rsid w:val="00F94993"/>
    <w:rsid w:val="00F94AD7"/>
    <w:rsid w:val="00F94D67"/>
    <w:rsid w:val="00F94DB4"/>
    <w:rsid w:val="00F94E54"/>
    <w:rsid w:val="00F94E83"/>
    <w:rsid w:val="00F94F7F"/>
    <w:rsid w:val="00F9507F"/>
    <w:rsid w:val="00F9525C"/>
    <w:rsid w:val="00F955E5"/>
    <w:rsid w:val="00F95879"/>
    <w:rsid w:val="00F958A7"/>
    <w:rsid w:val="00F959C3"/>
    <w:rsid w:val="00F95A5D"/>
    <w:rsid w:val="00F95C32"/>
    <w:rsid w:val="00F95C81"/>
    <w:rsid w:val="00F95E0B"/>
    <w:rsid w:val="00F95FF5"/>
    <w:rsid w:val="00F9657B"/>
    <w:rsid w:val="00F966C4"/>
    <w:rsid w:val="00F967C0"/>
    <w:rsid w:val="00F96A6F"/>
    <w:rsid w:val="00F96A78"/>
    <w:rsid w:val="00F96D7E"/>
    <w:rsid w:val="00F96DD1"/>
    <w:rsid w:val="00F9710E"/>
    <w:rsid w:val="00F9715A"/>
    <w:rsid w:val="00F9784F"/>
    <w:rsid w:val="00F97862"/>
    <w:rsid w:val="00F97879"/>
    <w:rsid w:val="00F97950"/>
    <w:rsid w:val="00F979D8"/>
    <w:rsid w:val="00F97CA7"/>
    <w:rsid w:val="00F97DD5"/>
    <w:rsid w:val="00F97F22"/>
    <w:rsid w:val="00F97F39"/>
    <w:rsid w:val="00FA01B1"/>
    <w:rsid w:val="00FA02B5"/>
    <w:rsid w:val="00FA02FF"/>
    <w:rsid w:val="00FA07A1"/>
    <w:rsid w:val="00FA0A9D"/>
    <w:rsid w:val="00FA0BE2"/>
    <w:rsid w:val="00FA0C55"/>
    <w:rsid w:val="00FA0D9B"/>
    <w:rsid w:val="00FA0DE7"/>
    <w:rsid w:val="00FA104B"/>
    <w:rsid w:val="00FA1112"/>
    <w:rsid w:val="00FA125B"/>
    <w:rsid w:val="00FA12A3"/>
    <w:rsid w:val="00FA1346"/>
    <w:rsid w:val="00FA13F8"/>
    <w:rsid w:val="00FA1436"/>
    <w:rsid w:val="00FA1478"/>
    <w:rsid w:val="00FA168C"/>
    <w:rsid w:val="00FA1786"/>
    <w:rsid w:val="00FA1818"/>
    <w:rsid w:val="00FA1A53"/>
    <w:rsid w:val="00FA1ABE"/>
    <w:rsid w:val="00FA1C77"/>
    <w:rsid w:val="00FA1F94"/>
    <w:rsid w:val="00FA216D"/>
    <w:rsid w:val="00FA220F"/>
    <w:rsid w:val="00FA233D"/>
    <w:rsid w:val="00FA2472"/>
    <w:rsid w:val="00FA2539"/>
    <w:rsid w:val="00FA254F"/>
    <w:rsid w:val="00FA2B04"/>
    <w:rsid w:val="00FA2B2E"/>
    <w:rsid w:val="00FA2C41"/>
    <w:rsid w:val="00FA2DD7"/>
    <w:rsid w:val="00FA2DE6"/>
    <w:rsid w:val="00FA2F01"/>
    <w:rsid w:val="00FA2F36"/>
    <w:rsid w:val="00FA31BA"/>
    <w:rsid w:val="00FA3547"/>
    <w:rsid w:val="00FA3A39"/>
    <w:rsid w:val="00FA3A97"/>
    <w:rsid w:val="00FA3B2D"/>
    <w:rsid w:val="00FA3BE4"/>
    <w:rsid w:val="00FA3DF8"/>
    <w:rsid w:val="00FA3E6C"/>
    <w:rsid w:val="00FA3EB1"/>
    <w:rsid w:val="00FA3F4D"/>
    <w:rsid w:val="00FA434B"/>
    <w:rsid w:val="00FA442E"/>
    <w:rsid w:val="00FA455F"/>
    <w:rsid w:val="00FA4BE3"/>
    <w:rsid w:val="00FA4CC5"/>
    <w:rsid w:val="00FA4D78"/>
    <w:rsid w:val="00FA4E86"/>
    <w:rsid w:val="00FA4F45"/>
    <w:rsid w:val="00FA4F8E"/>
    <w:rsid w:val="00FA4F95"/>
    <w:rsid w:val="00FA4FAA"/>
    <w:rsid w:val="00FA502E"/>
    <w:rsid w:val="00FA54D9"/>
    <w:rsid w:val="00FA56DE"/>
    <w:rsid w:val="00FA576E"/>
    <w:rsid w:val="00FA5863"/>
    <w:rsid w:val="00FA59BC"/>
    <w:rsid w:val="00FA5B94"/>
    <w:rsid w:val="00FA5E32"/>
    <w:rsid w:val="00FA62E2"/>
    <w:rsid w:val="00FA6448"/>
    <w:rsid w:val="00FA6634"/>
    <w:rsid w:val="00FA6715"/>
    <w:rsid w:val="00FA6B75"/>
    <w:rsid w:val="00FA6CA1"/>
    <w:rsid w:val="00FA6D7D"/>
    <w:rsid w:val="00FA6F30"/>
    <w:rsid w:val="00FA71E6"/>
    <w:rsid w:val="00FA7242"/>
    <w:rsid w:val="00FA740D"/>
    <w:rsid w:val="00FA743B"/>
    <w:rsid w:val="00FA7673"/>
    <w:rsid w:val="00FA76F9"/>
    <w:rsid w:val="00FA7973"/>
    <w:rsid w:val="00FA7AB9"/>
    <w:rsid w:val="00FA7B9E"/>
    <w:rsid w:val="00FA7C61"/>
    <w:rsid w:val="00FA7CB1"/>
    <w:rsid w:val="00FA7E79"/>
    <w:rsid w:val="00FB02B0"/>
    <w:rsid w:val="00FB0589"/>
    <w:rsid w:val="00FB07AA"/>
    <w:rsid w:val="00FB0A89"/>
    <w:rsid w:val="00FB0D6B"/>
    <w:rsid w:val="00FB0E01"/>
    <w:rsid w:val="00FB0E7A"/>
    <w:rsid w:val="00FB1037"/>
    <w:rsid w:val="00FB12D5"/>
    <w:rsid w:val="00FB1488"/>
    <w:rsid w:val="00FB1598"/>
    <w:rsid w:val="00FB1608"/>
    <w:rsid w:val="00FB1684"/>
    <w:rsid w:val="00FB168D"/>
    <w:rsid w:val="00FB17D6"/>
    <w:rsid w:val="00FB1A2B"/>
    <w:rsid w:val="00FB1B96"/>
    <w:rsid w:val="00FB1E7E"/>
    <w:rsid w:val="00FB1F15"/>
    <w:rsid w:val="00FB2013"/>
    <w:rsid w:val="00FB205E"/>
    <w:rsid w:val="00FB20D6"/>
    <w:rsid w:val="00FB2488"/>
    <w:rsid w:val="00FB2722"/>
    <w:rsid w:val="00FB275D"/>
    <w:rsid w:val="00FB27AF"/>
    <w:rsid w:val="00FB282C"/>
    <w:rsid w:val="00FB295A"/>
    <w:rsid w:val="00FB2D3B"/>
    <w:rsid w:val="00FB2DF3"/>
    <w:rsid w:val="00FB2FA1"/>
    <w:rsid w:val="00FB2FD9"/>
    <w:rsid w:val="00FB3296"/>
    <w:rsid w:val="00FB33F3"/>
    <w:rsid w:val="00FB3617"/>
    <w:rsid w:val="00FB39EE"/>
    <w:rsid w:val="00FB3A8F"/>
    <w:rsid w:val="00FB3D3C"/>
    <w:rsid w:val="00FB3E28"/>
    <w:rsid w:val="00FB3F66"/>
    <w:rsid w:val="00FB4603"/>
    <w:rsid w:val="00FB4695"/>
    <w:rsid w:val="00FB46D3"/>
    <w:rsid w:val="00FB4731"/>
    <w:rsid w:val="00FB4D37"/>
    <w:rsid w:val="00FB4D7B"/>
    <w:rsid w:val="00FB5291"/>
    <w:rsid w:val="00FB54F5"/>
    <w:rsid w:val="00FB557C"/>
    <w:rsid w:val="00FB57C6"/>
    <w:rsid w:val="00FB57F1"/>
    <w:rsid w:val="00FB58EE"/>
    <w:rsid w:val="00FB5F14"/>
    <w:rsid w:val="00FB61C3"/>
    <w:rsid w:val="00FB6294"/>
    <w:rsid w:val="00FB68EC"/>
    <w:rsid w:val="00FB6D97"/>
    <w:rsid w:val="00FB6F35"/>
    <w:rsid w:val="00FB72AE"/>
    <w:rsid w:val="00FB732B"/>
    <w:rsid w:val="00FB74DC"/>
    <w:rsid w:val="00FB7526"/>
    <w:rsid w:val="00FB75F6"/>
    <w:rsid w:val="00FB773B"/>
    <w:rsid w:val="00FB78BB"/>
    <w:rsid w:val="00FB7A8E"/>
    <w:rsid w:val="00FB7ADD"/>
    <w:rsid w:val="00FB7ADF"/>
    <w:rsid w:val="00FB7C6C"/>
    <w:rsid w:val="00FB7D1D"/>
    <w:rsid w:val="00FC0102"/>
    <w:rsid w:val="00FC025A"/>
    <w:rsid w:val="00FC0656"/>
    <w:rsid w:val="00FC091D"/>
    <w:rsid w:val="00FC0A5D"/>
    <w:rsid w:val="00FC0AAB"/>
    <w:rsid w:val="00FC0AC1"/>
    <w:rsid w:val="00FC0B4F"/>
    <w:rsid w:val="00FC0FDD"/>
    <w:rsid w:val="00FC11F1"/>
    <w:rsid w:val="00FC1201"/>
    <w:rsid w:val="00FC13A2"/>
    <w:rsid w:val="00FC15CD"/>
    <w:rsid w:val="00FC16A6"/>
    <w:rsid w:val="00FC175A"/>
    <w:rsid w:val="00FC1D78"/>
    <w:rsid w:val="00FC1DB4"/>
    <w:rsid w:val="00FC231D"/>
    <w:rsid w:val="00FC2338"/>
    <w:rsid w:val="00FC247C"/>
    <w:rsid w:val="00FC2C69"/>
    <w:rsid w:val="00FC2F24"/>
    <w:rsid w:val="00FC3094"/>
    <w:rsid w:val="00FC31F3"/>
    <w:rsid w:val="00FC333B"/>
    <w:rsid w:val="00FC3384"/>
    <w:rsid w:val="00FC3437"/>
    <w:rsid w:val="00FC353D"/>
    <w:rsid w:val="00FC365C"/>
    <w:rsid w:val="00FC36CC"/>
    <w:rsid w:val="00FC39E4"/>
    <w:rsid w:val="00FC3B2C"/>
    <w:rsid w:val="00FC3C20"/>
    <w:rsid w:val="00FC3E37"/>
    <w:rsid w:val="00FC3E39"/>
    <w:rsid w:val="00FC3F6E"/>
    <w:rsid w:val="00FC410B"/>
    <w:rsid w:val="00FC42B7"/>
    <w:rsid w:val="00FC432F"/>
    <w:rsid w:val="00FC4546"/>
    <w:rsid w:val="00FC4698"/>
    <w:rsid w:val="00FC4842"/>
    <w:rsid w:val="00FC48B6"/>
    <w:rsid w:val="00FC4AD3"/>
    <w:rsid w:val="00FC4BEB"/>
    <w:rsid w:val="00FC4D88"/>
    <w:rsid w:val="00FC4ED5"/>
    <w:rsid w:val="00FC505B"/>
    <w:rsid w:val="00FC50AD"/>
    <w:rsid w:val="00FC5189"/>
    <w:rsid w:val="00FC57C3"/>
    <w:rsid w:val="00FC5905"/>
    <w:rsid w:val="00FC5B60"/>
    <w:rsid w:val="00FC5CD7"/>
    <w:rsid w:val="00FC5E48"/>
    <w:rsid w:val="00FC5F86"/>
    <w:rsid w:val="00FC608C"/>
    <w:rsid w:val="00FC6233"/>
    <w:rsid w:val="00FC64F0"/>
    <w:rsid w:val="00FC6744"/>
    <w:rsid w:val="00FC697E"/>
    <w:rsid w:val="00FC6A11"/>
    <w:rsid w:val="00FC6ACD"/>
    <w:rsid w:val="00FC6BA5"/>
    <w:rsid w:val="00FC6FFA"/>
    <w:rsid w:val="00FC7089"/>
    <w:rsid w:val="00FC716F"/>
    <w:rsid w:val="00FC7276"/>
    <w:rsid w:val="00FC7368"/>
    <w:rsid w:val="00FC73FD"/>
    <w:rsid w:val="00FC7607"/>
    <w:rsid w:val="00FC7773"/>
    <w:rsid w:val="00FC77A6"/>
    <w:rsid w:val="00FC7843"/>
    <w:rsid w:val="00FC7A68"/>
    <w:rsid w:val="00FC7BAF"/>
    <w:rsid w:val="00FC7BCA"/>
    <w:rsid w:val="00FC7D98"/>
    <w:rsid w:val="00FC7E73"/>
    <w:rsid w:val="00FC7EEC"/>
    <w:rsid w:val="00FD007D"/>
    <w:rsid w:val="00FD02D5"/>
    <w:rsid w:val="00FD04EF"/>
    <w:rsid w:val="00FD0681"/>
    <w:rsid w:val="00FD0718"/>
    <w:rsid w:val="00FD0833"/>
    <w:rsid w:val="00FD0AF4"/>
    <w:rsid w:val="00FD0B4E"/>
    <w:rsid w:val="00FD0EFF"/>
    <w:rsid w:val="00FD1312"/>
    <w:rsid w:val="00FD138C"/>
    <w:rsid w:val="00FD142C"/>
    <w:rsid w:val="00FD1896"/>
    <w:rsid w:val="00FD1AAC"/>
    <w:rsid w:val="00FD1CCB"/>
    <w:rsid w:val="00FD1CE5"/>
    <w:rsid w:val="00FD1D98"/>
    <w:rsid w:val="00FD1F55"/>
    <w:rsid w:val="00FD2160"/>
    <w:rsid w:val="00FD253A"/>
    <w:rsid w:val="00FD2570"/>
    <w:rsid w:val="00FD25AF"/>
    <w:rsid w:val="00FD27A5"/>
    <w:rsid w:val="00FD28C6"/>
    <w:rsid w:val="00FD2E65"/>
    <w:rsid w:val="00FD2EBF"/>
    <w:rsid w:val="00FD30A1"/>
    <w:rsid w:val="00FD356C"/>
    <w:rsid w:val="00FD3C39"/>
    <w:rsid w:val="00FD3E03"/>
    <w:rsid w:val="00FD3E60"/>
    <w:rsid w:val="00FD40FE"/>
    <w:rsid w:val="00FD412E"/>
    <w:rsid w:val="00FD4133"/>
    <w:rsid w:val="00FD4663"/>
    <w:rsid w:val="00FD46DF"/>
    <w:rsid w:val="00FD478F"/>
    <w:rsid w:val="00FD47C6"/>
    <w:rsid w:val="00FD47F3"/>
    <w:rsid w:val="00FD4A23"/>
    <w:rsid w:val="00FD4B39"/>
    <w:rsid w:val="00FD4B96"/>
    <w:rsid w:val="00FD4CD7"/>
    <w:rsid w:val="00FD5374"/>
    <w:rsid w:val="00FD542D"/>
    <w:rsid w:val="00FD5967"/>
    <w:rsid w:val="00FD5ADD"/>
    <w:rsid w:val="00FD5FEF"/>
    <w:rsid w:val="00FD61BB"/>
    <w:rsid w:val="00FD62F3"/>
    <w:rsid w:val="00FD66FA"/>
    <w:rsid w:val="00FD692F"/>
    <w:rsid w:val="00FD6935"/>
    <w:rsid w:val="00FD694B"/>
    <w:rsid w:val="00FD6A41"/>
    <w:rsid w:val="00FD6B3F"/>
    <w:rsid w:val="00FD6C65"/>
    <w:rsid w:val="00FD71AB"/>
    <w:rsid w:val="00FD7381"/>
    <w:rsid w:val="00FD73F4"/>
    <w:rsid w:val="00FD7508"/>
    <w:rsid w:val="00FD756A"/>
    <w:rsid w:val="00FD7626"/>
    <w:rsid w:val="00FD7657"/>
    <w:rsid w:val="00FD7B23"/>
    <w:rsid w:val="00FD7FEC"/>
    <w:rsid w:val="00FE00D2"/>
    <w:rsid w:val="00FE0175"/>
    <w:rsid w:val="00FE0767"/>
    <w:rsid w:val="00FE07F8"/>
    <w:rsid w:val="00FE0836"/>
    <w:rsid w:val="00FE086A"/>
    <w:rsid w:val="00FE09E8"/>
    <w:rsid w:val="00FE0A43"/>
    <w:rsid w:val="00FE0C29"/>
    <w:rsid w:val="00FE0E85"/>
    <w:rsid w:val="00FE1544"/>
    <w:rsid w:val="00FE15B0"/>
    <w:rsid w:val="00FE1608"/>
    <w:rsid w:val="00FE1819"/>
    <w:rsid w:val="00FE1ED8"/>
    <w:rsid w:val="00FE2210"/>
    <w:rsid w:val="00FE26A8"/>
    <w:rsid w:val="00FE26D3"/>
    <w:rsid w:val="00FE2799"/>
    <w:rsid w:val="00FE2857"/>
    <w:rsid w:val="00FE2B55"/>
    <w:rsid w:val="00FE2BD0"/>
    <w:rsid w:val="00FE2F82"/>
    <w:rsid w:val="00FE2F97"/>
    <w:rsid w:val="00FE2FD6"/>
    <w:rsid w:val="00FE312F"/>
    <w:rsid w:val="00FE3745"/>
    <w:rsid w:val="00FE3760"/>
    <w:rsid w:val="00FE38F8"/>
    <w:rsid w:val="00FE3C8A"/>
    <w:rsid w:val="00FE3CD6"/>
    <w:rsid w:val="00FE3CF7"/>
    <w:rsid w:val="00FE3D3C"/>
    <w:rsid w:val="00FE3F58"/>
    <w:rsid w:val="00FE3F63"/>
    <w:rsid w:val="00FE408B"/>
    <w:rsid w:val="00FE45EC"/>
    <w:rsid w:val="00FE4720"/>
    <w:rsid w:val="00FE4ABD"/>
    <w:rsid w:val="00FE4BAE"/>
    <w:rsid w:val="00FE5014"/>
    <w:rsid w:val="00FE50EE"/>
    <w:rsid w:val="00FE525B"/>
    <w:rsid w:val="00FE5266"/>
    <w:rsid w:val="00FE534D"/>
    <w:rsid w:val="00FE53D0"/>
    <w:rsid w:val="00FE588E"/>
    <w:rsid w:val="00FE59C8"/>
    <w:rsid w:val="00FE5C1C"/>
    <w:rsid w:val="00FE601B"/>
    <w:rsid w:val="00FE60B1"/>
    <w:rsid w:val="00FE6282"/>
    <w:rsid w:val="00FE629B"/>
    <w:rsid w:val="00FE62AC"/>
    <w:rsid w:val="00FE639B"/>
    <w:rsid w:val="00FE63C4"/>
    <w:rsid w:val="00FE644E"/>
    <w:rsid w:val="00FE6547"/>
    <w:rsid w:val="00FE667F"/>
    <w:rsid w:val="00FE670A"/>
    <w:rsid w:val="00FE69C0"/>
    <w:rsid w:val="00FE6B01"/>
    <w:rsid w:val="00FE6B5E"/>
    <w:rsid w:val="00FE6CB1"/>
    <w:rsid w:val="00FE6CD1"/>
    <w:rsid w:val="00FE6D18"/>
    <w:rsid w:val="00FE70AB"/>
    <w:rsid w:val="00FE7133"/>
    <w:rsid w:val="00FE713C"/>
    <w:rsid w:val="00FE7682"/>
    <w:rsid w:val="00FE76DC"/>
    <w:rsid w:val="00FE7797"/>
    <w:rsid w:val="00FE7A48"/>
    <w:rsid w:val="00FE7A86"/>
    <w:rsid w:val="00FE7AC5"/>
    <w:rsid w:val="00FE7B7B"/>
    <w:rsid w:val="00FE7DAF"/>
    <w:rsid w:val="00FE7F12"/>
    <w:rsid w:val="00FE7FB9"/>
    <w:rsid w:val="00FF0336"/>
    <w:rsid w:val="00FF06B0"/>
    <w:rsid w:val="00FF06C4"/>
    <w:rsid w:val="00FF0786"/>
    <w:rsid w:val="00FF0AF2"/>
    <w:rsid w:val="00FF0B6F"/>
    <w:rsid w:val="00FF0C6A"/>
    <w:rsid w:val="00FF0D48"/>
    <w:rsid w:val="00FF0DEF"/>
    <w:rsid w:val="00FF0E5A"/>
    <w:rsid w:val="00FF0EF5"/>
    <w:rsid w:val="00FF104A"/>
    <w:rsid w:val="00FF1353"/>
    <w:rsid w:val="00FF1389"/>
    <w:rsid w:val="00FF1453"/>
    <w:rsid w:val="00FF1549"/>
    <w:rsid w:val="00FF1682"/>
    <w:rsid w:val="00FF1699"/>
    <w:rsid w:val="00FF1A49"/>
    <w:rsid w:val="00FF1A64"/>
    <w:rsid w:val="00FF2016"/>
    <w:rsid w:val="00FF202A"/>
    <w:rsid w:val="00FF256A"/>
    <w:rsid w:val="00FF27DA"/>
    <w:rsid w:val="00FF2A7F"/>
    <w:rsid w:val="00FF2AF9"/>
    <w:rsid w:val="00FF2BBF"/>
    <w:rsid w:val="00FF2BE3"/>
    <w:rsid w:val="00FF2E1B"/>
    <w:rsid w:val="00FF321B"/>
    <w:rsid w:val="00FF364C"/>
    <w:rsid w:val="00FF3682"/>
    <w:rsid w:val="00FF36E9"/>
    <w:rsid w:val="00FF37C0"/>
    <w:rsid w:val="00FF3832"/>
    <w:rsid w:val="00FF3959"/>
    <w:rsid w:val="00FF3983"/>
    <w:rsid w:val="00FF3D4C"/>
    <w:rsid w:val="00FF3E02"/>
    <w:rsid w:val="00FF3E4E"/>
    <w:rsid w:val="00FF3EB4"/>
    <w:rsid w:val="00FF42E9"/>
    <w:rsid w:val="00FF44A6"/>
    <w:rsid w:val="00FF44B6"/>
    <w:rsid w:val="00FF450F"/>
    <w:rsid w:val="00FF485B"/>
    <w:rsid w:val="00FF4865"/>
    <w:rsid w:val="00FF4AAE"/>
    <w:rsid w:val="00FF4BB3"/>
    <w:rsid w:val="00FF4C90"/>
    <w:rsid w:val="00FF4DFD"/>
    <w:rsid w:val="00FF4E7A"/>
    <w:rsid w:val="00FF501B"/>
    <w:rsid w:val="00FF5021"/>
    <w:rsid w:val="00FF50EE"/>
    <w:rsid w:val="00FF53CD"/>
    <w:rsid w:val="00FF5605"/>
    <w:rsid w:val="00FF56A2"/>
    <w:rsid w:val="00FF58C7"/>
    <w:rsid w:val="00FF58DB"/>
    <w:rsid w:val="00FF5A3A"/>
    <w:rsid w:val="00FF62ED"/>
    <w:rsid w:val="00FF641D"/>
    <w:rsid w:val="00FF6514"/>
    <w:rsid w:val="00FF6547"/>
    <w:rsid w:val="00FF667D"/>
    <w:rsid w:val="00FF693E"/>
    <w:rsid w:val="00FF6B79"/>
    <w:rsid w:val="00FF6E88"/>
    <w:rsid w:val="00FF7049"/>
    <w:rsid w:val="00FF7128"/>
    <w:rsid w:val="00FF71A7"/>
    <w:rsid w:val="00FF7425"/>
    <w:rsid w:val="00FF744D"/>
    <w:rsid w:val="00FF7763"/>
    <w:rsid w:val="00FF7939"/>
    <w:rsid w:val="00FF7A47"/>
    <w:rsid w:val="00FF7E59"/>
    <w:rsid w:val="00FF7F2A"/>
    <w:rsid w:val="00FF7F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01D99"/>
  <w15:chartTrackingRefBased/>
  <w15:docId w15:val="{F168BFD3-D31E-45F3-B52F-56BC8F3E1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7E3B"/>
    <w:pPr>
      <w:widowControl w:val="0"/>
      <w:jc w:val="both"/>
    </w:pPr>
  </w:style>
  <w:style w:type="paragraph" w:styleId="1">
    <w:name w:val="heading 1"/>
    <w:basedOn w:val="a"/>
    <w:next w:val="a"/>
    <w:link w:val="10"/>
    <w:uiPriority w:val="9"/>
    <w:qFormat/>
    <w:rsid w:val="00910A6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1231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9144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B5C00"/>
    <w:pPr>
      <w:keepNext/>
      <w:keepLines/>
      <w:spacing w:before="120" w:after="120" w:line="440" w:lineRule="atLeast"/>
      <w:outlineLvl w:val="3"/>
    </w:pPr>
    <w:rPr>
      <w:rFonts w:ascii="Times New Roman" w:eastAsia="宋体" w:hAnsi="Times New Roman"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10A68"/>
    <w:rPr>
      <w:b/>
      <w:bCs/>
      <w:kern w:val="44"/>
      <w:sz w:val="44"/>
      <w:szCs w:val="44"/>
    </w:rPr>
  </w:style>
  <w:style w:type="paragraph" w:customStyle="1" w:styleId="a3">
    <w:name w:val="博士论文一级标题"/>
    <w:basedOn w:val="1"/>
    <w:link w:val="a4"/>
    <w:autoRedefine/>
    <w:qFormat/>
    <w:rsid w:val="008B415D"/>
    <w:pPr>
      <w:spacing w:before="360" w:after="360"/>
      <w:jc w:val="left"/>
    </w:pPr>
    <w:rPr>
      <w:rFonts w:ascii="Times New Roman" w:eastAsia="宋体" w:hAnsi="Times New Roman"/>
      <w:sz w:val="32"/>
      <w:szCs w:val="32"/>
    </w:rPr>
  </w:style>
  <w:style w:type="paragraph" w:customStyle="1" w:styleId="a5">
    <w:name w:val="博士论文二级标题"/>
    <w:basedOn w:val="2"/>
    <w:link w:val="a6"/>
    <w:autoRedefine/>
    <w:qFormat/>
    <w:rsid w:val="00F94AD7"/>
    <w:pPr>
      <w:spacing w:before="0" w:after="0" w:line="480" w:lineRule="auto"/>
      <w:jc w:val="left"/>
    </w:pPr>
    <w:rPr>
      <w:rFonts w:eastAsia="宋体" w:cs="Times New Roman (标题 CS)"/>
      <w:sz w:val="28"/>
    </w:rPr>
  </w:style>
  <w:style w:type="character" w:customStyle="1" w:styleId="a4">
    <w:name w:val="博士论文一级标题 字符"/>
    <w:basedOn w:val="10"/>
    <w:link w:val="a3"/>
    <w:rsid w:val="008B415D"/>
    <w:rPr>
      <w:rFonts w:ascii="Times New Roman" w:eastAsia="宋体" w:hAnsi="Times New Roman"/>
      <w:b/>
      <w:bCs/>
      <w:kern w:val="44"/>
      <w:sz w:val="32"/>
      <w:szCs w:val="32"/>
    </w:rPr>
  </w:style>
  <w:style w:type="paragraph" w:customStyle="1" w:styleId="a7">
    <w:name w:val="博士论文正文"/>
    <w:basedOn w:val="a"/>
    <w:link w:val="a8"/>
    <w:autoRedefine/>
    <w:qFormat/>
    <w:rsid w:val="00D23F1D"/>
    <w:pPr>
      <w:spacing w:line="400" w:lineRule="exact"/>
      <w:ind w:firstLineChars="200" w:firstLine="562"/>
    </w:pPr>
    <w:rPr>
      <w:rFonts w:ascii="Times New Roman" w:eastAsia="宋体" w:hAnsi="Times New Roman" w:cs="宋体"/>
      <w:color w:val="000000" w:themeColor="text1"/>
      <w:kern w:val="0"/>
      <w:sz w:val="24"/>
      <w:szCs w:val="21"/>
    </w:rPr>
  </w:style>
  <w:style w:type="character" w:customStyle="1" w:styleId="20">
    <w:name w:val="标题 2 字符"/>
    <w:basedOn w:val="a0"/>
    <w:link w:val="2"/>
    <w:uiPriority w:val="9"/>
    <w:semiHidden/>
    <w:rsid w:val="0051231A"/>
    <w:rPr>
      <w:rFonts w:asciiTheme="majorHAnsi" w:eastAsiaTheme="majorEastAsia" w:hAnsiTheme="majorHAnsi" w:cstheme="majorBidi"/>
      <w:b/>
      <w:bCs/>
      <w:sz w:val="32"/>
      <w:szCs w:val="32"/>
    </w:rPr>
  </w:style>
  <w:style w:type="character" w:customStyle="1" w:styleId="a6">
    <w:name w:val="博士论文二级标题 字符"/>
    <w:basedOn w:val="20"/>
    <w:link w:val="a5"/>
    <w:rsid w:val="00F94AD7"/>
    <w:rPr>
      <w:rFonts w:asciiTheme="majorHAnsi" w:eastAsia="宋体" w:hAnsiTheme="majorHAnsi" w:cs="Times New Roman (标题 CS)"/>
      <w:b/>
      <w:bCs/>
      <w:sz w:val="28"/>
      <w:szCs w:val="32"/>
    </w:rPr>
  </w:style>
  <w:style w:type="paragraph" w:customStyle="1" w:styleId="a9">
    <w:name w:val="博士论文三级标题"/>
    <w:basedOn w:val="3"/>
    <w:link w:val="aa"/>
    <w:autoRedefine/>
    <w:qFormat/>
    <w:rsid w:val="00BE43CF"/>
    <w:pPr>
      <w:spacing w:before="0" w:after="0" w:line="480" w:lineRule="auto"/>
    </w:pPr>
    <w:rPr>
      <w:rFonts w:ascii="Times New Roman" w:eastAsia="宋体" w:hAnsi="Times New Roman" w:cs="Times New Roman"/>
      <w:iCs/>
      <w:color w:val="000000" w:themeColor="text1"/>
      <w:sz w:val="28"/>
      <w:szCs w:val="28"/>
    </w:rPr>
  </w:style>
  <w:style w:type="character" w:customStyle="1" w:styleId="a8">
    <w:name w:val="博士论文正文 字符"/>
    <w:basedOn w:val="a0"/>
    <w:link w:val="a7"/>
    <w:rsid w:val="00D23F1D"/>
    <w:rPr>
      <w:rFonts w:ascii="Times New Roman" w:eastAsia="宋体" w:hAnsi="Times New Roman" w:cs="宋体"/>
      <w:color w:val="000000" w:themeColor="text1"/>
      <w:kern w:val="0"/>
      <w:sz w:val="24"/>
      <w:szCs w:val="21"/>
    </w:rPr>
  </w:style>
  <w:style w:type="character" w:customStyle="1" w:styleId="30">
    <w:name w:val="标题 3 字符"/>
    <w:basedOn w:val="a0"/>
    <w:link w:val="3"/>
    <w:uiPriority w:val="9"/>
    <w:semiHidden/>
    <w:rsid w:val="00391440"/>
    <w:rPr>
      <w:b/>
      <w:bCs/>
      <w:sz w:val="32"/>
      <w:szCs w:val="32"/>
    </w:rPr>
  </w:style>
  <w:style w:type="character" w:customStyle="1" w:styleId="aa">
    <w:name w:val="博士论文三级标题 字符"/>
    <w:basedOn w:val="30"/>
    <w:link w:val="a9"/>
    <w:rsid w:val="00BE43CF"/>
    <w:rPr>
      <w:rFonts w:ascii="Times New Roman" w:eastAsia="宋体" w:hAnsi="Times New Roman" w:cs="Times New Roman"/>
      <w:b/>
      <w:bCs/>
      <w:iCs/>
      <w:color w:val="000000" w:themeColor="text1"/>
      <w:sz w:val="28"/>
      <w:szCs w:val="28"/>
    </w:rPr>
  </w:style>
  <w:style w:type="paragraph" w:styleId="ab">
    <w:name w:val="header"/>
    <w:basedOn w:val="a"/>
    <w:link w:val="ac"/>
    <w:uiPriority w:val="99"/>
    <w:unhideWhenUsed/>
    <w:qFormat/>
    <w:rsid w:val="00C232CD"/>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qFormat/>
    <w:rsid w:val="00C232CD"/>
    <w:rPr>
      <w:sz w:val="18"/>
      <w:szCs w:val="18"/>
    </w:rPr>
  </w:style>
  <w:style w:type="paragraph" w:styleId="ad">
    <w:name w:val="footer"/>
    <w:basedOn w:val="a"/>
    <w:link w:val="ae"/>
    <w:uiPriority w:val="99"/>
    <w:unhideWhenUsed/>
    <w:rsid w:val="00C232CD"/>
    <w:pPr>
      <w:tabs>
        <w:tab w:val="center" w:pos="4153"/>
        <w:tab w:val="right" w:pos="8306"/>
      </w:tabs>
      <w:snapToGrid w:val="0"/>
      <w:jc w:val="left"/>
    </w:pPr>
    <w:rPr>
      <w:sz w:val="18"/>
      <w:szCs w:val="18"/>
    </w:rPr>
  </w:style>
  <w:style w:type="character" w:customStyle="1" w:styleId="ae">
    <w:name w:val="页脚 字符"/>
    <w:basedOn w:val="a0"/>
    <w:link w:val="ad"/>
    <w:uiPriority w:val="99"/>
    <w:rsid w:val="00C232CD"/>
    <w:rPr>
      <w:sz w:val="18"/>
      <w:szCs w:val="18"/>
    </w:rPr>
  </w:style>
  <w:style w:type="paragraph" w:styleId="af">
    <w:name w:val="footnote text"/>
    <w:aliases w:val="fn,Footnote Text Char Char,Footnote Text Char Char Char"/>
    <w:basedOn w:val="a"/>
    <w:link w:val="af0"/>
    <w:uiPriority w:val="99"/>
    <w:unhideWhenUsed/>
    <w:qFormat/>
    <w:rsid w:val="00F752C3"/>
    <w:pPr>
      <w:snapToGrid w:val="0"/>
      <w:jc w:val="left"/>
    </w:pPr>
    <w:rPr>
      <w:sz w:val="18"/>
      <w:szCs w:val="18"/>
    </w:rPr>
  </w:style>
  <w:style w:type="character" w:customStyle="1" w:styleId="af0">
    <w:name w:val="脚注文本 字符"/>
    <w:aliases w:val="fn 字符,Footnote Text Char Char 字符,Footnote Text Char Char Char 字符"/>
    <w:basedOn w:val="a0"/>
    <w:link w:val="af"/>
    <w:uiPriority w:val="99"/>
    <w:qFormat/>
    <w:rsid w:val="00F752C3"/>
    <w:rPr>
      <w:sz w:val="18"/>
      <w:szCs w:val="18"/>
    </w:rPr>
  </w:style>
  <w:style w:type="character" w:styleId="af1">
    <w:name w:val="Placeholder Text"/>
    <w:basedOn w:val="a0"/>
    <w:uiPriority w:val="99"/>
    <w:semiHidden/>
    <w:rsid w:val="009B0D07"/>
    <w:rPr>
      <w:color w:val="808080"/>
    </w:rPr>
  </w:style>
  <w:style w:type="paragraph" w:styleId="af2">
    <w:name w:val="Balloon Text"/>
    <w:basedOn w:val="a"/>
    <w:link w:val="af3"/>
    <w:uiPriority w:val="99"/>
    <w:semiHidden/>
    <w:unhideWhenUsed/>
    <w:rsid w:val="004A4631"/>
    <w:rPr>
      <w:sz w:val="18"/>
      <w:szCs w:val="18"/>
    </w:rPr>
  </w:style>
  <w:style w:type="character" w:customStyle="1" w:styleId="af3">
    <w:name w:val="批注框文本 字符"/>
    <w:basedOn w:val="a0"/>
    <w:link w:val="af2"/>
    <w:uiPriority w:val="99"/>
    <w:semiHidden/>
    <w:rsid w:val="004A4631"/>
    <w:rPr>
      <w:sz w:val="18"/>
      <w:szCs w:val="18"/>
    </w:rPr>
  </w:style>
  <w:style w:type="character" w:customStyle="1" w:styleId="fontstyle01">
    <w:name w:val="fontstyle01"/>
    <w:basedOn w:val="a0"/>
    <w:qFormat/>
    <w:rsid w:val="00763C0F"/>
    <w:rPr>
      <w:rFonts w:ascii="宋体" w:eastAsia="宋体" w:hAnsi="宋体" w:hint="eastAsia"/>
      <w:color w:val="000000"/>
      <w:sz w:val="16"/>
      <w:szCs w:val="16"/>
    </w:rPr>
  </w:style>
  <w:style w:type="character" w:customStyle="1" w:styleId="fontstyle21">
    <w:name w:val="fontstyle21"/>
    <w:basedOn w:val="a0"/>
    <w:qFormat/>
    <w:rsid w:val="00763C0F"/>
    <w:rPr>
      <w:rFonts w:ascii="E-BZ+ZJWG2u-1" w:hAnsi="E-BZ+ZJWG2u-1" w:hint="default"/>
      <w:color w:val="000000"/>
      <w:sz w:val="16"/>
      <w:szCs w:val="16"/>
    </w:rPr>
  </w:style>
  <w:style w:type="character" w:styleId="af4">
    <w:name w:val="footnote reference"/>
    <w:basedOn w:val="a0"/>
    <w:uiPriority w:val="99"/>
    <w:unhideWhenUsed/>
    <w:qFormat/>
    <w:rsid w:val="0061575B"/>
    <w:rPr>
      <w:vertAlign w:val="superscript"/>
    </w:rPr>
  </w:style>
  <w:style w:type="table" w:styleId="af5">
    <w:name w:val="Table Grid"/>
    <w:basedOn w:val="a1"/>
    <w:uiPriority w:val="39"/>
    <w:qFormat/>
    <w:rsid w:val="00F912A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891B89"/>
    <w:rPr>
      <w:color w:val="0563C1" w:themeColor="hyperlink"/>
      <w:u w:val="single"/>
    </w:rPr>
  </w:style>
  <w:style w:type="paragraph" w:styleId="af7">
    <w:name w:val="endnote text"/>
    <w:basedOn w:val="a"/>
    <w:link w:val="af8"/>
    <w:uiPriority w:val="99"/>
    <w:semiHidden/>
    <w:unhideWhenUsed/>
    <w:rsid w:val="0064075C"/>
    <w:pPr>
      <w:snapToGrid w:val="0"/>
      <w:jc w:val="left"/>
    </w:pPr>
  </w:style>
  <w:style w:type="character" w:customStyle="1" w:styleId="af8">
    <w:name w:val="尾注文本 字符"/>
    <w:basedOn w:val="a0"/>
    <w:link w:val="af7"/>
    <w:uiPriority w:val="99"/>
    <w:semiHidden/>
    <w:rsid w:val="0064075C"/>
  </w:style>
  <w:style w:type="character" w:styleId="af9">
    <w:name w:val="endnote reference"/>
    <w:basedOn w:val="a0"/>
    <w:uiPriority w:val="99"/>
    <w:semiHidden/>
    <w:unhideWhenUsed/>
    <w:rsid w:val="0064075C"/>
    <w:rPr>
      <w:vertAlign w:val="superscript"/>
    </w:rPr>
  </w:style>
  <w:style w:type="character" w:customStyle="1" w:styleId="fontstyle11">
    <w:name w:val="fontstyle11"/>
    <w:basedOn w:val="a0"/>
    <w:rsid w:val="00533B6A"/>
    <w:rPr>
      <w:rFonts w:ascii="FzBookMaker17DlFont170536874516" w:hAnsi="FzBookMaker17DlFont170536874516" w:hint="default"/>
      <w:b w:val="0"/>
      <w:bCs w:val="0"/>
      <w:i w:val="0"/>
      <w:iCs w:val="0"/>
      <w:color w:val="000000"/>
      <w:sz w:val="22"/>
      <w:szCs w:val="22"/>
    </w:rPr>
  </w:style>
  <w:style w:type="character" w:customStyle="1" w:styleId="fontstyle31">
    <w:name w:val="fontstyle31"/>
    <w:basedOn w:val="a0"/>
    <w:rsid w:val="00533B6A"/>
    <w:rPr>
      <w:rFonts w:ascii="FzBookMaker22DlFont220536874515" w:hAnsi="FzBookMaker22DlFont220536874515" w:hint="default"/>
      <w:b w:val="0"/>
      <w:bCs w:val="0"/>
      <w:i w:val="0"/>
      <w:iCs w:val="0"/>
      <w:color w:val="000000"/>
      <w:sz w:val="22"/>
      <w:szCs w:val="22"/>
    </w:rPr>
  </w:style>
  <w:style w:type="table" w:customStyle="1" w:styleId="11">
    <w:name w:val="论文表格1"/>
    <w:basedOn w:val="a1"/>
    <w:uiPriority w:val="99"/>
    <w:rsid w:val="000F6FD7"/>
    <w:rPr>
      <w:rFonts w:ascii="Times" w:eastAsia="宋体" w:hAnsi="Times" w:cs="Times New Roman"/>
      <w:szCs w:val="24"/>
    </w:rPr>
    <w:tblPr>
      <w:jc w:val="center"/>
      <w:tblBorders>
        <w:top w:val="single" w:sz="4" w:space="0" w:color="auto"/>
        <w:bottom w:val="single" w:sz="4" w:space="0" w:color="auto"/>
        <w:insideH w:val="single" w:sz="4" w:space="0" w:color="auto"/>
        <w:insideV w:val="single" w:sz="4" w:space="0" w:color="auto"/>
      </w:tblBorders>
    </w:tblPr>
    <w:trPr>
      <w:jc w:val="center"/>
    </w:trPr>
  </w:style>
  <w:style w:type="character" w:styleId="afa">
    <w:name w:val="page number"/>
    <w:basedOn w:val="a0"/>
    <w:rsid w:val="000F6FD7"/>
  </w:style>
  <w:style w:type="paragraph" w:styleId="afb">
    <w:name w:val="Normal (Web)"/>
    <w:basedOn w:val="a"/>
    <w:uiPriority w:val="99"/>
    <w:semiHidden/>
    <w:unhideWhenUsed/>
    <w:rsid w:val="0073031A"/>
    <w:pPr>
      <w:widowControl/>
      <w:spacing w:before="100" w:beforeAutospacing="1" w:after="100" w:afterAutospacing="1"/>
      <w:jc w:val="left"/>
    </w:pPr>
    <w:rPr>
      <w:rFonts w:ascii="宋体" w:eastAsia="宋体" w:hAnsi="宋体" w:cs="宋体"/>
      <w:kern w:val="0"/>
      <w:sz w:val="24"/>
      <w:szCs w:val="24"/>
    </w:rPr>
  </w:style>
  <w:style w:type="paragraph" w:styleId="afc">
    <w:name w:val="Body Text"/>
    <w:basedOn w:val="a"/>
    <w:link w:val="afd"/>
    <w:uiPriority w:val="99"/>
    <w:semiHidden/>
    <w:unhideWhenUsed/>
    <w:rsid w:val="001A5C8E"/>
    <w:pPr>
      <w:spacing w:after="120"/>
    </w:pPr>
  </w:style>
  <w:style w:type="character" w:customStyle="1" w:styleId="afd">
    <w:name w:val="正文文本 字符"/>
    <w:basedOn w:val="a0"/>
    <w:link w:val="afc"/>
    <w:uiPriority w:val="99"/>
    <w:semiHidden/>
    <w:rsid w:val="001A5C8E"/>
  </w:style>
  <w:style w:type="paragraph" w:styleId="afe">
    <w:name w:val="Body Text First Indent"/>
    <w:basedOn w:val="afc"/>
    <w:link w:val="aff"/>
    <w:qFormat/>
    <w:rsid w:val="001A5C8E"/>
    <w:pPr>
      <w:spacing w:after="0" w:line="400" w:lineRule="exact"/>
      <w:ind w:firstLine="480"/>
    </w:pPr>
    <w:rPr>
      <w:rFonts w:ascii="Times New Roman" w:eastAsia="宋体" w:hAnsi="Times New Roman" w:cs="Times New Roman"/>
      <w:sz w:val="24"/>
      <w:szCs w:val="24"/>
    </w:rPr>
  </w:style>
  <w:style w:type="character" w:customStyle="1" w:styleId="aff">
    <w:name w:val="正文文本首行缩进 字符"/>
    <w:basedOn w:val="afd"/>
    <w:link w:val="afe"/>
    <w:rsid w:val="001A5C8E"/>
    <w:rPr>
      <w:rFonts w:ascii="Times New Roman" w:eastAsia="宋体" w:hAnsi="Times New Roman" w:cs="Times New Roman"/>
      <w:sz w:val="24"/>
      <w:szCs w:val="24"/>
    </w:rPr>
  </w:style>
  <w:style w:type="paragraph" w:customStyle="1" w:styleId="aff0">
    <w:name w:val="开头与结尾"/>
    <w:link w:val="aff1"/>
    <w:uiPriority w:val="10"/>
    <w:qFormat/>
    <w:rsid w:val="00160F07"/>
    <w:pPr>
      <w:keepNext/>
      <w:keepLines/>
      <w:pageBreakBefore/>
      <w:widowControl w:val="0"/>
      <w:spacing w:before="360" w:after="360"/>
      <w:jc w:val="both"/>
      <w:outlineLvl w:val="0"/>
    </w:pPr>
    <w:rPr>
      <w:rFonts w:ascii="Times New Roman" w:eastAsia="宋体" w:hAnsi="Times New Roman" w:cs="Times New Roman"/>
      <w:b/>
      <w:bCs/>
      <w:kern w:val="44"/>
      <w:sz w:val="32"/>
      <w:szCs w:val="44"/>
    </w:rPr>
  </w:style>
  <w:style w:type="character" w:customStyle="1" w:styleId="aff1">
    <w:name w:val="开头与结尾 字符"/>
    <w:basedOn w:val="10"/>
    <w:link w:val="aff0"/>
    <w:uiPriority w:val="10"/>
    <w:rsid w:val="00160F07"/>
    <w:rPr>
      <w:rFonts w:ascii="Times New Roman" w:eastAsia="宋体" w:hAnsi="Times New Roman" w:cs="Times New Roman"/>
      <w:b/>
      <w:bCs/>
      <w:kern w:val="44"/>
      <w:sz w:val="32"/>
      <w:szCs w:val="44"/>
    </w:rPr>
  </w:style>
  <w:style w:type="paragraph" w:styleId="TOC">
    <w:name w:val="TOC Heading"/>
    <w:basedOn w:val="1"/>
    <w:next w:val="a"/>
    <w:uiPriority w:val="39"/>
    <w:unhideWhenUsed/>
    <w:qFormat/>
    <w:rsid w:val="00140CC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A63A0A"/>
    <w:pPr>
      <w:tabs>
        <w:tab w:val="right" w:leader="dot" w:pos="9060"/>
      </w:tabs>
      <w:spacing w:line="400" w:lineRule="exact"/>
      <w:ind w:leftChars="200" w:left="420"/>
      <w:jc w:val="left"/>
    </w:pPr>
    <w:rPr>
      <w:rFonts w:eastAsiaTheme="minorHAnsi"/>
      <w:smallCaps/>
      <w:sz w:val="20"/>
      <w:szCs w:val="20"/>
    </w:rPr>
  </w:style>
  <w:style w:type="paragraph" w:styleId="TOC1">
    <w:name w:val="toc 1"/>
    <w:basedOn w:val="a"/>
    <w:next w:val="a"/>
    <w:autoRedefine/>
    <w:uiPriority w:val="39"/>
    <w:unhideWhenUsed/>
    <w:rsid w:val="00E10EEC"/>
    <w:pPr>
      <w:tabs>
        <w:tab w:val="right" w:leader="dot" w:pos="9060"/>
      </w:tabs>
      <w:spacing w:line="400" w:lineRule="exact"/>
    </w:pPr>
    <w:rPr>
      <w:rFonts w:eastAsiaTheme="minorHAnsi"/>
      <w:b/>
      <w:bCs/>
      <w:caps/>
      <w:sz w:val="20"/>
      <w:szCs w:val="20"/>
    </w:rPr>
  </w:style>
  <w:style w:type="paragraph" w:styleId="TOC3">
    <w:name w:val="toc 3"/>
    <w:basedOn w:val="a"/>
    <w:next w:val="a"/>
    <w:autoRedefine/>
    <w:uiPriority w:val="39"/>
    <w:unhideWhenUsed/>
    <w:rsid w:val="00A63A0A"/>
    <w:pPr>
      <w:tabs>
        <w:tab w:val="right" w:leader="dot" w:pos="9060"/>
      </w:tabs>
      <w:spacing w:line="400" w:lineRule="exact"/>
      <w:ind w:leftChars="400" w:left="840"/>
      <w:jc w:val="left"/>
    </w:pPr>
    <w:rPr>
      <w:rFonts w:eastAsiaTheme="minorHAnsi"/>
      <w:i/>
      <w:iCs/>
      <w:sz w:val="20"/>
      <w:szCs w:val="20"/>
    </w:rPr>
  </w:style>
  <w:style w:type="paragraph" w:styleId="TOC4">
    <w:name w:val="toc 4"/>
    <w:basedOn w:val="a"/>
    <w:next w:val="a"/>
    <w:autoRedefine/>
    <w:uiPriority w:val="39"/>
    <w:unhideWhenUsed/>
    <w:rsid w:val="00140CCC"/>
    <w:pPr>
      <w:ind w:left="630"/>
      <w:jc w:val="left"/>
    </w:pPr>
    <w:rPr>
      <w:rFonts w:eastAsiaTheme="minorHAnsi"/>
      <w:sz w:val="18"/>
      <w:szCs w:val="18"/>
    </w:rPr>
  </w:style>
  <w:style w:type="paragraph" w:styleId="TOC5">
    <w:name w:val="toc 5"/>
    <w:basedOn w:val="a"/>
    <w:next w:val="a"/>
    <w:autoRedefine/>
    <w:uiPriority w:val="39"/>
    <w:unhideWhenUsed/>
    <w:rsid w:val="00140CCC"/>
    <w:pPr>
      <w:ind w:left="840"/>
      <w:jc w:val="left"/>
    </w:pPr>
    <w:rPr>
      <w:rFonts w:eastAsiaTheme="minorHAnsi"/>
      <w:sz w:val="18"/>
      <w:szCs w:val="18"/>
    </w:rPr>
  </w:style>
  <w:style w:type="paragraph" w:styleId="TOC6">
    <w:name w:val="toc 6"/>
    <w:basedOn w:val="a"/>
    <w:next w:val="a"/>
    <w:autoRedefine/>
    <w:uiPriority w:val="39"/>
    <w:unhideWhenUsed/>
    <w:rsid w:val="00140CCC"/>
    <w:pPr>
      <w:ind w:left="1050"/>
      <w:jc w:val="left"/>
    </w:pPr>
    <w:rPr>
      <w:rFonts w:eastAsiaTheme="minorHAnsi"/>
      <w:sz w:val="18"/>
      <w:szCs w:val="18"/>
    </w:rPr>
  </w:style>
  <w:style w:type="paragraph" w:styleId="TOC7">
    <w:name w:val="toc 7"/>
    <w:basedOn w:val="a"/>
    <w:next w:val="a"/>
    <w:autoRedefine/>
    <w:uiPriority w:val="39"/>
    <w:unhideWhenUsed/>
    <w:rsid w:val="00140CCC"/>
    <w:pPr>
      <w:ind w:left="1260"/>
      <w:jc w:val="left"/>
    </w:pPr>
    <w:rPr>
      <w:rFonts w:eastAsiaTheme="minorHAnsi"/>
      <w:sz w:val="18"/>
      <w:szCs w:val="18"/>
    </w:rPr>
  </w:style>
  <w:style w:type="paragraph" w:styleId="TOC8">
    <w:name w:val="toc 8"/>
    <w:basedOn w:val="a"/>
    <w:next w:val="a"/>
    <w:autoRedefine/>
    <w:uiPriority w:val="39"/>
    <w:unhideWhenUsed/>
    <w:rsid w:val="00140CCC"/>
    <w:pPr>
      <w:ind w:left="1470"/>
      <w:jc w:val="left"/>
    </w:pPr>
    <w:rPr>
      <w:rFonts w:eastAsiaTheme="minorHAnsi"/>
      <w:sz w:val="18"/>
      <w:szCs w:val="18"/>
    </w:rPr>
  </w:style>
  <w:style w:type="paragraph" w:styleId="TOC9">
    <w:name w:val="toc 9"/>
    <w:basedOn w:val="a"/>
    <w:next w:val="a"/>
    <w:autoRedefine/>
    <w:uiPriority w:val="39"/>
    <w:unhideWhenUsed/>
    <w:rsid w:val="00140CCC"/>
    <w:pPr>
      <w:ind w:left="1680"/>
      <w:jc w:val="left"/>
    </w:pPr>
    <w:rPr>
      <w:rFonts w:eastAsiaTheme="minorHAnsi"/>
      <w:sz w:val="18"/>
      <w:szCs w:val="18"/>
    </w:rPr>
  </w:style>
  <w:style w:type="paragraph" w:customStyle="1" w:styleId="EndNoteBibliographyTitle">
    <w:name w:val="EndNote Bibliography Title"/>
    <w:basedOn w:val="a"/>
    <w:link w:val="EndNoteBibliographyTitle0"/>
    <w:rsid w:val="009F13CE"/>
    <w:pPr>
      <w:jc w:val="center"/>
    </w:pPr>
    <w:rPr>
      <w:rFonts w:ascii="Songti SC" w:eastAsia="Songti SC" w:hAnsi="Songti SC" w:cs="DengXian"/>
      <w:sz w:val="20"/>
    </w:rPr>
  </w:style>
  <w:style w:type="character" w:customStyle="1" w:styleId="EndNoteBibliographyTitle0">
    <w:name w:val="EndNote Bibliography Title 字符"/>
    <w:basedOn w:val="a0"/>
    <w:link w:val="EndNoteBibliographyTitle"/>
    <w:rsid w:val="009F13CE"/>
    <w:rPr>
      <w:rFonts w:ascii="Songti SC" w:eastAsia="Songti SC" w:hAnsi="Songti SC" w:cs="DengXian"/>
      <w:sz w:val="20"/>
    </w:rPr>
  </w:style>
  <w:style w:type="paragraph" w:customStyle="1" w:styleId="EndNoteBibliography">
    <w:name w:val="EndNote Bibliography"/>
    <w:basedOn w:val="a"/>
    <w:link w:val="EndNoteBibliography0"/>
    <w:rsid w:val="009F13CE"/>
    <w:pPr>
      <w:jc w:val="left"/>
    </w:pPr>
    <w:rPr>
      <w:rFonts w:ascii="Songti SC" w:eastAsia="Songti SC" w:hAnsi="Songti SC" w:cs="DengXian"/>
      <w:sz w:val="20"/>
    </w:rPr>
  </w:style>
  <w:style w:type="character" w:customStyle="1" w:styleId="EndNoteBibliography0">
    <w:name w:val="EndNote Bibliography 字符"/>
    <w:basedOn w:val="a0"/>
    <w:link w:val="EndNoteBibliography"/>
    <w:rsid w:val="009F13CE"/>
    <w:rPr>
      <w:rFonts w:ascii="Songti SC" w:eastAsia="Songti SC" w:hAnsi="Songti SC" w:cs="DengXian"/>
      <w:sz w:val="20"/>
    </w:rPr>
  </w:style>
  <w:style w:type="paragraph" w:styleId="aff2">
    <w:name w:val="Date"/>
    <w:basedOn w:val="a"/>
    <w:next w:val="a"/>
    <w:link w:val="aff3"/>
    <w:uiPriority w:val="99"/>
    <w:semiHidden/>
    <w:unhideWhenUsed/>
    <w:rsid w:val="007E4371"/>
    <w:pPr>
      <w:ind w:leftChars="2500" w:left="100"/>
    </w:pPr>
  </w:style>
  <w:style w:type="character" w:customStyle="1" w:styleId="aff3">
    <w:name w:val="日期 字符"/>
    <w:basedOn w:val="a0"/>
    <w:link w:val="aff2"/>
    <w:uiPriority w:val="99"/>
    <w:semiHidden/>
    <w:rsid w:val="007E4371"/>
  </w:style>
  <w:style w:type="character" w:customStyle="1" w:styleId="40">
    <w:name w:val="标题 4 字符"/>
    <w:basedOn w:val="a0"/>
    <w:link w:val="4"/>
    <w:uiPriority w:val="9"/>
    <w:rsid w:val="003B5C00"/>
    <w:rPr>
      <w:rFonts w:ascii="Times New Roman" w:eastAsia="宋体" w:hAnsi="Times New Roman" w:cstheme="majorBidi"/>
      <w:b/>
      <w:bCs/>
      <w:sz w:val="24"/>
      <w:szCs w:val="28"/>
    </w:rPr>
  </w:style>
  <w:style w:type="character" w:styleId="aff4">
    <w:name w:val="Unresolved Mention"/>
    <w:basedOn w:val="a0"/>
    <w:uiPriority w:val="99"/>
    <w:semiHidden/>
    <w:unhideWhenUsed/>
    <w:rsid w:val="00E3302B"/>
    <w:rPr>
      <w:color w:val="605E5C"/>
      <w:shd w:val="clear" w:color="auto" w:fill="E1DFDD"/>
    </w:rPr>
  </w:style>
  <w:style w:type="character" w:styleId="aff5">
    <w:name w:val="FollowedHyperlink"/>
    <w:basedOn w:val="a0"/>
    <w:uiPriority w:val="99"/>
    <w:semiHidden/>
    <w:unhideWhenUsed/>
    <w:rsid w:val="004F0FE0"/>
    <w:rPr>
      <w:color w:val="954F72" w:themeColor="followedHyperlink"/>
      <w:u w:val="single"/>
    </w:rPr>
  </w:style>
  <w:style w:type="paragraph" w:customStyle="1" w:styleId="aff6">
    <w:basedOn w:val="a"/>
    <w:next w:val="a"/>
    <w:autoRedefine/>
    <w:rsid w:val="00C35E97"/>
    <w:pPr>
      <w:tabs>
        <w:tab w:val="right" w:leader="dot" w:pos="8778"/>
      </w:tabs>
      <w:spacing w:line="400" w:lineRule="exact"/>
    </w:pPr>
    <w:rPr>
      <w:rFonts w:ascii="Times New Roman" w:eastAsia="宋体" w:hAnsi="Times New Roman" w:cs="Times New Roman"/>
      <w:b/>
      <w:noProof/>
      <w:sz w:val="28"/>
      <w:szCs w:val="28"/>
    </w:rPr>
  </w:style>
  <w:style w:type="paragraph" w:styleId="aff7">
    <w:name w:val="List Paragraph"/>
    <w:basedOn w:val="a"/>
    <w:uiPriority w:val="34"/>
    <w:qFormat/>
    <w:rsid w:val="005934AC"/>
    <w:pPr>
      <w:ind w:firstLineChars="200" w:firstLine="420"/>
    </w:pPr>
  </w:style>
  <w:style w:type="paragraph" w:customStyle="1" w:styleId="12">
    <w:name w:val="参考文献样式1"/>
    <w:basedOn w:val="a7"/>
    <w:qFormat/>
    <w:rsid w:val="006257D2"/>
    <w:pPr>
      <w:ind w:left="200" w:hangingChars="200" w:hanging="200"/>
    </w:pPr>
    <w:rPr>
      <w:rFonts w:cs="Times New Roman"/>
      <w:szCs w:val="24"/>
    </w:rPr>
  </w:style>
  <w:style w:type="character" w:customStyle="1" w:styleId="apple-converted-space">
    <w:name w:val="apple-converted-space"/>
    <w:basedOn w:val="a0"/>
    <w:rsid w:val="002A0F21"/>
  </w:style>
  <w:style w:type="paragraph" w:styleId="aff8">
    <w:name w:val="Title"/>
    <w:basedOn w:val="a"/>
    <w:next w:val="aff9"/>
    <w:link w:val="affa"/>
    <w:uiPriority w:val="99"/>
    <w:qFormat/>
    <w:rsid w:val="00993FF0"/>
    <w:pPr>
      <w:ind w:leftChars="200" w:left="640"/>
      <w:outlineLvl w:val="0"/>
    </w:pPr>
    <w:rPr>
      <w:rFonts w:ascii="Cambria" w:eastAsia="黑体" w:hAnsi="Cambria" w:cs="Times New Roman"/>
      <w:b/>
      <w:bCs/>
      <w:kern w:val="0"/>
      <w:sz w:val="32"/>
      <w:szCs w:val="32"/>
    </w:rPr>
  </w:style>
  <w:style w:type="character" w:customStyle="1" w:styleId="affa">
    <w:name w:val="标题 字符"/>
    <w:basedOn w:val="a0"/>
    <w:link w:val="aff8"/>
    <w:uiPriority w:val="99"/>
    <w:rsid w:val="00993FF0"/>
    <w:rPr>
      <w:rFonts w:ascii="Cambria" w:eastAsia="黑体" w:hAnsi="Cambria" w:cs="Times New Roman"/>
      <w:b/>
      <w:bCs/>
      <w:kern w:val="0"/>
      <w:sz w:val="32"/>
      <w:szCs w:val="32"/>
    </w:rPr>
  </w:style>
  <w:style w:type="paragraph" w:styleId="aff9">
    <w:name w:val="Body Text Indent"/>
    <w:basedOn w:val="a"/>
    <w:link w:val="affb"/>
    <w:uiPriority w:val="99"/>
    <w:semiHidden/>
    <w:unhideWhenUsed/>
    <w:rsid w:val="00993FF0"/>
    <w:pPr>
      <w:spacing w:after="120"/>
      <w:ind w:leftChars="200" w:left="420"/>
    </w:pPr>
  </w:style>
  <w:style w:type="character" w:customStyle="1" w:styleId="affb">
    <w:name w:val="正文文本缩进 字符"/>
    <w:basedOn w:val="a0"/>
    <w:link w:val="aff9"/>
    <w:uiPriority w:val="99"/>
    <w:semiHidden/>
    <w:rsid w:val="00993FF0"/>
  </w:style>
  <w:style w:type="character" w:styleId="affc">
    <w:name w:val="annotation reference"/>
    <w:basedOn w:val="a0"/>
    <w:uiPriority w:val="99"/>
    <w:semiHidden/>
    <w:unhideWhenUsed/>
    <w:rsid w:val="00AA254D"/>
    <w:rPr>
      <w:sz w:val="21"/>
      <w:szCs w:val="21"/>
    </w:rPr>
  </w:style>
  <w:style w:type="paragraph" w:styleId="affd">
    <w:name w:val="annotation text"/>
    <w:basedOn w:val="a"/>
    <w:link w:val="affe"/>
    <w:uiPriority w:val="99"/>
    <w:semiHidden/>
    <w:unhideWhenUsed/>
    <w:rsid w:val="00AA254D"/>
    <w:pPr>
      <w:jc w:val="left"/>
    </w:pPr>
  </w:style>
  <w:style w:type="character" w:customStyle="1" w:styleId="affe">
    <w:name w:val="批注文字 字符"/>
    <w:basedOn w:val="a0"/>
    <w:link w:val="affd"/>
    <w:uiPriority w:val="99"/>
    <w:semiHidden/>
    <w:rsid w:val="00AA254D"/>
  </w:style>
  <w:style w:type="paragraph" w:styleId="afff">
    <w:name w:val="annotation subject"/>
    <w:basedOn w:val="affd"/>
    <w:next w:val="affd"/>
    <w:link w:val="afff0"/>
    <w:uiPriority w:val="99"/>
    <w:semiHidden/>
    <w:unhideWhenUsed/>
    <w:rsid w:val="00AA254D"/>
    <w:rPr>
      <w:b/>
      <w:bCs/>
    </w:rPr>
  </w:style>
  <w:style w:type="character" w:customStyle="1" w:styleId="afff0">
    <w:name w:val="批注主题 字符"/>
    <w:basedOn w:val="affe"/>
    <w:link w:val="afff"/>
    <w:uiPriority w:val="99"/>
    <w:semiHidden/>
    <w:rsid w:val="00AA254D"/>
    <w:rPr>
      <w:b/>
      <w:bCs/>
    </w:rPr>
  </w:style>
  <w:style w:type="paragraph" w:styleId="afff1">
    <w:name w:val="No Spacing"/>
    <w:uiPriority w:val="1"/>
    <w:qFormat/>
    <w:rsid w:val="00567762"/>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9491">
      <w:bodyDiv w:val="1"/>
      <w:marLeft w:val="0"/>
      <w:marRight w:val="0"/>
      <w:marTop w:val="0"/>
      <w:marBottom w:val="0"/>
      <w:divBdr>
        <w:top w:val="none" w:sz="0" w:space="0" w:color="auto"/>
        <w:left w:val="none" w:sz="0" w:space="0" w:color="auto"/>
        <w:bottom w:val="none" w:sz="0" w:space="0" w:color="auto"/>
        <w:right w:val="none" w:sz="0" w:space="0" w:color="auto"/>
      </w:divBdr>
    </w:div>
    <w:div w:id="93675317">
      <w:bodyDiv w:val="1"/>
      <w:marLeft w:val="0"/>
      <w:marRight w:val="0"/>
      <w:marTop w:val="0"/>
      <w:marBottom w:val="0"/>
      <w:divBdr>
        <w:top w:val="none" w:sz="0" w:space="0" w:color="auto"/>
        <w:left w:val="none" w:sz="0" w:space="0" w:color="auto"/>
        <w:bottom w:val="none" w:sz="0" w:space="0" w:color="auto"/>
        <w:right w:val="none" w:sz="0" w:space="0" w:color="auto"/>
      </w:divBdr>
      <w:divsChild>
        <w:div w:id="2110617398">
          <w:marLeft w:val="360"/>
          <w:marRight w:val="0"/>
          <w:marTop w:val="200"/>
          <w:marBottom w:val="0"/>
          <w:divBdr>
            <w:top w:val="none" w:sz="0" w:space="0" w:color="auto"/>
            <w:left w:val="none" w:sz="0" w:space="0" w:color="auto"/>
            <w:bottom w:val="none" w:sz="0" w:space="0" w:color="auto"/>
            <w:right w:val="none" w:sz="0" w:space="0" w:color="auto"/>
          </w:divBdr>
        </w:div>
      </w:divsChild>
    </w:div>
    <w:div w:id="102503189">
      <w:bodyDiv w:val="1"/>
      <w:marLeft w:val="0"/>
      <w:marRight w:val="0"/>
      <w:marTop w:val="0"/>
      <w:marBottom w:val="0"/>
      <w:divBdr>
        <w:top w:val="none" w:sz="0" w:space="0" w:color="auto"/>
        <w:left w:val="none" w:sz="0" w:space="0" w:color="auto"/>
        <w:bottom w:val="none" w:sz="0" w:space="0" w:color="auto"/>
        <w:right w:val="none" w:sz="0" w:space="0" w:color="auto"/>
      </w:divBdr>
    </w:div>
    <w:div w:id="125321769">
      <w:bodyDiv w:val="1"/>
      <w:marLeft w:val="0"/>
      <w:marRight w:val="0"/>
      <w:marTop w:val="0"/>
      <w:marBottom w:val="0"/>
      <w:divBdr>
        <w:top w:val="none" w:sz="0" w:space="0" w:color="auto"/>
        <w:left w:val="none" w:sz="0" w:space="0" w:color="auto"/>
        <w:bottom w:val="none" w:sz="0" w:space="0" w:color="auto"/>
        <w:right w:val="none" w:sz="0" w:space="0" w:color="auto"/>
      </w:divBdr>
    </w:div>
    <w:div w:id="138160202">
      <w:bodyDiv w:val="1"/>
      <w:marLeft w:val="0"/>
      <w:marRight w:val="0"/>
      <w:marTop w:val="0"/>
      <w:marBottom w:val="0"/>
      <w:divBdr>
        <w:top w:val="none" w:sz="0" w:space="0" w:color="auto"/>
        <w:left w:val="none" w:sz="0" w:space="0" w:color="auto"/>
        <w:bottom w:val="none" w:sz="0" w:space="0" w:color="auto"/>
        <w:right w:val="none" w:sz="0" w:space="0" w:color="auto"/>
      </w:divBdr>
    </w:div>
    <w:div w:id="166680119">
      <w:bodyDiv w:val="1"/>
      <w:marLeft w:val="0"/>
      <w:marRight w:val="0"/>
      <w:marTop w:val="0"/>
      <w:marBottom w:val="0"/>
      <w:divBdr>
        <w:top w:val="none" w:sz="0" w:space="0" w:color="auto"/>
        <w:left w:val="none" w:sz="0" w:space="0" w:color="auto"/>
        <w:bottom w:val="none" w:sz="0" w:space="0" w:color="auto"/>
        <w:right w:val="none" w:sz="0" w:space="0" w:color="auto"/>
      </w:divBdr>
    </w:div>
    <w:div w:id="174654886">
      <w:bodyDiv w:val="1"/>
      <w:marLeft w:val="0"/>
      <w:marRight w:val="0"/>
      <w:marTop w:val="0"/>
      <w:marBottom w:val="0"/>
      <w:divBdr>
        <w:top w:val="none" w:sz="0" w:space="0" w:color="auto"/>
        <w:left w:val="none" w:sz="0" w:space="0" w:color="auto"/>
        <w:bottom w:val="none" w:sz="0" w:space="0" w:color="auto"/>
        <w:right w:val="none" w:sz="0" w:space="0" w:color="auto"/>
      </w:divBdr>
    </w:div>
    <w:div w:id="1958537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6">
          <w:marLeft w:val="0"/>
          <w:marRight w:val="0"/>
          <w:marTop w:val="0"/>
          <w:marBottom w:val="0"/>
          <w:divBdr>
            <w:top w:val="none" w:sz="0" w:space="0" w:color="auto"/>
            <w:left w:val="none" w:sz="0" w:space="0" w:color="auto"/>
            <w:bottom w:val="none" w:sz="0" w:space="0" w:color="auto"/>
            <w:right w:val="none" w:sz="0" w:space="0" w:color="auto"/>
          </w:divBdr>
          <w:divsChild>
            <w:div w:id="1137842697">
              <w:marLeft w:val="0"/>
              <w:marRight w:val="0"/>
              <w:marTop w:val="0"/>
              <w:marBottom w:val="0"/>
              <w:divBdr>
                <w:top w:val="none" w:sz="0" w:space="0" w:color="auto"/>
                <w:left w:val="none" w:sz="0" w:space="0" w:color="auto"/>
                <w:bottom w:val="none" w:sz="0" w:space="0" w:color="auto"/>
                <w:right w:val="none" w:sz="0" w:space="0" w:color="auto"/>
              </w:divBdr>
              <w:divsChild>
                <w:div w:id="17877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392">
      <w:bodyDiv w:val="1"/>
      <w:marLeft w:val="0"/>
      <w:marRight w:val="0"/>
      <w:marTop w:val="0"/>
      <w:marBottom w:val="0"/>
      <w:divBdr>
        <w:top w:val="none" w:sz="0" w:space="0" w:color="auto"/>
        <w:left w:val="none" w:sz="0" w:space="0" w:color="auto"/>
        <w:bottom w:val="none" w:sz="0" w:space="0" w:color="auto"/>
        <w:right w:val="none" w:sz="0" w:space="0" w:color="auto"/>
      </w:divBdr>
    </w:div>
    <w:div w:id="220799333">
      <w:bodyDiv w:val="1"/>
      <w:marLeft w:val="0"/>
      <w:marRight w:val="0"/>
      <w:marTop w:val="0"/>
      <w:marBottom w:val="0"/>
      <w:divBdr>
        <w:top w:val="none" w:sz="0" w:space="0" w:color="auto"/>
        <w:left w:val="none" w:sz="0" w:space="0" w:color="auto"/>
        <w:bottom w:val="none" w:sz="0" w:space="0" w:color="auto"/>
        <w:right w:val="none" w:sz="0" w:space="0" w:color="auto"/>
      </w:divBdr>
    </w:div>
    <w:div w:id="235436880">
      <w:bodyDiv w:val="1"/>
      <w:marLeft w:val="0"/>
      <w:marRight w:val="0"/>
      <w:marTop w:val="0"/>
      <w:marBottom w:val="0"/>
      <w:divBdr>
        <w:top w:val="none" w:sz="0" w:space="0" w:color="auto"/>
        <w:left w:val="none" w:sz="0" w:space="0" w:color="auto"/>
        <w:bottom w:val="none" w:sz="0" w:space="0" w:color="auto"/>
        <w:right w:val="none" w:sz="0" w:space="0" w:color="auto"/>
      </w:divBdr>
    </w:div>
    <w:div w:id="264197128">
      <w:bodyDiv w:val="1"/>
      <w:marLeft w:val="0"/>
      <w:marRight w:val="0"/>
      <w:marTop w:val="0"/>
      <w:marBottom w:val="0"/>
      <w:divBdr>
        <w:top w:val="none" w:sz="0" w:space="0" w:color="auto"/>
        <w:left w:val="none" w:sz="0" w:space="0" w:color="auto"/>
        <w:bottom w:val="none" w:sz="0" w:space="0" w:color="auto"/>
        <w:right w:val="none" w:sz="0" w:space="0" w:color="auto"/>
      </w:divBdr>
    </w:div>
    <w:div w:id="265693538">
      <w:bodyDiv w:val="1"/>
      <w:marLeft w:val="0"/>
      <w:marRight w:val="0"/>
      <w:marTop w:val="0"/>
      <w:marBottom w:val="0"/>
      <w:divBdr>
        <w:top w:val="none" w:sz="0" w:space="0" w:color="auto"/>
        <w:left w:val="none" w:sz="0" w:space="0" w:color="auto"/>
        <w:bottom w:val="none" w:sz="0" w:space="0" w:color="auto"/>
        <w:right w:val="none" w:sz="0" w:space="0" w:color="auto"/>
      </w:divBdr>
    </w:div>
    <w:div w:id="271980973">
      <w:bodyDiv w:val="1"/>
      <w:marLeft w:val="0"/>
      <w:marRight w:val="0"/>
      <w:marTop w:val="0"/>
      <w:marBottom w:val="0"/>
      <w:divBdr>
        <w:top w:val="none" w:sz="0" w:space="0" w:color="auto"/>
        <w:left w:val="none" w:sz="0" w:space="0" w:color="auto"/>
        <w:bottom w:val="none" w:sz="0" w:space="0" w:color="auto"/>
        <w:right w:val="none" w:sz="0" w:space="0" w:color="auto"/>
      </w:divBdr>
      <w:divsChild>
        <w:div w:id="1682201028">
          <w:marLeft w:val="274"/>
          <w:marRight w:val="0"/>
          <w:marTop w:val="0"/>
          <w:marBottom w:val="0"/>
          <w:divBdr>
            <w:top w:val="none" w:sz="0" w:space="0" w:color="auto"/>
            <w:left w:val="none" w:sz="0" w:space="0" w:color="auto"/>
            <w:bottom w:val="none" w:sz="0" w:space="0" w:color="auto"/>
            <w:right w:val="none" w:sz="0" w:space="0" w:color="auto"/>
          </w:divBdr>
        </w:div>
        <w:div w:id="1946499412">
          <w:marLeft w:val="274"/>
          <w:marRight w:val="0"/>
          <w:marTop w:val="0"/>
          <w:marBottom w:val="0"/>
          <w:divBdr>
            <w:top w:val="none" w:sz="0" w:space="0" w:color="auto"/>
            <w:left w:val="none" w:sz="0" w:space="0" w:color="auto"/>
            <w:bottom w:val="none" w:sz="0" w:space="0" w:color="auto"/>
            <w:right w:val="none" w:sz="0" w:space="0" w:color="auto"/>
          </w:divBdr>
        </w:div>
        <w:div w:id="1838383003">
          <w:marLeft w:val="274"/>
          <w:marRight w:val="0"/>
          <w:marTop w:val="0"/>
          <w:marBottom w:val="0"/>
          <w:divBdr>
            <w:top w:val="none" w:sz="0" w:space="0" w:color="auto"/>
            <w:left w:val="none" w:sz="0" w:space="0" w:color="auto"/>
            <w:bottom w:val="none" w:sz="0" w:space="0" w:color="auto"/>
            <w:right w:val="none" w:sz="0" w:space="0" w:color="auto"/>
          </w:divBdr>
        </w:div>
      </w:divsChild>
    </w:div>
    <w:div w:id="279729296">
      <w:bodyDiv w:val="1"/>
      <w:marLeft w:val="0"/>
      <w:marRight w:val="0"/>
      <w:marTop w:val="0"/>
      <w:marBottom w:val="0"/>
      <w:divBdr>
        <w:top w:val="none" w:sz="0" w:space="0" w:color="auto"/>
        <w:left w:val="none" w:sz="0" w:space="0" w:color="auto"/>
        <w:bottom w:val="none" w:sz="0" w:space="0" w:color="auto"/>
        <w:right w:val="none" w:sz="0" w:space="0" w:color="auto"/>
      </w:divBdr>
      <w:divsChild>
        <w:div w:id="543832476">
          <w:marLeft w:val="0"/>
          <w:marRight w:val="0"/>
          <w:marTop w:val="0"/>
          <w:marBottom w:val="0"/>
          <w:divBdr>
            <w:top w:val="none" w:sz="0" w:space="0" w:color="auto"/>
            <w:left w:val="none" w:sz="0" w:space="0" w:color="auto"/>
            <w:bottom w:val="none" w:sz="0" w:space="0" w:color="auto"/>
            <w:right w:val="none" w:sz="0" w:space="0" w:color="auto"/>
          </w:divBdr>
          <w:divsChild>
            <w:div w:id="947466871">
              <w:marLeft w:val="0"/>
              <w:marRight w:val="0"/>
              <w:marTop w:val="0"/>
              <w:marBottom w:val="0"/>
              <w:divBdr>
                <w:top w:val="single" w:sz="6" w:space="0" w:color="DEDEDE"/>
                <w:left w:val="single" w:sz="6" w:space="0" w:color="DEDEDE"/>
                <w:bottom w:val="single" w:sz="6" w:space="0" w:color="DEDEDE"/>
                <w:right w:val="single" w:sz="6" w:space="0" w:color="DEDEDE"/>
              </w:divBdr>
              <w:divsChild>
                <w:div w:id="1811942415">
                  <w:marLeft w:val="0"/>
                  <w:marRight w:val="0"/>
                  <w:marTop w:val="0"/>
                  <w:marBottom w:val="0"/>
                  <w:divBdr>
                    <w:top w:val="none" w:sz="0" w:space="0" w:color="auto"/>
                    <w:left w:val="none" w:sz="0" w:space="0" w:color="auto"/>
                    <w:bottom w:val="none" w:sz="0" w:space="0" w:color="auto"/>
                    <w:right w:val="none" w:sz="0" w:space="0" w:color="auto"/>
                  </w:divBdr>
                  <w:divsChild>
                    <w:div w:id="50405926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64572725">
          <w:marLeft w:val="0"/>
          <w:marRight w:val="0"/>
          <w:marTop w:val="0"/>
          <w:marBottom w:val="0"/>
          <w:divBdr>
            <w:top w:val="none" w:sz="0" w:space="0" w:color="auto"/>
            <w:left w:val="none" w:sz="0" w:space="0" w:color="auto"/>
            <w:bottom w:val="none" w:sz="0" w:space="0" w:color="auto"/>
            <w:right w:val="none" w:sz="0" w:space="0" w:color="auto"/>
          </w:divBdr>
          <w:divsChild>
            <w:div w:id="1734086874">
              <w:marLeft w:val="0"/>
              <w:marRight w:val="0"/>
              <w:marTop w:val="0"/>
              <w:marBottom w:val="0"/>
              <w:divBdr>
                <w:top w:val="none" w:sz="0" w:space="0" w:color="auto"/>
                <w:left w:val="none" w:sz="0" w:space="0" w:color="auto"/>
                <w:bottom w:val="none" w:sz="0" w:space="0" w:color="auto"/>
                <w:right w:val="none" w:sz="0" w:space="0" w:color="auto"/>
              </w:divBdr>
              <w:divsChild>
                <w:div w:id="409353790">
                  <w:marLeft w:val="0"/>
                  <w:marRight w:val="0"/>
                  <w:marTop w:val="0"/>
                  <w:marBottom w:val="0"/>
                  <w:divBdr>
                    <w:top w:val="single" w:sz="6" w:space="8" w:color="EEEEEE"/>
                    <w:left w:val="none" w:sz="0" w:space="8" w:color="auto"/>
                    <w:bottom w:val="single" w:sz="6" w:space="8" w:color="EEEEEE"/>
                    <w:right w:val="single" w:sz="6" w:space="8" w:color="EEEEEE"/>
                  </w:divBdr>
                  <w:divsChild>
                    <w:div w:id="6811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06852">
      <w:bodyDiv w:val="1"/>
      <w:marLeft w:val="0"/>
      <w:marRight w:val="0"/>
      <w:marTop w:val="0"/>
      <w:marBottom w:val="0"/>
      <w:divBdr>
        <w:top w:val="none" w:sz="0" w:space="0" w:color="auto"/>
        <w:left w:val="none" w:sz="0" w:space="0" w:color="auto"/>
        <w:bottom w:val="none" w:sz="0" w:space="0" w:color="auto"/>
        <w:right w:val="none" w:sz="0" w:space="0" w:color="auto"/>
      </w:divBdr>
    </w:div>
    <w:div w:id="341904636">
      <w:bodyDiv w:val="1"/>
      <w:marLeft w:val="0"/>
      <w:marRight w:val="0"/>
      <w:marTop w:val="0"/>
      <w:marBottom w:val="0"/>
      <w:divBdr>
        <w:top w:val="none" w:sz="0" w:space="0" w:color="auto"/>
        <w:left w:val="none" w:sz="0" w:space="0" w:color="auto"/>
        <w:bottom w:val="none" w:sz="0" w:space="0" w:color="auto"/>
        <w:right w:val="none" w:sz="0" w:space="0" w:color="auto"/>
      </w:divBdr>
      <w:divsChild>
        <w:div w:id="436485108">
          <w:marLeft w:val="0"/>
          <w:marRight w:val="0"/>
          <w:marTop w:val="0"/>
          <w:marBottom w:val="0"/>
          <w:divBdr>
            <w:top w:val="none" w:sz="0" w:space="0" w:color="auto"/>
            <w:left w:val="none" w:sz="0" w:space="0" w:color="auto"/>
            <w:bottom w:val="none" w:sz="0" w:space="0" w:color="auto"/>
            <w:right w:val="none" w:sz="0" w:space="0" w:color="auto"/>
          </w:divBdr>
          <w:divsChild>
            <w:div w:id="1516991980">
              <w:marLeft w:val="0"/>
              <w:marRight w:val="0"/>
              <w:marTop w:val="0"/>
              <w:marBottom w:val="0"/>
              <w:divBdr>
                <w:top w:val="none" w:sz="0" w:space="0" w:color="auto"/>
                <w:left w:val="none" w:sz="0" w:space="0" w:color="auto"/>
                <w:bottom w:val="none" w:sz="0" w:space="0" w:color="auto"/>
                <w:right w:val="none" w:sz="0" w:space="0" w:color="auto"/>
              </w:divBdr>
              <w:divsChild>
                <w:div w:id="8369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339664">
      <w:bodyDiv w:val="1"/>
      <w:marLeft w:val="0"/>
      <w:marRight w:val="0"/>
      <w:marTop w:val="0"/>
      <w:marBottom w:val="0"/>
      <w:divBdr>
        <w:top w:val="none" w:sz="0" w:space="0" w:color="auto"/>
        <w:left w:val="none" w:sz="0" w:space="0" w:color="auto"/>
        <w:bottom w:val="none" w:sz="0" w:space="0" w:color="auto"/>
        <w:right w:val="none" w:sz="0" w:space="0" w:color="auto"/>
      </w:divBdr>
      <w:divsChild>
        <w:div w:id="1813787649">
          <w:marLeft w:val="0"/>
          <w:marRight w:val="0"/>
          <w:marTop w:val="0"/>
          <w:marBottom w:val="0"/>
          <w:divBdr>
            <w:top w:val="none" w:sz="0" w:space="0" w:color="auto"/>
            <w:left w:val="none" w:sz="0" w:space="0" w:color="auto"/>
            <w:bottom w:val="none" w:sz="0" w:space="0" w:color="auto"/>
            <w:right w:val="none" w:sz="0" w:space="0" w:color="auto"/>
          </w:divBdr>
          <w:divsChild>
            <w:div w:id="1197884640">
              <w:marLeft w:val="0"/>
              <w:marRight w:val="0"/>
              <w:marTop w:val="0"/>
              <w:marBottom w:val="0"/>
              <w:divBdr>
                <w:top w:val="single" w:sz="6" w:space="0" w:color="DEDEDE"/>
                <w:left w:val="single" w:sz="6" w:space="0" w:color="DEDEDE"/>
                <w:bottom w:val="single" w:sz="6" w:space="0" w:color="DEDEDE"/>
                <w:right w:val="single" w:sz="6" w:space="0" w:color="DEDEDE"/>
              </w:divBdr>
              <w:divsChild>
                <w:div w:id="1486124676">
                  <w:marLeft w:val="0"/>
                  <w:marRight w:val="0"/>
                  <w:marTop w:val="0"/>
                  <w:marBottom w:val="0"/>
                  <w:divBdr>
                    <w:top w:val="none" w:sz="0" w:space="0" w:color="auto"/>
                    <w:left w:val="none" w:sz="0" w:space="0" w:color="auto"/>
                    <w:bottom w:val="none" w:sz="0" w:space="0" w:color="auto"/>
                    <w:right w:val="none" w:sz="0" w:space="0" w:color="auto"/>
                  </w:divBdr>
                  <w:divsChild>
                    <w:div w:id="24819596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638798585">
          <w:marLeft w:val="0"/>
          <w:marRight w:val="0"/>
          <w:marTop w:val="0"/>
          <w:marBottom w:val="0"/>
          <w:divBdr>
            <w:top w:val="none" w:sz="0" w:space="0" w:color="auto"/>
            <w:left w:val="none" w:sz="0" w:space="0" w:color="auto"/>
            <w:bottom w:val="none" w:sz="0" w:space="0" w:color="auto"/>
            <w:right w:val="none" w:sz="0" w:space="0" w:color="auto"/>
          </w:divBdr>
          <w:divsChild>
            <w:div w:id="1543636735">
              <w:marLeft w:val="0"/>
              <w:marRight w:val="0"/>
              <w:marTop w:val="0"/>
              <w:marBottom w:val="0"/>
              <w:divBdr>
                <w:top w:val="none" w:sz="0" w:space="0" w:color="auto"/>
                <w:left w:val="none" w:sz="0" w:space="0" w:color="auto"/>
                <w:bottom w:val="none" w:sz="0" w:space="0" w:color="auto"/>
                <w:right w:val="none" w:sz="0" w:space="0" w:color="auto"/>
              </w:divBdr>
              <w:divsChild>
                <w:div w:id="1193228307">
                  <w:marLeft w:val="0"/>
                  <w:marRight w:val="0"/>
                  <w:marTop w:val="0"/>
                  <w:marBottom w:val="0"/>
                  <w:divBdr>
                    <w:top w:val="single" w:sz="6" w:space="8" w:color="EEEEEE"/>
                    <w:left w:val="none" w:sz="0" w:space="8" w:color="auto"/>
                    <w:bottom w:val="single" w:sz="6" w:space="8" w:color="EEEEEE"/>
                    <w:right w:val="single" w:sz="6" w:space="8" w:color="EEEEEE"/>
                  </w:divBdr>
                  <w:divsChild>
                    <w:div w:id="5383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68910">
      <w:bodyDiv w:val="1"/>
      <w:marLeft w:val="0"/>
      <w:marRight w:val="0"/>
      <w:marTop w:val="0"/>
      <w:marBottom w:val="0"/>
      <w:divBdr>
        <w:top w:val="none" w:sz="0" w:space="0" w:color="auto"/>
        <w:left w:val="none" w:sz="0" w:space="0" w:color="auto"/>
        <w:bottom w:val="none" w:sz="0" w:space="0" w:color="auto"/>
        <w:right w:val="none" w:sz="0" w:space="0" w:color="auto"/>
      </w:divBdr>
    </w:div>
    <w:div w:id="508570471">
      <w:bodyDiv w:val="1"/>
      <w:marLeft w:val="0"/>
      <w:marRight w:val="0"/>
      <w:marTop w:val="0"/>
      <w:marBottom w:val="0"/>
      <w:divBdr>
        <w:top w:val="none" w:sz="0" w:space="0" w:color="auto"/>
        <w:left w:val="none" w:sz="0" w:space="0" w:color="auto"/>
        <w:bottom w:val="none" w:sz="0" w:space="0" w:color="auto"/>
        <w:right w:val="none" w:sz="0" w:space="0" w:color="auto"/>
      </w:divBdr>
    </w:div>
    <w:div w:id="509176078">
      <w:bodyDiv w:val="1"/>
      <w:marLeft w:val="0"/>
      <w:marRight w:val="0"/>
      <w:marTop w:val="0"/>
      <w:marBottom w:val="0"/>
      <w:divBdr>
        <w:top w:val="none" w:sz="0" w:space="0" w:color="auto"/>
        <w:left w:val="none" w:sz="0" w:space="0" w:color="auto"/>
        <w:bottom w:val="none" w:sz="0" w:space="0" w:color="auto"/>
        <w:right w:val="none" w:sz="0" w:space="0" w:color="auto"/>
      </w:divBdr>
      <w:divsChild>
        <w:div w:id="1036539380">
          <w:marLeft w:val="0"/>
          <w:marRight w:val="0"/>
          <w:marTop w:val="0"/>
          <w:marBottom w:val="0"/>
          <w:divBdr>
            <w:top w:val="none" w:sz="0" w:space="0" w:color="auto"/>
            <w:left w:val="none" w:sz="0" w:space="0" w:color="auto"/>
            <w:bottom w:val="none" w:sz="0" w:space="0" w:color="auto"/>
            <w:right w:val="none" w:sz="0" w:space="0" w:color="auto"/>
          </w:divBdr>
          <w:divsChild>
            <w:div w:id="746654135">
              <w:marLeft w:val="0"/>
              <w:marRight w:val="0"/>
              <w:marTop w:val="0"/>
              <w:marBottom w:val="0"/>
              <w:divBdr>
                <w:top w:val="none" w:sz="0" w:space="0" w:color="auto"/>
                <w:left w:val="none" w:sz="0" w:space="0" w:color="auto"/>
                <w:bottom w:val="none" w:sz="0" w:space="0" w:color="auto"/>
                <w:right w:val="none" w:sz="0" w:space="0" w:color="auto"/>
              </w:divBdr>
              <w:divsChild>
                <w:div w:id="11386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19557">
      <w:bodyDiv w:val="1"/>
      <w:marLeft w:val="0"/>
      <w:marRight w:val="0"/>
      <w:marTop w:val="0"/>
      <w:marBottom w:val="0"/>
      <w:divBdr>
        <w:top w:val="none" w:sz="0" w:space="0" w:color="auto"/>
        <w:left w:val="none" w:sz="0" w:space="0" w:color="auto"/>
        <w:bottom w:val="none" w:sz="0" w:space="0" w:color="auto"/>
        <w:right w:val="none" w:sz="0" w:space="0" w:color="auto"/>
      </w:divBdr>
    </w:div>
    <w:div w:id="516695800">
      <w:bodyDiv w:val="1"/>
      <w:marLeft w:val="0"/>
      <w:marRight w:val="0"/>
      <w:marTop w:val="0"/>
      <w:marBottom w:val="0"/>
      <w:divBdr>
        <w:top w:val="none" w:sz="0" w:space="0" w:color="auto"/>
        <w:left w:val="none" w:sz="0" w:space="0" w:color="auto"/>
        <w:bottom w:val="none" w:sz="0" w:space="0" w:color="auto"/>
        <w:right w:val="none" w:sz="0" w:space="0" w:color="auto"/>
      </w:divBdr>
      <w:divsChild>
        <w:div w:id="1718166585">
          <w:marLeft w:val="0"/>
          <w:marRight w:val="0"/>
          <w:marTop w:val="0"/>
          <w:marBottom w:val="0"/>
          <w:divBdr>
            <w:top w:val="none" w:sz="0" w:space="0" w:color="auto"/>
            <w:left w:val="none" w:sz="0" w:space="0" w:color="auto"/>
            <w:bottom w:val="none" w:sz="0" w:space="0" w:color="auto"/>
            <w:right w:val="none" w:sz="0" w:space="0" w:color="auto"/>
          </w:divBdr>
          <w:divsChild>
            <w:div w:id="917177950">
              <w:marLeft w:val="0"/>
              <w:marRight w:val="0"/>
              <w:marTop w:val="0"/>
              <w:marBottom w:val="0"/>
              <w:divBdr>
                <w:top w:val="none" w:sz="0" w:space="0" w:color="auto"/>
                <w:left w:val="none" w:sz="0" w:space="0" w:color="auto"/>
                <w:bottom w:val="none" w:sz="0" w:space="0" w:color="auto"/>
                <w:right w:val="none" w:sz="0" w:space="0" w:color="auto"/>
              </w:divBdr>
              <w:divsChild>
                <w:div w:id="381097400">
                  <w:marLeft w:val="0"/>
                  <w:marRight w:val="0"/>
                  <w:marTop w:val="0"/>
                  <w:marBottom w:val="0"/>
                  <w:divBdr>
                    <w:top w:val="none" w:sz="0" w:space="0" w:color="auto"/>
                    <w:left w:val="none" w:sz="0" w:space="0" w:color="auto"/>
                    <w:bottom w:val="none" w:sz="0" w:space="0" w:color="auto"/>
                    <w:right w:val="none" w:sz="0" w:space="0" w:color="auto"/>
                  </w:divBdr>
                </w:div>
              </w:divsChild>
            </w:div>
            <w:div w:id="498278301">
              <w:marLeft w:val="0"/>
              <w:marRight w:val="0"/>
              <w:marTop w:val="0"/>
              <w:marBottom w:val="0"/>
              <w:divBdr>
                <w:top w:val="none" w:sz="0" w:space="0" w:color="auto"/>
                <w:left w:val="none" w:sz="0" w:space="0" w:color="auto"/>
                <w:bottom w:val="none" w:sz="0" w:space="0" w:color="auto"/>
                <w:right w:val="none" w:sz="0" w:space="0" w:color="auto"/>
              </w:divBdr>
              <w:divsChild>
                <w:div w:id="1486119717">
                  <w:marLeft w:val="0"/>
                  <w:marRight w:val="0"/>
                  <w:marTop w:val="0"/>
                  <w:marBottom w:val="0"/>
                  <w:divBdr>
                    <w:top w:val="none" w:sz="0" w:space="0" w:color="auto"/>
                    <w:left w:val="none" w:sz="0" w:space="0" w:color="auto"/>
                    <w:bottom w:val="none" w:sz="0" w:space="0" w:color="auto"/>
                    <w:right w:val="none" w:sz="0" w:space="0" w:color="auto"/>
                  </w:divBdr>
                </w:div>
              </w:divsChild>
            </w:div>
            <w:div w:id="1159033159">
              <w:marLeft w:val="0"/>
              <w:marRight w:val="0"/>
              <w:marTop w:val="0"/>
              <w:marBottom w:val="0"/>
              <w:divBdr>
                <w:top w:val="none" w:sz="0" w:space="0" w:color="auto"/>
                <w:left w:val="none" w:sz="0" w:space="0" w:color="auto"/>
                <w:bottom w:val="none" w:sz="0" w:space="0" w:color="auto"/>
                <w:right w:val="none" w:sz="0" w:space="0" w:color="auto"/>
              </w:divBdr>
              <w:divsChild>
                <w:div w:id="1333219489">
                  <w:marLeft w:val="0"/>
                  <w:marRight w:val="0"/>
                  <w:marTop w:val="0"/>
                  <w:marBottom w:val="0"/>
                  <w:divBdr>
                    <w:top w:val="none" w:sz="0" w:space="0" w:color="auto"/>
                    <w:left w:val="none" w:sz="0" w:space="0" w:color="auto"/>
                    <w:bottom w:val="none" w:sz="0" w:space="0" w:color="auto"/>
                    <w:right w:val="none" w:sz="0" w:space="0" w:color="auto"/>
                  </w:divBdr>
                </w:div>
              </w:divsChild>
            </w:div>
            <w:div w:id="1919634413">
              <w:marLeft w:val="0"/>
              <w:marRight w:val="0"/>
              <w:marTop w:val="0"/>
              <w:marBottom w:val="0"/>
              <w:divBdr>
                <w:top w:val="none" w:sz="0" w:space="0" w:color="auto"/>
                <w:left w:val="none" w:sz="0" w:space="0" w:color="auto"/>
                <w:bottom w:val="none" w:sz="0" w:space="0" w:color="auto"/>
                <w:right w:val="none" w:sz="0" w:space="0" w:color="auto"/>
              </w:divBdr>
              <w:divsChild>
                <w:div w:id="20018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1443">
      <w:bodyDiv w:val="1"/>
      <w:marLeft w:val="0"/>
      <w:marRight w:val="0"/>
      <w:marTop w:val="0"/>
      <w:marBottom w:val="0"/>
      <w:divBdr>
        <w:top w:val="none" w:sz="0" w:space="0" w:color="auto"/>
        <w:left w:val="none" w:sz="0" w:space="0" w:color="auto"/>
        <w:bottom w:val="none" w:sz="0" w:space="0" w:color="auto"/>
        <w:right w:val="none" w:sz="0" w:space="0" w:color="auto"/>
      </w:divBdr>
    </w:div>
    <w:div w:id="576939227">
      <w:bodyDiv w:val="1"/>
      <w:marLeft w:val="0"/>
      <w:marRight w:val="0"/>
      <w:marTop w:val="0"/>
      <w:marBottom w:val="0"/>
      <w:divBdr>
        <w:top w:val="none" w:sz="0" w:space="0" w:color="auto"/>
        <w:left w:val="none" w:sz="0" w:space="0" w:color="auto"/>
        <w:bottom w:val="none" w:sz="0" w:space="0" w:color="auto"/>
        <w:right w:val="none" w:sz="0" w:space="0" w:color="auto"/>
      </w:divBdr>
    </w:div>
    <w:div w:id="588344795">
      <w:bodyDiv w:val="1"/>
      <w:marLeft w:val="0"/>
      <w:marRight w:val="0"/>
      <w:marTop w:val="0"/>
      <w:marBottom w:val="0"/>
      <w:divBdr>
        <w:top w:val="none" w:sz="0" w:space="0" w:color="auto"/>
        <w:left w:val="none" w:sz="0" w:space="0" w:color="auto"/>
        <w:bottom w:val="none" w:sz="0" w:space="0" w:color="auto"/>
        <w:right w:val="none" w:sz="0" w:space="0" w:color="auto"/>
      </w:divBdr>
      <w:divsChild>
        <w:div w:id="2098015139">
          <w:marLeft w:val="0"/>
          <w:marRight w:val="0"/>
          <w:marTop w:val="0"/>
          <w:marBottom w:val="0"/>
          <w:divBdr>
            <w:top w:val="none" w:sz="0" w:space="0" w:color="auto"/>
            <w:left w:val="none" w:sz="0" w:space="0" w:color="auto"/>
            <w:bottom w:val="none" w:sz="0" w:space="0" w:color="auto"/>
            <w:right w:val="none" w:sz="0" w:space="0" w:color="auto"/>
          </w:divBdr>
          <w:divsChild>
            <w:div w:id="989822151">
              <w:marLeft w:val="0"/>
              <w:marRight w:val="0"/>
              <w:marTop w:val="0"/>
              <w:marBottom w:val="0"/>
              <w:divBdr>
                <w:top w:val="none" w:sz="0" w:space="0" w:color="auto"/>
                <w:left w:val="none" w:sz="0" w:space="0" w:color="auto"/>
                <w:bottom w:val="none" w:sz="0" w:space="0" w:color="auto"/>
                <w:right w:val="none" w:sz="0" w:space="0" w:color="auto"/>
              </w:divBdr>
              <w:divsChild>
                <w:div w:id="1660764890">
                  <w:marLeft w:val="0"/>
                  <w:marRight w:val="0"/>
                  <w:marTop w:val="0"/>
                  <w:marBottom w:val="0"/>
                  <w:divBdr>
                    <w:top w:val="none" w:sz="0" w:space="0" w:color="auto"/>
                    <w:left w:val="none" w:sz="0" w:space="0" w:color="auto"/>
                    <w:bottom w:val="none" w:sz="0" w:space="0" w:color="auto"/>
                    <w:right w:val="none" w:sz="0" w:space="0" w:color="auto"/>
                  </w:divBdr>
                  <w:divsChild>
                    <w:div w:id="5462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5480">
      <w:bodyDiv w:val="1"/>
      <w:marLeft w:val="0"/>
      <w:marRight w:val="0"/>
      <w:marTop w:val="0"/>
      <w:marBottom w:val="0"/>
      <w:divBdr>
        <w:top w:val="none" w:sz="0" w:space="0" w:color="auto"/>
        <w:left w:val="none" w:sz="0" w:space="0" w:color="auto"/>
        <w:bottom w:val="none" w:sz="0" w:space="0" w:color="auto"/>
        <w:right w:val="none" w:sz="0" w:space="0" w:color="auto"/>
      </w:divBdr>
      <w:divsChild>
        <w:div w:id="1122964832">
          <w:marLeft w:val="0"/>
          <w:marRight w:val="0"/>
          <w:marTop w:val="0"/>
          <w:marBottom w:val="0"/>
          <w:divBdr>
            <w:top w:val="none" w:sz="0" w:space="0" w:color="auto"/>
            <w:left w:val="none" w:sz="0" w:space="0" w:color="auto"/>
            <w:bottom w:val="none" w:sz="0" w:space="0" w:color="auto"/>
            <w:right w:val="none" w:sz="0" w:space="0" w:color="auto"/>
          </w:divBdr>
          <w:divsChild>
            <w:div w:id="1669480744">
              <w:marLeft w:val="0"/>
              <w:marRight w:val="0"/>
              <w:marTop w:val="0"/>
              <w:marBottom w:val="0"/>
              <w:divBdr>
                <w:top w:val="none" w:sz="0" w:space="0" w:color="auto"/>
                <w:left w:val="none" w:sz="0" w:space="0" w:color="auto"/>
                <w:bottom w:val="none" w:sz="0" w:space="0" w:color="auto"/>
                <w:right w:val="none" w:sz="0" w:space="0" w:color="auto"/>
              </w:divBdr>
              <w:divsChild>
                <w:div w:id="4286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2485">
      <w:bodyDiv w:val="1"/>
      <w:marLeft w:val="0"/>
      <w:marRight w:val="0"/>
      <w:marTop w:val="0"/>
      <w:marBottom w:val="0"/>
      <w:divBdr>
        <w:top w:val="none" w:sz="0" w:space="0" w:color="auto"/>
        <w:left w:val="none" w:sz="0" w:space="0" w:color="auto"/>
        <w:bottom w:val="none" w:sz="0" w:space="0" w:color="auto"/>
        <w:right w:val="none" w:sz="0" w:space="0" w:color="auto"/>
      </w:divBdr>
      <w:divsChild>
        <w:div w:id="1485969787">
          <w:marLeft w:val="0"/>
          <w:marRight w:val="0"/>
          <w:marTop w:val="0"/>
          <w:marBottom w:val="0"/>
          <w:divBdr>
            <w:top w:val="none" w:sz="0" w:space="0" w:color="auto"/>
            <w:left w:val="none" w:sz="0" w:space="0" w:color="auto"/>
            <w:bottom w:val="none" w:sz="0" w:space="0" w:color="auto"/>
            <w:right w:val="none" w:sz="0" w:space="0" w:color="auto"/>
          </w:divBdr>
          <w:divsChild>
            <w:div w:id="1192643355">
              <w:marLeft w:val="0"/>
              <w:marRight w:val="0"/>
              <w:marTop w:val="0"/>
              <w:marBottom w:val="0"/>
              <w:divBdr>
                <w:top w:val="none" w:sz="0" w:space="0" w:color="auto"/>
                <w:left w:val="none" w:sz="0" w:space="0" w:color="auto"/>
                <w:bottom w:val="none" w:sz="0" w:space="0" w:color="auto"/>
                <w:right w:val="none" w:sz="0" w:space="0" w:color="auto"/>
              </w:divBdr>
              <w:divsChild>
                <w:div w:id="481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7318">
      <w:bodyDiv w:val="1"/>
      <w:marLeft w:val="0"/>
      <w:marRight w:val="0"/>
      <w:marTop w:val="0"/>
      <w:marBottom w:val="0"/>
      <w:divBdr>
        <w:top w:val="none" w:sz="0" w:space="0" w:color="auto"/>
        <w:left w:val="none" w:sz="0" w:space="0" w:color="auto"/>
        <w:bottom w:val="none" w:sz="0" w:space="0" w:color="auto"/>
        <w:right w:val="none" w:sz="0" w:space="0" w:color="auto"/>
      </w:divBdr>
    </w:div>
    <w:div w:id="764884248">
      <w:bodyDiv w:val="1"/>
      <w:marLeft w:val="0"/>
      <w:marRight w:val="0"/>
      <w:marTop w:val="0"/>
      <w:marBottom w:val="0"/>
      <w:divBdr>
        <w:top w:val="none" w:sz="0" w:space="0" w:color="auto"/>
        <w:left w:val="none" w:sz="0" w:space="0" w:color="auto"/>
        <w:bottom w:val="none" w:sz="0" w:space="0" w:color="auto"/>
        <w:right w:val="none" w:sz="0" w:space="0" w:color="auto"/>
      </w:divBdr>
    </w:div>
    <w:div w:id="782573016">
      <w:bodyDiv w:val="1"/>
      <w:marLeft w:val="0"/>
      <w:marRight w:val="0"/>
      <w:marTop w:val="0"/>
      <w:marBottom w:val="0"/>
      <w:divBdr>
        <w:top w:val="none" w:sz="0" w:space="0" w:color="auto"/>
        <w:left w:val="none" w:sz="0" w:space="0" w:color="auto"/>
        <w:bottom w:val="none" w:sz="0" w:space="0" w:color="auto"/>
        <w:right w:val="none" w:sz="0" w:space="0" w:color="auto"/>
      </w:divBdr>
    </w:div>
    <w:div w:id="795954845">
      <w:bodyDiv w:val="1"/>
      <w:marLeft w:val="0"/>
      <w:marRight w:val="0"/>
      <w:marTop w:val="0"/>
      <w:marBottom w:val="0"/>
      <w:divBdr>
        <w:top w:val="none" w:sz="0" w:space="0" w:color="auto"/>
        <w:left w:val="none" w:sz="0" w:space="0" w:color="auto"/>
        <w:bottom w:val="none" w:sz="0" w:space="0" w:color="auto"/>
        <w:right w:val="none" w:sz="0" w:space="0" w:color="auto"/>
      </w:divBdr>
      <w:divsChild>
        <w:div w:id="1897473153">
          <w:marLeft w:val="0"/>
          <w:marRight w:val="0"/>
          <w:marTop w:val="0"/>
          <w:marBottom w:val="0"/>
          <w:divBdr>
            <w:top w:val="none" w:sz="0" w:space="0" w:color="auto"/>
            <w:left w:val="none" w:sz="0" w:space="0" w:color="auto"/>
            <w:bottom w:val="none" w:sz="0" w:space="0" w:color="auto"/>
            <w:right w:val="none" w:sz="0" w:space="0" w:color="auto"/>
          </w:divBdr>
          <w:divsChild>
            <w:div w:id="170337566">
              <w:marLeft w:val="0"/>
              <w:marRight w:val="0"/>
              <w:marTop w:val="0"/>
              <w:marBottom w:val="0"/>
              <w:divBdr>
                <w:top w:val="single" w:sz="6" w:space="0" w:color="DEDEDE"/>
                <w:left w:val="single" w:sz="6" w:space="0" w:color="DEDEDE"/>
                <w:bottom w:val="single" w:sz="6" w:space="0" w:color="DEDEDE"/>
                <w:right w:val="single" w:sz="6" w:space="0" w:color="DEDEDE"/>
              </w:divBdr>
              <w:divsChild>
                <w:div w:id="660498653">
                  <w:marLeft w:val="0"/>
                  <w:marRight w:val="0"/>
                  <w:marTop w:val="0"/>
                  <w:marBottom w:val="0"/>
                  <w:divBdr>
                    <w:top w:val="none" w:sz="0" w:space="0" w:color="auto"/>
                    <w:left w:val="none" w:sz="0" w:space="0" w:color="auto"/>
                    <w:bottom w:val="none" w:sz="0" w:space="0" w:color="auto"/>
                    <w:right w:val="none" w:sz="0" w:space="0" w:color="auto"/>
                  </w:divBdr>
                  <w:divsChild>
                    <w:div w:id="151611694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63766836">
          <w:marLeft w:val="0"/>
          <w:marRight w:val="0"/>
          <w:marTop w:val="0"/>
          <w:marBottom w:val="0"/>
          <w:divBdr>
            <w:top w:val="none" w:sz="0" w:space="0" w:color="auto"/>
            <w:left w:val="none" w:sz="0" w:space="0" w:color="auto"/>
            <w:bottom w:val="none" w:sz="0" w:space="0" w:color="auto"/>
            <w:right w:val="none" w:sz="0" w:space="0" w:color="auto"/>
          </w:divBdr>
          <w:divsChild>
            <w:div w:id="935747356">
              <w:marLeft w:val="0"/>
              <w:marRight w:val="0"/>
              <w:marTop w:val="0"/>
              <w:marBottom w:val="0"/>
              <w:divBdr>
                <w:top w:val="none" w:sz="0" w:space="0" w:color="auto"/>
                <w:left w:val="none" w:sz="0" w:space="0" w:color="auto"/>
                <w:bottom w:val="none" w:sz="0" w:space="0" w:color="auto"/>
                <w:right w:val="none" w:sz="0" w:space="0" w:color="auto"/>
              </w:divBdr>
              <w:divsChild>
                <w:div w:id="2138140558">
                  <w:marLeft w:val="0"/>
                  <w:marRight w:val="0"/>
                  <w:marTop w:val="0"/>
                  <w:marBottom w:val="0"/>
                  <w:divBdr>
                    <w:top w:val="single" w:sz="6" w:space="8" w:color="EEEEEE"/>
                    <w:left w:val="none" w:sz="0" w:space="8" w:color="auto"/>
                    <w:bottom w:val="single" w:sz="6" w:space="8" w:color="EEEEEE"/>
                    <w:right w:val="single" w:sz="6" w:space="8" w:color="EEEEEE"/>
                  </w:divBdr>
                  <w:divsChild>
                    <w:div w:id="2192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96296">
      <w:bodyDiv w:val="1"/>
      <w:marLeft w:val="0"/>
      <w:marRight w:val="0"/>
      <w:marTop w:val="0"/>
      <w:marBottom w:val="0"/>
      <w:divBdr>
        <w:top w:val="none" w:sz="0" w:space="0" w:color="auto"/>
        <w:left w:val="none" w:sz="0" w:space="0" w:color="auto"/>
        <w:bottom w:val="none" w:sz="0" w:space="0" w:color="auto"/>
        <w:right w:val="none" w:sz="0" w:space="0" w:color="auto"/>
      </w:divBdr>
    </w:div>
    <w:div w:id="901334605">
      <w:bodyDiv w:val="1"/>
      <w:marLeft w:val="0"/>
      <w:marRight w:val="0"/>
      <w:marTop w:val="0"/>
      <w:marBottom w:val="0"/>
      <w:divBdr>
        <w:top w:val="none" w:sz="0" w:space="0" w:color="auto"/>
        <w:left w:val="none" w:sz="0" w:space="0" w:color="auto"/>
        <w:bottom w:val="none" w:sz="0" w:space="0" w:color="auto"/>
        <w:right w:val="none" w:sz="0" w:space="0" w:color="auto"/>
      </w:divBdr>
    </w:div>
    <w:div w:id="945961504">
      <w:bodyDiv w:val="1"/>
      <w:marLeft w:val="0"/>
      <w:marRight w:val="0"/>
      <w:marTop w:val="0"/>
      <w:marBottom w:val="0"/>
      <w:divBdr>
        <w:top w:val="none" w:sz="0" w:space="0" w:color="auto"/>
        <w:left w:val="none" w:sz="0" w:space="0" w:color="auto"/>
        <w:bottom w:val="none" w:sz="0" w:space="0" w:color="auto"/>
        <w:right w:val="none" w:sz="0" w:space="0" w:color="auto"/>
      </w:divBdr>
    </w:div>
    <w:div w:id="966082800">
      <w:bodyDiv w:val="1"/>
      <w:marLeft w:val="0"/>
      <w:marRight w:val="0"/>
      <w:marTop w:val="0"/>
      <w:marBottom w:val="0"/>
      <w:divBdr>
        <w:top w:val="none" w:sz="0" w:space="0" w:color="auto"/>
        <w:left w:val="none" w:sz="0" w:space="0" w:color="auto"/>
        <w:bottom w:val="none" w:sz="0" w:space="0" w:color="auto"/>
        <w:right w:val="none" w:sz="0" w:space="0" w:color="auto"/>
      </w:divBdr>
    </w:div>
    <w:div w:id="997348134">
      <w:bodyDiv w:val="1"/>
      <w:marLeft w:val="0"/>
      <w:marRight w:val="0"/>
      <w:marTop w:val="0"/>
      <w:marBottom w:val="0"/>
      <w:divBdr>
        <w:top w:val="none" w:sz="0" w:space="0" w:color="auto"/>
        <w:left w:val="none" w:sz="0" w:space="0" w:color="auto"/>
        <w:bottom w:val="none" w:sz="0" w:space="0" w:color="auto"/>
        <w:right w:val="none" w:sz="0" w:space="0" w:color="auto"/>
      </w:divBdr>
      <w:divsChild>
        <w:div w:id="1986545490">
          <w:marLeft w:val="0"/>
          <w:marRight w:val="0"/>
          <w:marTop w:val="0"/>
          <w:marBottom w:val="0"/>
          <w:divBdr>
            <w:top w:val="none" w:sz="0" w:space="0" w:color="auto"/>
            <w:left w:val="none" w:sz="0" w:space="0" w:color="auto"/>
            <w:bottom w:val="none" w:sz="0" w:space="0" w:color="auto"/>
            <w:right w:val="none" w:sz="0" w:space="0" w:color="auto"/>
          </w:divBdr>
          <w:divsChild>
            <w:div w:id="1469586520">
              <w:marLeft w:val="0"/>
              <w:marRight w:val="0"/>
              <w:marTop w:val="0"/>
              <w:marBottom w:val="0"/>
              <w:divBdr>
                <w:top w:val="none" w:sz="0" w:space="0" w:color="auto"/>
                <w:left w:val="none" w:sz="0" w:space="0" w:color="auto"/>
                <w:bottom w:val="none" w:sz="0" w:space="0" w:color="auto"/>
                <w:right w:val="none" w:sz="0" w:space="0" w:color="auto"/>
              </w:divBdr>
              <w:divsChild>
                <w:div w:id="394739215">
                  <w:marLeft w:val="0"/>
                  <w:marRight w:val="0"/>
                  <w:marTop w:val="0"/>
                  <w:marBottom w:val="0"/>
                  <w:divBdr>
                    <w:top w:val="none" w:sz="0" w:space="0" w:color="auto"/>
                    <w:left w:val="none" w:sz="0" w:space="0" w:color="auto"/>
                    <w:bottom w:val="none" w:sz="0" w:space="0" w:color="auto"/>
                    <w:right w:val="none" w:sz="0" w:space="0" w:color="auto"/>
                  </w:divBdr>
                  <w:divsChild>
                    <w:div w:id="865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13990">
      <w:bodyDiv w:val="1"/>
      <w:marLeft w:val="0"/>
      <w:marRight w:val="0"/>
      <w:marTop w:val="0"/>
      <w:marBottom w:val="0"/>
      <w:divBdr>
        <w:top w:val="none" w:sz="0" w:space="0" w:color="auto"/>
        <w:left w:val="none" w:sz="0" w:space="0" w:color="auto"/>
        <w:bottom w:val="none" w:sz="0" w:space="0" w:color="auto"/>
        <w:right w:val="none" w:sz="0" w:space="0" w:color="auto"/>
      </w:divBdr>
    </w:div>
    <w:div w:id="1078864972">
      <w:bodyDiv w:val="1"/>
      <w:marLeft w:val="0"/>
      <w:marRight w:val="0"/>
      <w:marTop w:val="0"/>
      <w:marBottom w:val="0"/>
      <w:divBdr>
        <w:top w:val="none" w:sz="0" w:space="0" w:color="auto"/>
        <w:left w:val="none" w:sz="0" w:space="0" w:color="auto"/>
        <w:bottom w:val="none" w:sz="0" w:space="0" w:color="auto"/>
        <w:right w:val="none" w:sz="0" w:space="0" w:color="auto"/>
      </w:divBdr>
    </w:div>
    <w:div w:id="1121417693">
      <w:bodyDiv w:val="1"/>
      <w:marLeft w:val="0"/>
      <w:marRight w:val="0"/>
      <w:marTop w:val="0"/>
      <w:marBottom w:val="0"/>
      <w:divBdr>
        <w:top w:val="none" w:sz="0" w:space="0" w:color="auto"/>
        <w:left w:val="none" w:sz="0" w:space="0" w:color="auto"/>
        <w:bottom w:val="none" w:sz="0" w:space="0" w:color="auto"/>
        <w:right w:val="none" w:sz="0" w:space="0" w:color="auto"/>
      </w:divBdr>
    </w:div>
    <w:div w:id="1156533727">
      <w:bodyDiv w:val="1"/>
      <w:marLeft w:val="0"/>
      <w:marRight w:val="0"/>
      <w:marTop w:val="0"/>
      <w:marBottom w:val="0"/>
      <w:divBdr>
        <w:top w:val="none" w:sz="0" w:space="0" w:color="auto"/>
        <w:left w:val="none" w:sz="0" w:space="0" w:color="auto"/>
        <w:bottom w:val="none" w:sz="0" w:space="0" w:color="auto"/>
        <w:right w:val="none" w:sz="0" w:space="0" w:color="auto"/>
      </w:divBdr>
      <w:divsChild>
        <w:div w:id="1635329935">
          <w:marLeft w:val="0"/>
          <w:marRight w:val="0"/>
          <w:marTop w:val="0"/>
          <w:marBottom w:val="0"/>
          <w:divBdr>
            <w:top w:val="none" w:sz="0" w:space="0" w:color="auto"/>
            <w:left w:val="none" w:sz="0" w:space="0" w:color="auto"/>
            <w:bottom w:val="none" w:sz="0" w:space="0" w:color="auto"/>
            <w:right w:val="none" w:sz="0" w:space="0" w:color="auto"/>
          </w:divBdr>
          <w:divsChild>
            <w:div w:id="2144300362">
              <w:marLeft w:val="0"/>
              <w:marRight w:val="0"/>
              <w:marTop w:val="0"/>
              <w:marBottom w:val="0"/>
              <w:divBdr>
                <w:top w:val="single" w:sz="6" w:space="0" w:color="DEDEDE"/>
                <w:left w:val="single" w:sz="6" w:space="0" w:color="DEDEDE"/>
                <w:bottom w:val="single" w:sz="6" w:space="0" w:color="DEDEDE"/>
                <w:right w:val="single" w:sz="6" w:space="0" w:color="DEDEDE"/>
              </w:divBdr>
              <w:divsChild>
                <w:div w:id="781220112">
                  <w:marLeft w:val="0"/>
                  <w:marRight w:val="0"/>
                  <w:marTop w:val="0"/>
                  <w:marBottom w:val="0"/>
                  <w:divBdr>
                    <w:top w:val="none" w:sz="0" w:space="0" w:color="auto"/>
                    <w:left w:val="none" w:sz="0" w:space="0" w:color="auto"/>
                    <w:bottom w:val="none" w:sz="0" w:space="0" w:color="auto"/>
                    <w:right w:val="none" w:sz="0" w:space="0" w:color="auto"/>
                  </w:divBdr>
                  <w:divsChild>
                    <w:div w:id="200304483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26724697">
          <w:marLeft w:val="0"/>
          <w:marRight w:val="0"/>
          <w:marTop w:val="0"/>
          <w:marBottom w:val="0"/>
          <w:divBdr>
            <w:top w:val="none" w:sz="0" w:space="0" w:color="auto"/>
            <w:left w:val="none" w:sz="0" w:space="0" w:color="auto"/>
            <w:bottom w:val="none" w:sz="0" w:space="0" w:color="auto"/>
            <w:right w:val="none" w:sz="0" w:space="0" w:color="auto"/>
          </w:divBdr>
          <w:divsChild>
            <w:div w:id="946425136">
              <w:marLeft w:val="0"/>
              <w:marRight w:val="0"/>
              <w:marTop w:val="0"/>
              <w:marBottom w:val="0"/>
              <w:divBdr>
                <w:top w:val="none" w:sz="0" w:space="0" w:color="auto"/>
                <w:left w:val="none" w:sz="0" w:space="0" w:color="auto"/>
                <w:bottom w:val="none" w:sz="0" w:space="0" w:color="auto"/>
                <w:right w:val="none" w:sz="0" w:space="0" w:color="auto"/>
              </w:divBdr>
              <w:divsChild>
                <w:div w:id="758675195">
                  <w:marLeft w:val="0"/>
                  <w:marRight w:val="0"/>
                  <w:marTop w:val="0"/>
                  <w:marBottom w:val="0"/>
                  <w:divBdr>
                    <w:top w:val="single" w:sz="6" w:space="8" w:color="EEEEEE"/>
                    <w:left w:val="none" w:sz="0" w:space="8" w:color="auto"/>
                    <w:bottom w:val="single" w:sz="6" w:space="8" w:color="EEEEEE"/>
                    <w:right w:val="single" w:sz="6" w:space="8" w:color="EEEEEE"/>
                  </w:divBdr>
                  <w:divsChild>
                    <w:div w:id="7570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2634">
      <w:bodyDiv w:val="1"/>
      <w:marLeft w:val="0"/>
      <w:marRight w:val="0"/>
      <w:marTop w:val="0"/>
      <w:marBottom w:val="0"/>
      <w:divBdr>
        <w:top w:val="none" w:sz="0" w:space="0" w:color="auto"/>
        <w:left w:val="none" w:sz="0" w:space="0" w:color="auto"/>
        <w:bottom w:val="none" w:sz="0" w:space="0" w:color="auto"/>
        <w:right w:val="none" w:sz="0" w:space="0" w:color="auto"/>
      </w:divBdr>
      <w:divsChild>
        <w:div w:id="1325478406">
          <w:marLeft w:val="360"/>
          <w:marRight w:val="0"/>
          <w:marTop w:val="200"/>
          <w:marBottom w:val="0"/>
          <w:divBdr>
            <w:top w:val="none" w:sz="0" w:space="0" w:color="auto"/>
            <w:left w:val="none" w:sz="0" w:space="0" w:color="auto"/>
            <w:bottom w:val="none" w:sz="0" w:space="0" w:color="auto"/>
            <w:right w:val="none" w:sz="0" w:space="0" w:color="auto"/>
          </w:divBdr>
        </w:div>
        <w:div w:id="212080720">
          <w:marLeft w:val="360"/>
          <w:marRight w:val="0"/>
          <w:marTop w:val="200"/>
          <w:marBottom w:val="0"/>
          <w:divBdr>
            <w:top w:val="none" w:sz="0" w:space="0" w:color="auto"/>
            <w:left w:val="none" w:sz="0" w:space="0" w:color="auto"/>
            <w:bottom w:val="none" w:sz="0" w:space="0" w:color="auto"/>
            <w:right w:val="none" w:sz="0" w:space="0" w:color="auto"/>
          </w:divBdr>
        </w:div>
      </w:divsChild>
    </w:div>
    <w:div w:id="1263026987">
      <w:bodyDiv w:val="1"/>
      <w:marLeft w:val="0"/>
      <w:marRight w:val="0"/>
      <w:marTop w:val="0"/>
      <w:marBottom w:val="0"/>
      <w:divBdr>
        <w:top w:val="none" w:sz="0" w:space="0" w:color="auto"/>
        <w:left w:val="none" w:sz="0" w:space="0" w:color="auto"/>
        <w:bottom w:val="none" w:sz="0" w:space="0" w:color="auto"/>
        <w:right w:val="none" w:sz="0" w:space="0" w:color="auto"/>
      </w:divBdr>
    </w:div>
    <w:div w:id="1340736009">
      <w:bodyDiv w:val="1"/>
      <w:marLeft w:val="0"/>
      <w:marRight w:val="0"/>
      <w:marTop w:val="0"/>
      <w:marBottom w:val="0"/>
      <w:divBdr>
        <w:top w:val="none" w:sz="0" w:space="0" w:color="auto"/>
        <w:left w:val="none" w:sz="0" w:space="0" w:color="auto"/>
        <w:bottom w:val="none" w:sz="0" w:space="0" w:color="auto"/>
        <w:right w:val="none" w:sz="0" w:space="0" w:color="auto"/>
      </w:divBdr>
      <w:divsChild>
        <w:div w:id="1443722247">
          <w:marLeft w:val="0"/>
          <w:marRight w:val="0"/>
          <w:marTop w:val="0"/>
          <w:marBottom w:val="0"/>
          <w:divBdr>
            <w:top w:val="none" w:sz="0" w:space="0" w:color="auto"/>
            <w:left w:val="none" w:sz="0" w:space="0" w:color="auto"/>
            <w:bottom w:val="none" w:sz="0" w:space="0" w:color="auto"/>
            <w:right w:val="none" w:sz="0" w:space="0" w:color="auto"/>
          </w:divBdr>
          <w:divsChild>
            <w:div w:id="1334722747">
              <w:marLeft w:val="0"/>
              <w:marRight w:val="0"/>
              <w:marTop w:val="0"/>
              <w:marBottom w:val="0"/>
              <w:divBdr>
                <w:top w:val="none" w:sz="0" w:space="0" w:color="auto"/>
                <w:left w:val="none" w:sz="0" w:space="0" w:color="auto"/>
                <w:bottom w:val="none" w:sz="0" w:space="0" w:color="auto"/>
                <w:right w:val="none" w:sz="0" w:space="0" w:color="auto"/>
              </w:divBdr>
              <w:divsChild>
                <w:div w:id="1557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83852">
      <w:bodyDiv w:val="1"/>
      <w:marLeft w:val="0"/>
      <w:marRight w:val="0"/>
      <w:marTop w:val="0"/>
      <w:marBottom w:val="0"/>
      <w:divBdr>
        <w:top w:val="none" w:sz="0" w:space="0" w:color="auto"/>
        <w:left w:val="none" w:sz="0" w:space="0" w:color="auto"/>
        <w:bottom w:val="none" w:sz="0" w:space="0" w:color="auto"/>
        <w:right w:val="none" w:sz="0" w:space="0" w:color="auto"/>
      </w:divBdr>
      <w:divsChild>
        <w:div w:id="62684815">
          <w:marLeft w:val="0"/>
          <w:marRight w:val="0"/>
          <w:marTop w:val="0"/>
          <w:marBottom w:val="0"/>
          <w:divBdr>
            <w:top w:val="none" w:sz="0" w:space="0" w:color="auto"/>
            <w:left w:val="none" w:sz="0" w:space="0" w:color="auto"/>
            <w:bottom w:val="none" w:sz="0" w:space="0" w:color="auto"/>
            <w:right w:val="none" w:sz="0" w:space="0" w:color="auto"/>
          </w:divBdr>
          <w:divsChild>
            <w:div w:id="2099131719">
              <w:marLeft w:val="0"/>
              <w:marRight w:val="0"/>
              <w:marTop w:val="0"/>
              <w:marBottom w:val="0"/>
              <w:divBdr>
                <w:top w:val="none" w:sz="0" w:space="0" w:color="auto"/>
                <w:left w:val="none" w:sz="0" w:space="0" w:color="auto"/>
                <w:bottom w:val="none" w:sz="0" w:space="0" w:color="auto"/>
                <w:right w:val="none" w:sz="0" w:space="0" w:color="auto"/>
              </w:divBdr>
              <w:divsChild>
                <w:div w:id="18031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27419">
      <w:bodyDiv w:val="1"/>
      <w:marLeft w:val="0"/>
      <w:marRight w:val="0"/>
      <w:marTop w:val="0"/>
      <w:marBottom w:val="0"/>
      <w:divBdr>
        <w:top w:val="none" w:sz="0" w:space="0" w:color="auto"/>
        <w:left w:val="none" w:sz="0" w:space="0" w:color="auto"/>
        <w:bottom w:val="none" w:sz="0" w:space="0" w:color="auto"/>
        <w:right w:val="none" w:sz="0" w:space="0" w:color="auto"/>
      </w:divBdr>
      <w:divsChild>
        <w:div w:id="241793171">
          <w:marLeft w:val="547"/>
          <w:marRight w:val="0"/>
          <w:marTop w:val="96"/>
          <w:marBottom w:val="0"/>
          <w:divBdr>
            <w:top w:val="none" w:sz="0" w:space="0" w:color="auto"/>
            <w:left w:val="none" w:sz="0" w:space="0" w:color="auto"/>
            <w:bottom w:val="none" w:sz="0" w:space="0" w:color="auto"/>
            <w:right w:val="none" w:sz="0" w:space="0" w:color="auto"/>
          </w:divBdr>
        </w:div>
      </w:divsChild>
    </w:div>
    <w:div w:id="1406762627">
      <w:bodyDiv w:val="1"/>
      <w:marLeft w:val="0"/>
      <w:marRight w:val="0"/>
      <w:marTop w:val="0"/>
      <w:marBottom w:val="0"/>
      <w:divBdr>
        <w:top w:val="none" w:sz="0" w:space="0" w:color="auto"/>
        <w:left w:val="none" w:sz="0" w:space="0" w:color="auto"/>
        <w:bottom w:val="none" w:sz="0" w:space="0" w:color="auto"/>
        <w:right w:val="none" w:sz="0" w:space="0" w:color="auto"/>
      </w:divBdr>
    </w:div>
    <w:div w:id="1435898490">
      <w:bodyDiv w:val="1"/>
      <w:marLeft w:val="0"/>
      <w:marRight w:val="0"/>
      <w:marTop w:val="0"/>
      <w:marBottom w:val="0"/>
      <w:divBdr>
        <w:top w:val="none" w:sz="0" w:space="0" w:color="auto"/>
        <w:left w:val="none" w:sz="0" w:space="0" w:color="auto"/>
        <w:bottom w:val="none" w:sz="0" w:space="0" w:color="auto"/>
        <w:right w:val="none" w:sz="0" w:space="0" w:color="auto"/>
      </w:divBdr>
    </w:div>
    <w:div w:id="1436436886">
      <w:bodyDiv w:val="1"/>
      <w:marLeft w:val="0"/>
      <w:marRight w:val="0"/>
      <w:marTop w:val="0"/>
      <w:marBottom w:val="0"/>
      <w:divBdr>
        <w:top w:val="none" w:sz="0" w:space="0" w:color="auto"/>
        <w:left w:val="none" w:sz="0" w:space="0" w:color="auto"/>
        <w:bottom w:val="none" w:sz="0" w:space="0" w:color="auto"/>
        <w:right w:val="none" w:sz="0" w:space="0" w:color="auto"/>
      </w:divBdr>
    </w:div>
    <w:div w:id="1479414454">
      <w:bodyDiv w:val="1"/>
      <w:marLeft w:val="0"/>
      <w:marRight w:val="0"/>
      <w:marTop w:val="0"/>
      <w:marBottom w:val="0"/>
      <w:divBdr>
        <w:top w:val="none" w:sz="0" w:space="0" w:color="auto"/>
        <w:left w:val="none" w:sz="0" w:space="0" w:color="auto"/>
        <w:bottom w:val="none" w:sz="0" w:space="0" w:color="auto"/>
        <w:right w:val="none" w:sz="0" w:space="0" w:color="auto"/>
      </w:divBdr>
    </w:div>
    <w:div w:id="1523325603">
      <w:bodyDiv w:val="1"/>
      <w:marLeft w:val="0"/>
      <w:marRight w:val="0"/>
      <w:marTop w:val="0"/>
      <w:marBottom w:val="0"/>
      <w:divBdr>
        <w:top w:val="none" w:sz="0" w:space="0" w:color="auto"/>
        <w:left w:val="none" w:sz="0" w:space="0" w:color="auto"/>
        <w:bottom w:val="none" w:sz="0" w:space="0" w:color="auto"/>
        <w:right w:val="none" w:sz="0" w:space="0" w:color="auto"/>
      </w:divBdr>
    </w:div>
    <w:div w:id="1558661946">
      <w:bodyDiv w:val="1"/>
      <w:marLeft w:val="0"/>
      <w:marRight w:val="0"/>
      <w:marTop w:val="0"/>
      <w:marBottom w:val="0"/>
      <w:divBdr>
        <w:top w:val="none" w:sz="0" w:space="0" w:color="auto"/>
        <w:left w:val="none" w:sz="0" w:space="0" w:color="auto"/>
        <w:bottom w:val="none" w:sz="0" w:space="0" w:color="auto"/>
        <w:right w:val="none" w:sz="0" w:space="0" w:color="auto"/>
      </w:divBdr>
    </w:div>
    <w:div w:id="1578903199">
      <w:bodyDiv w:val="1"/>
      <w:marLeft w:val="0"/>
      <w:marRight w:val="0"/>
      <w:marTop w:val="0"/>
      <w:marBottom w:val="0"/>
      <w:divBdr>
        <w:top w:val="none" w:sz="0" w:space="0" w:color="auto"/>
        <w:left w:val="none" w:sz="0" w:space="0" w:color="auto"/>
        <w:bottom w:val="none" w:sz="0" w:space="0" w:color="auto"/>
        <w:right w:val="none" w:sz="0" w:space="0" w:color="auto"/>
      </w:divBdr>
      <w:divsChild>
        <w:div w:id="7489086">
          <w:marLeft w:val="0"/>
          <w:marRight w:val="0"/>
          <w:marTop w:val="0"/>
          <w:marBottom w:val="0"/>
          <w:divBdr>
            <w:top w:val="none" w:sz="0" w:space="0" w:color="auto"/>
            <w:left w:val="none" w:sz="0" w:space="0" w:color="auto"/>
            <w:bottom w:val="none" w:sz="0" w:space="0" w:color="auto"/>
            <w:right w:val="none" w:sz="0" w:space="0" w:color="auto"/>
          </w:divBdr>
          <w:divsChild>
            <w:div w:id="1368408342">
              <w:marLeft w:val="0"/>
              <w:marRight w:val="0"/>
              <w:marTop w:val="0"/>
              <w:marBottom w:val="0"/>
              <w:divBdr>
                <w:top w:val="none" w:sz="0" w:space="0" w:color="auto"/>
                <w:left w:val="none" w:sz="0" w:space="0" w:color="auto"/>
                <w:bottom w:val="none" w:sz="0" w:space="0" w:color="auto"/>
                <w:right w:val="none" w:sz="0" w:space="0" w:color="auto"/>
              </w:divBdr>
              <w:divsChild>
                <w:div w:id="21145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27272">
      <w:bodyDiv w:val="1"/>
      <w:marLeft w:val="0"/>
      <w:marRight w:val="0"/>
      <w:marTop w:val="0"/>
      <w:marBottom w:val="0"/>
      <w:divBdr>
        <w:top w:val="none" w:sz="0" w:space="0" w:color="auto"/>
        <w:left w:val="none" w:sz="0" w:space="0" w:color="auto"/>
        <w:bottom w:val="none" w:sz="0" w:space="0" w:color="auto"/>
        <w:right w:val="none" w:sz="0" w:space="0" w:color="auto"/>
      </w:divBdr>
      <w:divsChild>
        <w:div w:id="990839110">
          <w:marLeft w:val="0"/>
          <w:marRight w:val="0"/>
          <w:marTop w:val="0"/>
          <w:marBottom w:val="0"/>
          <w:divBdr>
            <w:top w:val="none" w:sz="0" w:space="0" w:color="auto"/>
            <w:left w:val="none" w:sz="0" w:space="0" w:color="auto"/>
            <w:bottom w:val="none" w:sz="0" w:space="0" w:color="auto"/>
            <w:right w:val="none" w:sz="0" w:space="0" w:color="auto"/>
          </w:divBdr>
          <w:divsChild>
            <w:div w:id="876745387">
              <w:marLeft w:val="0"/>
              <w:marRight w:val="0"/>
              <w:marTop w:val="0"/>
              <w:marBottom w:val="0"/>
              <w:divBdr>
                <w:top w:val="none" w:sz="0" w:space="0" w:color="auto"/>
                <w:left w:val="none" w:sz="0" w:space="0" w:color="auto"/>
                <w:bottom w:val="none" w:sz="0" w:space="0" w:color="auto"/>
                <w:right w:val="none" w:sz="0" w:space="0" w:color="auto"/>
              </w:divBdr>
              <w:divsChild>
                <w:div w:id="18697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3465">
      <w:bodyDiv w:val="1"/>
      <w:marLeft w:val="0"/>
      <w:marRight w:val="0"/>
      <w:marTop w:val="0"/>
      <w:marBottom w:val="0"/>
      <w:divBdr>
        <w:top w:val="none" w:sz="0" w:space="0" w:color="auto"/>
        <w:left w:val="none" w:sz="0" w:space="0" w:color="auto"/>
        <w:bottom w:val="none" w:sz="0" w:space="0" w:color="auto"/>
        <w:right w:val="none" w:sz="0" w:space="0" w:color="auto"/>
      </w:divBdr>
      <w:divsChild>
        <w:div w:id="642932528">
          <w:marLeft w:val="0"/>
          <w:marRight w:val="0"/>
          <w:marTop w:val="0"/>
          <w:marBottom w:val="0"/>
          <w:divBdr>
            <w:top w:val="none" w:sz="0" w:space="0" w:color="auto"/>
            <w:left w:val="none" w:sz="0" w:space="0" w:color="auto"/>
            <w:bottom w:val="none" w:sz="0" w:space="0" w:color="auto"/>
            <w:right w:val="none" w:sz="0" w:space="0" w:color="auto"/>
          </w:divBdr>
          <w:divsChild>
            <w:div w:id="1245260133">
              <w:marLeft w:val="0"/>
              <w:marRight w:val="0"/>
              <w:marTop w:val="0"/>
              <w:marBottom w:val="0"/>
              <w:divBdr>
                <w:top w:val="none" w:sz="0" w:space="0" w:color="auto"/>
                <w:left w:val="none" w:sz="0" w:space="0" w:color="auto"/>
                <w:bottom w:val="none" w:sz="0" w:space="0" w:color="auto"/>
                <w:right w:val="none" w:sz="0" w:space="0" w:color="auto"/>
              </w:divBdr>
              <w:divsChild>
                <w:div w:id="12993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43667">
      <w:bodyDiv w:val="1"/>
      <w:marLeft w:val="0"/>
      <w:marRight w:val="0"/>
      <w:marTop w:val="0"/>
      <w:marBottom w:val="0"/>
      <w:divBdr>
        <w:top w:val="none" w:sz="0" w:space="0" w:color="auto"/>
        <w:left w:val="none" w:sz="0" w:space="0" w:color="auto"/>
        <w:bottom w:val="none" w:sz="0" w:space="0" w:color="auto"/>
        <w:right w:val="none" w:sz="0" w:space="0" w:color="auto"/>
      </w:divBdr>
    </w:div>
    <w:div w:id="1756394888">
      <w:bodyDiv w:val="1"/>
      <w:marLeft w:val="0"/>
      <w:marRight w:val="0"/>
      <w:marTop w:val="0"/>
      <w:marBottom w:val="0"/>
      <w:divBdr>
        <w:top w:val="none" w:sz="0" w:space="0" w:color="auto"/>
        <w:left w:val="none" w:sz="0" w:space="0" w:color="auto"/>
        <w:bottom w:val="none" w:sz="0" w:space="0" w:color="auto"/>
        <w:right w:val="none" w:sz="0" w:space="0" w:color="auto"/>
      </w:divBdr>
    </w:div>
    <w:div w:id="1896313798">
      <w:bodyDiv w:val="1"/>
      <w:marLeft w:val="0"/>
      <w:marRight w:val="0"/>
      <w:marTop w:val="0"/>
      <w:marBottom w:val="0"/>
      <w:divBdr>
        <w:top w:val="none" w:sz="0" w:space="0" w:color="auto"/>
        <w:left w:val="none" w:sz="0" w:space="0" w:color="auto"/>
        <w:bottom w:val="none" w:sz="0" w:space="0" w:color="auto"/>
        <w:right w:val="none" w:sz="0" w:space="0" w:color="auto"/>
      </w:divBdr>
    </w:div>
    <w:div w:id="1929926673">
      <w:bodyDiv w:val="1"/>
      <w:marLeft w:val="0"/>
      <w:marRight w:val="0"/>
      <w:marTop w:val="0"/>
      <w:marBottom w:val="0"/>
      <w:divBdr>
        <w:top w:val="none" w:sz="0" w:space="0" w:color="auto"/>
        <w:left w:val="none" w:sz="0" w:space="0" w:color="auto"/>
        <w:bottom w:val="none" w:sz="0" w:space="0" w:color="auto"/>
        <w:right w:val="none" w:sz="0" w:space="0" w:color="auto"/>
      </w:divBdr>
      <w:divsChild>
        <w:div w:id="949433297">
          <w:marLeft w:val="360"/>
          <w:marRight w:val="0"/>
          <w:marTop w:val="200"/>
          <w:marBottom w:val="0"/>
          <w:divBdr>
            <w:top w:val="none" w:sz="0" w:space="0" w:color="auto"/>
            <w:left w:val="none" w:sz="0" w:space="0" w:color="auto"/>
            <w:bottom w:val="none" w:sz="0" w:space="0" w:color="auto"/>
            <w:right w:val="none" w:sz="0" w:space="0" w:color="auto"/>
          </w:divBdr>
        </w:div>
      </w:divsChild>
    </w:div>
    <w:div w:id="1951625337">
      <w:bodyDiv w:val="1"/>
      <w:marLeft w:val="0"/>
      <w:marRight w:val="0"/>
      <w:marTop w:val="0"/>
      <w:marBottom w:val="0"/>
      <w:divBdr>
        <w:top w:val="none" w:sz="0" w:space="0" w:color="auto"/>
        <w:left w:val="none" w:sz="0" w:space="0" w:color="auto"/>
        <w:bottom w:val="none" w:sz="0" w:space="0" w:color="auto"/>
        <w:right w:val="none" w:sz="0" w:space="0" w:color="auto"/>
      </w:divBdr>
      <w:divsChild>
        <w:div w:id="1890335137">
          <w:marLeft w:val="547"/>
          <w:marRight w:val="0"/>
          <w:marTop w:val="96"/>
          <w:marBottom w:val="0"/>
          <w:divBdr>
            <w:top w:val="none" w:sz="0" w:space="0" w:color="auto"/>
            <w:left w:val="none" w:sz="0" w:space="0" w:color="auto"/>
            <w:bottom w:val="none" w:sz="0" w:space="0" w:color="auto"/>
            <w:right w:val="none" w:sz="0" w:space="0" w:color="auto"/>
          </w:divBdr>
        </w:div>
      </w:divsChild>
    </w:div>
    <w:div w:id="2005932065">
      <w:bodyDiv w:val="1"/>
      <w:marLeft w:val="0"/>
      <w:marRight w:val="0"/>
      <w:marTop w:val="0"/>
      <w:marBottom w:val="0"/>
      <w:divBdr>
        <w:top w:val="none" w:sz="0" w:space="0" w:color="auto"/>
        <w:left w:val="none" w:sz="0" w:space="0" w:color="auto"/>
        <w:bottom w:val="none" w:sz="0" w:space="0" w:color="auto"/>
        <w:right w:val="none" w:sz="0" w:space="0" w:color="auto"/>
      </w:divBdr>
      <w:divsChild>
        <w:div w:id="1380129934">
          <w:marLeft w:val="547"/>
          <w:marRight w:val="0"/>
          <w:marTop w:val="0"/>
          <w:marBottom w:val="0"/>
          <w:divBdr>
            <w:top w:val="none" w:sz="0" w:space="0" w:color="auto"/>
            <w:left w:val="none" w:sz="0" w:space="0" w:color="auto"/>
            <w:bottom w:val="none" w:sz="0" w:space="0" w:color="auto"/>
            <w:right w:val="none" w:sz="0" w:space="0" w:color="auto"/>
          </w:divBdr>
        </w:div>
      </w:divsChild>
    </w:div>
    <w:div w:id="2012096675">
      <w:bodyDiv w:val="1"/>
      <w:marLeft w:val="0"/>
      <w:marRight w:val="0"/>
      <w:marTop w:val="0"/>
      <w:marBottom w:val="0"/>
      <w:divBdr>
        <w:top w:val="none" w:sz="0" w:space="0" w:color="auto"/>
        <w:left w:val="none" w:sz="0" w:space="0" w:color="auto"/>
        <w:bottom w:val="none" w:sz="0" w:space="0" w:color="auto"/>
        <w:right w:val="none" w:sz="0" w:space="0" w:color="auto"/>
      </w:divBdr>
    </w:div>
    <w:div w:id="2034647277">
      <w:bodyDiv w:val="1"/>
      <w:marLeft w:val="0"/>
      <w:marRight w:val="0"/>
      <w:marTop w:val="0"/>
      <w:marBottom w:val="0"/>
      <w:divBdr>
        <w:top w:val="none" w:sz="0" w:space="0" w:color="auto"/>
        <w:left w:val="none" w:sz="0" w:space="0" w:color="auto"/>
        <w:bottom w:val="none" w:sz="0" w:space="0" w:color="auto"/>
        <w:right w:val="none" w:sz="0" w:space="0" w:color="auto"/>
      </w:divBdr>
      <w:divsChild>
        <w:div w:id="1629239660">
          <w:marLeft w:val="0"/>
          <w:marRight w:val="0"/>
          <w:marTop w:val="0"/>
          <w:marBottom w:val="0"/>
          <w:divBdr>
            <w:top w:val="none" w:sz="0" w:space="0" w:color="auto"/>
            <w:left w:val="none" w:sz="0" w:space="0" w:color="auto"/>
            <w:bottom w:val="none" w:sz="0" w:space="0" w:color="auto"/>
            <w:right w:val="none" w:sz="0" w:space="0" w:color="auto"/>
          </w:divBdr>
        </w:div>
        <w:div w:id="2017002722">
          <w:marLeft w:val="0"/>
          <w:marRight w:val="0"/>
          <w:marTop w:val="0"/>
          <w:marBottom w:val="0"/>
          <w:divBdr>
            <w:top w:val="none" w:sz="0" w:space="0" w:color="auto"/>
            <w:left w:val="none" w:sz="0" w:space="0" w:color="auto"/>
            <w:bottom w:val="none" w:sz="0" w:space="0" w:color="auto"/>
            <w:right w:val="none" w:sz="0" w:space="0" w:color="auto"/>
          </w:divBdr>
        </w:div>
        <w:div w:id="1124956592">
          <w:marLeft w:val="0"/>
          <w:marRight w:val="0"/>
          <w:marTop w:val="100"/>
          <w:marBottom w:val="0"/>
          <w:divBdr>
            <w:top w:val="none" w:sz="0" w:space="0" w:color="auto"/>
            <w:left w:val="none" w:sz="0" w:space="0" w:color="auto"/>
            <w:bottom w:val="none" w:sz="0" w:space="0" w:color="auto"/>
            <w:right w:val="none" w:sz="0" w:space="0" w:color="auto"/>
          </w:divBdr>
          <w:divsChild>
            <w:div w:id="1752776530">
              <w:marLeft w:val="0"/>
              <w:marRight w:val="0"/>
              <w:marTop w:val="0"/>
              <w:marBottom w:val="0"/>
              <w:divBdr>
                <w:top w:val="none" w:sz="0" w:space="0" w:color="auto"/>
                <w:left w:val="none" w:sz="0" w:space="0" w:color="auto"/>
                <w:bottom w:val="none" w:sz="0" w:space="0" w:color="auto"/>
                <w:right w:val="none" w:sz="0" w:space="0" w:color="auto"/>
              </w:divBdr>
              <w:divsChild>
                <w:div w:id="265118683">
                  <w:marLeft w:val="0"/>
                  <w:marRight w:val="0"/>
                  <w:marTop w:val="0"/>
                  <w:marBottom w:val="0"/>
                  <w:divBdr>
                    <w:top w:val="none" w:sz="0" w:space="0" w:color="auto"/>
                    <w:left w:val="none" w:sz="0" w:space="0" w:color="auto"/>
                    <w:bottom w:val="none" w:sz="0" w:space="0" w:color="auto"/>
                    <w:right w:val="none" w:sz="0" w:space="0" w:color="auto"/>
                  </w:divBdr>
                  <w:divsChild>
                    <w:div w:id="630525173">
                      <w:marLeft w:val="0"/>
                      <w:marRight w:val="0"/>
                      <w:marTop w:val="0"/>
                      <w:marBottom w:val="0"/>
                      <w:divBdr>
                        <w:top w:val="none" w:sz="0" w:space="0" w:color="auto"/>
                        <w:left w:val="none" w:sz="0" w:space="0" w:color="auto"/>
                        <w:bottom w:val="none" w:sz="0" w:space="0" w:color="auto"/>
                        <w:right w:val="none" w:sz="0" w:space="0" w:color="auto"/>
                      </w:divBdr>
                      <w:divsChild>
                        <w:div w:id="478612615">
                          <w:marLeft w:val="0"/>
                          <w:marRight w:val="0"/>
                          <w:marTop w:val="0"/>
                          <w:marBottom w:val="0"/>
                          <w:divBdr>
                            <w:top w:val="none" w:sz="0" w:space="0" w:color="auto"/>
                            <w:left w:val="none" w:sz="0" w:space="0" w:color="auto"/>
                            <w:bottom w:val="none" w:sz="0" w:space="0" w:color="auto"/>
                            <w:right w:val="none" w:sz="0" w:space="0" w:color="auto"/>
                          </w:divBdr>
                          <w:divsChild>
                            <w:div w:id="1356612383">
                              <w:marLeft w:val="0"/>
                              <w:marRight w:val="0"/>
                              <w:marTop w:val="0"/>
                              <w:marBottom w:val="0"/>
                              <w:divBdr>
                                <w:top w:val="none" w:sz="0" w:space="0" w:color="auto"/>
                                <w:left w:val="none" w:sz="0" w:space="0" w:color="auto"/>
                                <w:bottom w:val="none" w:sz="0" w:space="0" w:color="auto"/>
                                <w:right w:val="none" w:sz="0" w:space="0" w:color="auto"/>
                              </w:divBdr>
                            </w:div>
                            <w:div w:id="101917879">
                              <w:marLeft w:val="0"/>
                              <w:marRight w:val="0"/>
                              <w:marTop w:val="60"/>
                              <w:marBottom w:val="0"/>
                              <w:divBdr>
                                <w:top w:val="none" w:sz="0" w:space="0" w:color="auto"/>
                                <w:left w:val="none" w:sz="0" w:space="0" w:color="auto"/>
                                <w:bottom w:val="none" w:sz="0" w:space="0" w:color="auto"/>
                                <w:right w:val="none" w:sz="0" w:space="0" w:color="auto"/>
                              </w:divBdr>
                            </w:div>
                            <w:div w:id="1902709341">
                              <w:marLeft w:val="0"/>
                              <w:marRight w:val="0"/>
                              <w:marTop w:val="0"/>
                              <w:marBottom w:val="0"/>
                              <w:divBdr>
                                <w:top w:val="none" w:sz="0" w:space="0" w:color="auto"/>
                                <w:left w:val="none" w:sz="0" w:space="0" w:color="auto"/>
                                <w:bottom w:val="none" w:sz="0" w:space="0" w:color="auto"/>
                                <w:right w:val="none" w:sz="0" w:space="0" w:color="auto"/>
                              </w:divBdr>
                              <w:divsChild>
                                <w:div w:id="2125224439">
                                  <w:marLeft w:val="0"/>
                                  <w:marRight w:val="0"/>
                                  <w:marTop w:val="0"/>
                                  <w:marBottom w:val="0"/>
                                  <w:divBdr>
                                    <w:top w:val="none" w:sz="0" w:space="0" w:color="auto"/>
                                    <w:left w:val="none" w:sz="0" w:space="0" w:color="auto"/>
                                    <w:bottom w:val="none" w:sz="0" w:space="0" w:color="auto"/>
                                    <w:right w:val="none" w:sz="0" w:space="0" w:color="auto"/>
                                  </w:divBdr>
                                  <w:divsChild>
                                    <w:div w:id="4978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898962">
      <w:bodyDiv w:val="1"/>
      <w:marLeft w:val="0"/>
      <w:marRight w:val="0"/>
      <w:marTop w:val="0"/>
      <w:marBottom w:val="0"/>
      <w:divBdr>
        <w:top w:val="none" w:sz="0" w:space="0" w:color="auto"/>
        <w:left w:val="none" w:sz="0" w:space="0" w:color="auto"/>
        <w:bottom w:val="none" w:sz="0" w:space="0" w:color="auto"/>
        <w:right w:val="none" w:sz="0" w:space="0" w:color="auto"/>
      </w:divBdr>
    </w:div>
    <w:div w:id="2085256657">
      <w:bodyDiv w:val="1"/>
      <w:marLeft w:val="0"/>
      <w:marRight w:val="0"/>
      <w:marTop w:val="0"/>
      <w:marBottom w:val="0"/>
      <w:divBdr>
        <w:top w:val="none" w:sz="0" w:space="0" w:color="auto"/>
        <w:left w:val="none" w:sz="0" w:space="0" w:color="auto"/>
        <w:bottom w:val="none" w:sz="0" w:space="0" w:color="auto"/>
        <w:right w:val="none" w:sz="0" w:space="0" w:color="auto"/>
      </w:divBdr>
    </w:div>
    <w:div w:id="2115785165">
      <w:bodyDiv w:val="1"/>
      <w:marLeft w:val="0"/>
      <w:marRight w:val="0"/>
      <w:marTop w:val="0"/>
      <w:marBottom w:val="0"/>
      <w:divBdr>
        <w:top w:val="none" w:sz="0" w:space="0" w:color="auto"/>
        <w:left w:val="none" w:sz="0" w:space="0" w:color="auto"/>
        <w:bottom w:val="none" w:sz="0" w:space="0" w:color="auto"/>
        <w:right w:val="none" w:sz="0" w:space="0" w:color="auto"/>
      </w:divBdr>
    </w:div>
    <w:div w:id="2132017253">
      <w:bodyDiv w:val="1"/>
      <w:marLeft w:val="0"/>
      <w:marRight w:val="0"/>
      <w:marTop w:val="0"/>
      <w:marBottom w:val="0"/>
      <w:divBdr>
        <w:top w:val="none" w:sz="0" w:space="0" w:color="auto"/>
        <w:left w:val="none" w:sz="0" w:space="0" w:color="auto"/>
        <w:bottom w:val="none" w:sz="0" w:space="0" w:color="auto"/>
        <w:right w:val="none" w:sz="0" w:space="0" w:color="auto"/>
      </w:divBdr>
      <w:divsChild>
        <w:div w:id="1096100890">
          <w:marLeft w:val="0"/>
          <w:marRight w:val="0"/>
          <w:marTop w:val="0"/>
          <w:marBottom w:val="0"/>
          <w:divBdr>
            <w:top w:val="none" w:sz="0" w:space="0" w:color="auto"/>
            <w:left w:val="none" w:sz="0" w:space="0" w:color="auto"/>
            <w:bottom w:val="none" w:sz="0" w:space="0" w:color="auto"/>
            <w:right w:val="none" w:sz="0" w:space="0" w:color="auto"/>
          </w:divBdr>
          <w:divsChild>
            <w:div w:id="210195974">
              <w:marLeft w:val="0"/>
              <w:marRight w:val="0"/>
              <w:marTop w:val="0"/>
              <w:marBottom w:val="0"/>
              <w:divBdr>
                <w:top w:val="single" w:sz="6" w:space="0" w:color="DEDEDE"/>
                <w:left w:val="single" w:sz="6" w:space="0" w:color="DEDEDE"/>
                <w:bottom w:val="single" w:sz="6" w:space="0" w:color="DEDEDE"/>
                <w:right w:val="single" w:sz="6" w:space="0" w:color="DEDEDE"/>
              </w:divBdr>
              <w:divsChild>
                <w:div w:id="1474373455">
                  <w:marLeft w:val="0"/>
                  <w:marRight w:val="0"/>
                  <w:marTop w:val="0"/>
                  <w:marBottom w:val="0"/>
                  <w:divBdr>
                    <w:top w:val="none" w:sz="0" w:space="0" w:color="auto"/>
                    <w:left w:val="none" w:sz="0" w:space="0" w:color="auto"/>
                    <w:bottom w:val="none" w:sz="0" w:space="0" w:color="auto"/>
                    <w:right w:val="none" w:sz="0" w:space="0" w:color="auto"/>
                  </w:divBdr>
                  <w:divsChild>
                    <w:div w:id="151762181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37205192">
          <w:marLeft w:val="0"/>
          <w:marRight w:val="0"/>
          <w:marTop w:val="0"/>
          <w:marBottom w:val="0"/>
          <w:divBdr>
            <w:top w:val="none" w:sz="0" w:space="0" w:color="auto"/>
            <w:left w:val="none" w:sz="0" w:space="0" w:color="auto"/>
            <w:bottom w:val="none" w:sz="0" w:space="0" w:color="auto"/>
            <w:right w:val="none" w:sz="0" w:space="0" w:color="auto"/>
          </w:divBdr>
          <w:divsChild>
            <w:div w:id="2035038369">
              <w:marLeft w:val="0"/>
              <w:marRight w:val="0"/>
              <w:marTop w:val="0"/>
              <w:marBottom w:val="0"/>
              <w:divBdr>
                <w:top w:val="none" w:sz="0" w:space="0" w:color="auto"/>
                <w:left w:val="none" w:sz="0" w:space="0" w:color="auto"/>
                <w:bottom w:val="none" w:sz="0" w:space="0" w:color="auto"/>
                <w:right w:val="none" w:sz="0" w:space="0" w:color="auto"/>
              </w:divBdr>
              <w:divsChild>
                <w:div w:id="252738842">
                  <w:marLeft w:val="0"/>
                  <w:marRight w:val="0"/>
                  <w:marTop w:val="0"/>
                  <w:marBottom w:val="0"/>
                  <w:divBdr>
                    <w:top w:val="single" w:sz="6" w:space="8" w:color="EEEEEE"/>
                    <w:left w:val="none" w:sz="0" w:space="8" w:color="auto"/>
                    <w:bottom w:val="single" w:sz="6" w:space="8" w:color="EEEEEE"/>
                    <w:right w:val="single" w:sz="6" w:space="8" w:color="EEEEEE"/>
                  </w:divBdr>
                  <w:divsChild>
                    <w:div w:id="1311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B25AE-2365-4F30-808E-BB3C1DDE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18057</TotalTime>
  <Pages>85</Pages>
  <Words>54179</Words>
  <Characters>308822</Characters>
  <Application>Microsoft Office Word</Application>
  <DocSecurity>0</DocSecurity>
  <Lines>2573</Lines>
  <Paragraphs>724</Paragraphs>
  <ScaleCrop>false</ScaleCrop>
  <Company/>
  <LinksUpToDate>false</LinksUpToDate>
  <CharactersWithSpaces>362277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xqh</dc:creator>
  <cp:keywords/>
  <dc:description>NE.Rep</dc:description>
  <cp:lastModifiedBy>709659940@qq.com</cp:lastModifiedBy>
  <cp:revision>9205</cp:revision>
  <cp:lastPrinted>2020-10-21T07:15:00Z</cp:lastPrinted>
  <dcterms:created xsi:type="dcterms:W3CDTF">2020-10-21T07:15:00Z</dcterms:created>
  <dcterms:modified xsi:type="dcterms:W3CDTF">2022-02-25T14:09:00Z</dcterms:modified>
</cp:coreProperties>
</file>