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8A84" w14:textId="72A69C9B" w:rsidR="00D90D37" w:rsidRPr="004F0B61" w:rsidRDefault="00B85573" w:rsidP="005979A7">
      <w:pPr>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Did </w:t>
      </w:r>
      <w:r w:rsidR="00AD4356" w:rsidRPr="004F0B61">
        <w:rPr>
          <w:rFonts w:ascii="Times New Roman" w:hAnsi="Times New Roman" w:cs="Times New Roman"/>
          <w:b/>
          <w:sz w:val="24"/>
          <w:szCs w:val="24"/>
        </w:rPr>
        <w:t>India’</w:t>
      </w:r>
      <w:r w:rsidR="00994182">
        <w:rPr>
          <w:rFonts w:ascii="Times New Roman" w:hAnsi="Times New Roman" w:cs="Times New Roman"/>
          <w:b/>
          <w:sz w:val="24"/>
          <w:szCs w:val="24"/>
        </w:rPr>
        <w:t>s</w:t>
      </w:r>
      <w:r w:rsidR="00AD4356" w:rsidRPr="004F0B61">
        <w:rPr>
          <w:rFonts w:ascii="Times New Roman" w:hAnsi="Times New Roman" w:cs="Times New Roman"/>
          <w:b/>
          <w:sz w:val="24"/>
          <w:szCs w:val="24"/>
        </w:rPr>
        <w:t xml:space="preserve"> </w:t>
      </w:r>
      <w:r w:rsidR="008E4DD9" w:rsidRPr="004F0B61">
        <w:rPr>
          <w:rFonts w:ascii="Times New Roman" w:hAnsi="Times New Roman" w:cs="Times New Roman"/>
          <w:b/>
          <w:sz w:val="24"/>
          <w:szCs w:val="24"/>
        </w:rPr>
        <w:t xml:space="preserve">CSR </w:t>
      </w:r>
      <w:r w:rsidR="00C7297F" w:rsidRPr="004F0B61">
        <w:rPr>
          <w:rFonts w:ascii="Times New Roman" w:hAnsi="Times New Roman" w:cs="Times New Roman"/>
          <w:b/>
          <w:sz w:val="24"/>
          <w:szCs w:val="24"/>
        </w:rPr>
        <w:t xml:space="preserve">mandate enhance </w:t>
      </w:r>
      <w:r w:rsidR="0061326A">
        <w:rPr>
          <w:rFonts w:ascii="Times New Roman" w:hAnsi="Times New Roman" w:cs="Times New Roman"/>
          <w:b/>
          <w:sz w:val="24"/>
          <w:szCs w:val="24"/>
        </w:rPr>
        <w:t xml:space="preserve">or diminish </w:t>
      </w:r>
      <w:r w:rsidR="00C7297F" w:rsidRPr="004F0B61">
        <w:rPr>
          <w:rFonts w:ascii="Times New Roman" w:hAnsi="Times New Roman" w:cs="Times New Roman"/>
          <w:b/>
          <w:sz w:val="24"/>
          <w:szCs w:val="24"/>
        </w:rPr>
        <w:t>firm value</w:t>
      </w:r>
      <w:r>
        <w:rPr>
          <w:rFonts w:ascii="Times New Roman" w:hAnsi="Times New Roman" w:cs="Times New Roman"/>
          <w:b/>
          <w:sz w:val="24"/>
          <w:szCs w:val="24"/>
        </w:rPr>
        <w:t>?</w:t>
      </w:r>
    </w:p>
    <w:p w14:paraId="4A9F852B" w14:textId="6722C126" w:rsidR="003169D5" w:rsidRPr="007E73B7" w:rsidRDefault="003169D5" w:rsidP="00006974">
      <w:pPr>
        <w:spacing w:after="120" w:line="480" w:lineRule="auto"/>
        <w:jc w:val="both"/>
        <w:rPr>
          <w:rFonts w:ascii="Times New Roman" w:hAnsi="Times New Roman" w:cs="Times New Roman"/>
          <w:i/>
          <w:sz w:val="24"/>
          <w:szCs w:val="24"/>
        </w:rPr>
      </w:pPr>
      <w:r w:rsidRPr="007E73B7">
        <w:rPr>
          <w:rFonts w:ascii="Times New Roman" w:hAnsi="Times New Roman" w:cs="Times New Roman"/>
          <w:i/>
          <w:sz w:val="24"/>
          <w:szCs w:val="24"/>
        </w:rPr>
        <w:t>Abstract</w:t>
      </w:r>
      <w:r w:rsidR="007666DC">
        <w:rPr>
          <w:rFonts w:ascii="Times New Roman" w:hAnsi="Times New Roman" w:cs="Times New Roman"/>
          <w:i/>
          <w:sz w:val="24"/>
          <w:szCs w:val="24"/>
        </w:rPr>
        <w:t xml:space="preserve"> </w:t>
      </w:r>
    </w:p>
    <w:p w14:paraId="36CC05B8" w14:textId="30774B43" w:rsidR="003941CA" w:rsidRDefault="00B676B3" w:rsidP="00006974">
      <w:pPr>
        <w:spacing w:after="120" w:line="480" w:lineRule="auto"/>
        <w:jc w:val="both"/>
        <w:rPr>
          <w:rFonts w:ascii="Times New Roman" w:hAnsi="Times New Roman" w:cs="Times New Roman"/>
          <w:bCs/>
          <w:sz w:val="24"/>
          <w:szCs w:val="24"/>
        </w:rPr>
      </w:pPr>
      <w:r>
        <w:rPr>
          <w:rFonts w:ascii="Times New Roman" w:hAnsi="Times New Roman" w:cs="Times New Roman"/>
          <w:sz w:val="24"/>
          <w:szCs w:val="24"/>
        </w:rPr>
        <w:t>Can mandated adoption of</w:t>
      </w:r>
      <w:r w:rsidR="0053622D">
        <w:rPr>
          <w:rFonts w:ascii="Times New Roman" w:hAnsi="Times New Roman" w:cs="Times New Roman"/>
          <w:sz w:val="24"/>
          <w:szCs w:val="24"/>
        </w:rPr>
        <w:t xml:space="preserve"> Corporate Social Responsibility (CSR) </w:t>
      </w:r>
      <w:r>
        <w:rPr>
          <w:rFonts w:ascii="Times New Roman" w:hAnsi="Times New Roman" w:cs="Times New Roman"/>
          <w:sz w:val="24"/>
          <w:szCs w:val="24"/>
        </w:rPr>
        <w:t>improve</w:t>
      </w:r>
      <w:r w:rsidR="0053622D">
        <w:rPr>
          <w:rFonts w:ascii="Times New Roman" w:hAnsi="Times New Roman" w:cs="Times New Roman"/>
          <w:sz w:val="24"/>
          <w:szCs w:val="24"/>
        </w:rPr>
        <w:t xml:space="preserve"> firm value</w:t>
      </w:r>
      <w:r>
        <w:rPr>
          <w:rFonts w:ascii="Times New Roman" w:hAnsi="Times New Roman" w:cs="Times New Roman"/>
          <w:sz w:val="24"/>
          <w:szCs w:val="24"/>
        </w:rPr>
        <w:t>?</w:t>
      </w:r>
      <w:r w:rsidR="0053622D">
        <w:rPr>
          <w:rFonts w:ascii="Times New Roman" w:hAnsi="Times New Roman" w:cs="Times New Roman"/>
          <w:sz w:val="24"/>
          <w:szCs w:val="24"/>
        </w:rPr>
        <w:t xml:space="preserve"> </w:t>
      </w:r>
      <w:r>
        <w:rPr>
          <w:rFonts w:ascii="Times New Roman" w:hAnsi="Times New Roman" w:cs="Times New Roman"/>
          <w:sz w:val="24"/>
          <w:szCs w:val="24"/>
        </w:rPr>
        <w:t xml:space="preserve">Most </w:t>
      </w:r>
      <w:r w:rsidR="00905C19">
        <w:rPr>
          <w:rFonts w:ascii="Times New Roman" w:hAnsi="Times New Roman" w:cs="Times New Roman"/>
          <w:sz w:val="24"/>
          <w:szCs w:val="24"/>
        </w:rPr>
        <w:t xml:space="preserve">CSR </w:t>
      </w:r>
      <w:r>
        <w:rPr>
          <w:rFonts w:ascii="Times New Roman" w:hAnsi="Times New Roman" w:cs="Times New Roman"/>
          <w:sz w:val="24"/>
          <w:szCs w:val="24"/>
        </w:rPr>
        <w:t>adoption is</w:t>
      </w:r>
      <w:r w:rsidR="00905C19">
        <w:rPr>
          <w:rFonts w:ascii="Times New Roman" w:hAnsi="Times New Roman" w:cs="Times New Roman"/>
          <w:sz w:val="24"/>
          <w:szCs w:val="24"/>
        </w:rPr>
        <w:t xml:space="preserve"> </w:t>
      </w:r>
      <w:r w:rsidR="00034DD5">
        <w:rPr>
          <w:rFonts w:ascii="Times New Roman" w:hAnsi="Times New Roman" w:cs="Times New Roman"/>
          <w:sz w:val="24"/>
          <w:szCs w:val="24"/>
        </w:rPr>
        <w:t xml:space="preserve">purely </w:t>
      </w:r>
      <w:r>
        <w:rPr>
          <w:rFonts w:ascii="Times New Roman" w:hAnsi="Times New Roman" w:cs="Times New Roman"/>
          <w:sz w:val="24"/>
          <w:szCs w:val="24"/>
        </w:rPr>
        <w:t xml:space="preserve">voluntary. </w:t>
      </w:r>
      <w:r w:rsidR="0035532C">
        <w:rPr>
          <w:rFonts w:ascii="Times New Roman" w:hAnsi="Times New Roman" w:cs="Times New Roman"/>
          <w:sz w:val="24"/>
          <w:szCs w:val="24"/>
        </w:rPr>
        <w:t>However</w:t>
      </w:r>
      <w:r w:rsidR="00034DD5">
        <w:rPr>
          <w:rFonts w:ascii="Times New Roman" w:hAnsi="Times New Roman" w:cs="Times New Roman"/>
          <w:sz w:val="24"/>
          <w:szCs w:val="24"/>
        </w:rPr>
        <w:t xml:space="preserve">, </w:t>
      </w:r>
      <w:r w:rsidR="00270152">
        <w:rPr>
          <w:rFonts w:ascii="Times New Roman" w:hAnsi="Times New Roman" w:cs="Times New Roman"/>
          <w:sz w:val="24"/>
          <w:szCs w:val="24"/>
        </w:rPr>
        <w:t>governments regularly</w:t>
      </w:r>
      <w:r w:rsidR="00034DD5">
        <w:rPr>
          <w:rFonts w:ascii="Times New Roman" w:hAnsi="Times New Roman" w:cs="Times New Roman"/>
          <w:sz w:val="24"/>
          <w:szCs w:val="24"/>
        </w:rPr>
        <w:t xml:space="preserve"> </w:t>
      </w:r>
      <w:r>
        <w:rPr>
          <w:rFonts w:ascii="Times New Roman" w:hAnsi="Times New Roman" w:cs="Times New Roman"/>
          <w:sz w:val="24"/>
          <w:szCs w:val="24"/>
        </w:rPr>
        <w:t>encourage</w:t>
      </w:r>
      <w:r w:rsidR="00034DD5">
        <w:rPr>
          <w:rFonts w:ascii="Times New Roman" w:hAnsi="Times New Roman" w:cs="Times New Roman"/>
          <w:sz w:val="24"/>
          <w:szCs w:val="24"/>
        </w:rPr>
        <w:t xml:space="preserve"> CSR </w:t>
      </w:r>
      <w:r>
        <w:rPr>
          <w:rFonts w:ascii="Times New Roman" w:hAnsi="Times New Roman" w:cs="Times New Roman"/>
          <w:sz w:val="24"/>
          <w:szCs w:val="24"/>
        </w:rPr>
        <w:t xml:space="preserve">adoption with soft </w:t>
      </w:r>
      <w:r w:rsidR="00034DD5">
        <w:rPr>
          <w:rFonts w:ascii="Times New Roman" w:hAnsi="Times New Roman" w:cs="Times New Roman"/>
          <w:sz w:val="24"/>
          <w:szCs w:val="24"/>
        </w:rPr>
        <w:t>regulations</w:t>
      </w:r>
      <w:r w:rsidR="00EB3FE3">
        <w:rPr>
          <w:rFonts w:ascii="Times New Roman" w:hAnsi="Times New Roman" w:cs="Times New Roman"/>
          <w:sz w:val="24"/>
          <w:szCs w:val="24"/>
        </w:rPr>
        <w:t xml:space="preserve"> that vary </w:t>
      </w:r>
      <w:r w:rsidR="00905C19">
        <w:rPr>
          <w:rFonts w:ascii="Times New Roman" w:hAnsi="Times New Roman" w:cs="Times New Roman"/>
          <w:sz w:val="24"/>
          <w:szCs w:val="24"/>
        </w:rPr>
        <w:t>from simpl</w:t>
      </w:r>
      <w:r w:rsidR="003F297E">
        <w:rPr>
          <w:rFonts w:ascii="Times New Roman" w:hAnsi="Times New Roman" w:cs="Times New Roman"/>
          <w:sz w:val="24"/>
          <w:szCs w:val="24"/>
        </w:rPr>
        <w:t xml:space="preserve">y </w:t>
      </w:r>
      <w:r w:rsidR="00905C19">
        <w:rPr>
          <w:rFonts w:ascii="Times New Roman" w:hAnsi="Times New Roman" w:cs="Times New Roman"/>
          <w:sz w:val="24"/>
          <w:szCs w:val="24"/>
        </w:rPr>
        <w:t>endors</w:t>
      </w:r>
      <w:r w:rsidR="003F297E">
        <w:rPr>
          <w:rFonts w:ascii="Times New Roman" w:hAnsi="Times New Roman" w:cs="Times New Roman"/>
          <w:sz w:val="24"/>
          <w:szCs w:val="24"/>
        </w:rPr>
        <w:t xml:space="preserve">ing </w:t>
      </w:r>
      <w:r w:rsidR="00905C19">
        <w:rPr>
          <w:rFonts w:ascii="Times New Roman" w:hAnsi="Times New Roman" w:cs="Times New Roman"/>
          <w:sz w:val="24"/>
          <w:szCs w:val="24"/>
        </w:rPr>
        <w:t>and symbolic</w:t>
      </w:r>
      <w:r w:rsidR="003F297E">
        <w:rPr>
          <w:rFonts w:ascii="Times New Roman" w:hAnsi="Times New Roman" w:cs="Times New Roman"/>
          <w:sz w:val="24"/>
          <w:szCs w:val="24"/>
        </w:rPr>
        <w:t>ally</w:t>
      </w:r>
      <w:r w:rsidR="00905C19">
        <w:rPr>
          <w:rFonts w:ascii="Times New Roman" w:hAnsi="Times New Roman" w:cs="Times New Roman"/>
          <w:sz w:val="24"/>
          <w:szCs w:val="24"/>
        </w:rPr>
        <w:t xml:space="preserve"> support</w:t>
      </w:r>
      <w:r w:rsidR="003F297E">
        <w:rPr>
          <w:rFonts w:ascii="Times New Roman" w:hAnsi="Times New Roman" w:cs="Times New Roman"/>
          <w:sz w:val="24"/>
          <w:szCs w:val="24"/>
        </w:rPr>
        <w:t xml:space="preserve">ing </w:t>
      </w:r>
      <w:r w:rsidR="00905C19">
        <w:rPr>
          <w:rFonts w:ascii="Times New Roman" w:hAnsi="Times New Roman" w:cs="Times New Roman"/>
          <w:sz w:val="24"/>
          <w:szCs w:val="24"/>
        </w:rPr>
        <w:t>CSR to</w:t>
      </w:r>
      <w:r w:rsidR="00EB3FE3">
        <w:rPr>
          <w:rFonts w:ascii="Times New Roman" w:hAnsi="Times New Roman" w:cs="Times New Roman"/>
          <w:sz w:val="24"/>
          <w:szCs w:val="24"/>
        </w:rPr>
        <w:t xml:space="preserve"> requiring the adoption of</w:t>
      </w:r>
      <w:r w:rsidR="00905C19">
        <w:rPr>
          <w:rFonts w:ascii="Times New Roman" w:hAnsi="Times New Roman" w:cs="Times New Roman"/>
          <w:sz w:val="24"/>
          <w:szCs w:val="24"/>
        </w:rPr>
        <w:t xml:space="preserve"> specific practices. </w:t>
      </w:r>
      <w:r w:rsidR="00EB3FE3">
        <w:rPr>
          <w:rFonts w:ascii="Times New Roman" w:hAnsi="Times New Roman" w:cs="Times New Roman"/>
          <w:sz w:val="24"/>
          <w:szCs w:val="24"/>
        </w:rPr>
        <w:t>Governments have resisted fully m</w:t>
      </w:r>
      <w:r w:rsidR="00D9744B">
        <w:rPr>
          <w:rFonts w:ascii="Times New Roman" w:hAnsi="Times New Roman" w:cs="Times New Roman"/>
          <w:sz w:val="24"/>
          <w:szCs w:val="24"/>
        </w:rPr>
        <w:t xml:space="preserve">andating CSR </w:t>
      </w:r>
      <w:r w:rsidR="00EB3FE3">
        <w:rPr>
          <w:rFonts w:ascii="Times New Roman" w:hAnsi="Times New Roman" w:cs="Times New Roman"/>
          <w:sz w:val="24"/>
          <w:szCs w:val="24"/>
        </w:rPr>
        <w:t xml:space="preserve">because there </w:t>
      </w:r>
      <w:r w:rsidR="00D9744B">
        <w:rPr>
          <w:rFonts w:ascii="Times New Roman" w:hAnsi="Times New Roman" w:cs="Times New Roman"/>
          <w:sz w:val="24"/>
          <w:szCs w:val="24"/>
        </w:rPr>
        <w:t xml:space="preserve">is </w:t>
      </w:r>
      <w:r w:rsidR="00EB3FE3">
        <w:rPr>
          <w:rFonts w:ascii="Times New Roman" w:hAnsi="Times New Roman" w:cs="Times New Roman"/>
          <w:sz w:val="24"/>
          <w:szCs w:val="24"/>
        </w:rPr>
        <w:t>some concern universally</w:t>
      </w:r>
      <w:r w:rsidR="00D9744B">
        <w:rPr>
          <w:rFonts w:ascii="Times New Roman" w:hAnsi="Times New Roman" w:cs="Times New Roman"/>
          <w:sz w:val="24"/>
          <w:szCs w:val="24"/>
        </w:rPr>
        <w:t xml:space="preserve"> </w:t>
      </w:r>
      <w:r w:rsidR="0035532C">
        <w:rPr>
          <w:rFonts w:ascii="Times New Roman" w:hAnsi="Times New Roman" w:cs="Times New Roman"/>
          <w:sz w:val="24"/>
          <w:szCs w:val="24"/>
        </w:rPr>
        <w:t xml:space="preserve">that </w:t>
      </w:r>
      <w:r w:rsidR="00D9744B">
        <w:rPr>
          <w:rFonts w:ascii="Times New Roman" w:hAnsi="Times New Roman" w:cs="Times New Roman"/>
          <w:sz w:val="24"/>
          <w:szCs w:val="24"/>
        </w:rPr>
        <w:t>mandated CSR</w:t>
      </w:r>
      <w:r w:rsidR="00EB3FE3">
        <w:rPr>
          <w:rFonts w:ascii="Times New Roman" w:hAnsi="Times New Roman" w:cs="Times New Roman"/>
          <w:sz w:val="24"/>
          <w:szCs w:val="24"/>
        </w:rPr>
        <w:t xml:space="preserve"> may reduce</w:t>
      </w:r>
      <w:r w:rsidR="00D9744B">
        <w:rPr>
          <w:rFonts w:ascii="Times New Roman" w:hAnsi="Times New Roman" w:cs="Times New Roman"/>
          <w:sz w:val="24"/>
          <w:szCs w:val="24"/>
        </w:rPr>
        <w:t xml:space="preserve"> firm value. </w:t>
      </w:r>
      <w:r w:rsidR="00EB3FE3">
        <w:rPr>
          <w:rFonts w:ascii="Times New Roman" w:hAnsi="Times New Roman" w:cs="Times New Roman"/>
          <w:sz w:val="24"/>
          <w:szCs w:val="24"/>
        </w:rPr>
        <w:t xml:space="preserve">There is, however, no empirical </w:t>
      </w:r>
      <w:r w:rsidR="002E0738">
        <w:rPr>
          <w:rFonts w:ascii="Times New Roman" w:hAnsi="Times New Roman" w:cs="Times New Roman"/>
          <w:sz w:val="24"/>
          <w:szCs w:val="24"/>
        </w:rPr>
        <w:t xml:space="preserve">clarity </w:t>
      </w:r>
      <w:r w:rsidR="00EB3FE3">
        <w:rPr>
          <w:rFonts w:ascii="Times New Roman" w:hAnsi="Times New Roman" w:cs="Times New Roman"/>
          <w:sz w:val="24"/>
          <w:szCs w:val="24"/>
        </w:rPr>
        <w:t>as to whether mandated CSR imp</w:t>
      </w:r>
      <w:r w:rsidR="00142757">
        <w:rPr>
          <w:rFonts w:ascii="Times New Roman" w:hAnsi="Times New Roman" w:cs="Times New Roman"/>
          <w:sz w:val="24"/>
          <w:szCs w:val="24"/>
        </w:rPr>
        <w:t xml:space="preserve">edes </w:t>
      </w:r>
      <w:r w:rsidR="00EB3FE3">
        <w:rPr>
          <w:rFonts w:ascii="Times New Roman" w:hAnsi="Times New Roman" w:cs="Times New Roman"/>
          <w:sz w:val="24"/>
          <w:szCs w:val="24"/>
        </w:rPr>
        <w:t>or imp</w:t>
      </w:r>
      <w:r w:rsidR="00142757">
        <w:rPr>
          <w:rFonts w:ascii="Times New Roman" w:hAnsi="Times New Roman" w:cs="Times New Roman"/>
          <w:sz w:val="24"/>
          <w:szCs w:val="24"/>
        </w:rPr>
        <w:t xml:space="preserve">roves </w:t>
      </w:r>
      <w:r w:rsidR="00EB3FE3">
        <w:rPr>
          <w:rFonts w:ascii="Times New Roman" w:hAnsi="Times New Roman" w:cs="Times New Roman"/>
          <w:sz w:val="24"/>
          <w:szCs w:val="24"/>
        </w:rPr>
        <w:t xml:space="preserve">firm value. </w:t>
      </w:r>
      <w:r w:rsidR="00D9744B">
        <w:rPr>
          <w:rFonts w:ascii="Times New Roman" w:hAnsi="Times New Roman" w:cs="Times New Roman"/>
          <w:sz w:val="24"/>
          <w:szCs w:val="24"/>
        </w:rPr>
        <w:t xml:space="preserve">We address this </w:t>
      </w:r>
      <w:r w:rsidR="00A80E9E">
        <w:rPr>
          <w:rFonts w:ascii="Times New Roman" w:hAnsi="Times New Roman" w:cs="Times New Roman"/>
          <w:sz w:val="24"/>
          <w:szCs w:val="24"/>
        </w:rPr>
        <w:t xml:space="preserve">uncertainty </w:t>
      </w:r>
      <w:r w:rsidR="00D9744B">
        <w:rPr>
          <w:rFonts w:ascii="Times New Roman" w:hAnsi="Times New Roman" w:cs="Times New Roman"/>
          <w:sz w:val="24"/>
          <w:szCs w:val="24"/>
        </w:rPr>
        <w:t xml:space="preserve">by analyzing the effects of the mandated adoption of CSR </w:t>
      </w:r>
      <w:r w:rsidR="00034DD5">
        <w:rPr>
          <w:rFonts w:ascii="Times New Roman" w:hAnsi="Times New Roman" w:cs="Times New Roman"/>
          <w:sz w:val="24"/>
          <w:szCs w:val="24"/>
        </w:rPr>
        <w:t xml:space="preserve">that </w:t>
      </w:r>
      <w:r w:rsidR="00D9744B">
        <w:rPr>
          <w:rFonts w:ascii="Times New Roman" w:hAnsi="Times New Roman" w:cs="Times New Roman"/>
          <w:sz w:val="24"/>
          <w:szCs w:val="24"/>
        </w:rPr>
        <w:t xml:space="preserve">the government of India </w:t>
      </w:r>
      <w:r w:rsidR="00034DD5">
        <w:rPr>
          <w:rFonts w:ascii="Times New Roman" w:hAnsi="Times New Roman" w:cs="Times New Roman"/>
          <w:sz w:val="24"/>
          <w:szCs w:val="24"/>
        </w:rPr>
        <w:t xml:space="preserve">legislated </w:t>
      </w:r>
      <w:r w:rsidR="00D9744B">
        <w:rPr>
          <w:rFonts w:ascii="Times New Roman" w:hAnsi="Times New Roman" w:cs="Times New Roman"/>
          <w:sz w:val="24"/>
          <w:szCs w:val="24"/>
        </w:rPr>
        <w:t xml:space="preserve">in 2014. </w:t>
      </w:r>
      <w:r w:rsidR="003169D5" w:rsidRPr="008D53DE">
        <w:rPr>
          <w:rFonts w:ascii="Times New Roman" w:hAnsi="Times New Roman" w:cs="Times New Roman"/>
          <w:bCs/>
          <w:sz w:val="24"/>
          <w:szCs w:val="24"/>
        </w:rPr>
        <w:t xml:space="preserve">Drawing on a sample of 1526 </w:t>
      </w:r>
      <w:r w:rsidR="00A80E9E">
        <w:rPr>
          <w:rFonts w:ascii="Times New Roman" w:hAnsi="Times New Roman" w:cs="Times New Roman"/>
          <w:bCs/>
          <w:sz w:val="24"/>
          <w:szCs w:val="24"/>
        </w:rPr>
        <w:t xml:space="preserve">publicly-traded </w:t>
      </w:r>
      <w:r w:rsidR="003169D5" w:rsidRPr="008D53DE">
        <w:rPr>
          <w:rFonts w:ascii="Times New Roman" w:hAnsi="Times New Roman" w:cs="Times New Roman"/>
          <w:bCs/>
          <w:sz w:val="24"/>
          <w:szCs w:val="24"/>
        </w:rPr>
        <w:t>firms</w:t>
      </w:r>
      <w:r w:rsidR="00120755">
        <w:rPr>
          <w:rFonts w:ascii="Times New Roman" w:hAnsi="Times New Roman" w:cs="Times New Roman"/>
          <w:bCs/>
          <w:sz w:val="24"/>
          <w:szCs w:val="24"/>
        </w:rPr>
        <w:t xml:space="preserve"> and </w:t>
      </w:r>
      <w:r w:rsidR="009415C6">
        <w:rPr>
          <w:rFonts w:ascii="Times New Roman" w:hAnsi="Times New Roman" w:cs="Times New Roman"/>
          <w:bCs/>
          <w:sz w:val="24"/>
          <w:szCs w:val="24"/>
        </w:rPr>
        <w:t>deploy</w:t>
      </w:r>
      <w:r w:rsidR="00120755">
        <w:rPr>
          <w:rFonts w:ascii="Times New Roman" w:hAnsi="Times New Roman" w:cs="Times New Roman"/>
          <w:bCs/>
          <w:sz w:val="24"/>
          <w:szCs w:val="24"/>
        </w:rPr>
        <w:t>ing</w:t>
      </w:r>
      <w:r w:rsidR="009415C6">
        <w:rPr>
          <w:rFonts w:ascii="Times New Roman" w:hAnsi="Times New Roman" w:cs="Times New Roman"/>
          <w:bCs/>
          <w:sz w:val="24"/>
          <w:szCs w:val="24"/>
        </w:rPr>
        <w:t xml:space="preserve"> </w:t>
      </w:r>
      <w:r w:rsidR="005470B9">
        <w:rPr>
          <w:rFonts w:ascii="Times New Roman" w:hAnsi="Times New Roman" w:cs="Times New Roman"/>
          <w:bCs/>
          <w:sz w:val="24"/>
          <w:szCs w:val="24"/>
        </w:rPr>
        <w:t>a combinative analytical framework comprising an event study, regression discontinuity design, and a difference-in-differences technique</w:t>
      </w:r>
      <w:r w:rsidR="00120755">
        <w:rPr>
          <w:rFonts w:ascii="Times New Roman" w:hAnsi="Times New Roman" w:cs="Times New Roman"/>
          <w:bCs/>
          <w:sz w:val="24"/>
          <w:szCs w:val="24"/>
        </w:rPr>
        <w:t xml:space="preserve">, we </w:t>
      </w:r>
      <w:r w:rsidR="004C448D">
        <w:rPr>
          <w:rFonts w:ascii="Times New Roman" w:hAnsi="Times New Roman" w:cs="Times New Roman"/>
          <w:bCs/>
          <w:sz w:val="24"/>
          <w:szCs w:val="24"/>
        </w:rPr>
        <w:t xml:space="preserve">conclude that </w:t>
      </w:r>
      <w:r w:rsidR="00633964">
        <w:rPr>
          <w:rFonts w:ascii="Times New Roman" w:hAnsi="Times New Roman" w:cs="Times New Roman"/>
          <w:bCs/>
          <w:sz w:val="24"/>
          <w:szCs w:val="24"/>
        </w:rPr>
        <w:t xml:space="preserve">India’s CSR </w:t>
      </w:r>
      <w:r w:rsidR="004F0B61">
        <w:rPr>
          <w:rFonts w:ascii="Times New Roman" w:hAnsi="Times New Roman" w:cs="Times New Roman"/>
          <w:bCs/>
          <w:sz w:val="24"/>
          <w:szCs w:val="24"/>
        </w:rPr>
        <w:t xml:space="preserve">mandate </w:t>
      </w:r>
      <w:r w:rsidR="00EB3FE3">
        <w:rPr>
          <w:rFonts w:ascii="Times New Roman" w:hAnsi="Times New Roman" w:cs="Times New Roman"/>
          <w:bCs/>
          <w:sz w:val="24"/>
          <w:szCs w:val="24"/>
        </w:rPr>
        <w:t xml:space="preserve">did, in fact, </w:t>
      </w:r>
      <w:r w:rsidR="003169D5" w:rsidRPr="008D53DE">
        <w:rPr>
          <w:rFonts w:ascii="Times New Roman" w:hAnsi="Times New Roman" w:cs="Times New Roman"/>
          <w:bCs/>
          <w:sz w:val="24"/>
          <w:szCs w:val="24"/>
        </w:rPr>
        <w:t>increase value for all firms</w:t>
      </w:r>
      <w:r w:rsidR="00633964">
        <w:rPr>
          <w:rFonts w:ascii="Times New Roman" w:hAnsi="Times New Roman" w:cs="Times New Roman"/>
          <w:bCs/>
          <w:sz w:val="24"/>
          <w:szCs w:val="24"/>
        </w:rPr>
        <w:t xml:space="preserve"> bound by </w:t>
      </w:r>
      <w:r w:rsidR="00801DE7">
        <w:rPr>
          <w:rFonts w:ascii="Times New Roman" w:hAnsi="Times New Roman" w:cs="Times New Roman"/>
          <w:bCs/>
          <w:sz w:val="24"/>
          <w:szCs w:val="24"/>
        </w:rPr>
        <w:t>the mandate</w:t>
      </w:r>
      <w:r w:rsidR="003169D5" w:rsidRPr="008D53DE">
        <w:rPr>
          <w:rFonts w:ascii="Times New Roman" w:hAnsi="Times New Roman" w:cs="Times New Roman"/>
          <w:bCs/>
          <w:sz w:val="24"/>
          <w:szCs w:val="24"/>
        </w:rPr>
        <w:t xml:space="preserve">. This value-enhancing effect was greater for foreign firms </w:t>
      </w:r>
      <w:r w:rsidR="00633964">
        <w:rPr>
          <w:rFonts w:ascii="Times New Roman" w:hAnsi="Times New Roman" w:cs="Times New Roman"/>
          <w:bCs/>
          <w:sz w:val="24"/>
          <w:szCs w:val="24"/>
        </w:rPr>
        <w:t>relative to domestic firms</w:t>
      </w:r>
      <w:r w:rsidR="004F0B61">
        <w:rPr>
          <w:rFonts w:ascii="Times New Roman" w:hAnsi="Times New Roman" w:cs="Times New Roman"/>
          <w:bCs/>
          <w:sz w:val="24"/>
          <w:szCs w:val="24"/>
        </w:rPr>
        <w:t xml:space="preserve">. </w:t>
      </w:r>
      <w:r w:rsidR="00801DE7">
        <w:rPr>
          <w:rFonts w:ascii="Times New Roman" w:hAnsi="Times New Roman" w:cs="Times New Roman"/>
          <w:bCs/>
          <w:sz w:val="24"/>
          <w:szCs w:val="24"/>
        </w:rPr>
        <w:t xml:space="preserve">Our results </w:t>
      </w:r>
      <w:r w:rsidR="00120755">
        <w:rPr>
          <w:rFonts w:ascii="Times New Roman" w:hAnsi="Times New Roman" w:cs="Times New Roman"/>
          <w:bCs/>
          <w:sz w:val="24"/>
          <w:szCs w:val="24"/>
        </w:rPr>
        <w:t xml:space="preserve">refute </w:t>
      </w:r>
      <w:r w:rsidR="00801DE7">
        <w:rPr>
          <w:rFonts w:ascii="Times New Roman" w:hAnsi="Times New Roman" w:cs="Times New Roman"/>
          <w:bCs/>
          <w:sz w:val="24"/>
          <w:szCs w:val="24"/>
        </w:rPr>
        <w:t xml:space="preserve">previous research </w:t>
      </w:r>
      <w:r w:rsidR="00034DD5">
        <w:rPr>
          <w:rFonts w:ascii="Times New Roman" w:hAnsi="Times New Roman" w:cs="Times New Roman"/>
          <w:bCs/>
          <w:sz w:val="24"/>
          <w:szCs w:val="24"/>
        </w:rPr>
        <w:t>showing</w:t>
      </w:r>
      <w:r w:rsidR="007E73B7">
        <w:rPr>
          <w:rFonts w:ascii="Times New Roman" w:hAnsi="Times New Roman" w:cs="Times New Roman"/>
          <w:bCs/>
          <w:sz w:val="24"/>
          <w:szCs w:val="24"/>
        </w:rPr>
        <w:t xml:space="preserve"> </w:t>
      </w:r>
      <w:r w:rsidR="00801DE7">
        <w:rPr>
          <w:rFonts w:ascii="Times New Roman" w:hAnsi="Times New Roman" w:cs="Times New Roman"/>
          <w:bCs/>
          <w:sz w:val="24"/>
          <w:szCs w:val="24"/>
        </w:rPr>
        <w:t xml:space="preserve">that India’s CSR mandate diminished firm value. </w:t>
      </w:r>
    </w:p>
    <w:p w14:paraId="5BBAD088" w14:textId="2C531A37" w:rsidR="00142757" w:rsidRDefault="00142757" w:rsidP="00006974">
      <w:pPr>
        <w:spacing w:after="120" w:line="480" w:lineRule="auto"/>
        <w:jc w:val="both"/>
        <w:rPr>
          <w:rFonts w:ascii="Times New Roman" w:hAnsi="Times New Roman" w:cs="Times New Roman"/>
          <w:bCs/>
          <w:sz w:val="24"/>
          <w:szCs w:val="24"/>
        </w:rPr>
      </w:pPr>
    </w:p>
    <w:p w14:paraId="13D33AA5" w14:textId="06478AC0" w:rsidR="007E73B7" w:rsidRDefault="007E73B7" w:rsidP="00006974">
      <w:pPr>
        <w:spacing w:after="120" w:line="480" w:lineRule="auto"/>
        <w:jc w:val="both"/>
        <w:rPr>
          <w:rFonts w:ascii="Times New Roman" w:hAnsi="Times New Roman" w:cs="Times New Roman"/>
          <w:sz w:val="24"/>
          <w:szCs w:val="24"/>
        </w:rPr>
      </w:pPr>
    </w:p>
    <w:p w14:paraId="01A29503" w14:textId="1509BD17" w:rsidR="00F657CF" w:rsidRDefault="00F657CF" w:rsidP="00006974">
      <w:pPr>
        <w:spacing w:after="120" w:line="480" w:lineRule="auto"/>
        <w:jc w:val="both"/>
        <w:rPr>
          <w:rFonts w:ascii="Times New Roman" w:hAnsi="Times New Roman" w:cs="Times New Roman"/>
          <w:sz w:val="24"/>
          <w:szCs w:val="24"/>
        </w:rPr>
      </w:pPr>
    </w:p>
    <w:p w14:paraId="31A7E157" w14:textId="77777777" w:rsidR="00F657CF" w:rsidRDefault="00F657CF" w:rsidP="00006974">
      <w:pPr>
        <w:spacing w:after="120" w:line="480" w:lineRule="auto"/>
        <w:jc w:val="both"/>
        <w:rPr>
          <w:rFonts w:ascii="Times New Roman" w:hAnsi="Times New Roman" w:cs="Times New Roman"/>
          <w:sz w:val="24"/>
          <w:szCs w:val="24"/>
        </w:rPr>
      </w:pPr>
    </w:p>
    <w:p w14:paraId="4D68CABC" w14:textId="77777777" w:rsidR="007E73B7" w:rsidRDefault="007E73B7" w:rsidP="00006974">
      <w:pPr>
        <w:spacing w:after="120" w:line="480" w:lineRule="auto"/>
        <w:jc w:val="both"/>
        <w:rPr>
          <w:rFonts w:ascii="Times New Roman" w:hAnsi="Times New Roman" w:cs="Times New Roman"/>
          <w:b/>
          <w:bCs/>
          <w:sz w:val="24"/>
          <w:szCs w:val="24"/>
        </w:rPr>
      </w:pPr>
    </w:p>
    <w:p w14:paraId="69F55C01" w14:textId="77777777" w:rsidR="007E73B7" w:rsidRDefault="007E73B7" w:rsidP="00006974">
      <w:pPr>
        <w:spacing w:after="120" w:line="480" w:lineRule="auto"/>
        <w:jc w:val="both"/>
        <w:rPr>
          <w:rFonts w:ascii="Times New Roman" w:hAnsi="Times New Roman" w:cs="Times New Roman"/>
          <w:b/>
          <w:bCs/>
          <w:sz w:val="24"/>
          <w:szCs w:val="24"/>
        </w:rPr>
      </w:pPr>
    </w:p>
    <w:p w14:paraId="31B648F3" w14:textId="01AD012E" w:rsidR="00467698" w:rsidRDefault="001403ED" w:rsidP="005979A7">
      <w:pPr>
        <w:spacing w:after="120" w:line="480" w:lineRule="auto"/>
        <w:jc w:val="both"/>
        <w:rPr>
          <w:rFonts w:ascii="Times New Roman" w:hAnsi="Times New Roman" w:cs="Times New Roman"/>
          <w:sz w:val="24"/>
          <w:szCs w:val="24"/>
        </w:rPr>
      </w:pPr>
      <w:r w:rsidRPr="004D0055">
        <w:rPr>
          <w:rFonts w:ascii="Times New Roman" w:hAnsi="Times New Roman" w:cs="Times New Roman"/>
          <w:sz w:val="24"/>
          <w:szCs w:val="24"/>
        </w:rPr>
        <w:lastRenderedPageBreak/>
        <w:t>Business</w:t>
      </w:r>
      <w:r w:rsidR="00F177A2" w:rsidRPr="004D0055">
        <w:rPr>
          <w:rFonts w:ascii="Times New Roman" w:hAnsi="Times New Roman" w:cs="Times New Roman"/>
          <w:sz w:val="24"/>
          <w:szCs w:val="24"/>
        </w:rPr>
        <w:t xml:space="preserve">es have always </w:t>
      </w:r>
      <w:r w:rsidR="004934A9">
        <w:rPr>
          <w:rFonts w:ascii="Times New Roman" w:hAnsi="Times New Roman" w:cs="Times New Roman"/>
          <w:sz w:val="24"/>
          <w:szCs w:val="24"/>
        </w:rPr>
        <w:t>ha</w:t>
      </w:r>
      <w:r w:rsidR="004934A9" w:rsidRPr="004D0055">
        <w:rPr>
          <w:rFonts w:ascii="Times New Roman" w:hAnsi="Times New Roman" w:cs="Times New Roman"/>
          <w:sz w:val="24"/>
          <w:szCs w:val="24"/>
        </w:rPr>
        <w:t xml:space="preserve">d </w:t>
      </w:r>
      <w:r w:rsidR="00F177A2" w:rsidRPr="004D0055">
        <w:rPr>
          <w:rFonts w:ascii="Times New Roman" w:hAnsi="Times New Roman" w:cs="Times New Roman"/>
          <w:sz w:val="24"/>
          <w:szCs w:val="24"/>
        </w:rPr>
        <w:t>social responsibilities (</w:t>
      </w:r>
      <w:proofErr w:type="spellStart"/>
      <w:r w:rsidR="00B957CC" w:rsidRPr="008D53DE">
        <w:rPr>
          <w:rFonts w:ascii="Times New Roman" w:hAnsi="Times New Roman" w:cs="Times New Roman"/>
          <w:bCs/>
          <w:sz w:val="24"/>
          <w:szCs w:val="24"/>
        </w:rPr>
        <w:t>Eberstadt</w:t>
      </w:r>
      <w:proofErr w:type="spellEnd"/>
      <w:r w:rsidR="00B957CC" w:rsidRPr="008D53DE">
        <w:rPr>
          <w:rFonts w:ascii="Times New Roman" w:hAnsi="Times New Roman" w:cs="Times New Roman"/>
          <w:bCs/>
          <w:sz w:val="24"/>
          <w:szCs w:val="24"/>
        </w:rPr>
        <w:t>, 1977</w:t>
      </w:r>
      <w:r w:rsidR="002E0738">
        <w:rPr>
          <w:rFonts w:ascii="Times New Roman" w:hAnsi="Times New Roman" w:cs="Times New Roman"/>
          <w:bCs/>
          <w:sz w:val="24"/>
          <w:szCs w:val="24"/>
        </w:rPr>
        <w:t>; Panwar et al., 2006</w:t>
      </w:r>
      <w:r w:rsidR="00F177A2" w:rsidRPr="004D0055">
        <w:rPr>
          <w:rFonts w:ascii="Times New Roman" w:hAnsi="Times New Roman" w:cs="Times New Roman"/>
          <w:sz w:val="24"/>
          <w:szCs w:val="24"/>
        </w:rPr>
        <w:t>)</w:t>
      </w:r>
      <w:r w:rsidR="00D95477">
        <w:rPr>
          <w:rFonts w:ascii="Times New Roman" w:hAnsi="Times New Roman" w:cs="Times New Roman"/>
          <w:sz w:val="24"/>
          <w:szCs w:val="24"/>
        </w:rPr>
        <w:t>.</w:t>
      </w:r>
      <w:r w:rsidR="00F177A2" w:rsidRPr="004D0055">
        <w:rPr>
          <w:rFonts w:ascii="Times New Roman" w:hAnsi="Times New Roman" w:cs="Times New Roman"/>
          <w:sz w:val="24"/>
          <w:szCs w:val="24"/>
        </w:rPr>
        <w:t xml:space="preserve"> </w:t>
      </w:r>
      <w:r w:rsidR="00D95477">
        <w:rPr>
          <w:rFonts w:ascii="Times New Roman" w:hAnsi="Times New Roman" w:cs="Times New Roman"/>
          <w:sz w:val="24"/>
          <w:szCs w:val="24"/>
        </w:rPr>
        <w:t>However,</w:t>
      </w:r>
      <w:r w:rsidR="00F177A2" w:rsidRPr="004D0055">
        <w:rPr>
          <w:rFonts w:ascii="Times New Roman" w:hAnsi="Times New Roman" w:cs="Times New Roman"/>
          <w:sz w:val="24"/>
          <w:szCs w:val="24"/>
        </w:rPr>
        <w:t xml:space="preserve"> </w:t>
      </w:r>
      <w:r w:rsidR="00C7297F">
        <w:rPr>
          <w:rFonts w:ascii="Times New Roman" w:hAnsi="Times New Roman" w:cs="Times New Roman"/>
          <w:sz w:val="24"/>
          <w:szCs w:val="24"/>
        </w:rPr>
        <w:t xml:space="preserve">the </w:t>
      </w:r>
      <w:r w:rsidR="00F7282E">
        <w:rPr>
          <w:rFonts w:ascii="Times New Roman" w:hAnsi="Times New Roman" w:cs="Times New Roman"/>
          <w:sz w:val="24"/>
          <w:szCs w:val="24"/>
        </w:rPr>
        <w:t xml:space="preserve">contemporary </w:t>
      </w:r>
      <w:r w:rsidR="00C7297F">
        <w:rPr>
          <w:rFonts w:ascii="Times New Roman" w:hAnsi="Times New Roman" w:cs="Times New Roman"/>
          <w:sz w:val="24"/>
          <w:szCs w:val="24"/>
        </w:rPr>
        <w:t>understanding</w:t>
      </w:r>
      <w:r w:rsidR="00B957CC">
        <w:rPr>
          <w:rFonts w:ascii="Times New Roman" w:hAnsi="Times New Roman" w:cs="Times New Roman"/>
          <w:sz w:val="24"/>
          <w:szCs w:val="24"/>
        </w:rPr>
        <w:t xml:space="preserve"> of </w:t>
      </w:r>
      <w:r w:rsidR="00F177A2" w:rsidRPr="00F3637C">
        <w:rPr>
          <w:rFonts w:ascii="Times New Roman" w:hAnsi="Times New Roman" w:cs="Times New Roman"/>
          <w:sz w:val="24"/>
          <w:szCs w:val="24"/>
        </w:rPr>
        <w:t xml:space="preserve">corporate social responsibility </w:t>
      </w:r>
      <w:r w:rsidR="00C7297F">
        <w:rPr>
          <w:rFonts w:ascii="Times New Roman" w:hAnsi="Times New Roman" w:cs="Times New Roman"/>
          <w:sz w:val="24"/>
          <w:szCs w:val="24"/>
        </w:rPr>
        <w:t>(</w:t>
      </w:r>
      <w:r w:rsidR="00F177A2" w:rsidRPr="00F3637C">
        <w:rPr>
          <w:rFonts w:ascii="Times New Roman" w:hAnsi="Times New Roman" w:cs="Times New Roman"/>
          <w:sz w:val="24"/>
          <w:szCs w:val="24"/>
        </w:rPr>
        <w:t>CSR)</w:t>
      </w:r>
      <w:r w:rsidR="00C7297F">
        <w:rPr>
          <w:rFonts w:ascii="Times New Roman" w:hAnsi="Times New Roman" w:cs="Times New Roman"/>
          <w:sz w:val="24"/>
          <w:szCs w:val="24"/>
        </w:rPr>
        <w:t xml:space="preserve"> is </w:t>
      </w:r>
      <w:r w:rsidR="00F7282E">
        <w:rPr>
          <w:rFonts w:ascii="Times New Roman" w:hAnsi="Times New Roman" w:cs="Times New Roman"/>
          <w:sz w:val="24"/>
          <w:szCs w:val="24"/>
        </w:rPr>
        <w:t xml:space="preserve">rooted in </w:t>
      </w:r>
      <w:r w:rsidR="00F177A2" w:rsidRPr="004D0055">
        <w:rPr>
          <w:rFonts w:ascii="Times New Roman" w:hAnsi="Times New Roman" w:cs="Times New Roman"/>
          <w:sz w:val="24"/>
          <w:szCs w:val="24"/>
        </w:rPr>
        <w:t xml:space="preserve">a neoliberal </w:t>
      </w:r>
      <w:r w:rsidR="004934A9">
        <w:rPr>
          <w:rFonts w:ascii="Times New Roman" w:hAnsi="Times New Roman" w:cs="Times New Roman"/>
          <w:sz w:val="24"/>
          <w:szCs w:val="24"/>
        </w:rPr>
        <w:t>view of</w:t>
      </w:r>
      <w:r w:rsidR="00C7297F">
        <w:rPr>
          <w:rFonts w:ascii="Times New Roman" w:hAnsi="Times New Roman" w:cs="Times New Roman"/>
          <w:sz w:val="24"/>
          <w:szCs w:val="24"/>
        </w:rPr>
        <w:t xml:space="preserve"> </w:t>
      </w:r>
      <w:r w:rsidR="00D95477">
        <w:rPr>
          <w:rFonts w:ascii="Times New Roman" w:hAnsi="Times New Roman" w:cs="Times New Roman"/>
          <w:sz w:val="24"/>
          <w:szCs w:val="24"/>
        </w:rPr>
        <w:t xml:space="preserve">the division of social responsibilities between </w:t>
      </w:r>
      <w:r w:rsidR="002904E6">
        <w:rPr>
          <w:rFonts w:ascii="Times New Roman" w:hAnsi="Times New Roman" w:cs="Times New Roman"/>
          <w:sz w:val="24"/>
          <w:szCs w:val="24"/>
        </w:rPr>
        <w:t xml:space="preserve">government and </w:t>
      </w:r>
      <w:r w:rsidR="00D95477">
        <w:rPr>
          <w:rFonts w:ascii="Times New Roman" w:hAnsi="Times New Roman" w:cs="Times New Roman"/>
          <w:sz w:val="24"/>
          <w:szCs w:val="24"/>
        </w:rPr>
        <w:t>business</w:t>
      </w:r>
      <w:r w:rsidR="00C7297F">
        <w:rPr>
          <w:rFonts w:ascii="Times New Roman" w:hAnsi="Times New Roman" w:cs="Times New Roman"/>
          <w:sz w:val="24"/>
          <w:szCs w:val="24"/>
        </w:rPr>
        <w:t xml:space="preserve"> </w:t>
      </w:r>
      <w:r w:rsidR="00F177A2" w:rsidRPr="004D0055">
        <w:rPr>
          <w:rFonts w:ascii="Times New Roman" w:hAnsi="Times New Roman" w:cs="Times New Roman"/>
          <w:sz w:val="24"/>
          <w:szCs w:val="24"/>
          <w:lang w:val="en-CA"/>
        </w:rPr>
        <w:t>(Shamir, 2008)</w:t>
      </w:r>
      <w:r w:rsidR="00F177A2" w:rsidRPr="004D0055">
        <w:rPr>
          <w:rFonts w:ascii="Times New Roman" w:hAnsi="Times New Roman" w:cs="Times New Roman"/>
          <w:sz w:val="24"/>
          <w:szCs w:val="24"/>
        </w:rPr>
        <w:t>. According</w:t>
      </w:r>
      <w:r w:rsidR="00F7282E">
        <w:rPr>
          <w:rFonts w:ascii="Times New Roman" w:hAnsi="Times New Roman" w:cs="Times New Roman"/>
          <w:sz w:val="24"/>
          <w:szCs w:val="24"/>
        </w:rPr>
        <w:t xml:space="preserve"> to this view,</w:t>
      </w:r>
      <w:r w:rsidR="00D95477">
        <w:rPr>
          <w:rFonts w:ascii="Times New Roman" w:hAnsi="Times New Roman" w:cs="Times New Roman"/>
          <w:sz w:val="24"/>
          <w:szCs w:val="24"/>
        </w:rPr>
        <w:t xml:space="preserve"> government creates a universal framework of baseline laws, but leaves the adoption of CSR practices to individual firms because they are better equipped to identify and adopt </w:t>
      </w:r>
      <w:r w:rsidR="002904E6">
        <w:rPr>
          <w:rFonts w:ascii="Times New Roman" w:hAnsi="Times New Roman" w:cs="Times New Roman"/>
          <w:sz w:val="24"/>
          <w:szCs w:val="24"/>
        </w:rPr>
        <w:t xml:space="preserve">specific </w:t>
      </w:r>
      <w:r w:rsidR="00D95477">
        <w:rPr>
          <w:rFonts w:ascii="Times New Roman" w:hAnsi="Times New Roman" w:cs="Times New Roman"/>
          <w:sz w:val="24"/>
          <w:szCs w:val="24"/>
        </w:rPr>
        <w:t>CSR practices tailored to the unique circumstances of the firm or the industry within which it operates (Sheehy, 2015)</w:t>
      </w:r>
      <w:r w:rsidR="00F177A2" w:rsidRPr="00F3637C">
        <w:rPr>
          <w:rFonts w:ascii="Times New Roman" w:hAnsi="Times New Roman" w:cs="Times New Roman"/>
          <w:sz w:val="24"/>
          <w:szCs w:val="24"/>
        </w:rPr>
        <w:t xml:space="preserve">. </w:t>
      </w:r>
      <w:r w:rsidR="00AE5F79">
        <w:rPr>
          <w:rFonts w:ascii="Times New Roman" w:hAnsi="Times New Roman" w:cs="Times New Roman"/>
          <w:sz w:val="24"/>
          <w:szCs w:val="24"/>
        </w:rPr>
        <w:t xml:space="preserve">As such, </w:t>
      </w:r>
      <w:r w:rsidR="0091298D">
        <w:rPr>
          <w:rFonts w:ascii="Times New Roman" w:hAnsi="Times New Roman" w:cs="Times New Roman"/>
          <w:sz w:val="24"/>
          <w:szCs w:val="24"/>
        </w:rPr>
        <w:t xml:space="preserve">most regulatory regimes adopt a </w:t>
      </w:r>
      <w:r w:rsidR="0091298D" w:rsidRPr="00006974">
        <w:rPr>
          <w:rFonts w:ascii="Times New Roman" w:hAnsi="Times New Roman" w:cs="Times New Roman"/>
          <w:sz w:val="24"/>
          <w:szCs w:val="24"/>
        </w:rPr>
        <w:t xml:space="preserve">discretionary CSR </w:t>
      </w:r>
      <w:r w:rsidR="0091298D">
        <w:rPr>
          <w:rFonts w:ascii="Times New Roman" w:hAnsi="Times New Roman" w:cs="Times New Roman"/>
          <w:sz w:val="24"/>
          <w:szCs w:val="24"/>
        </w:rPr>
        <w:t xml:space="preserve">approach in which </w:t>
      </w:r>
      <w:r w:rsidR="008E4DD9">
        <w:rPr>
          <w:rFonts w:ascii="Times New Roman" w:hAnsi="Times New Roman" w:cs="Times New Roman"/>
          <w:sz w:val="24"/>
          <w:szCs w:val="24"/>
        </w:rPr>
        <w:t>s</w:t>
      </w:r>
      <w:r w:rsidR="00F71CFE" w:rsidRPr="00675E22">
        <w:rPr>
          <w:rFonts w:ascii="Times New Roman" w:hAnsi="Times New Roman" w:cs="Times New Roman"/>
          <w:sz w:val="24"/>
          <w:szCs w:val="24"/>
        </w:rPr>
        <w:t xml:space="preserve">tate enacted </w:t>
      </w:r>
      <w:r w:rsidR="0091298D">
        <w:rPr>
          <w:rFonts w:ascii="Times New Roman" w:hAnsi="Times New Roman" w:cs="Times New Roman"/>
          <w:sz w:val="24"/>
          <w:szCs w:val="24"/>
        </w:rPr>
        <w:t>(“</w:t>
      </w:r>
      <w:r w:rsidR="008E4DD9">
        <w:rPr>
          <w:rFonts w:ascii="Times New Roman" w:hAnsi="Times New Roman" w:cs="Times New Roman"/>
          <w:sz w:val="24"/>
          <w:szCs w:val="24"/>
        </w:rPr>
        <w:t>hard</w:t>
      </w:r>
      <w:r w:rsidR="0091298D">
        <w:rPr>
          <w:rFonts w:ascii="Times New Roman" w:hAnsi="Times New Roman" w:cs="Times New Roman"/>
          <w:sz w:val="24"/>
          <w:szCs w:val="24"/>
        </w:rPr>
        <w:t>”)</w:t>
      </w:r>
      <w:r w:rsidR="008E4DD9">
        <w:rPr>
          <w:rFonts w:ascii="Times New Roman" w:hAnsi="Times New Roman" w:cs="Times New Roman"/>
          <w:sz w:val="24"/>
          <w:szCs w:val="24"/>
        </w:rPr>
        <w:t xml:space="preserve"> </w:t>
      </w:r>
      <w:r w:rsidR="00D732F1" w:rsidRPr="00675E22">
        <w:rPr>
          <w:rFonts w:ascii="Times New Roman" w:hAnsi="Times New Roman" w:cs="Times New Roman"/>
          <w:sz w:val="24"/>
          <w:szCs w:val="24"/>
        </w:rPr>
        <w:t>r</w:t>
      </w:r>
      <w:r w:rsidR="00AD2319" w:rsidRPr="00675E22">
        <w:rPr>
          <w:rFonts w:ascii="Times New Roman" w:hAnsi="Times New Roman" w:cs="Times New Roman"/>
          <w:sz w:val="24"/>
          <w:szCs w:val="24"/>
        </w:rPr>
        <w:t xml:space="preserve">egulations </w:t>
      </w:r>
      <w:r w:rsidR="00F7282E">
        <w:rPr>
          <w:rFonts w:ascii="Times New Roman" w:hAnsi="Times New Roman" w:cs="Times New Roman"/>
          <w:sz w:val="24"/>
          <w:szCs w:val="24"/>
        </w:rPr>
        <w:t xml:space="preserve">define </w:t>
      </w:r>
      <w:r w:rsidR="007C30FF">
        <w:rPr>
          <w:rFonts w:ascii="Times New Roman" w:hAnsi="Times New Roman" w:cs="Times New Roman"/>
          <w:sz w:val="24"/>
          <w:szCs w:val="24"/>
        </w:rPr>
        <w:t xml:space="preserve">baseline </w:t>
      </w:r>
      <w:r w:rsidR="008E4DD9">
        <w:rPr>
          <w:rFonts w:ascii="Times New Roman" w:hAnsi="Times New Roman" w:cs="Times New Roman"/>
          <w:sz w:val="24"/>
          <w:szCs w:val="24"/>
        </w:rPr>
        <w:t xml:space="preserve">legal requirements </w:t>
      </w:r>
      <w:r w:rsidR="008959A5" w:rsidRPr="00675E22">
        <w:rPr>
          <w:rFonts w:ascii="Times New Roman" w:hAnsi="Times New Roman" w:cs="Times New Roman"/>
          <w:sz w:val="24"/>
          <w:szCs w:val="24"/>
        </w:rPr>
        <w:t xml:space="preserve">of </w:t>
      </w:r>
      <w:r w:rsidR="003E6723" w:rsidRPr="00675E22">
        <w:rPr>
          <w:rFonts w:ascii="Times New Roman" w:hAnsi="Times New Roman" w:cs="Times New Roman"/>
          <w:sz w:val="24"/>
          <w:szCs w:val="24"/>
        </w:rPr>
        <w:t xml:space="preserve">corporate performance on given </w:t>
      </w:r>
      <w:r w:rsidR="00576A71" w:rsidRPr="00675E22">
        <w:rPr>
          <w:rFonts w:ascii="Times New Roman" w:hAnsi="Times New Roman" w:cs="Times New Roman"/>
          <w:sz w:val="24"/>
          <w:szCs w:val="24"/>
        </w:rPr>
        <w:t xml:space="preserve">social and environmental </w:t>
      </w:r>
      <w:r w:rsidR="00813611" w:rsidRPr="00675E22">
        <w:rPr>
          <w:rFonts w:ascii="Times New Roman" w:hAnsi="Times New Roman" w:cs="Times New Roman"/>
          <w:sz w:val="24"/>
          <w:szCs w:val="24"/>
        </w:rPr>
        <w:t>parameters</w:t>
      </w:r>
      <w:r w:rsidR="0091298D">
        <w:rPr>
          <w:rFonts w:ascii="Times New Roman" w:hAnsi="Times New Roman" w:cs="Times New Roman"/>
          <w:sz w:val="24"/>
          <w:szCs w:val="24"/>
        </w:rPr>
        <w:t xml:space="preserve"> and corporations are expected to </w:t>
      </w:r>
      <w:r w:rsidR="00550674">
        <w:rPr>
          <w:rFonts w:ascii="Times New Roman" w:hAnsi="Times New Roman" w:cs="Times New Roman"/>
          <w:sz w:val="24"/>
          <w:szCs w:val="24"/>
        </w:rPr>
        <w:t xml:space="preserve">voluntarily </w:t>
      </w:r>
      <w:r w:rsidR="0091298D">
        <w:rPr>
          <w:rFonts w:ascii="Times New Roman" w:hAnsi="Times New Roman" w:cs="Times New Roman"/>
          <w:sz w:val="24"/>
          <w:szCs w:val="24"/>
        </w:rPr>
        <w:t xml:space="preserve">exceed </w:t>
      </w:r>
      <w:r w:rsidR="00550674">
        <w:rPr>
          <w:rFonts w:ascii="Times New Roman" w:hAnsi="Times New Roman" w:cs="Times New Roman"/>
          <w:sz w:val="24"/>
          <w:szCs w:val="24"/>
        </w:rPr>
        <w:t>them</w:t>
      </w:r>
      <w:r w:rsidR="003E6723" w:rsidRPr="00675E22">
        <w:rPr>
          <w:rFonts w:ascii="Times New Roman" w:hAnsi="Times New Roman" w:cs="Times New Roman"/>
          <w:sz w:val="24"/>
          <w:szCs w:val="24"/>
        </w:rPr>
        <w:t xml:space="preserve">. </w:t>
      </w:r>
      <w:r w:rsidR="0091298D">
        <w:rPr>
          <w:rFonts w:ascii="Times New Roman" w:hAnsi="Times New Roman" w:cs="Times New Roman"/>
          <w:sz w:val="24"/>
          <w:szCs w:val="24"/>
        </w:rPr>
        <w:t>The</w:t>
      </w:r>
      <w:r w:rsidR="00F7282E">
        <w:rPr>
          <w:rFonts w:ascii="Times New Roman" w:hAnsi="Times New Roman" w:cs="Times New Roman"/>
          <w:sz w:val="24"/>
          <w:szCs w:val="24"/>
        </w:rPr>
        <w:t xml:space="preserve"> h</w:t>
      </w:r>
      <w:r w:rsidR="008E4DD9">
        <w:rPr>
          <w:rFonts w:ascii="Times New Roman" w:hAnsi="Times New Roman" w:cs="Times New Roman"/>
          <w:sz w:val="24"/>
          <w:szCs w:val="24"/>
        </w:rPr>
        <w:t xml:space="preserve">ard </w:t>
      </w:r>
      <w:r w:rsidR="00AD2319" w:rsidRPr="00675E22">
        <w:rPr>
          <w:rFonts w:ascii="Times New Roman" w:hAnsi="Times New Roman" w:cs="Times New Roman"/>
          <w:sz w:val="24"/>
          <w:szCs w:val="24"/>
        </w:rPr>
        <w:t xml:space="preserve">regulations </w:t>
      </w:r>
      <w:r w:rsidR="00675E22">
        <w:rPr>
          <w:rFonts w:ascii="Times New Roman" w:hAnsi="Times New Roman" w:cs="Times New Roman"/>
          <w:sz w:val="24"/>
          <w:szCs w:val="24"/>
        </w:rPr>
        <w:t xml:space="preserve">prescribe </w:t>
      </w:r>
      <w:r w:rsidR="004D0055">
        <w:rPr>
          <w:rFonts w:ascii="Times New Roman" w:hAnsi="Times New Roman" w:cs="Times New Roman"/>
          <w:sz w:val="24"/>
          <w:szCs w:val="24"/>
        </w:rPr>
        <w:t xml:space="preserve">what </w:t>
      </w:r>
      <w:r w:rsidR="00F71CFE" w:rsidRPr="004D0055">
        <w:rPr>
          <w:rFonts w:ascii="Times New Roman" w:hAnsi="Times New Roman" w:cs="Times New Roman"/>
          <w:sz w:val="24"/>
          <w:szCs w:val="24"/>
        </w:rPr>
        <w:t xml:space="preserve">firms should and should not </w:t>
      </w:r>
      <w:r w:rsidR="00211F5C" w:rsidRPr="004D0055">
        <w:rPr>
          <w:rFonts w:ascii="Times New Roman" w:hAnsi="Times New Roman" w:cs="Times New Roman"/>
          <w:sz w:val="24"/>
          <w:szCs w:val="24"/>
        </w:rPr>
        <w:t xml:space="preserve">do </w:t>
      </w:r>
      <w:r w:rsidR="008959A5" w:rsidRPr="004D0055">
        <w:rPr>
          <w:rFonts w:ascii="Times New Roman" w:hAnsi="Times New Roman" w:cs="Times New Roman"/>
          <w:sz w:val="24"/>
          <w:szCs w:val="24"/>
        </w:rPr>
        <w:t xml:space="preserve">in relation to, for example, </w:t>
      </w:r>
      <w:r w:rsidR="00AD2319" w:rsidRPr="004D0055">
        <w:rPr>
          <w:rFonts w:ascii="Times New Roman" w:hAnsi="Times New Roman" w:cs="Times New Roman"/>
          <w:sz w:val="24"/>
          <w:szCs w:val="24"/>
        </w:rPr>
        <w:t>workers’ safety</w:t>
      </w:r>
      <w:r w:rsidR="00AD2319">
        <w:rPr>
          <w:rFonts w:ascii="Times New Roman" w:hAnsi="Times New Roman" w:cs="Times New Roman"/>
          <w:sz w:val="24"/>
          <w:szCs w:val="24"/>
        </w:rPr>
        <w:t xml:space="preserve">, </w:t>
      </w:r>
      <w:r w:rsidR="00024500">
        <w:rPr>
          <w:rFonts w:ascii="Times New Roman" w:hAnsi="Times New Roman" w:cs="Times New Roman"/>
          <w:sz w:val="24"/>
          <w:szCs w:val="24"/>
        </w:rPr>
        <w:t xml:space="preserve">minimum wages, </w:t>
      </w:r>
      <w:r w:rsidR="005970B7">
        <w:rPr>
          <w:rFonts w:ascii="Times New Roman" w:hAnsi="Times New Roman" w:cs="Times New Roman"/>
          <w:sz w:val="24"/>
          <w:szCs w:val="24"/>
        </w:rPr>
        <w:t xml:space="preserve">emissions, </w:t>
      </w:r>
      <w:r w:rsidR="008959A5">
        <w:rPr>
          <w:rFonts w:ascii="Times New Roman" w:hAnsi="Times New Roman" w:cs="Times New Roman"/>
          <w:sz w:val="24"/>
          <w:szCs w:val="24"/>
        </w:rPr>
        <w:t xml:space="preserve">and product advertisements. </w:t>
      </w:r>
      <w:r w:rsidR="003B31A7">
        <w:rPr>
          <w:rFonts w:ascii="Times New Roman" w:hAnsi="Times New Roman" w:cs="Times New Roman"/>
          <w:sz w:val="24"/>
          <w:szCs w:val="24"/>
        </w:rPr>
        <w:t xml:space="preserve">In such domains where baseline regulatory stipulations </w:t>
      </w:r>
      <w:r w:rsidR="005970B7">
        <w:rPr>
          <w:rFonts w:ascii="Times New Roman" w:hAnsi="Times New Roman" w:cs="Times New Roman"/>
          <w:sz w:val="24"/>
          <w:szCs w:val="24"/>
        </w:rPr>
        <w:t>exist</w:t>
      </w:r>
      <w:r w:rsidR="003B31A7">
        <w:rPr>
          <w:rFonts w:ascii="Times New Roman" w:hAnsi="Times New Roman" w:cs="Times New Roman"/>
          <w:sz w:val="24"/>
          <w:szCs w:val="24"/>
        </w:rPr>
        <w:t xml:space="preserve">, </w:t>
      </w:r>
      <w:r w:rsidR="00AE5F79">
        <w:rPr>
          <w:rFonts w:ascii="Times New Roman" w:hAnsi="Times New Roman" w:cs="Times New Roman"/>
          <w:sz w:val="24"/>
          <w:szCs w:val="24"/>
        </w:rPr>
        <w:t>CSR</w:t>
      </w:r>
      <w:r w:rsidR="00453143">
        <w:rPr>
          <w:rFonts w:ascii="Times New Roman" w:hAnsi="Times New Roman" w:cs="Times New Roman"/>
          <w:sz w:val="24"/>
          <w:szCs w:val="24"/>
        </w:rPr>
        <w:t xml:space="preserve"> refer</w:t>
      </w:r>
      <w:r w:rsidR="003B31A7">
        <w:rPr>
          <w:rFonts w:ascii="Times New Roman" w:hAnsi="Times New Roman" w:cs="Times New Roman"/>
          <w:sz w:val="24"/>
          <w:szCs w:val="24"/>
        </w:rPr>
        <w:t>s</w:t>
      </w:r>
      <w:r w:rsidR="00453143">
        <w:rPr>
          <w:rFonts w:ascii="Times New Roman" w:hAnsi="Times New Roman" w:cs="Times New Roman"/>
          <w:sz w:val="24"/>
          <w:szCs w:val="24"/>
        </w:rPr>
        <w:t xml:space="preserve"> to </w:t>
      </w:r>
      <w:r w:rsidR="0091298D">
        <w:rPr>
          <w:rFonts w:ascii="Times New Roman" w:hAnsi="Times New Roman" w:cs="Times New Roman"/>
          <w:sz w:val="24"/>
          <w:szCs w:val="24"/>
        </w:rPr>
        <w:t>supplementary</w:t>
      </w:r>
      <w:r w:rsidR="00453143">
        <w:rPr>
          <w:rFonts w:ascii="Times New Roman" w:hAnsi="Times New Roman" w:cs="Times New Roman"/>
          <w:sz w:val="24"/>
          <w:szCs w:val="24"/>
        </w:rPr>
        <w:t xml:space="preserve"> activities </w:t>
      </w:r>
      <w:r w:rsidR="0091298D">
        <w:rPr>
          <w:rFonts w:ascii="Times New Roman" w:hAnsi="Times New Roman" w:cs="Times New Roman"/>
          <w:sz w:val="24"/>
          <w:szCs w:val="24"/>
        </w:rPr>
        <w:t>exceed</w:t>
      </w:r>
      <w:r w:rsidR="006667D1">
        <w:rPr>
          <w:rFonts w:ascii="Times New Roman" w:hAnsi="Times New Roman" w:cs="Times New Roman"/>
          <w:sz w:val="24"/>
          <w:szCs w:val="24"/>
        </w:rPr>
        <w:t>ing</w:t>
      </w:r>
      <w:r w:rsidR="003B31A7">
        <w:rPr>
          <w:rFonts w:ascii="Times New Roman" w:hAnsi="Times New Roman" w:cs="Times New Roman"/>
          <w:sz w:val="24"/>
          <w:szCs w:val="24"/>
        </w:rPr>
        <w:t xml:space="preserve"> </w:t>
      </w:r>
      <w:r w:rsidR="00B21F39">
        <w:rPr>
          <w:rFonts w:ascii="Times New Roman" w:hAnsi="Times New Roman" w:cs="Times New Roman"/>
          <w:sz w:val="24"/>
          <w:szCs w:val="24"/>
        </w:rPr>
        <w:t xml:space="preserve">the </w:t>
      </w:r>
      <w:r w:rsidR="0091298D">
        <w:rPr>
          <w:rFonts w:ascii="Times New Roman" w:hAnsi="Times New Roman" w:cs="Times New Roman"/>
          <w:sz w:val="24"/>
          <w:szCs w:val="24"/>
        </w:rPr>
        <w:t xml:space="preserve">baseline </w:t>
      </w:r>
      <w:r w:rsidR="003B31A7">
        <w:rPr>
          <w:rFonts w:ascii="Times New Roman" w:hAnsi="Times New Roman" w:cs="Times New Roman"/>
          <w:sz w:val="24"/>
          <w:szCs w:val="24"/>
        </w:rPr>
        <w:t>regulatory requirements</w:t>
      </w:r>
      <w:r w:rsidR="00024500">
        <w:rPr>
          <w:rFonts w:ascii="Times New Roman" w:hAnsi="Times New Roman" w:cs="Times New Roman"/>
          <w:sz w:val="24"/>
          <w:szCs w:val="24"/>
        </w:rPr>
        <w:t xml:space="preserve">. For example, a </w:t>
      </w:r>
      <w:r w:rsidR="007820AD">
        <w:rPr>
          <w:rFonts w:ascii="Times New Roman" w:hAnsi="Times New Roman" w:cs="Times New Roman"/>
          <w:sz w:val="24"/>
          <w:szCs w:val="24"/>
        </w:rPr>
        <w:t xml:space="preserve">CSR adoptive </w:t>
      </w:r>
      <w:r w:rsidR="00024500">
        <w:rPr>
          <w:rFonts w:ascii="Times New Roman" w:hAnsi="Times New Roman" w:cs="Times New Roman"/>
          <w:sz w:val="24"/>
          <w:szCs w:val="24"/>
        </w:rPr>
        <w:t>company</w:t>
      </w:r>
      <w:r w:rsidR="008E29EA">
        <w:rPr>
          <w:rFonts w:ascii="Times New Roman" w:hAnsi="Times New Roman" w:cs="Times New Roman"/>
          <w:sz w:val="24"/>
          <w:szCs w:val="24"/>
        </w:rPr>
        <w:t xml:space="preserve">, in addition to complying with </w:t>
      </w:r>
      <w:r w:rsidR="00EA3FC2">
        <w:rPr>
          <w:rFonts w:ascii="Times New Roman" w:hAnsi="Times New Roman" w:cs="Times New Roman"/>
          <w:sz w:val="24"/>
          <w:szCs w:val="24"/>
        </w:rPr>
        <w:t xml:space="preserve">employment related </w:t>
      </w:r>
      <w:r w:rsidR="008E29EA">
        <w:rPr>
          <w:rFonts w:ascii="Times New Roman" w:hAnsi="Times New Roman" w:cs="Times New Roman"/>
          <w:sz w:val="24"/>
          <w:szCs w:val="24"/>
        </w:rPr>
        <w:t xml:space="preserve">regulatory </w:t>
      </w:r>
      <w:r w:rsidR="00EA3FC2">
        <w:rPr>
          <w:rFonts w:ascii="Times New Roman" w:hAnsi="Times New Roman" w:cs="Times New Roman"/>
          <w:sz w:val="24"/>
          <w:szCs w:val="24"/>
        </w:rPr>
        <w:t xml:space="preserve">requirements, </w:t>
      </w:r>
      <w:r w:rsidR="00024500">
        <w:rPr>
          <w:rFonts w:ascii="Times New Roman" w:hAnsi="Times New Roman" w:cs="Times New Roman"/>
          <w:sz w:val="24"/>
          <w:szCs w:val="24"/>
        </w:rPr>
        <w:t>may offer tuition support for its employees</w:t>
      </w:r>
      <w:r w:rsidR="00EA3FC2">
        <w:rPr>
          <w:rFonts w:ascii="Times New Roman" w:hAnsi="Times New Roman" w:cs="Times New Roman"/>
          <w:sz w:val="24"/>
          <w:szCs w:val="24"/>
        </w:rPr>
        <w:t xml:space="preserve">. Firms can also design CSR activities </w:t>
      </w:r>
      <w:r w:rsidR="00454691">
        <w:rPr>
          <w:rFonts w:ascii="Times New Roman" w:hAnsi="Times New Roman" w:cs="Times New Roman"/>
          <w:sz w:val="24"/>
          <w:szCs w:val="24"/>
        </w:rPr>
        <w:t>i</w:t>
      </w:r>
      <w:r w:rsidR="00EA3FC2">
        <w:rPr>
          <w:rFonts w:ascii="Times New Roman" w:hAnsi="Times New Roman" w:cs="Times New Roman"/>
          <w:sz w:val="24"/>
          <w:szCs w:val="24"/>
        </w:rPr>
        <w:t>n those domains</w:t>
      </w:r>
      <w:r w:rsidR="00454691">
        <w:rPr>
          <w:rFonts w:ascii="Times New Roman" w:hAnsi="Times New Roman" w:cs="Times New Roman"/>
          <w:sz w:val="24"/>
          <w:szCs w:val="24"/>
        </w:rPr>
        <w:t>,</w:t>
      </w:r>
      <w:r w:rsidR="00EA3FC2">
        <w:rPr>
          <w:rFonts w:ascii="Times New Roman" w:hAnsi="Times New Roman" w:cs="Times New Roman"/>
          <w:sz w:val="24"/>
          <w:szCs w:val="24"/>
        </w:rPr>
        <w:t xml:space="preserve"> </w:t>
      </w:r>
      <w:r w:rsidR="00454691">
        <w:rPr>
          <w:rFonts w:ascii="Times New Roman" w:hAnsi="Times New Roman" w:cs="Times New Roman"/>
          <w:sz w:val="24"/>
          <w:szCs w:val="24"/>
        </w:rPr>
        <w:t xml:space="preserve">e.g., community engagement and philanthropy, </w:t>
      </w:r>
      <w:r w:rsidR="00EA3FC2">
        <w:rPr>
          <w:rFonts w:ascii="Times New Roman" w:hAnsi="Times New Roman" w:cs="Times New Roman"/>
          <w:sz w:val="24"/>
          <w:szCs w:val="24"/>
        </w:rPr>
        <w:t>where baseline regulatory stipulations do not typically exist</w:t>
      </w:r>
      <w:r w:rsidR="00454691">
        <w:rPr>
          <w:rFonts w:ascii="Times New Roman" w:hAnsi="Times New Roman" w:cs="Times New Roman"/>
          <w:sz w:val="24"/>
          <w:szCs w:val="24"/>
        </w:rPr>
        <w:t xml:space="preserve">. </w:t>
      </w:r>
    </w:p>
    <w:p w14:paraId="1B0EBB46" w14:textId="39AA5D1E" w:rsidR="006A2F1F" w:rsidRPr="00006974" w:rsidRDefault="006A2F1F" w:rsidP="005979A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53143">
        <w:rPr>
          <w:rFonts w:ascii="Times New Roman" w:hAnsi="Times New Roman" w:cs="Times New Roman"/>
          <w:sz w:val="24"/>
          <w:szCs w:val="24"/>
        </w:rPr>
        <w:t xml:space="preserve"> </w:t>
      </w:r>
      <w:r w:rsidR="00C8773F">
        <w:rPr>
          <w:rFonts w:ascii="Times New Roman" w:hAnsi="Times New Roman" w:cs="Times New Roman"/>
          <w:sz w:val="24"/>
          <w:szCs w:val="24"/>
        </w:rPr>
        <w:t xml:space="preserve">distinction </w:t>
      </w:r>
      <w:r w:rsidR="00F774C3">
        <w:rPr>
          <w:rFonts w:ascii="Times New Roman" w:hAnsi="Times New Roman" w:cs="Times New Roman"/>
          <w:sz w:val="24"/>
          <w:szCs w:val="24"/>
        </w:rPr>
        <w:t xml:space="preserve">between </w:t>
      </w:r>
      <w:r w:rsidR="004B641F">
        <w:rPr>
          <w:rFonts w:ascii="Times New Roman" w:hAnsi="Times New Roman" w:cs="Times New Roman"/>
          <w:sz w:val="24"/>
          <w:szCs w:val="24"/>
        </w:rPr>
        <w:t>mandated</w:t>
      </w:r>
      <w:r w:rsidR="00F774C3">
        <w:rPr>
          <w:rFonts w:ascii="Times New Roman" w:hAnsi="Times New Roman" w:cs="Times New Roman"/>
          <w:sz w:val="24"/>
          <w:szCs w:val="24"/>
        </w:rPr>
        <w:t xml:space="preserve"> and discretionary CSR</w:t>
      </w:r>
      <w:r w:rsidR="004B641F">
        <w:rPr>
          <w:rFonts w:ascii="Times New Roman" w:hAnsi="Times New Roman" w:cs="Times New Roman"/>
          <w:sz w:val="24"/>
          <w:szCs w:val="24"/>
        </w:rPr>
        <w:t xml:space="preserve"> becomes</w:t>
      </w:r>
      <w:r w:rsidR="00C8773F">
        <w:rPr>
          <w:rFonts w:ascii="Times New Roman" w:hAnsi="Times New Roman" w:cs="Times New Roman"/>
          <w:sz w:val="24"/>
          <w:szCs w:val="24"/>
        </w:rPr>
        <w:t xml:space="preserve"> blurred </w:t>
      </w:r>
      <w:r w:rsidR="00B21F39">
        <w:rPr>
          <w:rFonts w:ascii="Times New Roman" w:hAnsi="Times New Roman" w:cs="Times New Roman"/>
          <w:sz w:val="24"/>
          <w:szCs w:val="24"/>
        </w:rPr>
        <w:t>when</w:t>
      </w:r>
      <w:r w:rsidR="005970B7">
        <w:rPr>
          <w:rFonts w:ascii="Times New Roman" w:hAnsi="Times New Roman" w:cs="Times New Roman"/>
          <w:sz w:val="24"/>
          <w:szCs w:val="24"/>
        </w:rPr>
        <w:t xml:space="preserve"> </w:t>
      </w:r>
      <w:r w:rsidR="00467698">
        <w:rPr>
          <w:rFonts w:ascii="Times New Roman" w:hAnsi="Times New Roman" w:cs="Times New Roman"/>
          <w:sz w:val="24"/>
          <w:szCs w:val="24"/>
        </w:rPr>
        <w:t>countries</w:t>
      </w:r>
      <w:r w:rsidR="004D0055">
        <w:rPr>
          <w:rFonts w:ascii="Times New Roman" w:hAnsi="Times New Roman" w:cs="Times New Roman"/>
          <w:sz w:val="24"/>
          <w:szCs w:val="24"/>
        </w:rPr>
        <w:t xml:space="preserve"> </w:t>
      </w:r>
      <w:r w:rsidR="003B31A7">
        <w:rPr>
          <w:rFonts w:ascii="Times New Roman" w:hAnsi="Times New Roman" w:cs="Times New Roman"/>
          <w:sz w:val="24"/>
          <w:szCs w:val="24"/>
        </w:rPr>
        <w:t xml:space="preserve">coat CSR with a regulatory veneer </w:t>
      </w:r>
      <w:r w:rsidR="004B641F">
        <w:rPr>
          <w:rFonts w:ascii="Times New Roman" w:hAnsi="Times New Roman" w:cs="Times New Roman"/>
          <w:sz w:val="24"/>
          <w:szCs w:val="24"/>
        </w:rPr>
        <w:t>by</w:t>
      </w:r>
      <w:r w:rsidR="00453143">
        <w:rPr>
          <w:rFonts w:ascii="Times New Roman" w:hAnsi="Times New Roman" w:cs="Times New Roman"/>
          <w:sz w:val="24"/>
          <w:szCs w:val="24"/>
        </w:rPr>
        <w:t xml:space="preserve"> </w:t>
      </w:r>
      <w:r w:rsidR="00EE1324">
        <w:rPr>
          <w:rFonts w:ascii="Times New Roman" w:hAnsi="Times New Roman" w:cs="Times New Roman"/>
          <w:sz w:val="24"/>
          <w:szCs w:val="24"/>
        </w:rPr>
        <w:t>enact</w:t>
      </w:r>
      <w:r w:rsidR="004B641F">
        <w:rPr>
          <w:rFonts w:ascii="Times New Roman" w:hAnsi="Times New Roman" w:cs="Times New Roman"/>
          <w:sz w:val="24"/>
          <w:szCs w:val="24"/>
        </w:rPr>
        <w:t>ing</w:t>
      </w:r>
      <w:r w:rsidR="004D0055">
        <w:rPr>
          <w:rFonts w:ascii="Times New Roman" w:hAnsi="Times New Roman" w:cs="Times New Roman"/>
          <w:sz w:val="24"/>
          <w:szCs w:val="24"/>
        </w:rPr>
        <w:t xml:space="preserve"> </w:t>
      </w:r>
      <w:r w:rsidR="00F774C3" w:rsidRPr="00006974">
        <w:rPr>
          <w:rFonts w:ascii="Times New Roman" w:hAnsi="Times New Roman" w:cs="Times New Roman"/>
          <w:sz w:val="24"/>
          <w:szCs w:val="24"/>
        </w:rPr>
        <w:t>soft</w:t>
      </w:r>
      <w:r w:rsidR="00F774C3">
        <w:rPr>
          <w:rFonts w:ascii="Times New Roman" w:hAnsi="Times New Roman" w:cs="Times New Roman"/>
          <w:sz w:val="24"/>
          <w:szCs w:val="24"/>
        </w:rPr>
        <w:t xml:space="preserve"> </w:t>
      </w:r>
      <w:r w:rsidR="00675E22" w:rsidRPr="00006974">
        <w:rPr>
          <w:rFonts w:ascii="Times New Roman" w:hAnsi="Times New Roman" w:cs="Times New Roman"/>
          <w:sz w:val="24"/>
          <w:szCs w:val="24"/>
        </w:rPr>
        <w:t xml:space="preserve">CSR </w:t>
      </w:r>
      <w:r w:rsidR="00522452" w:rsidRPr="00006974">
        <w:rPr>
          <w:rFonts w:ascii="Times New Roman" w:hAnsi="Times New Roman" w:cs="Times New Roman"/>
          <w:sz w:val="24"/>
          <w:szCs w:val="24"/>
        </w:rPr>
        <w:t>regulations</w:t>
      </w:r>
      <w:r w:rsidR="00586C7D" w:rsidRPr="003B31A7">
        <w:rPr>
          <w:rFonts w:ascii="Times New Roman" w:hAnsi="Times New Roman" w:cs="Times New Roman"/>
          <w:sz w:val="24"/>
          <w:szCs w:val="24"/>
        </w:rPr>
        <w:t xml:space="preserve">, </w:t>
      </w:r>
      <w:r w:rsidR="00F774C3" w:rsidRPr="00586C7D">
        <w:rPr>
          <w:rFonts w:ascii="Times New Roman" w:hAnsi="Times New Roman" w:cs="Times New Roman"/>
          <w:sz w:val="24"/>
          <w:szCs w:val="24"/>
        </w:rPr>
        <w:t xml:space="preserve">i.e., </w:t>
      </w:r>
      <w:r w:rsidR="00F774C3" w:rsidRPr="00006974">
        <w:rPr>
          <w:rFonts w:ascii="Times New Roman" w:hAnsi="Times New Roman" w:cs="Times New Roman"/>
          <w:sz w:val="24"/>
          <w:szCs w:val="24"/>
        </w:rPr>
        <w:t xml:space="preserve">policies and regulations that </w:t>
      </w:r>
      <w:r w:rsidR="004B641F">
        <w:rPr>
          <w:rFonts w:ascii="Times New Roman" w:hAnsi="Times New Roman" w:cs="Times New Roman"/>
          <w:sz w:val="24"/>
          <w:szCs w:val="24"/>
        </w:rPr>
        <w:t>encourage CSR adoption, but</w:t>
      </w:r>
      <w:r w:rsidR="00F774C3" w:rsidRPr="00006974">
        <w:rPr>
          <w:rFonts w:ascii="Times New Roman" w:hAnsi="Times New Roman" w:cs="Times New Roman"/>
          <w:sz w:val="24"/>
          <w:szCs w:val="24"/>
        </w:rPr>
        <w:t xml:space="preserve"> with no direct penalties for violation (Abbott &amp; Snidal, 2000; Shaffer &amp; Pollack, 2009). </w:t>
      </w:r>
      <w:r w:rsidR="004B641F">
        <w:rPr>
          <w:rFonts w:ascii="Times New Roman" w:hAnsi="Times New Roman" w:cs="Times New Roman"/>
          <w:sz w:val="24"/>
          <w:szCs w:val="24"/>
        </w:rPr>
        <w:t>S</w:t>
      </w:r>
      <w:r w:rsidR="00453143">
        <w:rPr>
          <w:rFonts w:ascii="Times New Roman" w:hAnsi="Times New Roman" w:cs="Times New Roman"/>
          <w:sz w:val="24"/>
          <w:szCs w:val="24"/>
        </w:rPr>
        <w:t>oft regulations</w:t>
      </w:r>
      <w:r w:rsidR="004D0055">
        <w:rPr>
          <w:rFonts w:ascii="Times New Roman" w:hAnsi="Times New Roman" w:cs="Times New Roman"/>
          <w:sz w:val="24"/>
          <w:szCs w:val="24"/>
        </w:rPr>
        <w:t xml:space="preserve"> </w:t>
      </w:r>
      <w:r w:rsidR="0015294A">
        <w:rPr>
          <w:rFonts w:ascii="Times New Roman" w:hAnsi="Times New Roman" w:cs="Times New Roman"/>
          <w:sz w:val="24"/>
          <w:szCs w:val="24"/>
        </w:rPr>
        <w:t>encourag</w:t>
      </w:r>
      <w:r>
        <w:rPr>
          <w:rFonts w:ascii="Times New Roman" w:hAnsi="Times New Roman" w:cs="Times New Roman"/>
          <w:sz w:val="24"/>
          <w:szCs w:val="24"/>
        </w:rPr>
        <w:t>e</w:t>
      </w:r>
      <w:r w:rsidR="004D0055">
        <w:rPr>
          <w:rFonts w:ascii="Times New Roman" w:hAnsi="Times New Roman" w:cs="Times New Roman"/>
          <w:sz w:val="24"/>
          <w:szCs w:val="24"/>
        </w:rPr>
        <w:t xml:space="preserve"> </w:t>
      </w:r>
      <w:r w:rsidR="0015294A">
        <w:rPr>
          <w:rFonts w:ascii="Times New Roman" w:hAnsi="Times New Roman" w:cs="Times New Roman"/>
          <w:sz w:val="24"/>
          <w:szCs w:val="24"/>
        </w:rPr>
        <w:t xml:space="preserve">firms to adopt </w:t>
      </w:r>
      <w:r w:rsidR="00F35DD0">
        <w:rPr>
          <w:rFonts w:ascii="Times New Roman" w:hAnsi="Times New Roman" w:cs="Times New Roman"/>
          <w:sz w:val="24"/>
          <w:szCs w:val="24"/>
        </w:rPr>
        <w:t>“</w:t>
      </w:r>
      <w:r w:rsidR="001E48B9">
        <w:rPr>
          <w:rFonts w:ascii="Times New Roman" w:hAnsi="Times New Roman" w:cs="Times New Roman"/>
          <w:sz w:val="24"/>
          <w:szCs w:val="24"/>
        </w:rPr>
        <w:t>discretionary”</w:t>
      </w:r>
      <w:r w:rsidR="0015294A">
        <w:rPr>
          <w:rFonts w:ascii="Times New Roman" w:hAnsi="Times New Roman" w:cs="Times New Roman"/>
          <w:sz w:val="24"/>
          <w:szCs w:val="24"/>
        </w:rPr>
        <w:t xml:space="preserve"> CSR</w:t>
      </w:r>
      <w:r w:rsidR="003B31A7">
        <w:rPr>
          <w:rFonts w:ascii="Times New Roman" w:hAnsi="Times New Roman" w:cs="Times New Roman"/>
          <w:sz w:val="24"/>
          <w:szCs w:val="24"/>
        </w:rPr>
        <w:t xml:space="preserve"> </w:t>
      </w:r>
      <w:r w:rsidRPr="00006974">
        <w:rPr>
          <w:rFonts w:ascii="Times New Roman" w:hAnsi="Times New Roman" w:cs="Times New Roman"/>
          <w:sz w:val="24"/>
          <w:szCs w:val="24"/>
        </w:rPr>
        <w:t>practices that</w:t>
      </w:r>
      <w:r w:rsidR="00586C7D" w:rsidRPr="00006974">
        <w:rPr>
          <w:rFonts w:ascii="Times New Roman" w:hAnsi="Times New Roman" w:cs="Times New Roman"/>
          <w:sz w:val="24"/>
          <w:szCs w:val="24"/>
        </w:rPr>
        <w:t xml:space="preserve"> </w:t>
      </w:r>
      <w:r w:rsidR="00586C7D">
        <w:rPr>
          <w:rFonts w:ascii="Times New Roman" w:hAnsi="Times New Roman" w:cs="Times New Roman"/>
          <w:sz w:val="24"/>
          <w:szCs w:val="24"/>
        </w:rPr>
        <w:t xml:space="preserve">permeate a wide range of domains, for example, sustainable purchasing and procurement (Brammer &amp; Walker, 2011), gender quotas in boards of directors (de Cabo et al., 2019), and </w:t>
      </w:r>
      <w:r w:rsidR="004B641F">
        <w:rPr>
          <w:rFonts w:ascii="Times New Roman" w:hAnsi="Times New Roman" w:cs="Times New Roman"/>
          <w:sz w:val="24"/>
          <w:szCs w:val="24"/>
        </w:rPr>
        <w:lastRenderedPageBreak/>
        <w:t xml:space="preserve">reducing the </w:t>
      </w:r>
      <w:r w:rsidR="00586C7D">
        <w:rPr>
          <w:rFonts w:ascii="Times New Roman" w:hAnsi="Times New Roman" w:cs="Times New Roman"/>
          <w:sz w:val="24"/>
          <w:szCs w:val="24"/>
        </w:rPr>
        <w:t>gender pay gap (Smith, 2012).</w:t>
      </w:r>
      <w:r w:rsidR="00DF6861">
        <w:rPr>
          <w:rFonts w:ascii="Times New Roman" w:hAnsi="Times New Roman" w:cs="Times New Roman"/>
          <w:sz w:val="24"/>
          <w:szCs w:val="24"/>
        </w:rPr>
        <w:t xml:space="preserve"> </w:t>
      </w:r>
      <w:r w:rsidR="00586C7D">
        <w:rPr>
          <w:rFonts w:ascii="Times New Roman" w:hAnsi="Times New Roman" w:cs="Times New Roman"/>
          <w:sz w:val="24"/>
          <w:szCs w:val="24"/>
        </w:rPr>
        <w:t xml:space="preserve">Soft </w:t>
      </w:r>
      <w:r w:rsidR="00675E22" w:rsidRPr="008E4DD9">
        <w:rPr>
          <w:rFonts w:ascii="Times New Roman" w:hAnsi="Times New Roman" w:cs="Times New Roman"/>
          <w:sz w:val="24"/>
          <w:szCs w:val="24"/>
        </w:rPr>
        <w:t>CSR regulations</w:t>
      </w:r>
      <w:r w:rsidR="00675E22">
        <w:rPr>
          <w:rFonts w:ascii="Times New Roman" w:hAnsi="Times New Roman" w:cs="Times New Roman"/>
          <w:sz w:val="24"/>
          <w:szCs w:val="24"/>
        </w:rPr>
        <w:t xml:space="preserve"> </w:t>
      </w:r>
      <w:r w:rsidR="00522452">
        <w:rPr>
          <w:rFonts w:ascii="Times New Roman" w:hAnsi="Times New Roman" w:cs="Times New Roman"/>
          <w:sz w:val="24"/>
          <w:szCs w:val="24"/>
        </w:rPr>
        <w:t xml:space="preserve">can </w:t>
      </w:r>
      <w:r w:rsidR="00675E22">
        <w:rPr>
          <w:rFonts w:ascii="Times New Roman" w:hAnsi="Times New Roman" w:cs="Times New Roman"/>
          <w:sz w:val="24"/>
          <w:szCs w:val="24"/>
        </w:rPr>
        <w:t xml:space="preserve">be placed in </w:t>
      </w:r>
      <w:r w:rsidR="00522452">
        <w:rPr>
          <w:rFonts w:ascii="Times New Roman" w:hAnsi="Times New Roman" w:cs="Times New Roman"/>
          <w:sz w:val="24"/>
          <w:szCs w:val="24"/>
        </w:rPr>
        <w:t xml:space="preserve">four broad </w:t>
      </w:r>
      <w:r w:rsidR="00675E22">
        <w:rPr>
          <w:rFonts w:ascii="Times New Roman" w:hAnsi="Times New Roman" w:cs="Times New Roman"/>
          <w:sz w:val="24"/>
          <w:szCs w:val="24"/>
        </w:rPr>
        <w:t>categories</w:t>
      </w:r>
      <w:r w:rsidR="00522452">
        <w:rPr>
          <w:rFonts w:ascii="Times New Roman" w:hAnsi="Times New Roman" w:cs="Times New Roman"/>
          <w:sz w:val="24"/>
          <w:szCs w:val="24"/>
        </w:rPr>
        <w:t xml:space="preserve">: government </w:t>
      </w:r>
      <w:r w:rsidR="00522452" w:rsidRPr="00006974">
        <w:rPr>
          <w:rFonts w:ascii="Times New Roman" w:hAnsi="Times New Roman" w:cs="Times New Roman"/>
          <w:sz w:val="24"/>
          <w:szCs w:val="24"/>
        </w:rPr>
        <w:t>endorsements, facilitation policies, fostering CSR partnerships, and CSR mandates</w:t>
      </w:r>
      <w:r w:rsidR="00522452">
        <w:rPr>
          <w:rFonts w:ascii="Times New Roman" w:hAnsi="Times New Roman" w:cs="Times New Roman"/>
          <w:sz w:val="24"/>
          <w:szCs w:val="24"/>
        </w:rPr>
        <w:t xml:space="preserve"> </w:t>
      </w:r>
      <w:r w:rsidR="00522452" w:rsidRPr="00006974">
        <w:rPr>
          <w:rFonts w:ascii="Times New Roman" w:hAnsi="Times New Roman" w:cs="Times New Roman"/>
          <w:sz w:val="24"/>
          <w:szCs w:val="24"/>
        </w:rPr>
        <w:t xml:space="preserve">(Knudsen et al., 2015). </w:t>
      </w:r>
      <w:r w:rsidR="00E478C0" w:rsidRPr="00006974">
        <w:rPr>
          <w:rFonts w:ascii="Times New Roman" w:hAnsi="Times New Roman" w:cs="Times New Roman"/>
          <w:sz w:val="24"/>
          <w:szCs w:val="24"/>
        </w:rPr>
        <w:t>Of these, CSR mandates are noteworthy because the</w:t>
      </w:r>
      <w:r w:rsidR="00115B14" w:rsidRPr="00006974">
        <w:rPr>
          <w:rFonts w:ascii="Times New Roman" w:hAnsi="Times New Roman" w:cs="Times New Roman"/>
          <w:sz w:val="24"/>
          <w:szCs w:val="24"/>
        </w:rPr>
        <w:t xml:space="preserve">y </w:t>
      </w:r>
      <w:r w:rsidR="00DF6861" w:rsidRPr="00006974">
        <w:rPr>
          <w:rFonts w:ascii="Times New Roman" w:hAnsi="Times New Roman" w:cs="Times New Roman"/>
          <w:sz w:val="24"/>
          <w:szCs w:val="24"/>
        </w:rPr>
        <w:t xml:space="preserve">possess a relatively higher </w:t>
      </w:r>
      <w:r w:rsidR="00586C7D" w:rsidRPr="00006974">
        <w:rPr>
          <w:rFonts w:ascii="Times New Roman" w:hAnsi="Times New Roman" w:cs="Times New Roman"/>
          <w:sz w:val="24"/>
          <w:szCs w:val="24"/>
        </w:rPr>
        <w:t xml:space="preserve">regulatory strength which </w:t>
      </w:r>
      <w:r w:rsidR="004B641F">
        <w:rPr>
          <w:rFonts w:ascii="Times New Roman" w:hAnsi="Times New Roman" w:cs="Times New Roman"/>
          <w:sz w:val="24"/>
          <w:szCs w:val="24"/>
        </w:rPr>
        <w:t>may</w:t>
      </w:r>
      <w:r w:rsidR="003B31A7" w:rsidRPr="00006974">
        <w:rPr>
          <w:rFonts w:ascii="Times New Roman" w:hAnsi="Times New Roman" w:cs="Times New Roman"/>
          <w:sz w:val="24"/>
          <w:szCs w:val="24"/>
        </w:rPr>
        <w:t xml:space="preserve"> </w:t>
      </w:r>
      <w:r w:rsidR="00586C7D" w:rsidRPr="00006974">
        <w:rPr>
          <w:rFonts w:ascii="Times New Roman" w:hAnsi="Times New Roman" w:cs="Times New Roman"/>
          <w:sz w:val="24"/>
          <w:szCs w:val="24"/>
        </w:rPr>
        <w:t>approximate</w:t>
      </w:r>
      <w:r w:rsidR="00115B14" w:rsidRPr="00006974">
        <w:rPr>
          <w:rFonts w:ascii="Times New Roman" w:hAnsi="Times New Roman" w:cs="Times New Roman"/>
          <w:sz w:val="24"/>
          <w:szCs w:val="24"/>
        </w:rPr>
        <w:t xml:space="preserve"> </w:t>
      </w:r>
      <w:r w:rsidR="00211F5C" w:rsidRPr="00006974">
        <w:rPr>
          <w:rFonts w:ascii="Times New Roman" w:hAnsi="Times New Roman" w:cs="Times New Roman"/>
          <w:sz w:val="24"/>
          <w:szCs w:val="24"/>
        </w:rPr>
        <w:t>hard regulations</w:t>
      </w:r>
      <w:r w:rsidR="00280981" w:rsidRPr="00006974">
        <w:rPr>
          <w:rFonts w:ascii="Times New Roman" w:hAnsi="Times New Roman" w:cs="Times New Roman"/>
          <w:sz w:val="24"/>
          <w:szCs w:val="24"/>
        </w:rPr>
        <w:t>. CSR mandates</w:t>
      </w:r>
      <w:r w:rsidR="004B641F">
        <w:rPr>
          <w:rFonts w:ascii="Times New Roman" w:hAnsi="Times New Roman" w:cs="Times New Roman"/>
          <w:sz w:val="24"/>
          <w:szCs w:val="24"/>
        </w:rPr>
        <w:t>, thus,</w:t>
      </w:r>
      <w:r w:rsidR="00280981" w:rsidRPr="00006974">
        <w:rPr>
          <w:rFonts w:ascii="Times New Roman" w:hAnsi="Times New Roman" w:cs="Times New Roman"/>
          <w:sz w:val="24"/>
          <w:szCs w:val="24"/>
        </w:rPr>
        <w:t xml:space="preserve"> </w:t>
      </w:r>
      <w:r w:rsidR="00E478C0" w:rsidRPr="00006974">
        <w:rPr>
          <w:rFonts w:ascii="Times New Roman" w:hAnsi="Times New Roman" w:cs="Times New Roman"/>
          <w:sz w:val="24"/>
          <w:szCs w:val="24"/>
        </w:rPr>
        <w:t>contraven</w:t>
      </w:r>
      <w:r w:rsidR="00211F5C" w:rsidRPr="00006974">
        <w:rPr>
          <w:rFonts w:ascii="Times New Roman" w:hAnsi="Times New Roman" w:cs="Times New Roman"/>
          <w:sz w:val="24"/>
          <w:szCs w:val="24"/>
        </w:rPr>
        <w:t xml:space="preserve">e </w:t>
      </w:r>
      <w:r w:rsidR="004B641F">
        <w:rPr>
          <w:rFonts w:ascii="Times New Roman" w:hAnsi="Times New Roman" w:cs="Times New Roman"/>
          <w:sz w:val="24"/>
          <w:szCs w:val="24"/>
        </w:rPr>
        <w:t xml:space="preserve">prevailing assumptions that </w:t>
      </w:r>
      <w:r w:rsidR="00E478C0" w:rsidRPr="00006974">
        <w:rPr>
          <w:rFonts w:ascii="Times New Roman" w:hAnsi="Times New Roman" w:cs="Times New Roman"/>
          <w:sz w:val="24"/>
          <w:szCs w:val="24"/>
        </w:rPr>
        <w:t>CSR</w:t>
      </w:r>
      <w:r w:rsidR="00AE5F79" w:rsidRPr="00006974">
        <w:rPr>
          <w:rFonts w:ascii="Times New Roman" w:hAnsi="Times New Roman" w:cs="Times New Roman"/>
          <w:sz w:val="24"/>
          <w:szCs w:val="24"/>
        </w:rPr>
        <w:t xml:space="preserve"> </w:t>
      </w:r>
      <w:r w:rsidR="00EE1324" w:rsidRPr="00006974">
        <w:rPr>
          <w:rFonts w:ascii="Times New Roman" w:hAnsi="Times New Roman" w:cs="Times New Roman"/>
          <w:sz w:val="24"/>
          <w:szCs w:val="24"/>
        </w:rPr>
        <w:t xml:space="preserve">is </w:t>
      </w:r>
      <w:r w:rsidR="008E4DD9" w:rsidRPr="00006974">
        <w:rPr>
          <w:rFonts w:ascii="Times New Roman" w:hAnsi="Times New Roman" w:cs="Times New Roman"/>
          <w:sz w:val="24"/>
          <w:szCs w:val="24"/>
        </w:rPr>
        <w:t xml:space="preserve">a </w:t>
      </w:r>
      <w:r w:rsidR="00E478C0" w:rsidRPr="00006974">
        <w:rPr>
          <w:rFonts w:ascii="Times New Roman" w:hAnsi="Times New Roman" w:cs="Times New Roman"/>
          <w:sz w:val="24"/>
          <w:szCs w:val="24"/>
        </w:rPr>
        <w:t>discretionary activit</w:t>
      </w:r>
      <w:r w:rsidR="008E4DD9" w:rsidRPr="00006974">
        <w:rPr>
          <w:rFonts w:ascii="Times New Roman" w:hAnsi="Times New Roman" w:cs="Times New Roman"/>
          <w:sz w:val="24"/>
          <w:szCs w:val="24"/>
        </w:rPr>
        <w:t>y</w:t>
      </w:r>
      <w:r w:rsidR="003B31A7" w:rsidRPr="00006974">
        <w:rPr>
          <w:rFonts w:ascii="Times New Roman" w:hAnsi="Times New Roman" w:cs="Times New Roman"/>
          <w:sz w:val="24"/>
          <w:szCs w:val="24"/>
        </w:rPr>
        <w:t xml:space="preserve">. </w:t>
      </w:r>
    </w:p>
    <w:p w14:paraId="46F358F1" w14:textId="60594705" w:rsidR="00F35DD0" w:rsidRPr="00006974" w:rsidRDefault="00DF6861" w:rsidP="005979A7">
      <w:pPr>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The </w:t>
      </w:r>
      <w:r w:rsidR="004B641F">
        <w:rPr>
          <w:rFonts w:ascii="Times New Roman" w:hAnsi="Times New Roman" w:cs="Times New Roman"/>
          <w:sz w:val="24"/>
          <w:szCs w:val="24"/>
        </w:rPr>
        <w:t>prospect</w:t>
      </w:r>
      <w:r w:rsidR="006A2F1F" w:rsidRPr="00006974">
        <w:rPr>
          <w:rFonts w:ascii="Times New Roman" w:hAnsi="Times New Roman" w:cs="Times New Roman"/>
          <w:sz w:val="24"/>
          <w:szCs w:val="24"/>
        </w:rPr>
        <w:t xml:space="preserve"> of a</w:t>
      </w:r>
      <w:r w:rsidRPr="00006974">
        <w:rPr>
          <w:rFonts w:ascii="Times New Roman" w:hAnsi="Times New Roman" w:cs="Times New Roman"/>
          <w:sz w:val="24"/>
          <w:szCs w:val="24"/>
        </w:rPr>
        <w:t xml:space="preserve"> </w:t>
      </w:r>
      <w:r w:rsidR="003B31A7" w:rsidRPr="00006974">
        <w:rPr>
          <w:rFonts w:ascii="Times New Roman" w:hAnsi="Times New Roman" w:cs="Times New Roman"/>
          <w:sz w:val="24"/>
          <w:szCs w:val="24"/>
        </w:rPr>
        <w:t xml:space="preserve">CSR </w:t>
      </w:r>
      <w:r w:rsidRPr="00006974">
        <w:rPr>
          <w:rFonts w:ascii="Times New Roman" w:hAnsi="Times New Roman" w:cs="Times New Roman"/>
          <w:sz w:val="24"/>
          <w:szCs w:val="24"/>
        </w:rPr>
        <w:t xml:space="preserve">mandate raises a significant question: if there is an </w:t>
      </w:r>
      <w:r w:rsidR="00AE5F79" w:rsidRPr="00006974">
        <w:rPr>
          <w:rFonts w:ascii="Times New Roman" w:hAnsi="Times New Roman" w:cs="Times New Roman"/>
          <w:sz w:val="24"/>
          <w:szCs w:val="24"/>
        </w:rPr>
        <w:t xml:space="preserve">erosion in corporate discretion </w:t>
      </w:r>
      <w:r w:rsidRPr="00006974">
        <w:rPr>
          <w:rFonts w:ascii="Times New Roman" w:hAnsi="Times New Roman" w:cs="Times New Roman"/>
          <w:sz w:val="24"/>
          <w:szCs w:val="24"/>
        </w:rPr>
        <w:t xml:space="preserve">over </w:t>
      </w:r>
      <w:r w:rsidR="00AE5F79" w:rsidRPr="00006974">
        <w:rPr>
          <w:rFonts w:ascii="Times New Roman" w:hAnsi="Times New Roman" w:cs="Times New Roman"/>
          <w:sz w:val="24"/>
          <w:szCs w:val="24"/>
        </w:rPr>
        <w:t>CSR</w:t>
      </w:r>
      <w:r w:rsidRPr="00006974">
        <w:rPr>
          <w:rFonts w:ascii="Times New Roman" w:hAnsi="Times New Roman" w:cs="Times New Roman"/>
          <w:sz w:val="24"/>
          <w:szCs w:val="24"/>
        </w:rPr>
        <w:t xml:space="preserve">, would </w:t>
      </w:r>
      <w:r w:rsidR="005970B7" w:rsidRPr="00006974">
        <w:rPr>
          <w:rFonts w:ascii="Times New Roman" w:hAnsi="Times New Roman" w:cs="Times New Roman"/>
          <w:sz w:val="24"/>
          <w:szCs w:val="24"/>
        </w:rPr>
        <w:t xml:space="preserve">mandated CSR </w:t>
      </w:r>
      <w:r w:rsidR="00342FB5" w:rsidRPr="00006974">
        <w:rPr>
          <w:rFonts w:ascii="Times New Roman" w:hAnsi="Times New Roman" w:cs="Times New Roman"/>
          <w:sz w:val="24"/>
          <w:szCs w:val="24"/>
        </w:rPr>
        <w:t>still enhance firm value</w:t>
      </w:r>
      <w:r w:rsidR="00A24E2C">
        <w:rPr>
          <w:rFonts w:ascii="Times New Roman" w:hAnsi="Times New Roman" w:cs="Times New Roman"/>
          <w:sz w:val="24"/>
          <w:szCs w:val="24"/>
        </w:rPr>
        <w:t xml:space="preserve"> the way discretionary CSR does (</w:t>
      </w:r>
      <w:r w:rsidR="00A24E2C" w:rsidRPr="00006974">
        <w:rPr>
          <w:rFonts w:ascii="Times New Roman" w:hAnsi="Times New Roman" w:cs="Times New Roman"/>
          <w:sz w:val="24"/>
          <w:szCs w:val="24"/>
        </w:rPr>
        <w:t xml:space="preserve">Flammer, 2015; </w:t>
      </w:r>
      <w:proofErr w:type="spellStart"/>
      <w:r w:rsidR="00A24E2C" w:rsidRPr="00006974">
        <w:rPr>
          <w:rFonts w:ascii="Times New Roman" w:hAnsi="Times New Roman" w:cs="Times New Roman"/>
          <w:sz w:val="24"/>
          <w:szCs w:val="24"/>
        </w:rPr>
        <w:t>Orlitzky</w:t>
      </w:r>
      <w:proofErr w:type="spellEnd"/>
      <w:r w:rsidR="00A24E2C" w:rsidRPr="00006974">
        <w:rPr>
          <w:rFonts w:ascii="Times New Roman" w:hAnsi="Times New Roman" w:cs="Times New Roman"/>
          <w:sz w:val="24"/>
          <w:szCs w:val="24"/>
        </w:rPr>
        <w:t xml:space="preserve"> et al., 2003</w:t>
      </w:r>
      <w:r w:rsidR="00A24E2C">
        <w:rPr>
          <w:rFonts w:ascii="Times New Roman" w:hAnsi="Times New Roman" w:cs="Times New Roman"/>
          <w:sz w:val="24"/>
          <w:szCs w:val="24"/>
        </w:rPr>
        <w:t>)</w:t>
      </w:r>
      <w:r w:rsidRPr="00006974">
        <w:rPr>
          <w:rFonts w:ascii="Times New Roman" w:hAnsi="Times New Roman" w:cs="Times New Roman"/>
          <w:sz w:val="24"/>
          <w:szCs w:val="24"/>
        </w:rPr>
        <w:t xml:space="preserve">? </w:t>
      </w:r>
      <w:r w:rsidR="00F35667" w:rsidRPr="00006974">
        <w:rPr>
          <w:rFonts w:ascii="Times New Roman" w:hAnsi="Times New Roman" w:cs="Times New Roman"/>
          <w:sz w:val="24"/>
          <w:szCs w:val="24"/>
        </w:rPr>
        <w:t xml:space="preserve">This question is significant because if </w:t>
      </w:r>
      <w:r w:rsidR="006A2F1F" w:rsidRPr="00006974">
        <w:rPr>
          <w:rFonts w:ascii="Times New Roman" w:hAnsi="Times New Roman" w:cs="Times New Roman"/>
          <w:sz w:val="24"/>
          <w:szCs w:val="24"/>
        </w:rPr>
        <w:t xml:space="preserve">mandated </w:t>
      </w:r>
      <w:r w:rsidR="00F35667" w:rsidRPr="00006974">
        <w:rPr>
          <w:rFonts w:ascii="Times New Roman" w:hAnsi="Times New Roman" w:cs="Times New Roman"/>
          <w:sz w:val="24"/>
          <w:szCs w:val="24"/>
        </w:rPr>
        <w:t>CSR enhance</w:t>
      </w:r>
      <w:r w:rsidR="006A2F1F" w:rsidRPr="00006974">
        <w:rPr>
          <w:rFonts w:ascii="Times New Roman" w:hAnsi="Times New Roman" w:cs="Times New Roman"/>
          <w:sz w:val="24"/>
          <w:szCs w:val="24"/>
        </w:rPr>
        <w:t>s</w:t>
      </w:r>
      <w:r w:rsidR="00F35667" w:rsidRPr="00006974">
        <w:rPr>
          <w:rFonts w:ascii="Times New Roman" w:hAnsi="Times New Roman" w:cs="Times New Roman"/>
          <w:sz w:val="24"/>
          <w:szCs w:val="24"/>
        </w:rPr>
        <w:t xml:space="preserve"> firm value, the</w:t>
      </w:r>
      <w:r w:rsidR="006A2F1F" w:rsidRPr="00006974">
        <w:rPr>
          <w:rFonts w:ascii="Times New Roman" w:hAnsi="Times New Roman" w:cs="Times New Roman"/>
          <w:sz w:val="24"/>
          <w:szCs w:val="24"/>
        </w:rPr>
        <w:t>n government regulation</w:t>
      </w:r>
      <w:r w:rsidR="00F35667" w:rsidRPr="00006974">
        <w:rPr>
          <w:rFonts w:ascii="Times New Roman" w:hAnsi="Times New Roman" w:cs="Times New Roman"/>
          <w:sz w:val="24"/>
          <w:szCs w:val="24"/>
        </w:rPr>
        <w:t xml:space="preserve"> </w:t>
      </w:r>
      <w:r w:rsidR="006A2F1F" w:rsidRPr="00006974">
        <w:rPr>
          <w:rFonts w:ascii="Times New Roman" w:hAnsi="Times New Roman" w:cs="Times New Roman"/>
          <w:sz w:val="24"/>
          <w:szCs w:val="24"/>
        </w:rPr>
        <w:t xml:space="preserve">may </w:t>
      </w:r>
      <w:r w:rsidR="00F35667" w:rsidRPr="00006974">
        <w:rPr>
          <w:rFonts w:ascii="Times New Roman" w:hAnsi="Times New Roman" w:cs="Times New Roman"/>
          <w:sz w:val="24"/>
          <w:szCs w:val="24"/>
        </w:rPr>
        <w:t>normaliz</w:t>
      </w:r>
      <w:r w:rsidR="004B641F">
        <w:rPr>
          <w:rFonts w:ascii="Times New Roman" w:hAnsi="Times New Roman" w:cs="Times New Roman"/>
          <w:sz w:val="24"/>
          <w:szCs w:val="24"/>
        </w:rPr>
        <w:t>e and accelerate</w:t>
      </w:r>
      <w:r w:rsidR="00F35667" w:rsidRPr="00006974">
        <w:rPr>
          <w:rFonts w:ascii="Times New Roman" w:hAnsi="Times New Roman" w:cs="Times New Roman"/>
          <w:sz w:val="24"/>
          <w:szCs w:val="24"/>
        </w:rPr>
        <w:t xml:space="preserve"> t</w:t>
      </w:r>
      <w:r w:rsidR="006A2F1F" w:rsidRPr="00006974">
        <w:rPr>
          <w:rFonts w:ascii="Times New Roman" w:hAnsi="Times New Roman" w:cs="Times New Roman"/>
          <w:sz w:val="24"/>
          <w:szCs w:val="24"/>
        </w:rPr>
        <w:t xml:space="preserve">he adoption of </w:t>
      </w:r>
      <w:r w:rsidR="00F35667" w:rsidRPr="00006974">
        <w:rPr>
          <w:rFonts w:ascii="Times New Roman" w:hAnsi="Times New Roman" w:cs="Times New Roman"/>
          <w:sz w:val="24"/>
          <w:szCs w:val="24"/>
        </w:rPr>
        <w:t>discretionary CSR</w:t>
      </w:r>
      <w:r w:rsidR="008E4DD9" w:rsidRPr="00006974">
        <w:rPr>
          <w:rFonts w:ascii="Times New Roman" w:hAnsi="Times New Roman" w:cs="Times New Roman"/>
          <w:sz w:val="24"/>
          <w:szCs w:val="24"/>
        </w:rPr>
        <w:t xml:space="preserve"> among corporations</w:t>
      </w:r>
      <w:r w:rsidR="00F35667" w:rsidRPr="00006974">
        <w:rPr>
          <w:rFonts w:ascii="Times New Roman" w:hAnsi="Times New Roman" w:cs="Times New Roman"/>
          <w:sz w:val="24"/>
          <w:szCs w:val="24"/>
        </w:rPr>
        <w:t xml:space="preserve">. If, however, </w:t>
      </w:r>
      <w:r w:rsidR="006A2F1F" w:rsidRPr="00006974">
        <w:rPr>
          <w:rFonts w:ascii="Times New Roman" w:hAnsi="Times New Roman" w:cs="Times New Roman"/>
          <w:sz w:val="24"/>
          <w:szCs w:val="24"/>
        </w:rPr>
        <w:t>mandated CSR</w:t>
      </w:r>
      <w:r w:rsidR="00F35667" w:rsidRPr="00006974">
        <w:rPr>
          <w:rFonts w:ascii="Times New Roman" w:hAnsi="Times New Roman" w:cs="Times New Roman"/>
          <w:sz w:val="24"/>
          <w:szCs w:val="24"/>
        </w:rPr>
        <w:t xml:space="preserve"> diminishe</w:t>
      </w:r>
      <w:r w:rsidR="006A2F1F" w:rsidRPr="00006974">
        <w:rPr>
          <w:rFonts w:ascii="Times New Roman" w:hAnsi="Times New Roman" w:cs="Times New Roman"/>
          <w:sz w:val="24"/>
          <w:szCs w:val="24"/>
        </w:rPr>
        <w:t>s</w:t>
      </w:r>
      <w:r w:rsidR="00F35667" w:rsidRPr="00006974">
        <w:rPr>
          <w:rFonts w:ascii="Times New Roman" w:hAnsi="Times New Roman" w:cs="Times New Roman"/>
          <w:sz w:val="24"/>
          <w:szCs w:val="24"/>
        </w:rPr>
        <w:t xml:space="preserve"> firm value, the</w:t>
      </w:r>
      <w:r w:rsidR="006A2F1F" w:rsidRPr="00006974">
        <w:rPr>
          <w:rFonts w:ascii="Times New Roman" w:hAnsi="Times New Roman" w:cs="Times New Roman"/>
          <w:sz w:val="24"/>
          <w:szCs w:val="24"/>
        </w:rPr>
        <w:t xml:space="preserve">n government regulation </w:t>
      </w:r>
      <w:r w:rsidR="00280981" w:rsidRPr="00006974">
        <w:rPr>
          <w:rFonts w:ascii="Times New Roman" w:hAnsi="Times New Roman" w:cs="Times New Roman"/>
          <w:sz w:val="24"/>
          <w:szCs w:val="24"/>
        </w:rPr>
        <w:t>might</w:t>
      </w:r>
      <w:r w:rsidR="00D42B05">
        <w:rPr>
          <w:rFonts w:ascii="Times New Roman" w:hAnsi="Times New Roman" w:cs="Times New Roman"/>
          <w:sz w:val="24"/>
          <w:szCs w:val="24"/>
        </w:rPr>
        <w:t>, in fact,</w:t>
      </w:r>
      <w:r w:rsidR="000C0589">
        <w:rPr>
          <w:rFonts w:ascii="Times New Roman" w:hAnsi="Times New Roman" w:cs="Times New Roman"/>
          <w:sz w:val="24"/>
          <w:szCs w:val="24"/>
        </w:rPr>
        <w:t xml:space="preserve"> discourage the voluntary adoption of CSR by corporations</w:t>
      </w:r>
      <w:r w:rsidR="00280981" w:rsidRPr="00006974">
        <w:rPr>
          <w:rFonts w:ascii="Times New Roman" w:hAnsi="Times New Roman" w:cs="Times New Roman"/>
          <w:sz w:val="24"/>
          <w:szCs w:val="24"/>
        </w:rPr>
        <w:t xml:space="preserve">. </w:t>
      </w:r>
      <w:r w:rsidR="00D42B05">
        <w:rPr>
          <w:rFonts w:ascii="Times New Roman" w:hAnsi="Times New Roman" w:cs="Times New Roman"/>
          <w:sz w:val="24"/>
          <w:szCs w:val="24"/>
        </w:rPr>
        <w:t xml:space="preserve">Absent a </w:t>
      </w:r>
      <w:r w:rsidR="000C0589">
        <w:rPr>
          <w:rFonts w:ascii="Times New Roman" w:hAnsi="Times New Roman" w:cs="Times New Roman"/>
          <w:sz w:val="24"/>
          <w:szCs w:val="24"/>
        </w:rPr>
        <w:t>clear empirical understanding of</w:t>
      </w:r>
      <w:r w:rsidR="00B03F4A" w:rsidRPr="00006974">
        <w:rPr>
          <w:rFonts w:ascii="Times New Roman" w:hAnsi="Times New Roman" w:cs="Times New Roman"/>
          <w:sz w:val="24"/>
          <w:szCs w:val="24"/>
        </w:rPr>
        <w:t xml:space="preserve"> the</w:t>
      </w:r>
      <w:r w:rsidR="00BA5099" w:rsidRPr="00006974">
        <w:rPr>
          <w:rFonts w:ascii="Times New Roman" w:hAnsi="Times New Roman" w:cs="Times New Roman"/>
          <w:sz w:val="24"/>
          <w:szCs w:val="24"/>
        </w:rPr>
        <w:t xml:space="preserve"> effect of</w:t>
      </w:r>
      <w:r w:rsidR="00B03F4A" w:rsidRPr="00006974">
        <w:rPr>
          <w:rFonts w:ascii="Times New Roman" w:hAnsi="Times New Roman" w:cs="Times New Roman"/>
          <w:sz w:val="24"/>
          <w:szCs w:val="24"/>
        </w:rPr>
        <w:t xml:space="preserve"> mandated CSR </w:t>
      </w:r>
      <w:r w:rsidR="00BA5099" w:rsidRPr="00006974">
        <w:rPr>
          <w:rFonts w:ascii="Times New Roman" w:hAnsi="Times New Roman" w:cs="Times New Roman"/>
          <w:sz w:val="24"/>
          <w:szCs w:val="24"/>
        </w:rPr>
        <w:t xml:space="preserve">on </w:t>
      </w:r>
      <w:r w:rsidR="00B03F4A" w:rsidRPr="00006974">
        <w:rPr>
          <w:rFonts w:ascii="Times New Roman" w:hAnsi="Times New Roman" w:cs="Times New Roman"/>
          <w:sz w:val="24"/>
          <w:szCs w:val="24"/>
        </w:rPr>
        <w:t>firm value</w:t>
      </w:r>
      <w:r w:rsidR="00D42B05">
        <w:rPr>
          <w:rFonts w:ascii="Times New Roman" w:hAnsi="Times New Roman" w:cs="Times New Roman"/>
          <w:sz w:val="24"/>
          <w:szCs w:val="24"/>
        </w:rPr>
        <w:t xml:space="preserve">, its effectiveness as a policy instrument remains </w:t>
      </w:r>
      <w:r w:rsidR="00AC7D68">
        <w:rPr>
          <w:rFonts w:ascii="Times New Roman" w:hAnsi="Times New Roman" w:cs="Times New Roman"/>
          <w:sz w:val="24"/>
          <w:szCs w:val="24"/>
        </w:rPr>
        <w:t>uncertain</w:t>
      </w:r>
      <w:r w:rsidR="00B03F4A" w:rsidRPr="00006974">
        <w:rPr>
          <w:rFonts w:ascii="Times New Roman" w:hAnsi="Times New Roman" w:cs="Times New Roman"/>
          <w:sz w:val="24"/>
          <w:szCs w:val="24"/>
        </w:rPr>
        <w:t>.</w:t>
      </w:r>
      <w:r w:rsidR="00AC7D68">
        <w:rPr>
          <w:rFonts w:ascii="Times New Roman" w:hAnsi="Times New Roman" w:cs="Times New Roman"/>
          <w:sz w:val="24"/>
          <w:szCs w:val="24"/>
        </w:rPr>
        <w:t xml:space="preserve">                                          </w:t>
      </w:r>
    </w:p>
    <w:p w14:paraId="773BFDC6" w14:textId="062FC298" w:rsidR="00975DCC" w:rsidRPr="00006974" w:rsidRDefault="00985207" w:rsidP="00006974">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To </w:t>
      </w:r>
      <w:r w:rsidR="000C0589">
        <w:rPr>
          <w:rFonts w:ascii="Times New Roman" w:hAnsi="Times New Roman" w:cs="Times New Roman"/>
          <w:sz w:val="24"/>
          <w:szCs w:val="24"/>
        </w:rPr>
        <w:t>address this gap in knowledge</w:t>
      </w:r>
      <w:r w:rsidR="003E6723" w:rsidRPr="00A0137F">
        <w:rPr>
          <w:rFonts w:ascii="Times New Roman" w:hAnsi="Times New Roman" w:cs="Times New Roman"/>
          <w:sz w:val="24"/>
          <w:szCs w:val="24"/>
        </w:rPr>
        <w:t xml:space="preserve">, </w:t>
      </w:r>
      <w:r w:rsidR="00813611" w:rsidRPr="00006974">
        <w:rPr>
          <w:rFonts w:ascii="Times New Roman" w:hAnsi="Times New Roman" w:cs="Times New Roman"/>
          <w:sz w:val="24"/>
          <w:szCs w:val="24"/>
        </w:rPr>
        <w:t xml:space="preserve">we exploit </w:t>
      </w:r>
      <w:r w:rsidR="00813611" w:rsidRPr="00A0137F">
        <w:rPr>
          <w:rFonts w:ascii="Times New Roman" w:hAnsi="Times New Roman" w:cs="Times New Roman"/>
          <w:sz w:val="24"/>
          <w:szCs w:val="24"/>
        </w:rPr>
        <w:t>a critical case (</w:t>
      </w:r>
      <w:proofErr w:type="spellStart"/>
      <w:r w:rsidR="00813611" w:rsidRPr="00A0137F">
        <w:rPr>
          <w:rFonts w:ascii="Times New Roman" w:hAnsi="Times New Roman" w:cs="Times New Roman"/>
          <w:sz w:val="24"/>
          <w:szCs w:val="24"/>
        </w:rPr>
        <w:t>Flyvbjerg</w:t>
      </w:r>
      <w:proofErr w:type="spellEnd"/>
      <w:r w:rsidR="00813611" w:rsidRPr="00A0137F">
        <w:rPr>
          <w:rFonts w:ascii="Times New Roman" w:hAnsi="Times New Roman" w:cs="Times New Roman"/>
          <w:sz w:val="24"/>
          <w:szCs w:val="24"/>
        </w:rPr>
        <w:t xml:space="preserve">, 2001) </w:t>
      </w:r>
      <w:r w:rsidR="003E6723" w:rsidRPr="00A0137F">
        <w:rPr>
          <w:rFonts w:ascii="Times New Roman" w:hAnsi="Times New Roman" w:cs="Times New Roman"/>
          <w:sz w:val="24"/>
          <w:szCs w:val="24"/>
        </w:rPr>
        <w:t>of</w:t>
      </w:r>
      <w:r w:rsidR="00521EBC">
        <w:rPr>
          <w:rFonts w:ascii="Times New Roman" w:hAnsi="Times New Roman" w:cs="Times New Roman"/>
          <w:sz w:val="24"/>
          <w:szCs w:val="24"/>
        </w:rPr>
        <w:t xml:space="preserve"> mandated CSR created</w:t>
      </w:r>
      <w:r w:rsidR="003E6723" w:rsidRPr="00A0137F">
        <w:rPr>
          <w:rFonts w:ascii="Times New Roman" w:hAnsi="Times New Roman" w:cs="Times New Roman"/>
          <w:sz w:val="24"/>
          <w:szCs w:val="24"/>
        </w:rPr>
        <w:t xml:space="preserve"> </w:t>
      </w:r>
      <w:r w:rsidR="00521EBC">
        <w:rPr>
          <w:rFonts w:ascii="Times New Roman" w:hAnsi="Times New Roman" w:cs="Times New Roman"/>
          <w:sz w:val="24"/>
          <w:szCs w:val="24"/>
        </w:rPr>
        <w:t xml:space="preserve">in 2014 when </w:t>
      </w:r>
      <w:r w:rsidR="006B3922">
        <w:rPr>
          <w:rFonts w:ascii="Times New Roman" w:hAnsi="Times New Roman" w:cs="Times New Roman"/>
          <w:sz w:val="24"/>
          <w:szCs w:val="24"/>
        </w:rPr>
        <w:t xml:space="preserve">the </w:t>
      </w:r>
      <w:r w:rsidR="003E6723" w:rsidRPr="00A0137F">
        <w:rPr>
          <w:rFonts w:ascii="Times New Roman" w:hAnsi="Times New Roman" w:cs="Times New Roman"/>
          <w:sz w:val="24"/>
          <w:szCs w:val="24"/>
        </w:rPr>
        <w:t>government of India</w:t>
      </w:r>
      <w:r w:rsidR="00521EBC">
        <w:rPr>
          <w:rFonts w:ascii="Times New Roman" w:hAnsi="Times New Roman" w:cs="Times New Roman"/>
          <w:sz w:val="24"/>
          <w:szCs w:val="24"/>
        </w:rPr>
        <w:t xml:space="preserve"> passed a law that</w:t>
      </w:r>
      <w:r w:rsidR="00B03F4A">
        <w:rPr>
          <w:rFonts w:ascii="Times New Roman" w:hAnsi="Times New Roman" w:cs="Times New Roman"/>
          <w:sz w:val="24"/>
          <w:szCs w:val="24"/>
        </w:rPr>
        <w:t xml:space="preserve"> </w:t>
      </w:r>
      <w:r w:rsidR="003E6723" w:rsidRPr="00006974">
        <w:rPr>
          <w:rFonts w:ascii="Times New Roman" w:hAnsi="Times New Roman" w:cs="Times New Roman"/>
          <w:sz w:val="24"/>
          <w:szCs w:val="24"/>
        </w:rPr>
        <w:t xml:space="preserve">required all Indian firms of a certain size </w:t>
      </w:r>
      <w:r w:rsidR="003E6723" w:rsidRPr="00B03F4A">
        <w:rPr>
          <w:rFonts w:ascii="Times New Roman" w:hAnsi="Times New Roman" w:cs="Times New Roman"/>
          <w:sz w:val="24"/>
          <w:szCs w:val="24"/>
        </w:rPr>
        <w:t>to</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devote</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two</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percent</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of</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their</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average</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net</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profit</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from</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the</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previous</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three</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years</w:t>
      </w:r>
      <w:r w:rsidR="003E6723" w:rsidRPr="00006974">
        <w:rPr>
          <w:rFonts w:ascii="Times New Roman" w:hAnsi="Times New Roman" w:cs="Times New Roman"/>
          <w:sz w:val="24"/>
          <w:szCs w:val="24"/>
        </w:rPr>
        <w:t xml:space="preserve"> </w:t>
      </w:r>
      <w:r w:rsidR="003E6723" w:rsidRPr="00B03F4A">
        <w:rPr>
          <w:rFonts w:ascii="Times New Roman" w:hAnsi="Times New Roman" w:cs="Times New Roman"/>
          <w:sz w:val="24"/>
          <w:szCs w:val="24"/>
        </w:rPr>
        <w:t>to</w:t>
      </w:r>
      <w:r w:rsidR="00DF6861" w:rsidRPr="00006974">
        <w:rPr>
          <w:rFonts w:ascii="Times New Roman" w:hAnsi="Times New Roman" w:cs="Times New Roman"/>
          <w:sz w:val="24"/>
          <w:szCs w:val="24"/>
        </w:rPr>
        <w:t xml:space="preserve"> </w:t>
      </w:r>
      <w:r w:rsidR="00975DCC" w:rsidRPr="00006974">
        <w:rPr>
          <w:rFonts w:ascii="Times New Roman" w:hAnsi="Times New Roman" w:cs="Times New Roman"/>
          <w:sz w:val="24"/>
          <w:szCs w:val="24"/>
        </w:rPr>
        <w:t>social and environmental issue</w:t>
      </w:r>
      <w:r w:rsidR="00F35667" w:rsidRPr="00006974">
        <w:rPr>
          <w:rFonts w:ascii="Times New Roman" w:hAnsi="Times New Roman" w:cs="Times New Roman"/>
          <w:sz w:val="24"/>
          <w:szCs w:val="24"/>
        </w:rPr>
        <w:t>s</w:t>
      </w:r>
      <w:r w:rsidR="00975DCC" w:rsidRPr="00006974">
        <w:rPr>
          <w:rFonts w:ascii="Times New Roman" w:hAnsi="Times New Roman" w:cs="Times New Roman"/>
          <w:sz w:val="24"/>
          <w:szCs w:val="24"/>
        </w:rPr>
        <w:t xml:space="preserve">. </w:t>
      </w:r>
      <w:r w:rsidR="00975DCC" w:rsidRPr="00B03F4A">
        <w:rPr>
          <w:rFonts w:ascii="Times New Roman" w:hAnsi="Times New Roman" w:cs="Times New Roman"/>
          <w:sz w:val="24"/>
          <w:szCs w:val="24"/>
        </w:rPr>
        <w:t xml:space="preserve">Firms </w:t>
      </w:r>
      <w:r w:rsidR="00DF6861" w:rsidRPr="00B03F4A">
        <w:rPr>
          <w:rFonts w:ascii="Times New Roman" w:hAnsi="Times New Roman" w:cs="Times New Roman"/>
          <w:sz w:val="24"/>
          <w:szCs w:val="24"/>
        </w:rPr>
        <w:t>were given the choice t</w:t>
      </w:r>
      <w:r w:rsidR="00DF6861">
        <w:rPr>
          <w:rFonts w:ascii="Times New Roman" w:hAnsi="Times New Roman" w:cs="Times New Roman"/>
          <w:sz w:val="24"/>
          <w:szCs w:val="24"/>
        </w:rPr>
        <w:t xml:space="preserve">o </w:t>
      </w:r>
      <w:r w:rsidR="00975DCC" w:rsidRPr="00A0137F">
        <w:rPr>
          <w:rFonts w:ascii="Times New Roman" w:hAnsi="Times New Roman" w:cs="Times New Roman"/>
          <w:sz w:val="24"/>
          <w:szCs w:val="24"/>
        </w:rPr>
        <w:t xml:space="preserve">spend the money to improve their own operations </w:t>
      </w:r>
      <w:r w:rsidR="00BA5099">
        <w:rPr>
          <w:rFonts w:ascii="Times New Roman" w:hAnsi="Times New Roman" w:cs="Times New Roman"/>
          <w:sz w:val="24"/>
          <w:szCs w:val="24"/>
        </w:rPr>
        <w:t xml:space="preserve">(e.g., improved emission control) </w:t>
      </w:r>
      <w:r w:rsidR="00457C4C">
        <w:rPr>
          <w:rFonts w:ascii="Times New Roman" w:hAnsi="Times New Roman" w:cs="Times New Roman"/>
          <w:sz w:val="24"/>
          <w:szCs w:val="24"/>
        </w:rPr>
        <w:t xml:space="preserve">in ways </w:t>
      </w:r>
      <w:r w:rsidR="00DF6861">
        <w:rPr>
          <w:rFonts w:ascii="Times New Roman" w:hAnsi="Times New Roman" w:cs="Times New Roman"/>
          <w:sz w:val="24"/>
          <w:szCs w:val="24"/>
        </w:rPr>
        <w:t>t</w:t>
      </w:r>
      <w:r w:rsidR="00BA5099">
        <w:rPr>
          <w:rFonts w:ascii="Times New Roman" w:hAnsi="Times New Roman" w:cs="Times New Roman"/>
          <w:sz w:val="24"/>
          <w:szCs w:val="24"/>
        </w:rPr>
        <w:t>hat would</w:t>
      </w:r>
      <w:r w:rsidR="00457C4C">
        <w:rPr>
          <w:rFonts w:ascii="Times New Roman" w:hAnsi="Times New Roman" w:cs="Times New Roman"/>
          <w:sz w:val="24"/>
          <w:szCs w:val="24"/>
        </w:rPr>
        <w:t xml:space="preserve"> </w:t>
      </w:r>
      <w:r w:rsidR="00BA5099">
        <w:rPr>
          <w:rFonts w:ascii="Times New Roman" w:hAnsi="Times New Roman" w:cs="Times New Roman"/>
          <w:sz w:val="24"/>
          <w:szCs w:val="24"/>
        </w:rPr>
        <w:t>mitigat</w:t>
      </w:r>
      <w:r w:rsidR="00457C4C">
        <w:rPr>
          <w:rFonts w:ascii="Times New Roman" w:hAnsi="Times New Roman" w:cs="Times New Roman"/>
          <w:sz w:val="24"/>
          <w:szCs w:val="24"/>
        </w:rPr>
        <w:t>e</w:t>
      </w:r>
      <w:r w:rsidR="00BA5099">
        <w:rPr>
          <w:rFonts w:ascii="Times New Roman" w:hAnsi="Times New Roman" w:cs="Times New Roman"/>
          <w:sz w:val="24"/>
          <w:szCs w:val="24"/>
        </w:rPr>
        <w:t xml:space="preserve"> </w:t>
      </w:r>
      <w:r w:rsidR="00F35667">
        <w:rPr>
          <w:rFonts w:ascii="Times New Roman" w:hAnsi="Times New Roman" w:cs="Times New Roman"/>
          <w:sz w:val="24"/>
          <w:szCs w:val="24"/>
        </w:rPr>
        <w:t>social and environmental problems</w:t>
      </w:r>
      <w:r w:rsidR="00457C4C">
        <w:rPr>
          <w:rFonts w:ascii="Times New Roman" w:hAnsi="Times New Roman" w:cs="Times New Roman"/>
          <w:sz w:val="24"/>
          <w:szCs w:val="24"/>
        </w:rPr>
        <w:t>,</w:t>
      </w:r>
      <w:r w:rsidR="00F35667">
        <w:rPr>
          <w:rFonts w:ascii="Times New Roman" w:hAnsi="Times New Roman" w:cs="Times New Roman"/>
          <w:sz w:val="24"/>
          <w:szCs w:val="24"/>
        </w:rPr>
        <w:t xml:space="preserve"> </w:t>
      </w:r>
      <w:r w:rsidR="00975DCC" w:rsidRPr="00A0137F">
        <w:rPr>
          <w:rFonts w:ascii="Times New Roman" w:hAnsi="Times New Roman" w:cs="Times New Roman"/>
          <w:sz w:val="24"/>
          <w:szCs w:val="24"/>
        </w:rPr>
        <w:t xml:space="preserve">or make philanthropic contributions to agencies operating in social and environmental realms. </w:t>
      </w:r>
      <w:r w:rsidR="00A0137F">
        <w:rPr>
          <w:rFonts w:ascii="Times New Roman" w:hAnsi="Times New Roman" w:cs="Times New Roman"/>
          <w:sz w:val="24"/>
          <w:szCs w:val="24"/>
        </w:rPr>
        <w:t xml:space="preserve">The mandate </w:t>
      </w:r>
      <w:r w:rsidR="00975DCC" w:rsidRPr="00A0137F">
        <w:rPr>
          <w:rFonts w:ascii="Times New Roman" w:hAnsi="Times New Roman" w:cs="Times New Roman"/>
          <w:sz w:val="24"/>
          <w:szCs w:val="24"/>
        </w:rPr>
        <w:t xml:space="preserve">also required firms to adopt CSR supporting governance structures (e.g., forming board level CSR committees) and external reporting activities. </w:t>
      </w:r>
      <w:r w:rsidR="00BA5099">
        <w:rPr>
          <w:rFonts w:ascii="Times New Roman" w:hAnsi="Times New Roman" w:cs="Times New Roman"/>
          <w:sz w:val="24"/>
          <w:szCs w:val="24"/>
        </w:rPr>
        <w:t>Notably, t</w:t>
      </w:r>
      <w:r w:rsidR="003E6723" w:rsidRPr="00A0137F">
        <w:rPr>
          <w:rFonts w:ascii="Times New Roman" w:hAnsi="Times New Roman" w:cs="Times New Roman"/>
          <w:sz w:val="24"/>
          <w:szCs w:val="24"/>
        </w:rPr>
        <w:t>he</w:t>
      </w:r>
      <w:r w:rsidR="00975DCC" w:rsidRPr="00A0137F">
        <w:rPr>
          <w:rFonts w:ascii="Times New Roman" w:hAnsi="Times New Roman" w:cs="Times New Roman"/>
          <w:sz w:val="24"/>
          <w:szCs w:val="24"/>
        </w:rPr>
        <w:t xml:space="preserve"> mandate did not have a </w:t>
      </w:r>
      <w:r w:rsidR="003E6723" w:rsidRPr="00A0137F">
        <w:rPr>
          <w:rFonts w:ascii="Times New Roman" w:hAnsi="Times New Roman" w:cs="Times New Roman"/>
          <w:sz w:val="24"/>
          <w:szCs w:val="24"/>
        </w:rPr>
        <w:t>penalty clause</w:t>
      </w:r>
      <w:r w:rsidR="00457C4C">
        <w:rPr>
          <w:rFonts w:ascii="Times New Roman" w:hAnsi="Times New Roman" w:cs="Times New Roman"/>
          <w:sz w:val="24"/>
          <w:szCs w:val="24"/>
        </w:rPr>
        <w:t>. However,</w:t>
      </w:r>
      <w:r w:rsidR="003E6723" w:rsidRPr="00A0137F">
        <w:rPr>
          <w:rFonts w:ascii="Times New Roman" w:hAnsi="Times New Roman" w:cs="Times New Roman"/>
          <w:sz w:val="24"/>
          <w:szCs w:val="24"/>
        </w:rPr>
        <w:t xml:space="preserve"> firms that </w:t>
      </w:r>
      <w:r w:rsidR="00DF6861">
        <w:rPr>
          <w:rFonts w:ascii="Times New Roman" w:hAnsi="Times New Roman" w:cs="Times New Roman"/>
          <w:sz w:val="24"/>
          <w:szCs w:val="24"/>
        </w:rPr>
        <w:t>failed to spend stipulated amount</w:t>
      </w:r>
      <w:r w:rsidR="000B783C">
        <w:rPr>
          <w:rFonts w:ascii="Times New Roman" w:hAnsi="Times New Roman" w:cs="Times New Roman"/>
          <w:sz w:val="24"/>
          <w:szCs w:val="24"/>
        </w:rPr>
        <w:t>s</w:t>
      </w:r>
      <w:r w:rsidR="00DF6861">
        <w:rPr>
          <w:rFonts w:ascii="Times New Roman" w:hAnsi="Times New Roman" w:cs="Times New Roman"/>
          <w:sz w:val="24"/>
          <w:szCs w:val="24"/>
        </w:rPr>
        <w:t xml:space="preserve"> of money </w:t>
      </w:r>
      <w:r w:rsidR="003E6723" w:rsidRPr="00A0137F">
        <w:rPr>
          <w:rFonts w:ascii="Times New Roman" w:hAnsi="Times New Roman" w:cs="Times New Roman"/>
          <w:sz w:val="24"/>
          <w:szCs w:val="24"/>
        </w:rPr>
        <w:t xml:space="preserve">were required to </w:t>
      </w:r>
      <w:r w:rsidR="00DF6861">
        <w:rPr>
          <w:rFonts w:ascii="Times New Roman" w:hAnsi="Times New Roman" w:cs="Times New Roman"/>
          <w:sz w:val="24"/>
          <w:szCs w:val="24"/>
        </w:rPr>
        <w:t xml:space="preserve">publicly </w:t>
      </w:r>
      <w:r w:rsidR="003E6723" w:rsidRPr="00A0137F">
        <w:rPr>
          <w:rFonts w:ascii="Times New Roman" w:hAnsi="Times New Roman" w:cs="Times New Roman"/>
          <w:sz w:val="24"/>
          <w:szCs w:val="24"/>
        </w:rPr>
        <w:t xml:space="preserve">explain why. </w:t>
      </w:r>
    </w:p>
    <w:p w14:paraId="223A165B" w14:textId="267E5A60" w:rsidR="00457C4C" w:rsidRDefault="00457C4C" w:rsidP="00006974">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Indian legislation created an ideal opportunity to observe the impact of mandated CSR on corporate value. </w:t>
      </w:r>
      <w:r w:rsidR="00B03F4A">
        <w:rPr>
          <w:rFonts w:ascii="Times New Roman" w:hAnsi="Times New Roman" w:cs="Times New Roman"/>
          <w:sz w:val="24"/>
          <w:szCs w:val="24"/>
        </w:rPr>
        <w:t>O</w:t>
      </w:r>
      <w:r w:rsidR="009D29CD" w:rsidRPr="00A0137F">
        <w:rPr>
          <w:rFonts w:ascii="Times New Roman" w:hAnsi="Times New Roman" w:cs="Times New Roman"/>
          <w:sz w:val="24"/>
          <w:szCs w:val="24"/>
        </w:rPr>
        <w:t>ur research question</w:t>
      </w:r>
      <w:r w:rsidR="00B03F4A">
        <w:rPr>
          <w:rFonts w:ascii="Times New Roman" w:hAnsi="Times New Roman" w:cs="Times New Roman"/>
          <w:sz w:val="24"/>
          <w:szCs w:val="24"/>
        </w:rPr>
        <w:t xml:space="preserve"> </w:t>
      </w:r>
      <w:r w:rsidR="009D29CD" w:rsidRPr="00A0137F">
        <w:rPr>
          <w:rFonts w:ascii="Times New Roman" w:hAnsi="Times New Roman" w:cs="Times New Roman"/>
          <w:sz w:val="24"/>
          <w:szCs w:val="24"/>
        </w:rPr>
        <w:t>is: “</w:t>
      </w:r>
      <w:r w:rsidR="009D29CD" w:rsidRPr="00006974">
        <w:rPr>
          <w:rFonts w:ascii="Times New Roman" w:hAnsi="Times New Roman" w:cs="Times New Roman"/>
          <w:sz w:val="24"/>
          <w:szCs w:val="24"/>
        </w:rPr>
        <w:t xml:space="preserve">did the Indian CSR mandate enhance or diminish firm value?” </w:t>
      </w:r>
      <w:r w:rsidR="00B63A8D" w:rsidRPr="009D29CD">
        <w:rPr>
          <w:rFonts w:ascii="Times New Roman" w:hAnsi="Times New Roman" w:cs="Times New Roman"/>
          <w:sz w:val="24"/>
          <w:szCs w:val="24"/>
        </w:rPr>
        <w:t>Our study design mimics a natural experim</w:t>
      </w:r>
      <w:r w:rsidR="00B63A8D" w:rsidRPr="005C40BA">
        <w:rPr>
          <w:rFonts w:ascii="Times New Roman" w:hAnsi="Times New Roman" w:cs="Times New Roman"/>
          <w:sz w:val="24"/>
          <w:szCs w:val="24"/>
        </w:rPr>
        <w:t>ent</w:t>
      </w:r>
      <w:r w:rsidR="00AC7D68">
        <w:rPr>
          <w:rFonts w:ascii="Times New Roman" w:hAnsi="Times New Roman" w:cs="Times New Roman"/>
          <w:sz w:val="24"/>
          <w:szCs w:val="24"/>
        </w:rPr>
        <w:t xml:space="preserve"> because t</w:t>
      </w:r>
      <w:r w:rsidR="00E7678D">
        <w:rPr>
          <w:rFonts w:ascii="Times New Roman" w:hAnsi="Times New Roman" w:cs="Times New Roman"/>
          <w:sz w:val="24"/>
          <w:szCs w:val="24"/>
        </w:rPr>
        <w:t xml:space="preserve">he </w:t>
      </w:r>
      <w:r w:rsidR="00B63A8D" w:rsidRPr="005C40BA">
        <w:rPr>
          <w:rFonts w:ascii="Times New Roman" w:hAnsi="Times New Roman" w:cs="Times New Roman"/>
          <w:sz w:val="24"/>
          <w:szCs w:val="24"/>
        </w:rPr>
        <w:t xml:space="preserve">CSR mandate exogenously divided the entire population of Indian firms in two groups: those subjected to the mandate and those not. </w:t>
      </w:r>
      <w:r w:rsidR="00830510">
        <w:rPr>
          <w:rFonts w:ascii="Times New Roman" w:hAnsi="Times New Roman" w:cs="Times New Roman"/>
          <w:sz w:val="24"/>
          <w:szCs w:val="24"/>
        </w:rPr>
        <w:t>C</w:t>
      </w:r>
      <w:r w:rsidR="00597829">
        <w:rPr>
          <w:rFonts w:ascii="Times New Roman" w:hAnsi="Times New Roman" w:cs="Times New Roman"/>
          <w:sz w:val="24"/>
          <w:szCs w:val="24"/>
        </w:rPr>
        <w:t xml:space="preserve">omparing </w:t>
      </w:r>
      <w:r w:rsidR="00830510">
        <w:rPr>
          <w:rFonts w:ascii="Times New Roman" w:hAnsi="Times New Roman" w:cs="Times New Roman"/>
          <w:sz w:val="24"/>
          <w:szCs w:val="24"/>
        </w:rPr>
        <w:t xml:space="preserve">stock returns for </w:t>
      </w:r>
      <w:r w:rsidR="00597829">
        <w:rPr>
          <w:rFonts w:ascii="Times New Roman" w:hAnsi="Times New Roman" w:cs="Times New Roman"/>
          <w:sz w:val="24"/>
          <w:szCs w:val="24"/>
        </w:rPr>
        <w:t xml:space="preserve">these two groups can provide an answer to our study question. </w:t>
      </w:r>
    </w:p>
    <w:p w14:paraId="72A0CD5D" w14:textId="77777777" w:rsidR="00457C4C" w:rsidRDefault="00763FA3" w:rsidP="00006974">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chose to assess firm value through s</w:t>
      </w:r>
      <w:r w:rsidR="00BD726E">
        <w:rPr>
          <w:rFonts w:ascii="Times New Roman" w:hAnsi="Times New Roman" w:cs="Times New Roman"/>
          <w:sz w:val="24"/>
          <w:szCs w:val="24"/>
        </w:rPr>
        <w:t xml:space="preserve">tock returns for multiple reasons. </w:t>
      </w:r>
      <w:r w:rsidR="00BD726E" w:rsidRPr="008D53DE">
        <w:rPr>
          <w:rFonts w:ascii="Times New Roman" w:hAnsi="Times New Roman" w:cs="Times New Roman"/>
          <w:sz w:val="24"/>
          <w:szCs w:val="24"/>
        </w:rPr>
        <w:t>First, investors</w:t>
      </w:r>
      <w:r w:rsidR="00B6240A">
        <w:rPr>
          <w:rFonts w:ascii="Times New Roman" w:hAnsi="Times New Roman" w:cs="Times New Roman"/>
          <w:sz w:val="24"/>
          <w:szCs w:val="24"/>
        </w:rPr>
        <w:t>’</w:t>
      </w:r>
      <w:r w:rsidR="00BD726E" w:rsidRPr="008D53DE">
        <w:rPr>
          <w:rFonts w:ascii="Times New Roman" w:hAnsi="Times New Roman" w:cs="Times New Roman"/>
          <w:sz w:val="24"/>
          <w:szCs w:val="24"/>
        </w:rPr>
        <w:t xml:space="preserve"> react</w:t>
      </w:r>
      <w:r>
        <w:rPr>
          <w:rFonts w:ascii="Times New Roman" w:hAnsi="Times New Roman" w:cs="Times New Roman"/>
          <w:sz w:val="24"/>
          <w:szCs w:val="24"/>
        </w:rPr>
        <w:t xml:space="preserve">ion is based on anticipating stakeholders – not just shareholders – response to a proposed policy. Investors consider not </w:t>
      </w:r>
      <w:r w:rsidR="00BD726E" w:rsidRPr="008D53DE">
        <w:rPr>
          <w:rFonts w:ascii="Times New Roman" w:hAnsi="Times New Roman" w:cs="Times New Roman"/>
          <w:sz w:val="24"/>
          <w:szCs w:val="24"/>
        </w:rPr>
        <w:t>just economic</w:t>
      </w:r>
      <w:r>
        <w:rPr>
          <w:rFonts w:ascii="Times New Roman" w:hAnsi="Times New Roman" w:cs="Times New Roman"/>
          <w:sz w:val="24"/>
          <w:szCs w:val="24"/>
        </w:rPr>
        <w:t xml:space="preserve"> implications of a policy</w:t>
      </w:r>
      <w:r w:rsidR="00BD726E" w:rsidRPr="008D53DE">
        <w:rPr>
          <w:rFonts w:ascii="Times New Roman" w:hAnsi="Times New Roman" w:cs="Times New Roman"/>
          <w:sz w:val="24"/>
          <w:szCs w:val="24"/>
        </w:rPr>
        <w:t xml:space="preserve">, but also its broader social implications for a </w:t>
      </w:r>
      <w:r w:rsidR="00BD726E">
        <w:rPr>
          <w:rFonts w:ascii="Times New Roman" w:hAnsi="Times New Roman" w:cs="Times New Roman"/>
          <w:sz w:val="24"/>
          <w:szCs w:val="24"/>
        </w:rPr>
        <w:t>firm</w:t>
      </w:r>
      <w:r w:rsidR="00BD726E" w:rsidRPr="008D53DE">
        <w:rPr>
          <w:rFonts w:ascii="Times New Roman" w:hAnsi="Times New Roman" w:cs="Times New Roman"/>
          <w:sz w:val="24"/>
          <w:szCs w:val="24"/>
        </w:rPr>
        <w:t xml:space="preserve"> (Bell et al., 2014; Rhee &amp; </w:t>
      </w:r>
      <w:proofErr w:type="spellStart"/>
      <w:r w:rsidR="00BD726E" w:rsidRPr="008D53DE">
        <w:rPr>
          <w:rFonts w:ascii="Times New Roman" w:hAnsi="Times New Roman" w:cs="Times New Roman"/>
          <w:sz w:val="24"/>
          <w:szCs w:val="24"/>
        </w:rPr>
        <w:t>Fiss</w:t>
      </w:r>
      <w:proofErr w:type="spellEnd"/>
      <w:r w:rsidR="00BD726E" w:rsidRPr="008D53DE">
        <w:rPr>
          <w:rFonts w:ascii="Times New Roman" w:hAnsi="Times New Roman" w:cs="Times New Roman"/>
          <w:sz w:val="24"/>
          <w:szCs w:val="24"/>
        </w:rPr>
        <w:t>, 2014; Zajac &amp; Westphal, 2004). Second, while some may think that investor reaction is short term, it more typically rests on long-term future implications. Lane and Jacobson (1995) observe “investors update their expectations about long-term future cash flows, reacting immediately by buying or selling stock as new information becomes public” (p. 64). Third, because investors rapidly absorb and react to new policy information (</w:t>
      </w:r>
      <w:proofErr w:type="spellStart"/>
      <w:r w:rsidR="00BD726E" w:rsidRPr="008D53DE">
        <w:rPr>
          <w:rFonts w:ascii="Times New Roman" w:hAnsi="Times New Roman" w:cs="Times New Roman"/>
          <w:sz w:val="24"/>
          <w:szCs w:val="24"/>
        </w:rPr>
        <w:t>Fama</w:t>
      </w:r>
      <w:proofErr w:type="spellEnd"/>
      <w:r w:rsidR="00BD726E" w:rsidRPr="008D53DE">
        <w:rPr>
          <w:rFonts w:ascii="Times New Roman" w:hAnsi="Times New Roman" w:cs="Times New Roman"/>
          <w:sz w:val="24"/>
          <w:szCs w:val="24"/>
        </w:rPr>
        <w:t xml:space="preserve">, 1991), investor reaction has a “high signal to noise ratio” (Flammer, 2015, p. 2554), which fosters conditions for making causal inferences. </w:t>
      </w:r>
      <w:r w:rsidR="00BD726E">
        <w:rPr>
          <w:rFonts w:ascii="Times New Roman" w:hAnsi="Times New Roman" w:cs="Times New Roman"/>
          <w:sz w:val="24"/>
          <w:szCs w:val="24"/>
        </w:rPr>
        <w:t xml:space="preserve"> </w:t>
      </w:r>
    </w:p>
    <w:p w14:paraId="09B528B4" w14:textId="373FBDCD" w:rsidR="00B03F4A" w:rsidRPr="00006974" w:rsidRDefault="00457C4C" w:rsidP="005979A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findings</w:t>
      </w:r>
      <w:r w:rsidR="006667D1" w:rsidRPr="00006974">
        <w:rPr>
          <w:rFonts w:ascii="Times New Roman" w:hAnsi="Times New Roman" w:cs="Times New Roman"/>
          <w:sz w:val="24"/>
          <w:szCs w:val="24"/>
        </w:rPr>
        <w:t xml:space="preserve"> contribute to </w:t>
      </w:r>
      <w:r w:rsidR="005C40BA" w:rsidRPr="00006974">
        <w:rPr>
          <w:rFonts w:ascii="Times New Roman" w:hAnsi="Times New Roman" w:cs="Times New Roman"/>
          <w:sz w:val="24"/>
          <w:szCs w:val="24"/>
        </w:rPr>
        <w:t>the business and society literature in the following ways. Foremost, it uniquely extends</w:t>
      </w:r>
      <w:r>
        <w:rPr>
          <w:rFonts w:ascii="Times New Roman" w:hAnsi="Times New Roman" w:cs="Times New Roman"/>
          <w:sz w:val="24"/>
          <w:szCs w:val="24"/>
        </w:rPr>
        <w:t xml:space="preserve"> our understanding of</w:t>
      </w:r>
      <w:r w:rsidR="005C40BA" w:rsidRPr="00006974">
        <w:rPr>
          <w:rFonts w:ascii="Times New Roman" w:hAnsi="Times New Roman" w:cs="Times New Roman"/>
          <w:sz w:val="24"/>
          <w:szCs w:val="24"/>
        </w:rPr>
        <w:t xml:space="preserve"> the role of government and regulation</w:t>
      </w:r>
      <w:r w:rsidR="009D29CD" w:rsidRPr="00006974">
        <w:rPr>
          <w:rFonts w:ascii="Times New Roman" w:hAnsi="Times New Roman" w:cs="Times New Roman"/>
          <w:sz w:val="24"/>
          <w:szCs w:val="24"/>
        </w:rPr>
        <w:t>s</w:t>
      </w:r>
      <w:r w:rsidR="005C40BA" w:rsidRPr="00006974">
        <w:rPr>
          <w:rFonts w:ascii="Times New Roman" w:hAnsi="Times New Roman" w:cs="Times New Roman"/>
          <w:sz w:val="24"/>
          <w:szCs w:val="24"/>
        </w:rPr>
        <w:t xml:space="preserve"> in CSR (Gond et al., 2011; Knudsen, 2018; Moon &amp; Vogel, 2008). While </w:t>
      </w:r>
      <w:r>
        <w:rPr>
          <w:rFonts w:ascii="Times New Roman" w:hAnsi="Times New Roman" w:cs="Times New Roman"/>
          <w:sz w:val="24"/>
          <w:szCs w:val="24"/>
        </w:rPr>
        <w:t>prior research</w:t>
      </w:r>
      <w:r w:rsidR="005C40BA" w:rsidRPr="00006974">
        <w:rPr>
          <w:rFonts w:ascii="Times New Roman" w:hAnsi="Times New Roman" w:cs="Times New Roman"/>
          <w:sz w:val="24"/>
          <w:szCs w:val="24"/>
        </w:rPr>
        <w:t xml:space="preserve"> provides a rich analysis of the interaction between regulation and discretionary CSR, it has not </w:t>
      </w:r>
      <w:r w:rsidR="006667D1" w:rsidRPr="00006974">
        <w:rPr>
          <w:rFonts w:ascii="Times New Roman" w:hAnsi="Times New Roman" w:cs="Times New Roman"/>
          <w:sz w:val="24"/>
          <w:szCs w:val="24"/>
        </w:rPr>
        <w:t xml:space="preserve">fully </w:t>
      </w:r>
      <w:r w:rsidR="005C40BA" w:rsidRPr="00006974">
        <w:rPr>
          <w:rFonts w:ascii="Times New Roman" w:hAnsi="Times New Roman" w:cs="Times New Roman"/>
          <w:sz w:val="24"/>
          <w:szCs w:val="24"/>
        </w:rPr>
        <w:t xml:space="preserve">explored </w:t>
      </w:r>
      <w:r w:rsidR="006119F0" w:rsidRPr="00006974">
        <w:rPr>
          <w:rFonts w:ascii="Times New Roman" w:hAnsi="Times New Roman" w:cs="Times New Roman"/>
          <w:sz w:val="24"/>
          <w:szCs w:val="24"/>
        </w:rPr>
        <w:t xml:space="preserve">how </w:t>
      </w:r>
      <w:r w:rsidR="009D29CD" w:rsidRPr="00006974">
        <w:rPr>
          <w:rFonts w:ascii="Times New Roman" w:hAnsi="Times New Roman" w:cs="Times New Roman"/>
          <w:sz w:val="24"/>
          <w:szCs w:val="24"/>
        </w:rPr>
        <w:t xml:space="preserve">soft </w:t>
      </w:r>
      <w:r w:rsidR="006119F0" w:rsidRPr="00006974">
        <w:rPr>
          <w:rFonts w:ascii="Times New Roman" w:hAnsi="Times New Roman" w:cs="Times New Roman"/>
          <w:sz w:val="24"/>
          <w:szCs w:val="24"/>
        </w:rPr>
        <w:t xml:space="preserve">CSR </w:t>
      </w:r>
      <w:r w:rsidR="006119F0" w:rsidRPr="00BD726E">
        <w:rPr>
          <w:rFonts w:ascii="Times New Roman" w:hAnsi="Times New Roman" w:cs="Times New Roman"/>
          <w:sz w:val="24"/>
          <w:szCs w:val="24"/>
        </w:rPr>
        <w:t>regulations</w:t>
      </w:r>
      <w:r w:rsidR="006119F0" w:rsidRPr="00006974">
        <w:rPr>
          <w:rFonts w:ascii="Times New Roman" w:hAnsi="Times New Roman" w:cs="Times New Roman"/>
          <w:sz w:val="24"/>
          <w:szCs w:val="24"/>
        </w:rPr>
        <w:t xml:space="preserve">, specifically CSR mandates, </w:t>
      </w:r>
      <w:r w:rsidR="009D29CD" w:rsidRPr="00006974">
        <w:rPr>
          <w:rFonts w:ascii="Times New Roman" w:hAnsi="Times New Roman" w:cs="Times New Roman"/>
          <w:sz w:val="24"/>
          <w:szCs w:val="24"/>
        </w:rPr>
        <w:t xml:space="preserve">can </w:t>
      </w:r>
      <w:r w:rsidR="006119F0" w:rsidRPr="00006974">
        <w:rPr>
          <w:rFonts w:ascii="Times New Roman" w:hAnsi="Times New Roman" w:cs="Times New Roman"/>
          <w:sz w:val="24"/>
          <w:szCs w:val="24"/>
        </w:rPr>
        <w:t xml:space="preserve">affect </w:t>
      </w:r>
      <w:r w:rsidR="005C40BA" w:rsidRPr="00006974">
        <w:rPr>
          <w:rFonts w:ascii="Times New Roman" w:hAnsi="Times New Roman" w:cs="Times New Roman"/>
          <w:sz w:val="24"/>
          <w:szCs w:val="24"/>
        </w:rPr>
        <w:t xml:space="preserve">firm value. This understanding is critically important for many resource-scarce developing countries where governments </w:t>
      </w:r>
      <w:r w:rsidR="00602B90" w:rsidRPr="00006974">
        <w:rPr>
          <w:rFonts w:ascii="Times New Roman" w:hAnsi="Times New Roman" w:cs="Times New Roman"/>
          <w:sz w:val="24"/>
          <w:szCs w:val="24"/>
        </w:rPr>
        <w:t xml:space="preserve">consider </w:t>
      </w:r>
      <w:r w:rsidR="006119F0" w:rsidRPr="00006974">
        <w:rPr>
          <w:rFonts w:ascii="Times New Roman" w:hAnsi="Times New Roman" w:cs="Times New Roman"/>
          <w:sz w:val="24"/>
          <w:szCs w:val="24"/>
        </w:rPr>
        <w:t xml:space="preserve">such </w:t>
      </w:r>
      <w:r w:rsidR="00602B90" w:rsidRPr="00006974">
        <w:rPr>
          <w:rFonts w:ascii="Times New Roman" w:hAnsi="Times New Roman" w:cs="Times New Roman"/>
          <w:sz w:val="24"/>
          <w:szCs w:val="24"/>
        </w:rPr>
        <w:t xml:space="preserve">mandates as a way to normalize and promote CSR practices </w:t>
      </w:r>
      <w:r w:rsidR="005C40BA" w:rsidRPr="00006974">
        <w:rPr>
          <w:rFonts w:ascii="Times New Roman" w:hAnsi="Times New Roman" w:cs="Times New Roman"/>
          <w:sz w:val="24"/>
          <w:szCs w:val="24"/>
        </w:rPr>
        <w:t xml:space="preserve">in hopes to channel private sector </w:t>
      </w:r>
      <w:r w:rsidR="005C40BA" w:rsidRPr="00006974">
        <w:rPr>
          <w:rFonts w:ascii="Times New Roman" w:hAnsi="Times New Roman" w:cs="Times New Roman"/>
          <w:sz w:val="24"/>
          <w:szCs w:val="24"/>
        </w:rPr>
        <w:lastRenderedPageBreak/>
        <w:t xml:space="preserve">resources to development programs. If these </w:t>
      </w:r>
      <w:r w:rsidR="00BD726E" w:rsidRPr="00006974">
        <w:rPr>
          <w:rFonts w:ascii="Times New Roman" w:hAnsi="Times New Roman" w:cs="Times New Roman"/>
          <w:sz w:val="24"/>
          <w:szCs w:val="24"/>
        </w:rPr>
        <w:t>mandates</w:t>
      </w:r>
      <w:r w:rsidR="005C40BA" w:rsidRPr="00006974">
        <w:rPr>
          <w:rFonts w:ascii="Times New Roman" w:hAnsi="Times New Roman" w:cs="Times New Roman"/>
          <w:sz w:val="24"/>
          <w:szCs w:val="24"/>
        </w:rPr>
        <w:t xml:space="preserve"> enhance firm value, we can reasonably expect that private industry would support the</w:t>
      </w:r>
      <w:r w:rsidR="006119F0" w:rsidRPr="00006974">
        <w:rPr>
          <w:rFonts w:ascii="Times New Roman" w:hAnsi="Times New Roman" w:cs="Times New Roman"/>
          <w:sz w:val="24"/>
          <w:szCs w:val="24"/>
        </w:rPr>
        <w:t xml:space="preserve">m </w:t>
      </w:r>
      <w:r w:rsidR="005C40BA" w:rsidRPr="00006974">
        <w:rPr>
          <w:rFonts w:ascii="Times New Roman" w:hAnsi="Times New Roman" w:cs="Times New Roman"/>
          <w:sz w:val="24"/>
          <w:szCs w:val="24"/>
        </w:rPr>
        <w:t>and hence th</w:t>
      </w:r>
      <w:r w:rsidR="00BD726E" w:rsidRPr="00006974">
        <w:rPr>
          <w:rFonts w:ascii="Times New Roman" w:hAnsi="Times New Roman" w:cs="Times New Roman"/>
          <w:sz w:val="24"/>
          <w:szCs w:val="24"/>
        </w:rPr>
        <w:t>is</w:t>
      </w:r>
      <w:r w:rsidR="006119F0" w:rsidRPr="00006974">
        <w:rPr>
          <w:rFonts w:ascii="Times New Roman" w:hAnsi="Times New Roman" w:cs="Times New Roman"/>
          <w:sz w:val="24"/>
          <w:szCs w:val="24"/>
        </w:rPr>
        <w:t xml:space="preserve"> approach </w:t>
      </w:r>
      <w:r w:rsidR="005C40BA" w:rsidRPr="00006974">
        <w:rPr>
          <w:rFonts w:ascii="Times New Roman" w:hAnsi="Times New Roman" w:cs="Times New Roman"/>
          <w:sz w:val="24"/>
          <w:szCs w:val="24"/>
        </w:rPr>
        <w:t xml:space="preserve">could </w:t>
      </w:r>
      <w:r w:rsidR="006119F0" w:rsidRPr="00006974">
        <w:rPr>
          <w:rFonts w:ascii="Times New Roman" w:hAnsi="Times New Roman" w:cs="Times New Roman"/>
          <w:sz w:val="24"/>
          <w:szCs w:val="24"/>
        </w:rPr>
        <w:t xml:space="preserve">be </w:t>
      </w:r>
      <w:r w:rsidR="00BD726E" w:rsidRPr="00006974">
        <w:rPr>
          <w:rFonts w:ascii="Times New Roman" w:hAnsi="Times New Roman" w:cs="Times New Roman"/>
          <w:sz w:val="24"/>
          <w:szCs w:val="24"/>
        </w:rPr>
        <w:t>effective</w:t>
      </w:r>
      <w:r w:rsidR="00B21F39" w:rsidRPr="00006974">
        <w:rPr>
          <w:rFonts w:ascii="Times New Roman" w:hAnsi="Times New Roman" w:cs="Times New Roman"/>
          <w:sz w:val="24"/>
          <w:szCs w:val="24"/>
        </w:rPr>
        <w:t xml:space="preserve"> in normalizing CSR practices</w:t>
      </w:r>
      <w:r w:rsidR="006119F0" w:rsidRPr="00006974">
        <w:rPr>
          <w:rFonts w:ascii="Times New Roman" w:hAnsi="Times New Roman" w:cs="Times New Roman"/>
          <w:sz w:val="24"/>
          <w:szCs w:val="24"/>
        </w:rPr>
        <w:t xml:space="preserve">. </w:t>
      </w:r>
      <w:r w:rsidR="009C714E" w:rsidRPr="00006974">
        <w:rPr>
          <w:rFonts w:ascii="Times New Roman" w:hAnsi="Times New Roman" w:cs="Times New Roman"/>
          <w:sz w:val="24"/>
          <w:szCs w:val="24"/>
        </w:rPr>
        <w:t>However, i</w:t>
      </w:r>
      <w:r w:rsidR="005C40BA" w:rsidRPr="00006974">
        <w:rPr>
          <w:rFonts w:ascii="Times New Roman" w:hAnsi="Times New Roman" w:cs="Times New Roman"/>
          <w:sz w:val="24"/>
          <w:szCs w:val="24"/>
        </w:rPr>
        <w:t xml:space="preserve">f </w:t>
      </w:r>
      <w:r w:rsidR="00BD726E" w:rsidRPr="00006974">
        <w:rPr>
          <w:rFonts w:ascii="Times New Roman" w:hAnsi="Times New Roman" w:cs="Times New Roman"/>
          <w:sz w:val="24"/>
          <w:szCs w:val="24"/>
        </w:rPr>
        <w:t>these mandates</w:t>
      </w:r>
      <w:r w:rsidR="009C714E" w:rsidRPr="00006974">
        <w:rPr>
          <w:rFonts w:ascii="Times New Roman" w:hAnsi="Times New Roman" w:cs="Times New Roman"/>
          <w:sz w:val="24"/>
          <w:szCs w:val="24"/>
        </w:rPr>
        <w:t xml:space="preserve"> </w:t>
      </w:r>
      <w:r w:rsidR="005C40BA" w:rsidRPr="00006974">
        <w:rPr>
          <w:rFonts w:ascii="Times New Roman" w:hAnsi="Times New Roman" w:cs="Times New Roman"/>
          <w:sz w:val="24"/>
          <w:szCs w:val="24"/>
        </w:rPr>
        <w:t xml:space="preserve">do not increase </w:t>
      </w:r>
      <w:r w:rsidR="009C714E" w:rsidRPr="00006974">
        <w:rPr>
          <w:rFonts w:ascii="Times New Roman" w:hAnsi="Times New Roman" w:cs="Times New Roman"/>
          <w:sz w:val="24"/>
          <w:szCs w:val="24"/>
        </w:rPr>
        <w:t xml:space="preserve">(or decrease) </w:t>
      </w:r>
      <w:r w:rsidR="005C40BA" w:rsidRPr="00006974">
        <w:rPr>
          <w:rFonts w:ascii="Times New Roman" w:hAnsi="Times New Roman" w:cs="Times New Roman"/>
          <w:sz w:val="24"/>
          <w:szCs w:val="24"/>
        </w:rPr>
        <w:t>firm value, firms will seek ways to undermine th</w:t>
      </w:r>
      <w:r w:rsidR="009C714E" w:rsidRPr="00006974">
        <w:rPr>
          <w:rFonts w:ascii="Times New Roman" w:hAnsi="Times New Roman" w:cs="Times New Roman"/>
          <w:sz w:val="24"/>
          <w:szCs w:val="24"/>
        </w:rPr>
        <w:t>em</w:t>
      </w:r>
      <w:r w:rsidR="00602B90" w:rsidRPr="00006974">
        <w:rPr>
          <w:rFonts w:ascii="Times New Roman" w:hAnsi="Times New Roman" w:cs="Times New Roman"/>
          <w:sz w:val="24"/>
          <w:szCs w:val="24"/>
        </w:rPr>
        <w:t>. In th</w:t>
      </w:r>
      <w:r w:rsidR="00BD726E" w:rsidRPr="00006974">
        <w:rPr>
          <w:rFonts w:ascii="Times New Roman" w:hAnsi="Times New Roman" w:cs="Times New Roman"/>
          <w:sz w:val="24"/>
          <w:szCs w:val="24"/>
        </w:rPr>
        <w:t xml:space="preserve">e latter </w:t>
      </w:r>
      <w:r w:rsidR="00602B90" w:rsidRPr="00006974">
        <w:rPr>
          <w:rFonts w:ascii="Times New Roman" w:hAnsi="Times New Roman" w:cs="Times New Roman"/>
          <w:sz w:val="24"/>
          <w:szCs w:val="24"/>
        </w:rPr>
        <w:t xml:space="preserve">case, </w:t>
      </w:r>
      <w:r w:rsidR="009C714E" w:rsidRPr="00006974">
        <w:rPr>
          <w:rFonts w:ascii="Times New Roman" w:hAnsi="Times New Roman" w:cs="Times New Roman"/>
          <w:sz w:val="24"/>
          <w:szCs w:val="24"/>
        </w:rPr>
        <w:t>governments w</w:t>
      </w:r>
      <w:r w:rsidR="00BD726E" w:rsidRPr="00006974">
        <w:rPr>
          <w:rFonts w:ascii="Times New Roman" w:hAnsi="Times New Roman" w:cs="Times New Roman"/>
          <w:sz w:val="24"/>
          <w:szCs w:val="24"/>
        </w:rPr>
        <w:t xml:space="preserve">ould </w:t>
      </w:r>
      <w:r w:rsidR="009C714E" w:rsidRPr="00006974">
        <w:rPr>
          <w:rFonts w:ascii="Times New Roman" w:hAnsi="Times New Roman" w:cs="Times New Roman"/>
          <w:sz w:val="24"/>
          <w:szCs w:val="24"/>
        </w:rPr>
        <w:t xml:space="preserve">need to consider alternative approaches to normalize and promote CSR practices. </w:t>
      </w:r>
    </w:p>
    <w:p w14:paraId="7F942BD5" w14:textId="75BC6D93" w:rsidR="00CC529B" w:rsidRDefault="005C40BA" w:rsidP="005979A7">
      <w:pPr>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Second, the </w:t>
      </w:r>
      <w:r w:rsidR="000512F5" w:rsidRPr="00006974">
        <w:rPr>
          <w:rFonts w:ascii="Times New Roman" w:hAnsi="Times New Roman" w:cs="Times New Roman"/>
          <w:sz w:val="24"/>
          <w:szCs w:val="24"/>
        </w:rPr>
        <w:t xml:space="preserve">article </w:t>
      </w:r>
      <w:r w:rsidRPr="00006974">
        <w:rPr>
          <w:rFonts w:ascii="Times New Roman" w:hAnsi="Times New Roman" w:cs="Times New Roman"/>
          <w:sz w:val="24"/>
          <w:szCs w:val="24"/>
        </w:rPr>
        <w:t xml:space="preserve">informs the longstanding debate </w:t>
      </w:r>
      <w:r w:rsidR="0003571E" w:rsidRPr="00006974">
        <w:rPr>
          <w:rFonts w:ascii="Times New Roman" w:hAnsi="Times New Roman" w:cs="Times New Roman"/>
          <w:sz w:val="24"/>
          <w:szCs w:val="24"/>
        </w:rPr>
        <w:t xml:space="preserve">about </w:t>
      </w:r>
      <w:r w:rsidR="00330775" w:rsidRPr="00006974">
        <w:rPr>
          <w:rFonts w:ascii="Times New Roman" w:hAnsi="Times New Roman" w:cs="Times New Roman"/>
          <w:sz w:val="24"/>
          <w:szCs w:val="24"/>
        </w:rPr>
        <w:t>how discretionary CSR enhances firm value.</w:t>
      </w:r>
      <w:r w:rsidR="0008768C" w:rsidRPr="00006974">
        <w:rPr>
          <w:rFonts w:ascii="Times New Roman" w:hAnsi="Times New Roman" w:cs="Times New Roman"/>
          <w:sz w:val="24"/>
          <w:szCs w:val="24"/>
        </w:rPr>
        <w:t xml:space="preserve"> In contrast with </w:t>
      </w:r>
      <w:r w:rsidR="00041590" w:rsidRPr="00006974">
        <w:rPr>
          <w:rFonts w:ascii="Times New Roman" w:hAnsi="Times New Roman" w:cs="Times New Roman"/>
          <w:sz w:val="24"/>
          <w:szCs w:val="24"/>
        </w:rPr>
        <w:t xml:space="preserve">a commonly held </w:t>
      </w:r>
      <w:r w:rsidR="0008768C" w:rsidRPr="00006974">
        <w:rPr>
          <w:rFonts w:ascii="Times New Roman" w:hAnsi="Times New Roman" w:cs="Times New Roman"/>
          <w:sz w:val="24"/>
          <w:szCs w:val="24"/>
        </w:rPr>
        <w:t xml:space="preserve">view </w:t>
      </w:r>
      <w:r w:rsidR="00041590" w:rsidRPr="00006974">
        <w:rPr>
          <w:rFonts w:ascii="Times New Roman" w:hAnsi="Times New Roman" w:cs="Times New Roman"/>
          <w:sz w:val="24"/>
          <w:szCs w:val="24"/>
        </w:rPr>
        <w:t xml:space="preserve">that firms </w:t>
      </w:r>
      <w:r w:rsidR="00D956A8" w:rsidRPr="00006974">
        <w:rPr>
          <w:rFonts w:ascii="Times New Roman" w:hAnsi="Times New Roman" w:cs="Times New Roman"/>
          <w:sz w:val="24"/>
          <w:szCs w:val="24"/>
        </w:rPr>
        <w:t xml:space="preserve">benefit from CSR </w:t>
      </w:r>
      <w:r w:rsidR="0008768C" w:rsidRPr="00006974">
        <w:rPr>
          <w:rFonts w:ascii="Times New Roman" w:hAnsi="Times New Roman" w:cs="Times New Roman"/>
          <w:sz w:val="24"/>
          <w:szCs w:val="24"/>
        </w:rPr>
        <w:t xml:space="preserve">primarily because </w:t>
      </w:r>
      <w:r w:rsidR="00950DE1" w:rsidRPr="00006974">
        <w:rPr>
          <w:rFonts w:ascii="Times New Roman" w:hAnsi="Times New Roman" w:cs="Times New Roman"/>
          <w:sz w:val="24"/>
          <w:szCs w:val="24"/>
        </w:rPr>
        <w:t>the CSR zone of discretion affords firms unlimited opportunities to be innovative</w:t>
      </w:r>
      <w:r w:rsidR="00457C4C">
        <w:rPr>
          <w:rFonts w:ascii="Times New Roman" w:hAnsi="Times New Roman" w:cs="Times New Roman"/>
          <w:sz w:val="24"/>
          <w:szCs w:val="24"/>
        </w:rPr>
        <w:t xml:space="preserve"> </w:t>
      </w:r>
      <w:r w:rsidR="00457C4C" w:rsidRPr="00006974">
        <w:rPr>
          <w:rFonts w:ascii="Times New Roman" w:hAnsi="Times New Roman" w:cs="Times New Roman"/>
          <w:sz w:val="24"/>
          <w:szCs w:val="24"/>
        </w:rPr>
        <w:t xml:space="preserve">(Ackerman &amp; </w:t>
      </w:r>
      <w:proofErr w:type="spellStart"/>
      <w:r w:rsidR="00457C4C" w:rsidRPr="00006974">
        <w:rPr>
          <w:rFonts w:ascii="Times New Roman" w:hAnsi="Times New Roman" w:cs="Times New Roman"/>
          <w:sz w:val="24"/>
          <w:szCs w:val="24"/>
        </w:rPr>
        <w:t>Baeuer</w:t>
      </w:r>
      <w:proofErr w:type="spellEnd"/>
      <w:r w:rsidR="00457C4C" w:rsidRPr="00006974">
        <w:rPr>
          <w:rFonts w:ascii="Times New Roman" w:hAnsi="Times New Roman" w:cs="Times New Roman"/>
          <w:sz w:val="24"/>
          <w:szCs w:val="24"/>
        </w:rPr>
        <w:t>, 1976)</w:t>
      </w:r>
      <w:r w:rsidR="00950DE1" w:rsidRPr="00006974">
        <w:rPr>
          <w:rFonts w:ascii="Times New Roman" w:hAnsi="Times New Roman" w:cs="Times New Roman"/>
          <w:sz w:val="24"/>
          <w:szCs w:val="24"/>
        </w:rPr>
        <w:t>, our results suggest</w:t>
      </w:r>
      <w:r w:rsidR="00330775" w:rsidRPr="00006974">
        <w:rPr>
          <w:rFonts w:ascii="Times New Roman" w:hAnsi="Times New Roman" w:cs="Times New Roman"/>
          <w:sz w:val="24"/>
          <w:szCs w:val="24"/>
        </w:rPr>
        <w:t xml:space="preserve"> that</w:t>
      </w:r>
      <w:r w:rsidR="00BA6B1F" w:rsidRPr="00006974">
        <w:rPr>
          <w:rFonts w:ascii="Times New Roman" w:hAnsi="Times New Roman" w:cs="Times New Roman"/>
          <w:sz w:val="24"/>
          <w:szCs w:val="24"/>
        </w:rPr>
        <w:t>,</w:t>
      </w:r>
      <w:r w:rsidR="00330775" w:rsidRPr="00006974">
        <w:rPr>
          <w:rFonts w:ascii="Times New Roman" w:hAnsi="Times New Roman" w:cs="Times New Roman"/>
          <w:sz w:val="24"/>
          <w:szCs w:val="24"/>
        </w:rPr>
        <w:t xml:space="preserve"> </w:t>
      </w:r>
      <w:r w:rsidR="00BA6B1F" w:rsidRPr="00006974">
        <w:rPr>
          <w:rFonts w:ascii="Times New Roman" w:hAnsi="Times New Roman" w:cs="Times New Roman"/>
          <w:sz w:val="24"/>
          <w:szCs w:val="24"/>
        </w:rPr>
        <w:t xml:space="preserve">in some contexts, </w:t>
      </w:r>
      <w:r w:rsidR="004F0511">
        <w:rPr>
          <w:rFonts w:ascii="Times New Roman" w:hAnsi="Times New Roman" w:cs="Times New Roman"/>
          <w:sz w:val="24"/>
          <w:szCs w:val="24"/>
        </w:rPr>
        <w:t>narrowing the</w:t>
      </w:r>
      <w:r w:rsidR="00950DE1" w:rsidRPr="00006974">
        <w:rPr>
          <w:rFonts w:ascii="Times New Roman" w:hAnsi="Times New Roman" w:cs="Times New Roman"/>
          <w:sz w:val="24"/>
          <w:szCs w:val="24"/>
        </w:rPr>
        <w:t xml:space="preserve"> </w:t>
      </w:r>
      <w:r w:rsidR="00330775" w:rsidRPr="00006974">
        <w:rPr>
          <w:rFonts w:ascii="Times New Roman" w:hAnsi="Times New Roman" w:cs="Times New Roman"/>
          <w:sz w:val="24"/>
          <w:szCs w:val="24"/>
        </w:rPr>
        <w:t xml:space="preserve">zone of discretion </w:t>
      </w:r>
      <w:r w:rsidR="00BA6B1F" w:rsidRPr="00006974">
        <w:rPr>
          <w:rFonts w:ascii="Times New Roman" w:hAnsi="Times New Roman" w:cs="Times New Roman"/>
          <w:sz w:val="24"/>
          <w:szCs w:val="24"/>
        </w:rPr>
        <w:t xml:space="preserve">through </w:t>
      </w:r>
      <w:r w:rsidR="005970B7" w:rsidRPr="00006974">
        <w:rPr>
          <w:rFonts w:ascii="Times New Roman" w:hAnsi="Times New Roman" w:cs="Times New Roman"/>
          <w:sz w:val="24"/>
          <w:szCs w:val="24"/>
        </w:rPr>
        <w:t xml:space="preserve">soft </w:t>
      </w:r>
      <w:r w:rsidR="00BA6B1F" w:rsidRPr="00006974">
        <w:rPr>
          <w:rFonts w:ascii="Times New Roman" w:hAnsi="Times New Roman" w:cs="Times New Roman"/>
          <w:sz w:val="24"/>
          <w:szCs w:val="24"/>
        </w:rPr>
        <w:t>regulatory edicts</w:t>
      </w:r>
      <w:r w:rsidR="00CC529B">
        <w:rPr>
          <w:rFonts w:ascii="Times New Roman" w:hAnsi="Times New Roman" w:cs="Times New Roman"/>
          <w:sz w:val="24"/>
          <w:szCs w:val="24"/>
        </w:rPr>
        <w:t xml:space="preserve"> is largely</w:t>
      </w:r>
      <w:r w:rsidR="00BA6B1F" w:rsidRPr="00006974">
        <w:rPr>
          <w:rFonts w:ascii="Times New Roman" w:hAnsi="Times New Roman" w:cs="Times New Roman"/>
          <w:sz w:val="24"/>
          <w:szCs w:val="24"/>
        </w:rPr>
        <w:t xml:space="preserve"> beneficial for firm</w:t>
      </w:r>
      <w:r w:rsidR="00BD726E" w:rsidRPr="00006974">
        <w:rPr>
          <w:rFonts w:ascii="Times New Roman" w:hAnsi="Times New Roman" w:cs="Times New Roman"/>
          <w:sz w:val="24"/>
          <w:szCs w:val="24"/>
        </w:rPr>
        <w:t>s</w:t>
      </w:r>
      <w:r w:rsidR="00950DE1" w:rsidRPr="00006974">
        <w:rPr>
          <w:rFonts w:ascii="Times New Roman" w:hAnsi="Times New Roman" w:cs="Times New Roman"/>
          <w:sz w:val="24"/>
          <w:szCs w:val="24"/>
        </w:rPr>
        <w:t xml:space="preserve">. Our </w:t>
      </w:r>
      <w:r w:rsidR="00BD726E" w:rsidRPr="00006974">
        <w:rPr>
          <w:rFonts w:ascii="Times New Roman" w:hAnsi="Times New Roman" w:cs="Times New Roman"/>
          <w:sz w:val="24"/>
          <w:szCs w:val="24"/>
        </w:rPr>
        <w:t xml:space="preserve">analyses </w:t>
      </w:r>
      <w:r w:rsidR="00950DE1" w:rsidRPr="00006974">
        <w:rPr>
          <w:rFonts w:ascii="Times New Roman" w:hAnsi="Times New Roman" w:cs="Times New Roman"/>
          <w:sz w:val="24"/>
          <w:szCs w:val="24"/>
        </w:rPr>
        <w:t>point to two possible explanations</w:t>
      </w:r>
      <w:r w:rsidR="00BD726E" w:rsidRPr="00006974">
        <w:rPr>
          <w:rFonts w:ascii="Times New Roman" w:hAnsi="Times New Roman" w:cs="Times New Roman"/>
          <w:sz w:val="24"/>
          <w:szCs w:val="24"/>
        </w:rPr>
        <w:t xml:space="preserve"> for this effect</w:t>
      </w:r>
      <w:r w:rsidR="00950DE1" w:rsidRPr="00006974">
        <w:rPr>
          <w:rFonts w:ascii="Times New Roman" w:hAnsi="Times New Roman" w:cs="Times New Roman"/>
          <w:sz w:val="24"/>
          <w:szCs w:val="24"/>
        </w:rPr>
        <w:t xml:space="preserve">: </w:t>
      </w:r>
      <w:r w:rsidR="00BD726E" w:rsidRPr="00006974">
        <w:rPr>
          <w:rFonts w:ascii="Times New Roman" w:hAnsi="Times New Roman" w:cs="Times New Roman"/>
          <w:sz w:val="24"/>
          <w:szCs w:val="24"/>
        </w:rPr>
        <w:t xml:space="preserve">first, </w:t>
      </w:r>
      <w:r w:rsidR="006667D1" w:rsidRPr="00006974">
        <w:rPr>
          <w:rFonts w:ascii="Times New Roman" w:hAnsi="Times New Roman" w:cs="Times New Roman"/>
          <w:sz w:val="24"/>
          <w:szCs w:val="24"/>
        </w:rPr>
        <w:t xml:space="preserve">soft </w:t>
      </w:r>
      <w:r w:rsidR="00BD726E" w:rsidRPr="00006974">
        <w:rPr>
          <w:rFonts w:ascii="Times New Roman" w:hAnsi="Times New Roman" w:cs="Times New Roman"/>
          <w:sz w:val="24"/>
          <w:szCs w:val="24"/>
        </w:rPr>
        <w:t>regulatory edicts</w:t>
      </w:r>
      <w:r w:rsidR="006667D1" w:rsidRPr="00006974">
        <w:rPr>
          <w:rFonts w:ascii="Times New Roman" w:hAnsi="Times New Roman" w:cs="Times New Roman"/>
          <w:sz w:val="24"/>
          <w:szCs w:val="24"/>
        </w:rPr>
        <w:t xml:space="preserve">, such as a CSR mandate, </w:t>
      </w:r>
      <w:r w:rsidR="00BD726E" w:rsidRPr="00006974">
        <w:rPr>
          <w:rFonts w:ascii="Times New Roman" w:hAnsi="Times New Roman" w:cs="Times New Roman"/>
          <w:sz w:val="24"/>
          <w:szCs w:val="24"/>
        </w:rPr>
        <w:t xml:space="preserve">may </w:t>
      </w:r>
      <w:r w:rsidR="00950DE1" w:rsidRPr="00006974">
        <w:rPr>
          <w:rFonts w:ascii="Times New Roman" w:hAnsi="Times New Roman" w:cs="Times New Roman"/>
          <w:sz w:val="24"/>
          <w:szCs w:val="24"/>
        </w:rPr>
        <w:t>reduc</w:t>
      </w:r>
      <w:r w:rsidR="00BD726E" w:rsidRPr="00006974">
        <w:rPr>
          <w:rFonts w:ascii="Times New Roman" w:hAnsi="Times New Roman" w:cs="Times New Roman"/>
          <w:sz w:val="24"/>
          <w:szCs w:val="24"/>
        </w:rPr>
        <w:t xml:space="preserve">e </w:t>
      </w:r>
      <w:r w:rsidR="00B21F39" w:rsidRPr="00006974">
        <w:rPr>
          <w:rFonts w:ascii="Times New Roman" w:hAnsi="Times New Roman" w:cs="Times New Roman"/>
          <w:sz w:val="24"/>
          <w:szCs w:val="24"/>
        </w:rPr>
        <w:t xml:space="preserve">the </w:t>
      </w:r>
      <w:r w:rsidR="00330775" w:rsidRPr="00006974">
        <w:rPr>
          <w:rFonts w:ascii="Times New Roman" w:hAnsi="Times New Roman" w:cs="Times New Roman"/>
          <w:sz w:val="24"/>
          <w:szCs w:val="24"/>
        </w:rPr>
        <w:t xml:space="preserve">contextual ambiguity </w:t>
      </w:r>
      <w:r w:rsidR="00BD726E" w:rsidRPr="00006974">
        <w:rPr>
          <w:rFonts w:ascii="Times New Roman" w:hAnsi="Times New Roman" w:cs="Times New Roman"/>
          <w:sz w:val="24"/>
          <w:szCs w:val="24"/>
        </w:rPr>
        <w:t>f</w:t>
      </w:r>
      <w:r w:rsidR="00B21F39" w:rsidRPr="00006974">
        <w:rPr>
          <w:rFonts w:ascii="Times New Roman" w:hAnsi="Times New Roman" w:cs="Times New Roman"/>
          <w:sz w:val="24"/>
          <w:szCs w:val="24"/>
        </w:rPr>
        <w:t>i</w:t>
      </w:r>
      <w:r w:rsidR="00BD726E" w:rsidRPr="00006974">
        <w:rPr>
          <w:rFonts w:ascii="Times New Roman" w:hAnsi="Times New Roman" w:cs="Times New Roman"/>
          <w:sz w:val="24"/>
          <w:szCs w:val="24"/>
        </w:rPr>
        <w:t xml:space="preserve">rms face </w:t>
      </w:r>
      <w:r w:rsidR="00CC07DD" w:rsidRPr="00006974">
        <w:rPr>
          <w:rFonts w:ascii="Times New Roman" w:hAnsi="Times New Roman" w:cs="Times New Roman"/>
          <w:sz w:val="24"/>
          <w:szCs w:val="24"/>
        </w:rPr>
        <w:t xml:space="preserve">in developing and implementing CSR activities; </w:t>
      </w:r>
      <w:r w:rsidR="00950DE1" w:rsidRPr="00006974">
        <w:rPr>
          <w:rFonts w:ascii="Times New Roman" w:hAnsi="Times New Roman" w:cs="Times New Roman"/>
          <w:sz w:val="24"/>
          <w:szCs w:val="24"/>
        </w:rPr>
        <w:t xml:space="preserve">and </w:t>
      </w:r>
      <w:r w:rsidR="00BD726E" w:rsidRPr="00006974">
        <w:rPr>
          <w:rFonts w:ascii="Times New Roman" w:hAnsi="Times New Roman" w:cs="Times New Roman"/>
          <w:sz w:val="24"/>
          <w:szCs w:val="24"/>
        </w:rPr>
        <w:t xml:space="preserve">second, they may </w:t>
      </w:r>
      <w:r w:rsidR="00950DE1" w:rsidRPr="00006974">
        <w:rPr>
          <w:rFonts w:ascii="Times New Roman" w:hAnsi="Times New Roman" w:cs="Times New Roman"/>
          <w:sz w:val="24"/>
          <w:szCs w:val="24"/>
        </w:rPr>
        <w:t xml:space="preserve">increase </w:t>
      </w:r>
      <w:r w:rsidR="007C30FF" w:rsidRPr="00006974">
        <w:rPr>
          <w:rFonts w:ascii="Times New Roman" w:hAnsi="Times New Roman" w:cs="Times New Roman"/>
          <w:sz w:val="24"/>
          <w:szCs w:val="24"/>
        </w:rPr>
        <w:t>perceived legitimacy</w:t>
      </w:r>
      <w:r w:rsidR="00BD726E" w:rsidRPr="00006974">
        <w:rPr>
          <w:rFonts w:ascii="Times New Roman" w:hAnsi="Times New Roman" w:cs="Times New Roman"/>
          <w:sz w:val="24"/>
          <w:szCs w:val="24"/>
        </w:rPr>
        <w:t xml:space="preserve"> of CSR activities</w:t>
      </w:r>
      <w:r w:rsidR="00CC07DD" w:rsidRPr="00006974">
        <w:rPr>
          <w:rFonts w:ascii="Times New Roman" w:hAnsi="Times New Roman" w:cs="Times New Roman"/>
          <w:sz w:val="24"/>
          <w:szCs w:val="24"/>
        </w:rPr>
        <w:t xml:space="preserve">. </w:t>
      </w:r>
    </w:p>
    <w:p w14:paraId="0927AC56" w14:textId="39277600" w:rsidR="005C40BA" w:rsidRPr="00006974" w:rsidRDefault="00BD726E" w:rsidP="005979A7">
      <w:pPr>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In addition to </w:t>
      </w:r>
      <w:r w:rsidR="00B21F39" w:rsidRPr="00006974">
        <w:rPr>
          <w:rFonts w:ascii="Times New Roman" w:hAnsi="Times New Roman" w:cs="Times New Roman"/>
          <w:sz w:val="24"/>
          <w:szCs w:val="24"/>
        </w:rPr>
        <w:t>these</w:t>
      </w:r>
      <w:r w:rsidR="00CC529B">
        <w:rPr>
          <w:rFonts w:ascii="Times New Roman" w:hAnsi="Times New Roman" w:cs="Times New Roman"/>
          <w:sz w:val="24"/>
          <w:szCs w:val="24"/>
        </w:rPr>
        <w:t xml:space="preserve"> empirical</w:t>
      </w:r>
      <w:r w:rsidRPr="00006974">
        <w:rPr>
          <w:rFonts w:ascii="Times New Roman" w:hAnsi="Times New Roman" w:cs="Times New Roman"/>
          <w:sz w:val="24"/>
          <w:szCs w:val="24"/>
        </w:rPr>
        <w:t xml:space="preserve"> and conceptual </w:t>
      </w:r>
      <w:r w:rsidR="005970B7" w:rsidRPr="00006974">
        <w:rPr>
          <w:rFonts w:ascii="Times New Roman" w:hAnsi="Times New Roman" w:cs="Times New Roman"/>
          <w:sz w:val="24"/>
          <w:szCs w:val="24"/>
        </w:rPr>
        <w:t>contributions</w:t>
      </w:r>
      <w:r w:rsidRPr="00006974">
        <w:rPr>
          <w:rFonts w:ascii="Times New Roman" w:hAnsi="Times New Roman" w:cs="Times New Roman"/>
          <w:sz w:val="24"/>
          <w:szCs w:val="24"/>
        </w:rPr>
        <w:t>,</w:t>
      </w:r>
      <w:r w:rsidR="00CC529B">
        <w:rPr>
          <w:rFonts w:ascii="Times New Roman" w:hAnsi="Times New Roman" w:cs="Times New Roman"/>
          <w:sz w:val="24"/>
          <w:szCs w:val="24"/>
        </w:rPr>
        <w:t xml:space="preserve"> this </w:t>
      </w:r>
      <w:r w:rsidR="004F0511">
        <w:rPr>
          <w:rFonts w:ascii="Times New Roman" w:hAnsi="Times New Roman" w:cs="Times New Roman"/>
          <w:sz w:val="24"/>
          <w:szCs w:val="24"/>
        </w:rPr>
        <w:t>article</w:t>
      </w:r>
      <w:r w:rsidR="004F0511" w:rsidRPr="00006974">
        <w:rPr>
          <w:rFonts w:ascii="Times New Roman" w:hAnsi="Times New Roman" w:cs="Times New Roman"/>
          <w:sz w:val="24"/>
          <w:szCs w:val="24"/>
        </w:rPr>
        <w:t xml:space="preserve"> </w:t>
      </w:r>
      <w:r w:rsidRPr="00006974">
        <w:rPr>
          <w:rFonts w:ascii="Times New Roman" w:hAnsi="Times New Roman" w:cs="Times New Roman"/>
          <w:sz w:val="24"/>
          <w:szCs w:val="24"/>
        </w:rPr>
        <w:t>also</w:t>
      </w:r>
      <w:r w:rsidR="00BA6B1F" w:rsidRPr="00006974">
        <w:rPr>
          <w:rFonts w:ascii="Times New Roman" w:hAnsi="Times New Roman" w:cs="Times New Roman"/>
          <w:sz w:val="24"/>
          <w:szCs w:val="24"/>
        </w:rPr>
        <w:t xml:space="preserve"> </w:t>
      </w:r>
      <w:r w:rsidR="005C40BA" w:rsidRPr="00006974">
        <w:rPr>
          <w:rFonts w:ascii="Times New Roman" w:hAnsi="Times New Roman" w:cs="Times New Roman"/>
          <w:sz w:val="24"/>
          <w:szCs w:val="24"/>
        </w:rPr>
        <w:t>offer</w:t>
      </w:r>
      <w:r w:rsidR="00CC529B">
        <w:rPr>
          <w:rFonts w:ascii="Times New Roman" w:hAnsi="Times New Roman" w:cs="Times New Roman"/>
          <w:sz w:val="24"/>
          <w:szCs w:val="24"/>
        </w:rPr>
        <w:t>s</w:t>
      </w:r>
      <w:r w:rsidR="005C40BA" w:rsidRPr="00006974">
        <w:rPr>
          <w:rFonts w:ascii="Times New Roman" w:hAnsi="Times New Roman" w:cs="Times New Roman"/>
          <w:sz w:val="24"/>
          <w:szCs w:val="24"/>
        </w:rPr>
        <w:t xml:space="preserve"> guidance for</w:t>
      </w:r>
      <w:r w:rsidR="00CC529B">
        <w:rPr>
          <w:rFonts w:ascii="Times New Roman" w:hAnsi="Times New Roman" w:cs="Times New Roman"/>
          <w:sz w:val="24"/>
          <w:szCs w:val="24"/>
        </w:rPr>
        <w:t xml:space="preserve"> </w:t>
      </w:r>
      <w:r w:rsidR="005C40BA" w:rsidRPr="00006974">
        <w:rPr>
          <w:rFonts w:ascii="Times New Roman" w:hAnsi="Times New Roman" w:cs="Times New Roman"/>
          <w:sz w:val="24"/>
          <w:szCs w:val="24"/>
        </w:rPr>
        <w:t>desig</w:t>
      </w:r>
      <w:r w:rsidR="00CC529B">
        <w:rPr>
          <w:rFonts w:ascii="Times New Roman" w:hAnsi="Times New Roman" w:cs="Times New Roman"/>
          <w:sz w:val="24"/>
          <w:szCs w:val="24"/>
        </w:rPr>
        <w:t>ning studies based on natural experiments</w:t>
      </w:r>
      <w:r w:rsidR="005C40BA" w:rsidRPr="00006974">
        <w:rPr>
          <w:rFonts w:ascii="Times New Roman" w:hAnsi="Times New Roman" w:cs="Times New Roman"/>
          <w:sz w:val="24"/>
          <w:szCs w:val="24"/>
        </w:rPr>
        <w:t xml:space="preserve"> that </w:t>
      </w:r>
      <w:r w:rsidR="00B6240A" w:rsidRPr="00006974">
        <w:rPr>
          <w:rFonts w:ascii="Times New Roman" w:hAnsi="Times New Roman" w:cs="Times New Roman"/>
          <w:sz w:val="24"/>
          <w:szCs w:val="24"/>
        </w:rPr>
        <w:t xml:space="preserve">are </w:t>
      </w:r>
      <w:r w:rsidR="00CC07DD" w:rsidRPr="00006974">
        <w:rPr>
          <w:rFonts w:ascii="Times New Roman" w:hAnsi="Times New Roman" w:cs="Times New Roman"/>
          <w:sz w:val="24"/>
          <w:szCs w:val="24"/>
        </w:rPr>
        <w:t>lack</w:t>
      </w:r>
      <w:r w:rsidR="00B6240A" w:rsidRPr="00006974">
        <w:rPr>
          <w:rFonts w:ascii="Times New Roman" w:hAnsi="Times New Roman" w:cs="Times New Roman"/>
          <w:sz w:val="24"/>
          <w:szCs w:val="24"/>
        </w:rPr>
        <w:t>ing</w:t>
      </w:r>
      <w:r w:rsidR="00BA6B1F" w:rsidRPr="00006974">
        <w:rPr>
          <w:rFonts w:ascii="Times New Roman" w:hAnsi="Times New Roman" w:cs="Times New Roman"/>
          <w:sz w:val="24"/>
          <w:szCs w:val="24"/>
        </w:rPr>
        <w:t xml:space="preserve"> in </w:t>
      </w:r>
      <w:r w:rsidR="005C40BA" w:rsidRPr="00006974">
        <w:rPr>
          <w:rFonts w:ascii="Times New Roman" w:hAnsi="Times New Roman" w:cs="Times New Roman"/>
          <w:sz w:val="24"/>
          <w:szCs w:val="24"/>
        </w:rPr>
        <w:t>business and society research (Crane et al., 2017).</w:t>
      </w:r>
      <w:r w:rsidR="000512F5" w:rsidRPr="00006974">
        <w:rPr>
          <w:rFonts w:ascii="Times New Roman" w:hAnsi="Times New Roman" w:cs="Times New Roman"/>
          <w:sz w:val="24"/>
          <w:szCs w:val="24"/>
        </w:rPr>
        <w:t xml:space="preserve"> </w:t>
      </w:r>
      <w:r w:rsidR="00CC529B">
        <w:rPr>
          <w:rFonts w:ascii="Times New Roman" w:hAnsi="Times New Roman" w:cs="Times New Roman"/>
          <w:sz w:val="24"/>
          <w:szCs w:val="24"/>
        </w:rPr>
        <w:t>A</w:t>
      </w:r>
      <w:r w:rsidR="000512F5" w:rsidRPr="00006974">
        <w:rPr>
          <w:rFonts w:ascii="Times New Roman" w:hAnsi="Times New Roman" w:cs="Times New Roman"/>
          <w:sz w:val="24"/>
          <w:szCs w:val="24"/>
        </w:rPr>
        <w:t xml:space="preserve"> key contribution of th</w:t>
      </w:r>
      <w:r w:rsidR="00994182" w:rsidRPr="00006974">
        <w:rPr>
          <w:rFonts w:ascii="Times New Roman" w:hAnsi="Times New Roman" w:cs="Times New Roman"/>
          <w:sz w:val="24"/>
          <w:szCs w:val="24"/>
        </w:rPr>
        <w:t>is article</w:t>
      </w:r>
      <w:r w:rsidR="00CC529B">
        <w:rPr>
          <w:rFonts w:ascii="Times New Roman" w:hAnsi="Times New Roman" w:cs="Times New Roman"/>
          <w:sz w:val="24"/>
          <w:szCs w:val="24"/>
        </w:rPr>
        <w:t>, thus, is methodological.</w:t>
      </w:r>
      <w:r w:rsidR="00994182" w:rsidRPr="00006974">
        <w:rPr>
          <w:rFonts w:ascii="Times New Roman" w:hAnsi="Times New Roman" w:cs="Times New Roman"/>
          <w:sz w:val="24"/>
          <w:szCs w:val="24"/>
        </w:rPr>
        <w:t xml:space="preserve"> </w:t>
      </w:r>
      <w:r w:rsidR="00CC529B">
        <w:rPr>
          <w:rFonts w:ascii="Times New Roman" w:hAnsi="Times New Roman" w:cs="Times New Roman"/>
          <w:sz w:val="24"/>
          <w:szCs w:val="24"/>
        </w:rPr>
        <w:t>We</w:t>
      </w:r>
      <w:r w:rsidR="000512F5" w:rsidRPr="00006974">
        <w:rPr>
          <w:rFonts w:ascii="Times New Roman" w:hAnsi="Times New Roman" w:cs="Times New Roman"/>
          <w:sz w:val="24"/>
          <w:szCs w:val="24"/>
        </w:rPr>
        <w:t xml:space="preserve"> highlight the critical importance of carefully choosing the event date in the passage of regulatory edicts that </w:t>
      </w:r>
      <w:r w:rsidR="00CC529B">
        <w:rPr>
          <w:rFonts w:ascii="Times New Roman" w:hAnsi="Times New Roman" w:cs="Times New Roman"/>
          <w:sz w:val="24"/>
          <w:szCs w:val="24"/>
        </w:rPr>
        <w:t xml:space="preserve">are rarely defined by a single event, such as the passing of a law, but in </w:t>
      </w:r>
      <w:r w:rsidR="004F0511">
        <w:rPr>
          <w:rFonts w:ascii="Times New Roman" w:hAnsi="Times New Roman" w:cs="Times New Roman"/>
          <w:sz w:val="24"/>
          <w:szCs w:val="24"/>
        </w:rPr>
        <w:t>reality,</w:t>
      </w:r>
      <w:r w:rsidR="00CC529B">
        <w:rPr>
          <w:rFonts w:ascii="Times New Roman" w:hAnsi="Times New Roman" w:cs="Times New Roman"/>
          <w:sz w:val="24"/>
          <w:szCs w:val="24"/>
        </w:rPr>
        <w:t xml:space="preserve"> tend to evolve in stages</w:t>
      </w:r>
      <w:r w:rsidR="000512F5" w:rsidRPr="00006974">
        <w:rPr>
          <w:rFonts w:ascii="Times New Roman" w:hAnsi="Times New Roman" w:cs="Times New Roman"/>
          <w:sz w:val="24"/>
          <w:szCs w:val="24"/>
        </w:rPr>
        <w:t xml:space="preserve">. </w:t>
      </w:r>
    </w:p>
    <w:p w14:paraId="520B065B" w14:textId="119E4C6E" w:rsidR="005C40BA" w:rsidRPr="008D53DE" w:rsidRDefault="005C40BA" w:rsidP="005979A7">
      <w:pPr>
        <w:spacing w:after="120" w:line="480" w:lineRule="auto"/>
        <w:ind w:firstLine="720"/>
        <w:jc w:val="both"/>
        <w:rPr>
          <w:rFonts w:ascii="Times New Roman" w:hAnsi="Times New Roman" w:cs="Times New Roman"/>
          <w:sz w:val="24"/>
          <w:szCs w:val="24"/>
        </w:rPr>
      </w:pPr>
      <w:r w:rsidRPr="00F70F0D">
        <w:rPr>
          <w:rFonts w:ascii="Times New Roman" w:hAnsi="Times New Roman" w:cs="Times New Roman"/>
          <w:sz w:val="24"/>
          <w:szCs w:val="24"/>
        </w:rPr>
        <w:t xml:space="preserve">We </w:t>
      </w:r>
      <w:r w:rsidR="00CC529B">
        <w:rPr>
          <w:rFonts w:ascii="Times New Roman" w:hAnsi="Times New Roman" w:cs="Times New Roman"/>
          <w:sz w:val="24"/>
          <w:szCs w:val="24"/>
        </w:rPr>
        <w:t>begin by</w:t>
      </w:r>
      <w:r w:rsidRPr="00F70F0D">
        <w:rPr>
          <w:rFonts w:ascii="Times New Roman" w:hAnsi="Times New Roman" w:cs="Times New Roman"/>
          <w:sz w:val="24"/>
          <w:szCs w:val="24"/>
        </w:rPr>
        <w:t xml:space="preserve"> survey</w:t>
      </w:r>
      <w:r w:rsidR="00CC529B">
        <w:rPr>
          <w:rFonts w:ascii="Times New Roman" w:hAnsi="Times New Roman" w:cs="Times New Roman"/>
          <w:sz w:val="24"/>
          <w:szCs w:val="24"/>
        </w:rPr>
        <w:t>ing</w:t>
      </w:r>
      <w:r w:rsidRPr="00F70F0D">
        <w:rPr>
          <w:rFonts w:ascii="Times New Roman" w:hAnsi="Times New Roman" w:cs="Times New Roman"/>
          <w:sz w:val="24"/>
          <w:szCs w:val="24"/>
        </w:rPr>
        <w:t xml:space="preserve"> the literature </w:t>
      </w:r>
      <w:r w:rsidR="00CC529B">
        <w:rPr>
          <w:rFonts w:ascii="Times New Roman" w:hAnsi="Times New Roman" w:cs="Times New Roman"/>
          <w:sz w:val="24"/>
          <w:szCs w:val="24"/>
        </w:rPr>
        <w:t>on</w:t>
      </w:r>
      <w:r w:rsidRPr="00F70F0D">
        <w:rPr>
          <w:rFonts w:ascii="Times New Roman" w:hAnsi="Times New Roman" w:cs="Times New Roman"/>
          <w:sz w:val="24"/>
          <w:szCs w:val="24"/>
        </w:rPr>
        <w:t xml:space="preserve"> the role of government and regulation in CSR</w:t>
      </w:r>
      <w:r w:rsidR="00CC529B">
        <w:rPr>
          <w:rFonts w:ascii="Times New Roman" w:hAnsi="Times New Roman" w:cs="Times New Roman"/>
          <w:sz w:val="24"/>
          <w:szCs w:val="24"/>
        </w:rPr>
        <w:t>. We also elaborate our empirical context – i.e., the emergence of soft CSR regulation in India</w:t>
      </w:r>
      <w:r w:rsidRPr="00F70F0D">
        <w:rPr>
          <w:rFonts w:ascii="Times New Roman" w:hAnsi="Times New Roman" w:cs="Times New Roman"/>
          <w:sz w:val="24"/>
          <w:szCs w:val="24"/>
        </w:rPr>
        <w:t xml:space="preserve">. </w:t>
      </w:r>
      <w:r w:rsidR="00CC529B">
        <w:rPr>
          <w:rFonts w:ascii="Times New Roman" w:hAnsi="Times New Roman" w:cs="Times New Roman"/>
          <w:sz w:val="24"/>
          <w:szCs w:val="24"/>
        </w:rPr>
        <w:t>W</w:t>
      </w:r>
      <w:r w:rsidRPr="00F70F0D">
        <w:rPr>
          <w:rFonts w:ascii="Times New Roman" w:hAnsi="Times New Roman" w:cs="Times New Roman"/>
          <w:sz w:val="24"/>
          <w:szCs w:val="24"/>
        </w:rPr>
        <w:t xml:space="preserve">e </w:t>
      </w:r>
      <w:r w:rsidR="00CC529B">
        <w:rPr>
          <w:rFonts w:ascii="Times New Roman" w:hAnsi="Times New Roman" w:cs="Times New Roman"/>
          <w:sz w:val="24"/>
          <w:szCs w:val="24"/>
        </w:rPr>
        <w:t xml:space="preserve">then </w:t>
      </w:r>
      <w:r w:rsidRPr="00F70F0D">
        <w:rPr>
          <w:rFonts w:ascii="Times New Roman" w:hAnsi="Times New Roman" w:cs="Times New Roman"/>
          <w:sz w:val="24"/>
          <w:szCs w:val="24"/>
        </w:rPr>
        <w:t>present our hypotheses, comprising a main and two moderation effects</w:t>
      </w:r>
      <w:r w:rsidR="006B3CA6">
        <w:rPr>
          <w:rFonts w:ascii="Times New Roman" w:hAnsi="Times New Roman" w:cs="Times New Roman"/>
          <w:sz w:val="24"/>
          <w:szCs w:val="24"/>
        </w:rPr>
        <w:t xml:space="preserve">. </w:t>
      </w:r>
      <w:r w:rsidR="004F0511">
        <w:rPr>
          <w:rFonts w:ascii="Times New Roman" w:hAnsi="Times New Roman" w:cs="Times New Roman"/>
          <w:sz w:val="24"/>
          <w:szCs w:val="24"/>
        </w:rPr>
        <w:t>Next,</w:t>
      </w:r>
      <w:r w:rsidR="006B3CA6">
        <w:rPr>
          <w:rFonts w:ascii="Times New Roman" w:hAnsi="Times New Roman" w:cs="Times New Roman"/>
          <w:sz w:val="24"/>
          <w:szCs w:val="24"/>
        </w:rPr>
        <w:t xml:space="preserve"> we describe our</w:t>
      </w:r>
      <w:r w:rsidRPr="00F70F0D">
        <w:rPr>
          <w:rFonts w:ascii="Times New Roman" w:hAnsi="Times New Roman" w:cs="Times New Roman"/>
          <w:sz w:val="24"/>
          <w:szCs w:val="24"/>
        </w:rPr>
        <w:t xml:space="preserve"> study design, </w:t>
      </w:r>
      <w:r w:rsidR="006B3CA6">
        <w:rPr>
          <w:rFonts w:ascii="Times New Roman" w:hAnsi="Times New Roman" w:cs="Times New Roman"/>
          <w:sz w:val="24"/>
          <w:szCs w:val="24"/>
        </w:rPr>
        <w:t xml:space="preserve">outline the </w:t>
      </w:r>
      <w:r w:rsidRPr="00F70F0D">
        <w:rPr>
          <w:rFonts w:ascii="Times New Roman" w:hAnsi="Times New Roman" w:cs="Times New Roman"/>
          <w:sz w:val="24"/>
          <w:szCs w:val="24"/>
        </w:rPr>
        <w:t xml:space="preserve">econometric specifications, </w:t>
      </w:r>
      <w:r w:rsidR="006B3CA6">
        <w:rPr>
          <w:rFonts w:ascii="Times New Roman" w:hAnsi="Times New Roman" w:cs="Times New Roman"/>
          <w:sz w:val="24"/>
          <w:szCs w:val="24"/>
        </w:rPr>
        <w:t xml:space="preserve">and review our </w:t>
      </w:r>
      <w:r w:rsidRPr="00F70F0D">
        <w:rPr>
          <w:rFonts w:ascii="Times New Roman" w:hAnsi="Times New Roman" w:cs="Times New Roman"/>
          <w:sz w:val="24"/>
          <w:szCs w:val="24"/>
        </w:rPr>
        <w:t>data analyse</w:t>
      </w:r>
      <w:r w:rsidR="006B3CA6">
        <w:rPr>
          <w:rFonts w:ascii="Times New Roman" w:hAnsi="Times New Roman" w:cs="Times New Roman"/>
          <w:sz w:val="24"/>
          <w:szCs w:val="24"/>
        </w:rPr>
        <w:t xml:space="preserve">s, before </w:t>
      </w:r>
      <w:r w:rsidR="006B3CA6">
        <w:rPr>
          <w:rFonts w:ascii="Times New Roman" w:hAnsi="Times New Roman" w:cs="Times New Roman"/>
          <w:sz w:val="24"/>
          <w:szCs w:val="24"/>
        </w:rPr>
        <w:lastRenderedPageBreak/>
        <w:t xml:space="preserve">presenting our </w:t>
      </w:r>
      <w:r w:rsidRPr="00F70F0D">
        <w:rPr>
          <w:rFonts w:ascii="Times New Roman" w:hAnsi="Times New Roman" w:cs="Times New Roman"/>
          <w:sz w:val="24"/>
          <w:szCs w:val="24"/>
        </w:rPr>
        <w:t>results. The discussion section</w:t>
      </w:r>
      <w:r w:rsidR="006B3CA6">
        <w:rPr>
          <w:rFonts w:ascii="Times New Roman" w:hAnsi="Times New Roman" w:cs="Times New Roman"/>
          <w:sz w:val="24"/>
          <w:szCs w:val="24"/>
        </w:rPr>
        <w:t xml:space="preserve"> explores</w:t>
      </w:r>
      <w:r w:rsidRPr="00F70F0D">
        <w:rPr>
          <w:rFonts w:ascii="Times New Roman" w:hAnsi="Times New Roman" w:cs="Times New Roman"/>
          <w:sz w:val="24"/>
          <w:szCs w:val="24"/>
        </w:rPr>
        <w:t xml:space="preserve"> the implications of our </w:t>
      </w:r>
      <w:r w:rsidR="006B3CA6">
        <w:rPr>
          <w:rFonts w:ascii="Times New Roman" w:hAnsi="Times New Roman" w:cs="Times New Roman"/>
          <w:sz w:val="24"/>
          <w:szCs w:val="24"/>
        </w:rPr>
        <w:t>findings</w:t>
      </w:r>
      <w:r w:rsidRPr="00F70F0D">
        <w:rPr>
          <w:rFonts w:ascii="Times New Roman" w:hAnsi="Times New Roman" w:cs="Times New Roman"/>
          <w:sz w:val="24"/>
          <w:szCs w:val="24"/>
        </w:rPr>
        <w:t xml:space="preserve">. We </w:t>
      </w:r>
      <w:r w:rsidR="006B3CA6">
        <w:rPr>
          <w:rFonts w:ascii="Times New Roman" w:hAnsi="Times New Roman" w:cs="Times New Roman"/>
          <w:sz w:val="24"/>
          <w:szCs w:val="24"/>
        </w:rPr>
        <w:t>conclude by noting our study</w:t>
      </w:r>
      <w:r w:rsidRPr="00F70F0D">
        <w:rPr>
          <w:rFonts w:ascii="Times New Roman" w:hAnsi="Times New Roman" w:cs="Times New Roman"/>
          <w:sz w:val="24"/>
          <w:szCs w:val="24"/>
        </w:rPr>
        <w:t xml:space="preserve"> limitations a</w:t>
      </w:r>
      <w:r w:rsidR="006B3CA6">
        <w:rPr>
          <w:rFonts w:ascii="Times New Roman" w:hAnsi="Times New Roman" w:cs="Times New Roman"/>
          <w:sz w:val="24"/>
          <w:szCs w:val="24"/>
        </w:rPr>
        <w:t>nd outlining an agenda for future research</w:t>
      </w:r>
      <w:r w:rsidRPr="00F70F0D">
        <w:rPr>
          <w:rFonts w:ascii="Times New Roman" w:hAnsi="Times New Roman" w:cs="Times New Roman"/>
          <w:sz w:val="24"/>
          <w:szCs w:val="24"/>
        </w:rPr>
        <w:t>.</w:t>
      </w:r>
    </w:p>
    <w:p w14:paraId="7CCCE3AA" w14:textId="77777777" w:rsidR="000F050A" w:rsidRPr="005979A7" w:rsidRDefault="000F050A" w:rsidP="005979A7">
      <w:pPr>
        <w:spacing w:after="120" w:line="480" w:lineRule="auto"/>
        <w:jc w:val="both"/>
        <w:rPr>
          <w:rFonts w:ascii="Times New Roman" w:hAnsi="Times New Roman" w:cs="Times New Roman"/>
          <w:b/>
          <w:sz w:val="24"/>
          <w:szCs w:val="24"/>
        </w:rPr>
      </w:pPr>
      <w:r w:rsidRPr="005979A7">
        <w:rPr>
          <w:rFonts w:ascii="Times New Roman" w:hAnsi="Times New Roman" w:cs="Times New Roman"/>
          <w:b/>
          <w:sz w:val="24"/>
          <w:szCs w:val="24"/>
        </w:rPr>
        <w:t>Regulatory interventions in CSR and India’s CSR regulation</w:t>
      </w:r>
    </w:p>
    <w:p w14:paraId="5B46DB3B" w14:textId="7686C2A6" w:rsidR="000F050A" w:rsidRPr="008D53DE" w:rsidRDefault="00A02C19" w:rsidP="005979A7">
      <w:pPr>
        <w:spacing w:before="200" w:line="48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Pr="008D53DE">
        <w:rPr>
          <w:rFonts w:ascii="Times New Roman" w:hAnsi="Times New Roman" w:cs="Times New Roman"/>
          <w:sz w:val="24"/>
          <w:szCs w:val="24"/>
        </w:rPr>
        <w:t xml:space="preserve">CSR </w:t>
      </w:r>
      <w:r w:rsidR="002018FE">
        <w:rPr>
          <w:rFonts w:ascii="Times New Roman" w:hAnsi="Times New Roman" w:cs="Times New Roman"/>
          <w:sz w:val="24"/>
          <w:szCs w:val="24"/>
        </w:rPr>
        <w:t xml:space="preserve">adoption </w:t>
      </w:r>
      <w:r w:rsidRPr="008D53DE">
        <w:rPr>
          <w:rFonts w:ascii="Times New Roman" w:hAnsi="Times New Roman" w:cs="Times New Roman"/>
          <w:sz w:val="24"/>
          <w:szCs w:val="24"/>
        </w:rPr>
        <w:t xml:space="preserve">is </w:t>
      </w:r>
      <w:r>
        <w:rPr>
          <w:rFonts w:ascii="Times New Roman" w:hAnsi="Times New Roman" w:cs="Times New Roman"/>
          <w:sz w:val="24"/>
          <w:szCs w:val="24"/>
        </w:rPr>
        <w:t>conc</w:t>
      </w:r>
      <w:r w:rsidR="00A5738A">
        <w:rPr>
          <w:rFonts w:ascii="Times New Roman" w:hAnsi="Times New Roman" w:cs="Times New Roman"/>
          <w:sz w:val="24"/>
          <w:szCs w:val="24"/>
        </w:rPr>
        <w:t xml:space="preserve">eptualized </w:t>
      </w:r>
      <w:r w:rsidRPr="008D53DE">
        <w:rPr>
          <w:rFonts w:ascii="Times New Roman" w:hAnsi="Times New Roman" w:cs="Times New Roman"/>
          <w:sz w:val="24"/>
          <w:szCs w:val="24"/>
        </w:rPr>
        <w:t xml:space="preserve">as </w:t>
      </w:r>
      <w:r w:rsidR="00BD726E">
        <w:rPr>
          <w:rFonts w:ascii="Times New Roman" w:hAnsi="Times New Roman" w:cs="Times New Roman"/>
          <w:sz w:val="24"/>
          <w:szCs w:val="24"/>
        </w:rPr>
        <w:t xml:space="preserve">a set of </w:t>
      </w:r>
      <w:r w:rsidRPr="008D53DE">
        <w:rPr>
          <w:rFonts w:ascii="Times New Roman" w:hAnsi="Times New Roman" w:cs="Times New Roman"/>
          <w:sz w:val="24"/>
          <w:szCs w:val="24"/>
        </w:rPr>
        <w:t xml:space="preserve">discretionary activities </w:t>
      </w:r>
      <w:r w:rsidR="002018FE">
        <w:rPr>
          <w:rFonts w:ascii="Times New Roman" w:hAnsi="Times New Roman" w:cs="Times New Roman"/>
          <w:sz w:val="24"/>
          <w:szCs w:val="24"/>
        </w:rPr>
        <w:t xml:space="preserve">independent from government regulation </w:t>
      </w:r>
      <w:r w:rsidRPr="008D53DE">
        <w:rPr>
          <w:rFonts w:ascii="Times New Roman" w:hAnsi="Times New Roman" w:cs="Times New Roman"/>
          <w:sz w:val="24"/>
          <w:szCs w:val="24"/>
        </w:rPr>
        <w:t>(McWilliams et al., 2006)</w:t>
      </w:r>
      <w:r w:rsidR="00A5738A">
        <w:rPr>
          <w:rFonts w:ascii="Times New Roman" w:hAnsi="Times New Roman" w:cs="Times New Roman"/>
          <w:sz w:val="24"/>
          <w:szCs w:val="24"/>
        </w:rPr>
        <w:t xml:space="preserve">, </w:t>
      </w:r>
      <w:r w:rsidR="000F050A" w:rsidRPr="008D53DE">
        <w:rPr>
          <w:rFonts w:ascii="Times New Roman" w:hAnsi="Times New Roman" w:cs="Times New Roman"/>
          <w:sz w:val="24"/>
          <w:szCs w:val="24"/>
        </w:rPr>
        <w:t xml:space="preserve">CSR scholars have long </w:t>
      </w:r>
      <w:r w:rsidR="00A5738A">
        <w:rPr>
          <w:rFonts w:ascii="Times New Roman" w:hAnsi="Times New Roman" w:cs="Times New Roman"/>
          <w:sz w:val="24"/>
          <w:szCs w:val="24"/>
        </w:rPr>
        <w:t>recognized th</w:t>
      </w:r>
      <w:r w:rsidR="009B5854">
        <w:rPr>
          <w:rFonts w:ascii="Times New Roman" w:hAnsi="Times New Roman" w:cs="Times New Roman"/>
          <w:sz w:val="24"/>
          <w:szCs w:val="24"/>
        </w:rPr>
        <w:t xml:space="preserve">at </w:t>
      </w:r>
      <w:r w:rsidR="002018FE">
        <w:rPr>
          <w:rFonts w:ascii="Times New Roman" w:hAnsi="Times New Roman" w:cs="Times New Roman"/>
          <w:sz w:val="24"/>
          <w:szCs w:val="24"/>
        </w:rPr>
        <w:t xml:space="preserve">the </w:t>
      </w:r>
      <w:r w:rsidR="000F050A" w:rsidRPr="008D53DE">
        <w:rPr>
          <w:rFonts w:ascii="Times New Roman" w:hAnsi="Times New Roman" w:cs="Times New Roman"/>
          <w:sz w:val="24"/>
          <w:szCs w:val="24"/>
        </w:rPr>
        <w:t xml:space="preserve">regulatory environment </w:t>
      </w:r>
      <w:r w:rsidR="00A5738A">
        <w:rPr>
          <w:rFonts w:ascii="Times New Roman" w:hAnsi="Times New Roman" w:cs="Times New Roman"/>
          <w:sz w:val="24"/>
          <w:szCs w:val="24"/>
        </w:rPr>
        <w:t>influenc</w:t>
      </w:r>
      <w:r w:rsidR="009B5854">
        <w:rPr>
          <w:rFonts w:ascii="Times New Roman" w:hAnsi="Times New Roman" w:cs="Times New Roman"/>
          <w:sz w:val="24"/>
          <w:szCs w:val="24"/>
        </w:rPr>
        <w:t xml:space="preserve">es </w:t>
      </w:r>
      <w:r w:rsidR="000F050A" w:rsidRPr="008D53DE">
        <w:rPr>
          <w:rFonts w:ascii="Times New Roman" w:hAnsi="Times New Roman" w:cs="Times New Roman"/>
          <w:sz w:val="24"/>
          <w:szCs w:val="24"/>
        </w:rPr>
        <w:t xml:space="preserve">whether – and </w:t>
      </w:r>
      <w:r w:rsidR="002018FE">
        <w:rPr>
          <w:rFonts w:ascii="Times New Roman" w:hAnsi="Times New Roman" w:cs="Times New Roman"/>
          <w:sz w:val="24"/>
          <w:szCs w:val="24"/>
        </w:rPr>
        <w:t>how</w:t>
      </w:r>
      <w:r w:rsidR="000F050A" w:rsidRPr="008D53DE">
        <w:rPr>
          <w:rFonts w:ascii="Times New Roman" w:hAnsi="Times New Roman" w:cs="Times New Roman"/>
          <w:sz w:val="24"/>
          <w:szCs w:val="24"/>
        </w:rPr>
        <w:t xml:space="preserve"> – </w:t>
      </w:r>
      <w:r w:rsidR="009B5854">
        <w:rPr>
          <w:rFonts w:ascii="Times New Roman" w:hAnsi="Times New Roman" w:cs="Times New Roman"/>
          <w:sz w:val="24"/>
          <w:szCs w:val="24"/>
        </w:rPr>
        <w:t>firm</w:t>
      </w:r>
      <w:r w:rsidR="009B5854" w:rsidRPr="008D53DE">
        <w:rPr>
          <w:rFonts w:ascii="Times New Roman" w:hAnsi="Times New Roman" w:cs="Times New Roman"/>
          <w:sz w:val="24"/>
          <w:szCs w:val="24"/>
        </w:rPr>
        <w:t xml:space="preserve">s </w:t>
      </w:r>
      <w:r w:rsidR="000F050A" w:rsidRPr="008D53DE">
        <w:rPr>
          <w:rFonts w:ascii="Times New Roman" w:hAnsi="Times New Roman" w:cs="Times New Roman"/>
          <w:sz w:val="24"/>
          <w:szCs w:val="24"/>
        </w:rPr>
        <w:t xml:space="preserve">pursue CSR (King &amp; Lenox, 2000; Short &amp; </w:t>
      </w:r>
      <w:proofErr w:type="spellStart"/>
      <w:r w:rsidR="000F050A" w:rsidRPr="008D53DE">
        <w:rPr>
          <w:rFonts w:ascii="Times New Roman" w:hAnsi="Times New Roman" w:cs="Times New Roman"/>
          <w:sz w:val="24"/>
          <w:szCs w:val="24"/>
        </w:rPr>
        <w:t>Toffel</w:t>
      </w:r>
      <w:proofErr w:type="spellEnd"/>
      <w:r w:rsidR="000F050A" w:rsidRPr="008D53DE">
        <w:rPr>
          <w:rFonts w:ascii="Times New Roman" w:hAnsi="Times New Roman" w:cs="Times New Roman"/>
          <w:sz w:val="24"/>
          <w:szCs w:val="24"/>
        </w:rPr>
        <w:t>, 2010)</w:t>
      </w:r>
      <w:r w:rsidR="00A5738A">
        <w:rPr>
          <w:rFonts w:ascii="Times New Roman" w:hAnsi="Times New Roman" w:cs="Times New Roman"/>
          <w:sz w:val="24"/>
          <w:szCs w:val="24"/>
        </w:rPr>
        <w:t xml:space="preserve">. </w:t>
      </w:r>
      <w:r w:rsidR="002018FE">
        <w:rPr>
          <w:rFonts w:ascii="Times New Roman" w:hAnsi="Times New Roman" w:cs="Times New Roman"/>
          <w:sz w:val="24"/>
          <w:szCs w:val="24"/>
        </w:rPr>
        <w:t>G</w:t>
      </w:r>
      <w:r w:rsidR="000F050A" w:rsidRPr="008D53DE">
        <w:rPr>
          <w:rFonts w:ascii="Times New Roman" w:hAnsi="Times New Roman" w:cs="Times New Roman"/>
          <w:sz w:val="24"/>
          <w:szCs w:val="24"/>
        </w:rPr>
        <w:t>overnments routinely influence CSR practices (</w:t>
      </w:r>
      <w:proofErr w:type="spellStart"/>
      <w:r w:rsidR="000F050A" w:rsidRPr="008D53DE">
        <w:rPr>
          <w:rFonts w:ascii="Times New Roman" w:hAnsi="Times New Roman" w:cs="Times New Roman"/>
          <w:sz w:val="24"/>
          <w:szCs w:val="24"/>
        </w:rPr>
        <w:t>Dentchev</w:t>
      </w:r>
      <w:proofErr w:type="spellEnd"/>
      <w:r w:rsidR="000F050A" w:rsidRPr="008D53DE">
        <w:rPr>
          <w:rFonts w:ascii="Times New Roman" w:hAnsi="Times New Roman" w:cs="Times New Roman"/>
          <w:sz w:val="24"/>
          <w:szCs w:val="24"/>
        </w:rPr>
        <w:t xml:space="preserve"> et al., 2015; Gond et al., 2011; </w:t>
      </w:r>
      <w:proofErr w:type="spellStart"/>
      <w:r w:rsidR="000F050A" w:rsidRPr="008D53DE">
        <w:rPr>
          <w:rFonts w:ascii="Times New Roman" w:hAnsi="Times New Roman" w:cs="Times New Roman"/>
          <w:sz w:val="24"/>
          <w:szCs w:val="24"/>
        </w:rPr>
        <w:t>Idemudia</w:t>
      </w:r>
      <w:proofErr w:type="spellEnd"/>
      <w:r w:rsidR="000F050A" w:rsidRPr="008D53DE">
        <w:rPr>
          <w:rFonts w:ascii="Times New Roman" w:hAnsi="Times New Roman" w:cs="Times New Roman"/>
          <w:sz w:val="24"/>
          <w:szCs w:val="24"/>
        </w:rPr>
        <w:t xml:space="preserve">, 2010; Knudsen, 2018; </w:t>
      </w:r>
      <w:proofErr w:type="spellStart"/>
      <w:r w:rsidR="000F050A" w:rsidRPr="008D53DE">
        <w:rPr>
          <w:rFonts w:ascii="Times New Roman" w:hAnsi="Times New Roman" w:cs="Times New Roman"/>
          <w:sz w:val="24"/>
          <w:szCs w:val="24"/>
        </w:rPr>
        <w:t>Vallentin</w:t>
      </w:r>
      <w:proofErr w:type="spellEnd"/>
      <w:r w:rsidR="000F050A" w:rsidRPr="008D53DE">
        <w:rPr>
          <w:rFonts w:ascii="Times New Roman" w:hAnsi="Times New Roman" w:cs="Times New Roman"/>
          <w:sz w:val="24"/>
          <w:szCs w:val="24"/>
        </w:rPr>
        <w:t xml:space="preserve">, 2015; </w:t>
      </w:r>
      <w:proofErr w:type="spellStart"/>
      <w:r w:rsidR="000F050A" w:rsidRPr="008D53DE">
        <w:rPr>
          <w:rFonts w:ascii="Times New Roman" w:hAnsi="Times New Roman" w:cs="Times New Roman"/>
          <w:sz w:val="24"/>
          <w:szCs w:val="24"/>
        </w:rPr>
        <w:t>Vallentin</w:t>
      </w:r>
      <w:proofErr w:type="spellEnd"/>
      <w:r w:rsidR="000F050A" w:rsidRPr="008D53DE">
        <w:rPr>
          <w:rFonts w:ascii="Times New Roman" w:hAnsi="Times New Roman" w:cs="Times New Roman"/>
          <w:sz w:val="24"/>
          <w:szCs w:val="24"/>
        </w:rPr>
        <w:t xml:space="preserve"> &amp; Murillo, 2012)</w:t>
      </w:r>
      <w:r w:rsidR="003F00EF">
        <w:rPr>
          <w:rFonts w:ascii="Times New Roman" w:hAnsi="Times New Roman" w:cs="Times New Roman"/>
          <w:sz w:val="24"/>
          <w:szCs w:val="24"/>
        </w:rPr>
        <w:t xml:space="preserve">. </w:t>
      </w:r>
      <w:r w:rsidR="000F050A" w:rsidRPr="008D53DE">
        <w:rPr>
          <w:rFonts w:ascii="Times New Roman" w:hAnsi="Times New Roman" w:cs="Times New Roman"/>
          <w:sz w:val="24"/>
          <w:szCs w:val="24"/>
        </w:rPr>
        <w:t xml:space="preserve">In fact, government intervention in CSR can be so </w:t>
      </w:r>
      <w:r w:rsidR="00692BE9">
        <w:rPr>
          <w:rFonts w:ascii="Times New Roman" w:hAnsi="Times New Roman" w:cs="Times New Roman"/>
          <w:sz w:val="24"/>
          <w:szCs w:val="24"/>
        </w:rPr>
        <w:t xml:space="preserve">profound </w:t>
      </w:r>
      <w:r w:rsidR="000F050A" w:rsidRPr="008D53DE">
        <w:rPr>
          <w:rFonts w:ascii="Times New Roman" w:hAnsi="Times New Roman" w:cs="Times New Roman"/>
          <w:sz w:val="24"/>
          <w:szCs w:val="24"/>
        </w:rPr>
        <w:t>that the UK</w:t>
      </w:r>
      <w:r w:rsidR="009415C6">
        <w:rPr>
          <w:rFonts w:ascii="Times New Roman" w:hAnsi="Times New Roman" w:cs="Times New Roman"/>
          <w:sz w:val="24"/>
          <w:szCs w:val="24"/>
        </w:rPr>
        <w:t xml:space="preserve"> government</w:t>
      </w:r>
      <w:r w:rsidR="002018FE">
        <w:rPr>
          <w:rFonts w:ascii="Times New Roman" w:hAnsi="Times New Roman" w:cs="Times New Roman"/>
          <w:sz w:val="24"/>
          <w:szCs w:val="24"/>
        </w:rPr>
        <w:t xml:space="preserve"> once</w:t>
      </w:r>
      <w:r w:rsidR="000F050A" w:rsidRPr="008D53DE">
        <w:rPr>
          <w:rFonts w:ascii="Times New Roman" w:hAnsi="Times New Roman" w:cs="Times New Roman"/>
          <w:sz w:val="24"/>
          <w:szCs w:val="24"/>
        </w:rPr>
        <w:t xml:space="preserve"> had a separate minister of CSR</w:t>
      </w:r>
      <w:r w:rsidR="009415C6">
        <w:rPr>
          <w:rFonts w:ascii="Times New Roman" w:hAnsi="Times New Roman" w:cs="Times New Roman"/>
          <w:sz w:val="24"/>
          <w:szCs w:val="24"/>
        </w:rPr>
        <w:t xml:space="preserve">. </w:t>
      </w:r>
      <w:r w:rsidR="00A5738A">
        <w:rPr>
          <w:rFonts w:ascii="Times New Roman" w:hAnsi="Times New Roman" w:cs="Times New Roman"/>
          <w:sz w:val="24"/>
          <w:szCs w:val="24"/>
        </w:rPr>
        <w:t xml:space="preserve">Thus, </w:t>
      </w:r>
      <w:r w:rsidR="00A3116E">
        <w:rPr>
          <w:rFonts w:ascii="Times New Roman" w:hAnsi="Times New Roman" w:cs="Times New Roman"/>
          <w:sz w:val="24"/>
          <w:szCs w:val="24"/>
        </w:rPr>
        <w:t>despite</w:t>
      </w:r>
      <w:r w:rsidR="009B5854">
        <w:rPr>
          <w:rFonts w:ascii="Times New Roman" w:hAnsi="Times New Roman" w:cs="Times New Roman"/>
          <w:sz w:val="24"/>
          <w:szCs w:val="24"/>
        </w:rPr>
        <w:t xml:space="preserve"> its</w:t>
      </w:r>
      <w:r w:rsidR="002018FE">
        <w:rPr>
          <w:rFonts w:ascii="Times New Roman" w:hAnsi="Times New Roman" w:cs="Times New Roman"/>
          <w:sz w:val="24"/>
          <w:szCs w:val="24"/>
        </w:rPr>
        <w:t xml:space="preserve"> framing in an ethos of voluntarism</w:t>
      </w:r>
      <w:r w:rsidR="003F00EF">
        <w:rPr>
          <w:rFonts w:ascii="Times New Roman" w:hAnsi="Times New Roman" w:cs="Times New Roman"/>
          <w:sz w:val="24"/>
          <w:szCs w:val="24"/>
        </w:rPr>
        <w:t>, CSR</w:t>
      </w:r>
      <w:r w:rsidR="00A5738A">
        <w:rPr>
          <w:rFonts w:ascii="Times New Roman" w:hAnsi="Times New Roman" w:cs="Times New Roman"/>
          <w:sz w:val="24"/>
          <w:szCs w:val="24"/>
        </w:rPr>
        <w:t xml:space="preserve"> </w:t>
      </w:r>
      <w:r w:rsidR="002018FE">
        <w:rPr>
          <w:rFonts w:ascii="Times New Roman" w:hAnsi="Times New Roman" w:cs="Times New Roman"/>
          <w:sz w:val="24"/>
          <w:szCs w:val="24"/>
        </w:rPr>
        <w:t>adoption is not</w:t>
      </w:r>
      <w:r w:rsidR="00A5738A">
        <w:rPr>
          <w:rFonts w:ascii="Times New Roman" w:hAnsi="Times New Roman" w:cs="Times New Roman"/>
          <w:sz w:val="24"/>
          <w:szCs w:val="24"/>
        </w:rPr>
        <w:t xml:space="preserve"> purely </w:t>
      </w:r>
      <w:r w:rsidR="000F050A" w:rsidRPr="008D53DE">
        <w:rPr>
          <w:rFonts w:ascii="Times New Roman" w:hAnsi="Times New Roman" w:cs="Times New Roman"/>
          <w:sz w:val="24"/>
          <w:szCs w:val="24"/>
        </w:rPr>
        <w:t xml:space="preserve">discretionary. </w:t>
      </w:r>
      <w:r w:rsidR="002018FE">
        <w:rPr>
          <w:rFonts w:ascii="Times New Roman" w:hAnsi="Times New Roman" w:cs="Times New Roman"/>
          <w:sz w:val="24"/>
          <w:szCs w:val="24"/>
        </w:rPr>
        <w:t>More typically,</w:t>
      </w:r>
      <w:r w:rsidR="003F00EF">
        <w:rPr>
          <w:rFonts w:ascii="Times New Roman" w:hAnsi="Times New Roman" w:cs="Times New Roman"/>
          <w:sz w:val="24"/>
          <w:szCs w:val="24"/>
        </w:rPr>
        <w:t xml:space="preserve"> it </w:t>
      </w:r>
      <w:r w:rsidR="00A3116E">
        <w:rPr>
          <w:rFonts w:ascii="Times New Roman" w:hAnsi="Times New Roman" w:cs="Times New Roman"/>
          <w:sz w:val="24"/>
          <w:szCs w:val="24"/>
        </w:rPr>
        <w:t>occurs in</w:t>
      </w:r>
      <w:r w:rsidR="003F00EF">
        <w:rPr>
          <w:rFonts w:ascii="Times New Roman" w:hAnsi="Times New Roman" w:cs="Times New Roman"/>
          <w:sz w:val="24"/>
          <w:szCs w:val="24"/>
        </w:rPr>
        <w:t xml:space="preserve"> a</w:t>
      </w:r>
      <w:r w:rsidR="00F95A33">
        <w:rPr>
          <w:rFonts w:ascii="Times New Roman" w:hAnsi="Times New Roman" w:cs="Times New Roman"/>
          <w:sz w:val="24"/>
          <w:szCs w:val="24"/>
        </w:rPr>
        <w:t xml:space="preserve"> hybrid</w:t>
      </w:r>
      <w:r w:rsidR="00A3116E">
        <w:rPr>
          <w:rFonts w:ascii="Times New Roman" w:hAnsi="Times New Roman" w:cs="Times New Roman"/>
          <w:sz w:val="24"/>
          <w:szCs w:val="24"/>
        </w:rPr>
        <w:t xml:space="preserve"> form that</w:t>
      </w:r>
      <w:r w:rsidR="00F95A33">
        <w:rPr>
          <w:rFonts w:ascii="Times New Roman" w:hAnsi="Times New Roman" w:cs="Times New Roman"/>
          <w:sz w:val="24"/>
          <w:szCs w:val="24"/>
        </w:rPr>
        <w:t xml:space="preserve"> </w:t>
      </w:r>
      <w:r w:rsidR="00692BE9">
        <w:rPr>
          <w:rFonts w:ascii="Times New Roman" w:hAnsi="Times New Roman" w:cs="Times New Roman"/>
          <w:sz w:val="24"/>
          <w:szCs w:val="24"/>
        </w:rPr>
        <w:t>combin</w:t>
      </w:r>
      <w:r w:rsidR="00A3116E">
        <w:rPr>
          <w:rFonts w:ascii="Times New Roman" w:hAnsi="Times New Roman" w:cs="Times New Roman"/>
          <w:sz w:val="24"/>
          <w:szCs w:val="24"/>
        </w:rPr>
        <w:t>es</w:t>
      </w:r>
      <w:r w:rsidR="00F72443">
        <w:rPr>
          <w:rFonts w:ascii="Times New Roman" w:hAnsi="Times New Roman" w:cs="Times New Roman"/>
          <w:sz w:val="24"/>
          <w:szCs w:val="24"/>
        </w:rPr>
        <w:t xml:space="preserve"> </w:t>
      </w:r>
      <w:r w:rsidR="00692BE9">
        <w:rPr>
          <w:rFonts w:ascii="Times New Roman" w:hAnsi="Times New Roman" w:cs="Times New Roman"/>
          <w:sz w:val="24"/>
          <w:szCs w:val="24"/>
        </w:rPr>
        <w:t xml:space="preserve">flexible regulatory edicts with </w:t>
      </w:r>
      <w:r w:rsidR="00256ECE">
        <w:rPr>
          <w:rFonts w:ascii="Times New Roman" w:hAnsi="Times New Roman" w:cs="Times New Roman"/>
          <w:sz w:val="24"/>
          <w:szCs w:val="24"/>
        </w:rPr>
        <w:t>discretionary CSR</w:t>
      </w:r>
      <w:r w:rsidR="00A3116E">
        <w:rPr>
          <w:rFonts w:ascii="Times New Roman" w:hAnsi="Times New Roman" w:cs="Times New Roman"/>
          <w:sz w:val="24"/>
          <w:szCs w:val="24"/>
        </w:rPr>
        <w:t>. Th</w:t>
      </w:r>
      <w:r w:rsidR="000512F5">
        <w:rPr>
          <w:rFonts w:ascii="Times New Roman" w:hAnsi="Times New Roman" w:cs="Times New Roman"/>
          <w:sz w:val="24"/>
          <w:szCs w:val="24"/>
        </w:rPr>
        <w:t xml:space="preserve">ese flexible regulatory edicts </w:t>
      </w:r>
      <w:r w:rsidR="00994182">
        <w:rPr>
          <w:rFonts w:ascii="Times New Roman" w:hAnsi="Times New Roman" w:cs="Times New Roman"/>
          <w:sz w:val="24"/>
          <w:szCs w:val="24"/>
        </w:rPr>
        <w:t xml:space="preserve">can be </w:t>
      </w:r>
      <w:r w:rsidR="00A3116E">
        <w:rPr>
          <w:rFonts w:ascii="Times New Roman" w:hAnsi="Times New Roman" w:cs="Times New Roman"/>
          <w:sz w:val="24"/>
          <w:szCs w:val="24"/>
        </w:rPr>
        <w:t xml:space="preserve">termed </w:t>
      </w:r>
      <w:r w:rsidR="00692BE9" w:rsidRPr="00006974">
        <w:rPr>
          <w:rFonts w:ascii="Times New Roman" w:hAnsi="Times New Roman" w:cs="Times New Roman"/>
          <w:sz w:val="24"/>
          <w:szCs w:val="24"/>
        </w:rPr>
        <w:t>soft CSR regulations</w:t>
      </w:r>
      <w:r w:rsidR="00692BE9">
        <w:rPr>
          <w:rFonts w:ascii="Times New Roman" w:hAnsi="Times New Roman" w:cs="Times New Roman"/>
          <w:sz w:val="24"/>
          <w:szCs w:val="24"/>
        </w:rPr>
        <w:t xml:space="preserve"> </w:t>
      </w:r>
      <w:r w:rsidR="00801DE7">
        <w:rPr>
          <w:rFonts w:ascii="Times New Roman" w:hAnsi="Times New Roman" w:cs="Times New Roman"/>
          <w:sz w:val="24"/>
          <w:szCs w:val="24"/>
        </w:rPr>
        <w:t>(</w:t>
      </w:r>
      <w:proofErr w:type="spellStart"/>
      <w:r w:rsidR="00692BE9">
        <w:rPr>
          <w:rFonts w:ascii="Times New Roman" w:hAnsi="Times New Roman" w:cs="Times New Roman"/>
          <w:sz w:val="24"/>
          <w:szCs w:val="24"/>
        </w:rPr>
        <w:t>Albareda</w:t>
      </w:r>
      <w:proofErr w:type="spellEnd"/>
      <w:r w:rsidR="00692BE9">
        <w:rPr>
          <w:rFonts w:ascii="Times New Roman" w:hAnsi="Times New Roman" w:cs="Times New Roman"/>
          <w:sz w:val="24"/>
          <w:szCs w:val="24"/>
        </w:rPr>
        <w:t xml:space="preserve"> et al.</w:t>
      </w:r>
      <w:r w:rsidR="00F72443">
        <w:rPr>
          <w:rFonts w:ascii="Times New Roman" w:hAnsi="Times New Roman" w:cs="Times New Roman"/>
          <w:sz w:val="24"/>
          <w:szCs w:val="24"/>
        </w:rPr>
        <w:t>,</w:t>
      </w:r>
      <w:r w:rsidR="00692BE9">
        <w:rPr>
          <w:rFonts w:ascii="Times New Roman" w:hAnsi="Times New Roman" w:cs="Times New Roman"/>
          <w:sz w:val="24"/>
          <w:szCs w:val="24"/>
        </w:rPr>
        <w:t xml:space="preserve"> 2007). </w:t>
      </w:r>
    </w:p>
    <w:p w14:paraId="4855449E" w14:textId="4252CCBE" w:rsidR="000F050A" w:rsidRPr="008D53DE" w:rsidRDefault="00BD1355" w:rsidP="005979A7">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Unsurprisingly, there is considerable variation in how the mandatory and voluntary elements of CSR are combined in practice. Scholars have theorized a range of typologies of soft CSR regulations </w:t>
      </w:r>
      <w:r w:rsidRPr="00BD1355">
        <w:rPr>
          <w:rFonts w:ascii="Times New Roman" w:hAnsi="Times New Roman" w:cs="Times New Roman"/>
          <w:sz w:val="24"/>
          <w:szCs w:val="24"/>
        </w:rPr>
        <w:t xml:space="preserve">(e.g., </w:t>
      </w:r>
      <w:proofErr w:type="spellStart"/>
      <w:r w:rsidRPr="00BD1355">
        <w:rPr>
          <w:rFonts w:ascii="Times New Roman" w:hAnsi="Times New Roman" w:cs="Times New Roman"/>
          <w:sz w:val="24"/>
          <w:szCs w:val="24"/>
        </w:rPr>
        <w:t>Albareda</w:t>
      </w:r>
      <w:proofErr w:type="spellEnd"/>
      <w:r w:rsidRPr="00BD1355">
        <w:rPr>
          <w:rFonts w:ascii="Times New Roman" w:hAnsi="Times New Roman" w:cs="Times New Roman"/>
          <w:sz w:val="24"/>
          <w:szCs w:val="24"/>
        </w:rPr>
        <w:t xml:space="preserve"> et al., 2007; </w:t>
      </w:r>
      <w:proofErr w:type="spellStart"/>
      <w:r w:rsidRPr="00BD1355">
        <w:rPr>
          <w:rFonts w:ascii="Times New Roman" w:hAnsi="Times New Roman" w:cs="Times New Roman"/>
          <w:sz w:val="24"/>
          <w:szCs w:val="24"/>
        </w:rPr>
        <w:t>Dentchev</w:t>
      </w:r>
      <w:proofErr w:type="spellEnd"/>
      <w:r w:rsidRPr="00BD1355">
        <w:rPr>
          <w:rFonts w:ascii="Times New Roman" w:hAnsi="Times New Roman" w:cs="Times New Roman"/>
          <w:sz w:val="24"/>
          <w:szCs w:val="24"/>
        </w:rPr>
        <w:t xml:space="preserve"> et al., 2015; Gond et al., 2011; Knudsen et al., 2015).</w:t>
      </w:r>
      <w:r>
        <w:rPr>
          <w:rFonts w:ascii="Times New Roman" w:hAnsi="Times New Roman" w:cs="Times New Roman"/>
          <w:sz w:val="24"/>
          <w:szCs w:val="24"/>
        </w:rPr>
        <w:t xml:space="preserve"> One of the earl</w:t>
      </w:r>
      <w:r w:rsidR="00072F0A">
        <w:rPr>
          <w:rFonts w:ascii="Times New Roman" w:hAnsi="Times New Roman" w:cs="Times New Roman"/>
          <w:sz w:val="24"/>
          <w:szCs w:val="24"/>
        </w:rPr>
        <w:t xml:space="preserve">y </w:t>
      </w:r>
      <w:r>
        <w:rPr>
          <w:rFonts w:ascii="Times New Roman" w:hAnsi="Times New Roman" w:cs="Times New Roman"/>
          <w:sz w:val="24"/>
          <w:szCs w:val="24"/>
        </w:rPr>
        <w:t xml:space="preserve">typologies was created by </w:t>
      </w:r>
      <w:r w:rsidR="000F050A" w:rsidRPr="008D53DE">
        <w:rPr>
          <w:rFonts w:ascii="Times New Roman" w:hAnsi="Times New Roman" w:cs="Times New Roman"/>
          <w:sz w:val="24"/>
          <w:szCs w:val="24"/>
        </w:rPr>
        <w:t>Fox and colleagues (2002)</w:t>
      </w:r>
      <w:r>
        <w:rPr>
          <w:rFonts w:ascii="Times New Roman" w:hAnsi="Times New Roman" w:cs="Times New Roman"/>
          <w:sz w:val="24"/>
          <w:szCs w:val="24"/>
        </w:rPr>
        <w:t xml:space="preserve"> which describes a continuum of regulations that begins with “endorsement”, the softest form of soft regulation, in which </w:t>
      </w:r>
      <w:r w:rsidR="00A5738A">
        <w:rPr>
          <w:rFonts w:ascii="Times New Roman" w:hAnsi="Times New Roman" w:cs="Times New Roman"/>
          <w:sz w:val="24"/>
          <w:szCs w:val="24"/>
        </w:rPr>
        <w:t xml:space="preserve">governments </w:t>
      </w:r>
      <w:r w:rsidR="000F050A" w:rsidRPr="008D53DE">
        <w:rPr>
          <w:rFonts w:ascii="Times New Roman" w:hAnsi="Times New Roman" w:cs="Times New Roman"/>
          <w:sz w:val="24"/>
          <w:szCs w:val="24"/>
        </w:rPr>
        <w:t xml:space="preserve">show political support for responsible business behavior through public procurement policies and symbolic actions, such as awards, information campaigns, websites, political rhetoric, and labeling schemes. </w:t>
      </w:r>
      <w:r w:rsidR="00A3116E">
        <w:rPr>
          <w:rFonts w:ascii="Times New Roman" w:hAnsi="Times New Roman" w:cs="Times New Roman"/>
          <w:sz w:val="24"/>
          <w:szCs w:val="24"/>
        </w:rPr>
        <w:t>A s</w:t>
      </w:r>
      <w:r w:rsidR="000F050A" w:rsidRPr="008D53DE">
        <w:rPr>
          <w:rFonts w:ascii="Times New Roman" w:hAnsi="Times New Roman" w:cs="Times New Roman"/>
          <w:sz w:val="24"/>
          <w:szCs w:val="24"/>
        </w:rPr>
        <w:t xml:space="preserve">econd, </w:t>
      </w:r>
      <w:r w:rsidR="00A3116E">
        <w:rPr>
          <w:rFonts w:ascii="Times New Roman" w:hAnsi="Times New Roman" w:cs="Times New Roman"/>
          <w:sz w:val="24"/>
          <w:szCs w:val="24"/>
        </w:rPr>
        <w:t xml:space="preserve">somewhat harder form of soft regulation arises when the regulator enacts </w:t>
      </w:r>
      <w:r w:rsidR="000F050A" w:rsidRPr="008D53DE">
        <w:rPr>
          <w:rFonts w:ascii="Times New Roman" w:hAnsi="Times New Roman" w:cs="Times New Roman"/>
          <w:sz w:val="24"/>
          <w:szCs w:val="24"/>
        </w:rPr>
        <w:t xml:space="preserve">policies that </w:t>
      </w:r>
      <w:r w:rsidR="000F050A" w:rsidRPr="00006974">
        <w:rPr>
          <w:rFonts w:ascii="Times New Roman" w:hAnsi="Times New Roman" w:cs="Times New Roman"/>
          <w:sz w:val="24"/>
          <w:szCs w:val="24"/>
        </w:rPr>
        <w:t>facilitate</w:t>
      </w:r>
      <w:r w:rsidR="000F050A" w:rsidRPr="008D53DE">
        <w:rPr>
          <w:rFonts w:ascii="Times New Roman" w:hAnsi="Times New Roman" w:cs="Times New Roman"/>
          <w:sz w:val="24"/>
          <w:szCs w:val="24"/>
        </w:rPr>
        <w:t xml:space="preserve"> the adoption of CSR practices encourage firms to be more responsible through tax incentives, penalties, and subsidies. </w:t>
      </w:r>
      <w:r>
        <w:rPr>
          <w:rFonts w:ascii="Times New Roman" w:hAnsi="Times New Roman" w:cs="Times New Roman"/>
          <w:sz w:val="24"/>
          <w:szCs w:val="24"/>
        </w:rPr>
        <w:t>T</w:t>
      </w:r>
      <w:r w:rsidR="000F050A" w:rsidRPr="008D53DE">
        <w:rPr>
          <w:rFonts w:ascii="Times New Roman" w:hAnsi="Times New Roman" w:cs="Times New Roman"/>
          <w:sz w:val="24"/>
          <w:szCs w:val="24"/>
        </w:rPr>
        <w:t xml:space="preserve">o motivate the voluntary </w:t>
      </w:r>
      <w:r w:rsidR="000F050A" w:rsidRPr="008D53DE">
        <w:rPr>
          <w:rFonts w:ascii="Times New Roman" w:hAnsi="Times New Roman" w:cs="Times New Roman"/>
          <w:sz w:val="24"/>
          <w:szCs w:val="24"/>
        </w:rPr>
        <w:lastRenderedPageBreak/>
        <w:t xml:space="preserve">adoption of environmental management programs, </w:t>
      </w:r>
      <w:r>
        <w:rPr>
          <w:rFonts w:ascii="Times New Roman" w:hAnsi="Times New Roman" w:cs="Times New Roman"/>
          <w:sz w:val="24"/>
          <w:szCs w:val="24"/>
        </w:rPr>
        <w:t xml:space="preserve">for example, </w:t>
      </w:r>
      <w:r w:rsidR="000F050A" w:rsidRPr="008D53DE">
        <w:rPr>
          <w:rFonts w:ascii="Times New Roman" w:hAnsi="Times New Roman" w:cs="Times New Roman"/>
          <w:sz w:val="24"/>
          <w:szCs w:val="24"/>
        </w:rPr>
        <w:t>some European countries provide regulatory relief in the form of lower reporting requirements or less frequent inspections for firms adopting such practices (</w:t>
      </w:r>
      <w:proofErr w:type="spellStart"/>
      <w:r w:rsidR="000F050A" w:rsidRPr="008D53DE">
        <w:rPr>
          <w:rFonts w:ascii="Times New Roman" w:hAnsi="Times New Roman" w:cs="Times New Roman"/>
          <w:sz w:val="24"/>
          <w:szCs w:val="24"/>
        </w:rPr>
        <w:t>Glachant</w:t>
      </w:r>
      <w:proofErr w:type="spellEnd"/>
      <w:r w:rsidR="000F050A" w:rsidRPr="008D53DE">
        <w:rPr>
          <w:rFonts w:ascii="Times New Roman" w:hAnsi="Times New Roman" w:cs="Times New Roman"/>
          <w:sz w:val="24"/>
          <w:szCs w:val="24"/>
        </w:rPr>
        <w:t xml:space="preserve"> et al., 2002). </w:t>
      </w:r>
      <w:r w:rsidR="00A3116E">
        <w:rPr>
          <w:rFonts w:ascii="Times New Roman" w:hAnsi="Times New Roman" w:cs="Times New Roman"/>
          <w:sz w:val="24"/>
          <w:szCs w:val="24"/>
        </w:rPr>
        <w:t>A third form of soft regulation arises when regulators establish</w:t>
      </w:r>
      <w:r w:rsidR="000F050A" w:rsidRPr="008D53DE">
        <w:rPr>
          <w:rFonts w:ascii="Times New Roman" w:hAnsi="Times New Roman" w:cs="Times New Roman"/>
          <w:sz w:val="24"/>
          <w:szCs w:val="24"/>
        </w:rPr>
        <w:t xml:space="preserve"> policies that promote </w:t>
      </w:r>
      <w:r w:rsidR="000F050A" w:rsidRPr="00006974">
        <w:rPr>
          <w:rFonts w:ascii="Times New Roman" w:hAnsi="Times New Roman" w:cs="Times New Roman"/>
          <w:sz w:val="24"/>
          <w:szCs w:val="24"/>
        </w:rPr>
        <w:t>partnerships</w:t>
      </w:r>
      <w:r w:rsidR="000F050A" w:rsidRPr="008D53DE">
        <w:rPr>
          <w:rFonts w:ascii="Times New Roman" w:hAnsi="Times New Roman" w:cs="Times New Roman"/>
          <w:sz w:val="24"/>
          <w:szCs w:val="24"/>
        </w:rPr>
        <w:t xml:space="preserve"> </w:t>
      </w:r>
      <w:r w:rsidR="00B6240A">
        <w:rPr>
          <w:rFonts w:ascii="Times New Roman" w:hAnsi="Times New Roman" w:cs="Times New Roman"/>
          <w:sz w:val="24"/>
          <w:szCs w:val="24"/>
        </w:rPr>
        <w:t xml:space="preserve">and </w:t>
      </w:r>
      <w:r w:rsidR="000F050A" w:rsidRPr="008D53DE">
        <w:rPr>
          <w:rFonts w:ascii="Times New Roman" w:hAnsi="Times New Roman" w:cs="Times New Roman"/>
          <w:sz w:val="24"/>
          <w:szCs w:val="24"/>
        </w:rPr>
        <w:t xml:space="preserve">motivate firms to engage in cross-sector collaboration with government and civil society organizations to disseminate knowledge or develop and maintain CSR standards and guidelines. Finally, </w:t>
      </w:r>
      <w:r w:rsidR="00023A8A">
        <w:rPr>
          <w:rFonts w:ascii="Times New Roman" w:hAnsi="Times New Roman" w:cs="Times New Roman"/>
          <w:sz w:val="24"/>
          <w:szCs w:val="24"/>
        </w:rPr>
        <w:t>in the most structured form of soft</w:t>
      </w:r>
      <w:r w:rsidR="00A3116E">
        <w:rPr>
          <w:rFonts w:ascii="Times New Roman" w:hAnsi="Times New Roman" w:cs="Times New Roman"/>
          <w:sz w:val="24"/>
          <w:szCs w:val="24"/>
        </w:rPr>
        <w:t xml:space="preserve"> CSR</w:t>
      </w:r>
      <w:r w:rsidR="0043038E">
        <w:rPr>
          <w:rFonts w:ascii="Times New Roman" w:hAnsi="Times New Roman" w:cs="Times New Roman"/>
          <w:sz w:val="24"/>
          <w:szCs w:val="24"/>
        </w:rPr>
        <w:t xml:space="preserve"> </w:t>
      </w:r>
      <w:r w:rsidR="00B6240A">
        <w:rPr>
          <w:rFonts w:ascii="Times New Roman" w:hAnsi="Times New Roman" w:cs="Times New Roman"/>
          <w:sz w:val="24"/>
          <w:szCs w:val="24"/>
        </w:rPr>
        <w:t>regulations</w:t>
      </w:r>
      <w:r w:rsidR="00023A8A">
        <w:rPr>
          <w:rFonts w:ascii="Times New Roman" w:hAnsi="Times New Roman" w:cs="Times New Roman"/>
          <w:sz w:val="24"/>
          <w:szCs w:val="24"/>
        </w:rPr>
        <w:t xml:space="preserve">, regulators enact legislation </w:t>
      </w:r>
      <w:r w:rsidR="000F050A" w:rsidRPr="008D53DE">
        <w:rPr>
          <w:rFonts w:ascii="Times New Roman" w:hAnsi="Times New Roman" w:cs="Times New Roman"/>
          <w:sz w:val="24"/>
          <w:szCs w:val="24"/>
        </w:rPr>
        <w:t xml:space="preserve">that </w:t>
      </w:r>
      <w:r w:rsidR="000F050A" w:rsidRPr="00006974">
        <w:rPr>
          <w:rFonts w:ascii="Times New Roman" w:hAnsi="Times New Roman" w:cs="Times New Roman"/>
          <w:sz w:val="24"/>
          <w:szCs w:val="24"/>
        </w:rPr>
        <w:t>mandate</w:t>
      </w:r>
      <w:r w:rsidR="00023A8A" w:rsidRPr="00006974">
        <w:rPr>
          <w:rFonts w:ascii="Times New Roman" w:hAnsi="Times New Roman" w:cs="Times New Roman"/>
          <w:sz w:val="24"/>
          <w:szCs w:val="24"/>
        </w:rPr>
        <w:t>s</w:t>
      </w:r>
      <w:r w:rsidR="00023A8A">
        <w:rPr>
          <w:rFonts w:ascii="Times New Roman" w:hAnsi="Times New Roman" w:cs="Times New Roman"/>
          <w:sz w:val="24"/>
          <w:szCs w:val="24"/>
        </w:rPr>
        <w:t xml:space="preserve"> </w:t>
      </w:r>
      <w:r w:rsidR="000F050A" w:rsidRPr="008D53DE">
        <w:rPr>
          <w:rFonts w:ascii="Times New Roman" w:hAnsi="Times New Roman" w:cs="Times New Roman"/>
          <w:sz w:val="24"/>
          <w:szCs w:val="24"/>
        </w:rPr>
        <w:t>CSR</w:t>
      </w:r>
      <w:r w:rsidR="00023A8A">
        <w:rPr>
          <w:rFonts w:ascii="Times New Roman" w:hAnsi="Times New Roman" w:cs="Times New Roman"/>
          <w:sz w:val="24"/>
          <w:szCs w:val="24"/>
        </w:rPr>
        <w:t>. These</w:t>
      </w:r>
      <w:r w:rsidR="000F050A" w:rsidRPr="008D53DE">
        <w:rPr>
          <w:rFonts w:ascii="Times New Roman" w:hAnsi="Times New Roman" w:cs="Times New Roman"/>
          <w:sz w:val="24"/>
          <w:szCs w:val="24"/>
        </w:rPr>
        <w:t xml:space="preserve"> </w:t>
      </w:r>
      <w:r w:rsidR="00256ECE">
        <w:rPr>
          <w:rFonts w:ascii="Times New Roman" w:hAnsi="Times New Roman" w:cs="Times New Roman"/>
          <w:sz w:val="24"/>
          <w:szCs w:val="24"/>
        </w:rPr>
        <w:t xml:space="preserve">are </w:t>
      </w:r>
      <w:r w:rsidR="00692BE9">
        <w:rPr>
          <w:rFonts w:ascii="Times New Roman" w:hAnsi="Times New Roman" w:cs="Times New Roman"/>
          <w:sz w:val="24"/>
          <w:szCs w:val="24"/>
        </w:rPr>
        <w:t>the hardest of soft regulations</w:t>
      </w:r>
      <w:r>
        <w:rPr>
          <w:rFonts w:ascii="Times New Roman" w:hAnsi="Times New Roman" w:cs="Times New Roman"/>
          <w:sz w:val="24"/>
          <w:szCs w:val="24"/>
        </w:rPr>
        <w:t>, but are not fully coercive because they do not impose civil or criminal penalties for non-compliance</w:t>
      </w:r>
      <w:r w:rsidR="000F050A" w:rsidRPr="008D53DE">
        <w:rPr>
          <w:rFonts w:ascii="Times New Roman" w:hAnsi="Times New Roman" w:cs="Times New Roman"/>
          <w:sz w:val="24"/>
          <w:szCs w:val="24"/>
        </w:rPr>
        <w:t xml:space="preserve"> (Fox et al., 2002; Gond et al., 2011</w:t>
      </w:r>
      <w:r w:rsidR="00256ECE">
        <w:rPr>
          <w:rFonts w:ascii="Times New Roman" w:hAnsi="Times New Roman" w:cs="Times New Roman"/>
          <w:sz w:val="24"/>
          <w:szCs w:val="24"/>
        </w:rPr>
        <w:t>;</w:t>
      </w:r>
      <w:r w:rsidR="00256ECE" w:rsidRPr="00256ECE">
        <w:rPr>
          <w:rFonts w:ascii="Times New Roman" w:hAnsi="Times New Roman" w:cs="Times New Roman"/>
          <w:sz w:val="24"/>
          <w:szCs w:val="24"/>
        </w:rPr>
        <w:t xml:space="preserve"> </w:t>
      </w:r>
      <w:r w:rsidR="00256ECE" w:rsidRPr="008D53DE">
        <w:rPr>
          <w:rFonts w:ascii="Times New Roman" w:hAnsi="Times New Roman" w:cs="Times New Roman"/>
          <w:sz w:val="24"/>
          <w:szCs w:val="24"/>
        </w:rPr>
        <w:t>Knudsen et al.</w:t>
      </w:r>
      <w:r w:rsidR="00256ECE">
        <w:rPr>
          <w:rFonts w:ascii="Times New Roman" w:hAnsi="Times New Roman" w:cs="Times New Roman"/>
          <w:sz w:val="24"/>
          <w:szCs w:val="24"/>
        </w:rPr>
        <w:t xml:space="preserve">, </w:t>
      </w:r>
      <w:r w:rsidR="00256ECE" w:rsidRPr="008D53DE">
        <w:rPr>
          <w:rFonts w:ascii="Times New Roman" w:hAnsi="Times New Roman" w:cs="Times New Roman"/>
          <w:sz w:val="24"/>
          <w:szCs w:val="24"/>
        </w:rPr>
        <w:t>2015</w:t>
      </w:r>
      <w:r w:rsidR="000F050A" w:rsidRPr="008D53DE">
        <w:rPr>
          <w:rFonts w:ascii="Times New Roman" w:hAnsi="Times New Roman" w:cs="Times New Roman"/>
          <w:sz w:val="24"/>
          <w:szCs w:val="24"/>
        </w:rPr>
        <w:t xml:space="preserve">). </w:t>
      </w:r>
    </w:p>
    <w:p w14:paraId="5B0A58BA" w14:textId="5C91D77B" w:rsidR="000F050A" w:rsidRPr="008D53DE" w:rsidRDefault="00841674" w:rsidP="005979A7">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CSR mandates have been enacted in several countries (Lin, 202</w:t>
      </w:r>
      <w:r w:rsidR="003D6B6A">
        <w:rPr>
          <w:rFonts w:ascii="Times New Roman" w:hAnsi="Times New Roman" w:cs="Times New Roman"/>
          <w:sz w:val="24"/>
          <w:szCs w:val="24"/>
        </w:rPr>
        <w:t>1</w:t>
      </w:r>
      <w:r>
        <w:rPr>
          <w:rFonts w:ascii="Times New Roman" w:hAnsi="Times New Roman" w:cs="Times New Roman"/>
          <w:sz w:val="24"/>
          <w:szCs w:val="24"/>
        </w:rPr>
        <w:t xml:space="preserve">) but </w:t>
      </w:r>
      <w:r w:rsidR="000F050A" w:rsidRPr="008D53DE">
        <w:rPr>
          <w:rFonts w:ascii="Times New Roman" w:hAnsi="Times New Roman" w:cs="Times New Roman"/>
          <w:sz w:val="24"/>
          <w:szCs w:val="24"/>
        </w:rPr>
        <w:t>India presents one of the most prominent case</w:t>
      </w:r>
      <w:r w:rsidR="00560A4A">
        <w:rPr>
          <w:rFonts w:ascii="Times New Roman" w:hAnsi="Times New Roman" w:cs="Times New Roman"/>
          <w:sz w:val="24"/>
          <w:szCs w:val="24"/>
        </w:rPr>
        <w:t>s</w:t>
      </w:r>
      <w:r w:rsidR="000F050A" w:rsidRPr="008D53DE">
        <w:rPr>
          <w:rFonts w:ascii="Times New Roman" w:hAnsi="Times New Roman" w:cs="Times New Roman"/>
          <w:sz w:val="24"/>
          <w:szCs w:val="24"/>
        </w:rPr>
        <w:t xml:space="preserve"> of a CSR </w:t>
      </w:r>
      <w:r w:rsidR="00256ECE">
        <w:rPr>
          <w:rFonts w:ascii="Times New Roman" w:hAnsi="Times New Roman" w:cs="Times New Roman"/>
          <w:sz w:val="24"/>
          <w:szCs w:val="24"/>
        </w:rPr>
        <w:t>mandate</w:t>
      </w:r>
      <w:r w:rsidR="000D18EA">
        <w:rPr>
          <w:rFonts w:ascii="Times New Roman" w:hAnsi="Times New Roman" w:cs="Times New Roman"/>
          <w:sz w:val="24"/>
          <w:szCs w:val="24"/>
        </w:rPr>
        <w:t xml:space="preserve"> that obliges companies to engage in CSR activities</w:t>
      </w:r>
      <w:r w:rsidR="00256ECE">
        <w:rPr>
          <w:rFonts w:ascii="Times New Roman" w:hAnsi="Times New Roman" w:cs="Times New Roman"/>
          <w:sz w:val="24"/>
          <w:szCs w:val="24"/>
        </w:rPr>
        <w:t xml:space="preserve">. </w:t>
      </w:r>
      <w:r w:rsidR="000F050A" w:rsidRPr="008D53DE">
        <w:rPr>
          <w:rFonts w:ascii="Times New Roman" w:hAnsi="Times New Roman" w:cs="Times New Roman"/>
          <w:sz w:val="24"/>
          <w:szCs w:val="24"/>
        </w:rPr>
        <w:t>A country with a long and rich history of corporate philanthropy (Godfrey et al., 2017), India has</w:t>
      </w:r>
      <w:r w:rsidR="000D18EA">
        <w:rPr>
          <w:rFonts w:ascii="Times New Roman" w:hAnsi="Times New Roman" w:cs="Times New Roman"/>
          <w:sz w:val="24"/>
          <w:szCs w:val="24"/>
        </w:rPr>
        <w:t xml:space="preserve"> emerged as one of</w:t>
      </w:r>
      <w:r w:rsidR="000F050A" w:rsidRPr="008D53DE">
        <w:rPr>
          <w:rFonts w:ascii="Times New Roman" w:hAnsi="Times New Roman" w:cs="Times New Roman"/>
          <w:sz w:val="24"/>
          <w:szCs w:val="24"/>
        </w:rPr>
        <w:t xml:space="preserve"> the world’s fastest growing major economies. This economic growth has </w:t>
      </w:r>
      <w:r w:rsidR="00023A8A">
        <w:rPr>
          <w:rFonts w:ascii="Times New Roman" w:hAnsi="Times New Roman" w:cs="Times New Roman"/>
          <w:sz w:val="24"/>
          <w:szCs w:val="24"/>
        </w:rPr>
        <w:t>lifted</w:t>
      </w:r>
      <w:r w:rsidR="000F050A" w:rsidRPr="008D53DE">
        <w:rPr>
          <w:rFonts w:ascii="Times New Roman" w:hAnsi="Times New Roman" w:cs="Times New Roman"/>
          <w:sz w:val="24"/>
          <w:szCs w:val="24"/>
        </w:rPr>
        <w:t xml:space="preserve"> hundreds of millions of Indians out of poverty, created unprecedented employment opportunities, attracted massive foreign investments, and has enabled India to become the third largest economy (based on purchasing power parity) in the world. However, such rapid economic growth has magnified India’s </w:t>
      </w:r>
      <w:r w:rsidR="003D6B6A">
        <w:rPr>
          <w:rFonts w:ascii="Times New Roman" w:hAnsi="Times New Roman" w:cs="Times New Roman"/>
          <w:sz w:val="24"/>
          <w:szCs w:val="24"/>
        </w:rPr>
        <w:t xml:space="preserve">longstanding </w:t>
      </w:r>
      <w:r w:rsidR="000F050A" w:rsidRPr="008D53DE">
        <w:rPr>
          <w:rFonts w:ascii="Times New Roman" w:hAnsi="Times New Roman" w:cs="Times New Roman"/>
          <w:sz w:val="24"/>
          <w:szCs w:val="24"/>
        </w:rPr>
        <w:t xml:space="preserve">social and environmental challenges </w:t>
      </w:r>
      <w:r w:rsidR="003D6B6A">
        <w:rPr>
          <w:rFonts w:ascii="Times New Roman" w:hAnsi="Times New Roman" w:cs="Times New Roman"/>
          <w:sz w:val="24"/>
          <w:szCs w:val="24"/>
        </w:rPr>
        <w:t xml:space="preserve">while also creating </w:t>
      </w:r>
      <w:r w:rsidR="000F050A" w:rsidRPr="008D53DE">
        <w:rPr>
          <w:rFonts w:ascii="Times New Roman" w:hAnsi="Times New Roman" w:cs="Times New Roman"/>
          <w:sz w:val="24"/>
          <w:szCs w:val="24"/>
        </w:rPr>
        <w:t xml:space="preserve">new ones. Concentration of wealth among privileged few is one such central social problem that is prominently pointed out as a dark side of India’s exponential economic growth. Income inequality has been sharply rising in India since the 1980s (Chancel &amp; Piketty, 2017). Taking note of a widening economic inequality, India’s former Prime Minister Dr. Manmohan Singh bluntly urged CEOs and top managers to focus on inclusive growth if they wanted to avoid social unrest (Business Today, 2007). Amidst an intensifying societal sentiment that the benefits of a </w:t>
      </w:r>
      <w:r w:rsidR="000F050A" w:rsidRPr="008D53DE">
        <w:rPr>
          <w:rFonts w:ascii="Times New Roman" w:hAnsi="Times New Roman" w:cs="Times New Roman"/>
          <w:sz w:val="24"/>
          <w:szCs w:val="24"/>
        </w:rPr>
        <w:lastRenderedPageBreak/>
        <w:t xml:space="preserve">burgeoning economy were not reaching all segments of society, and that many social and environmental systems were deteriorating as a result of an unsustainable economic growth, the government of India proposed a legislation to ensure that large corporations took seriously the social challenges facing the country and committed to share a small fraction, i.e., two percent, of their profits to address these challenges through CSR efforts. </w:t>
      </w:r>
    </w:p>
    <w:p w14:paraId="36FABD40" w14:textId="724FB308" w:rsidR="000F050A" w:rsidRPr="008D53DE" w:rsidRDefault="000F050A" w:rsidP="005979A7">
      <w:pPr>
        <w:spacing w:before="200" w:line="480" w:lineRule="auto"/>
        <w:ind w:firstLine="720"/>
        <w:jc w:val="both"/>
        <w:rPr>
          <w:rFonts w:ascii="Times New Roman" w:hAnsi="Times New Roman" w:cs="Times New Roman"/>
          <w:sz w:val="24"/>
          <w:szCs w:val="24"/>
        </w:rPr>
      </w:pPr>
      <w:r w:rsidRPr="008D53DE">
        <w:rPr>
          <w:rFonts w:ascii="Times New Roman" w:hAnsi="Times New Roman" w:cs="Times New Roman"/>
          <w:sz w:val="24"/>
          <w:szCs w:val="24"/>
        </w:rPr>
        <w:t xml:space="preserve">Unsurprisingly, the proposal received mixed reactions from the industry, and notably, these reactions kept changing as the proposal moved through the legislative process. Early on, many industry leaders and associations were vehemently opposed to </w:t>
      </w:r>
      <w:r w:rsidR="00256ECE">
        <w:rPr>
          <w:rFonts w:ascii="Times New Roman" w:hAnsi="Times New Roman" w:cs="Times New Roman"/>
          <w:sz w:val="24"/>
          <w:szCs w:val="24"/>
        </w:rPr>
        <w:t xml:space="preserve">the CSR </w:t>
      </w:r>
      <w:r w:rsidRPr="008D53DE">
        <w:rPr>
          <w:rFonts w:ascii="Times New Roman" w:hAnsi="Times New Roman" w:cs="Times New Roman"/>
          <w:sz w:val="24"/>
          <w:szCs w:val="24"/>
        </w:rPr>
        <w:t>mandate</w:t>
      </w:r>
      <w:r w:rsidR="00256ECE">
        <w:rPr>
          <w:rFonts w:ascii="Times New Roman" w:hAnsi="Times New Roman" w:cs="Times New Roman"/>
          <w:sz w:val="24"/>
          <w:szCs w:val="24"/>
        </w:rPr>
        <w:t xml:space="preserve"> when it was </w:t>
      </w:r>
      <w:r w:rsidR="009B5854">
        <w:rPr>
          <w:rFonts w:ascii="Times New Roman" w:hAnsi="Times New Roman" w:cs="Times New Roman"/>
          <w:sz w:val="24"/>
          <w:szCs w:val="24"/>
        </w:rPr>
        <w:t xml:space="preserve">first </w:t>
      </w:r>
      <w:r w:rsidR="00256ECE">
        <w:rPr>
          <w:rFonts w:ascii="Times New Roman" w:hAnsi="Times New Roman" w:cs="Times New Roman"/>
          <w:sz w:val="24"/>
          <w:szCs w:val="24"/>
        </w:rPr>
        <w:t xml:space="preserve">presented as a </w:t>
      </w:r>
      <w:r w:rsidR="00256ECE" w:rsidRPr="00006974">
        <w:rPr>
          <w:rFonts w:ascii="Times New Roman" w:hAnsi="Times New Roman" w:cs="Times New Roman"/>
          <w:sz w:val="24"/>
          <w:szCs w:val="24"/>
        </w:rPr>
        <w:t>de facto</w:t>
      </w:r>
      <w:r w:rsidR="00256ECE">
        <w:rPr>
          <w:rFonts w:ascii="Times New Roman" w:hAnsi="Times New Roman" w:cs="Times New Roman"/>
          <w:sz w:val="24"/>
          <w:szCs w:val="24"/>
        </w:rPr>
        <w:t xml:space="preserve"> hard regulation with no flexibility. </w:t>
      </w:r>
      <w:r w:rsidR="00B6240A">
        <w:rPr>
          <w:rFonts w:ascii="Times New Roman" w:hAnsi="Times New Roman" w:cs="Times New Roman"/>
          <w:sz w:val="24"/>
          <w:szCs w:val="24"/>
        </w:rPr>
        <w:t xml:space="preserve">The </w:t>
      </w:r>
      <w:r w:rsidRPr="008D53DE">
        <w:rPr>
          <w:rFonts w:ascii="Times New Roman" w:hAnsi="Times New Roman" w:cs="Times New Roman"/>
          <w:sz w:val="24"/>
          <w:szCs w:val="24"/>
        </w:rPr>
        <w:t>Confederation of Indian Industry (CII), one of India’s apex industry bodies, and many CEOs of leading companies called it a regressive proposal and a concealed tax burden</w:t>
      </w:r>
      <w:r w:rsidR="009B5854">
        <w:rPr>
          <w:rFonts w:ascii="Times New Roman" w:hAnsi="Times New Roman" w:cs="Times New Roman"/>
          <w:sz w:val="24"/>
          <w:szCs w:val="24"/>
        </w:rPr>
        <w:t xml:space="preserve">. </w:t>
      </w:r>
      <w:r w:rsidR="00256ECE">
        <w:rPr>
          <w:rFonts w:ascii="Times New Roman" w:hAnsi="Times New Roman" w:cs="Times New Roman"/>
          <w:sz w:val="24"/>
          <w:szCs w:val="24"/>
        </w:rPr>
        <w:t>A</w:t>
      </w:r>
      <w:r w:rsidR="00256ECE" w:rsidRPr="008D53DE">
        <w:rPr>
          <w:rFonts w:ascii="Times New Roman" w:hAnsi="Times New Roman" w:cs="Times New Roman"/>
          <w:sz w:val="24"/>
          <w:szCs w:val="24"/>
        </w:rPr>
        <w:t>s the regulation evolved through the legislative process</w:t>
      </w:r>
      <w:r w:rsidR="00256ECE">
        <w:rPr>
          <w:rFonts w:ascii="Times New Roman" w:hAnsi="Times New Roman" w:cs="Times New Roman"/>
          <w:sz w:val="24"/>
          <w:szCs w:val="24"/>
        </w:rPr>
        <w:t>, i</w:t>
      </w:r>
      <w:r w:rsidRPr="008D53DE">
        <w:rPr>
          <w:rFonts w:ascii="Times New Roman" w:hAnsi="Times New Roman" w:cs="Times New Roman"/>
          <w:sz w:val="24"/>
          <w:szCs w:val="24"/>
        </w:rPr>
        <w:t xml:space="preserve">ndustry representatives were regularly consulted (e.g., Bhattacharya &amp; Rahman, 2019; </w:t>
      </w:r>
      <w:proofErr w:type="spellStart"/>
      <w:r w:rsidRPr="008D53DE">
        <w:rPr>
          <w:rFonts w:ascii="Times New Roman" w:hAnsi="Times New Roman" w:cs="Times New Roman"/>
          <w:sz w:val="24"/>
          <w:szCs w:val="24"/>
        </w:rPr>
        <w:t>Gatti</w:t>
      </w:r>
      <w:proofErr w:type="spellEnd"/>
      <w:r w:rsidRPr="008D53DE">
        <w:rPr>
          <w:rFonts w:ascii="Times New Roman" w:hAnsi="Times New Roman" w:cs="Times New Roman"/>
          <w:sz w:val="24"/>
          <w:szCs w:val="24"/>
        </w:rPr>
        <w:t xml:space="preserve"> et al., 2019; Jain et al., 2020). </w:t>
      </w:r>
      <w:r w:rsidR="00880AAE">
        <w:rPr>
          <w:rFonts w:ascii="Times New Roman" w:hAnsi="Times New Roman" w:cs="Times New Roman"/>
          <w:sz w:val="24"/>
          <w:szCs w:val="24"/>
        </w:rPr>
        <w:t xml:space="preserve">Perhaps as a result, the regulation morphed into </w:t>
      </w:r>
      <w:r w:rsidRPr="008D53DE">
        <w:rPr>
          <w:rFonts w:ascii="Times New Roman" w:hAnsi="Times New Roman" w:cs="Times New Roman"/>
          <w:sz w:val="24"/>
          <w:szCs w:val="24"/>
        </w:rPr>
        <w:t xml:space="preserve">a “comply or explain” </w:t>
      </w:r>
      <w:r w:rsidR="00880AAE">
        <w:rPr>
          <w:rFonts w:ascii="Times New Roman" w:hAnsi="Times New Roman" w:cs="Times New Roman"/>
          <w:sz w:val="24"/>
          <w:szCs w:val="24"/>
        </w:rPr>
        <w:t xml:space="preserve">CSR mandate </w:t>
      </w:r>
      <w:r w:rsidR="009B5854">
        <w:rPr>
          <w:rFonts w:ascii="Times New Roman" w:hAnsi="Times New Roman" w:cs="Times New Roman"/>
          <w:sz w:val="24"/>
          <w:szCs w:val="24"/>
        </w:rPr>
        <w:t>(</w:t>
      </w:r>
      <w:r w:rsidR="009B5854" w:rsidRPr="00A0137F">
        <w:rPr>
          <w:rFonts w:ascii="Times New Roman" w:hAnsi="Times New Roman" w:cs="Times New Roman"/>
          <w:sz w:val="24"/>
          <w:szCs w:val="24"/>
        </w:rPr>
        <w:t>Mukherjee &amp; Bird, 2016</w:t>
      </w:r>
      <w:r w:rsidR="009B5854">
        <w:rPr>
          <w:rFonts w:ascii="Times New Roman" w:hAnsi="Times New Roman" w:cs="Times New Roman"/>
          <w:sz w:val="24"/>
          <w:szCs w:val="24"/>
        </w:rPr>
        <w:t xml:space="preserve">) </w:t>
      </w:r>
      <w:r w:rsidRPr="008D53DE">
        <w:rPr>
          <w:rFonts w:ascii="Times New Roman" w:hAnsi="Times New Roman" w:cs="Times New Roman"/>
          <w:sz w:val="24"/>
          <w:szCs w:val="24"/>
        </w:rPr>
        <w:t xml:space="preserve">such that if a corporation failed to make stipulated CSR expenditures, it could publicly explain the reasons for non-compliance. </w:t>
      </w:r>
      <w:r w:rsidR="00880AAE">
        <w:rPr>
          <w:rFonts w:ascii="Times New Roman" w:hAnsi="Times New Roman" w:cs="Times New Roman"/>
          <w:sz w:val="24"/>
          <w:szCs w:val="24"/>
        </w:rPr>
        <w:t>The industry</w:t>
      </w:r>
      <w:r w:rsidR="003A4E86">
        <w:rPr>
          <w:rFonts w:ascii="Times New Roman" w:hAnsi="Times New Roman" w:cs="Times New Roman"/>
          <w:sz w:val="24"/>
          <w:szCs w:val="24"/>
        </w:rPr>
        <w:t>’s</w:t>
      </w:r>
      <w:r w:rsidR="00880AAE">
        <w:rPr>
          <w:rFonts w:ascii="Times New Roman" w:hAnsi="Times New Roman" w:cs="Times New Roman"/>
          <w:sz w:val="24"/>
          <w:szCs w:val="24"/>
        </w:rPr>
        <w:t xml:space="preserve"> support for this flexible CSR mandate</w:t>
      </w:r>
      <w:r w:rsidR="00A765CB">
        <w:rPr>
          <w:rFonts w:ascii="Times New Roman" w:hAnsi="Times New Roman" w:cs="Times New Roman"/>
          <w:sz w:val="24"/>
          <w:szCs w:val="24"/>
        </w:rPr>
        <w:t xml:space="preserve"> </w:t>
      </w:r>
      <w:r w:rsidR="00880AAE">
        <w:rPr>
          <w:rFonts w:ascii="Times New Roman" w:hAnsi="Times New Roman" w:cs="Times New Roman"/>
          <w:sz w:val="24"/>
          <w:szCs w:val="24"/>
        </w:rPr>
        <w:t xml:space="preserve">was apparent. </w:t>
      </w:r>
      <w:r w:rsidRPr="008D53DE">
        <w:rPr>
          <w:rFonts w:ascii="Times New Roman" w:hAnsi="Times New Roman" w:cs="Times New Roman"/>
          <w:sz w:val="24"/>
          <w:szCs w:val="24"/>
        </w:rPr>
        <w:t xml:space="preserve">For example, Mr. Harsh </w:t>
      </w:r>
      <w:proofErr w:type="spellStart"/>
      <w:r w:rsidRPr="008D53DE">
        <w:rPr>
          <w:rFonts w:ascii="Times New Roman" w:hAnsi="Times New Roman" w:cs="Times New Roman"/>
          <w:sz w:val="24"/>
          <w:szCs w:val="24"/>
        </w:rPr>
        <w:t>Goenka</w:t>
      </w:r>
      <w:proofErr w:type="spellEnd"/>
      <w:r w:rsidRPr="008D53DE">
        <w:rPr>
          <w:rFonts w:ascii="Times New Roman" w:hAnsi="Times New Roman" w:cs="Times New Roman"/>
          <w:sz w:val="24"/>
          <w:szCs w:val="24"/>
        </w:rPr>
        <w:t>, the chairperson of the RPG Enterprises, contributed an op-ed article titled, “Why is it a good idea to mandate corporate social responsibility?” in one of India’s leading business newspapers (</w:t>
      </w:r>
      <w:proofErr w:type="spellStart"/>
      <w:r w:rsidRPr="008D53DE">
        <w:rPr>
          <w:rFonts w:ascii="Times New Roman" w:hAnsi="Times New Roman" w:cs="Times New Roman"/>
          <w:sz w:val="24"/>
          <w:szCs w:val="24"/>
        </w:rPr>
        <w:t>Goenka</w:t>
      </w:r>
      <w:proofErr w:type="spellEnd"/>
      <w:r w:rsidRPr="008D53DE">
        <w:rPr>
          <w:rFonts w:ascii="Times New Roman" w:hAnsi="Times New Roman" w:cs="Times New Roman"/>
          <w:sz w:val="24"/>
          <w:szCs w:val="24"/>
        </w:rPr>
        <w:t xml:space="preserve">, 2012). Similarly, Ms. Deepa Menon, head of the CSR wing of PVR Cinemas, underscored the need for a regulatory framework for CSR (Seth, 2011). In fact, CII, which was earlier the main critic of the </w:t>
      </w:r>
      <w:r w:rsidR="00880AAE">
        <w:rPr>
          <w:rFonts w:ascii="Times New Roman" w:hAnsi="Times New Roman" w:cs="Times New Roman"/>
          <w:sz w:val="24"/>
          <w:szCs w:val="24"/>
        </w:rPr>
        <w:t xml:space="preserve">CSR mandate when it was presented as a hard regulation, </w:t>
      </w:r>
      <w:r w:rsidRPr="008D53DE">
        <w:rPr>
          <w:rFonts w:ascii="Times New Roman" w:hAnsi="Times New Roman" w:cs="Times New Roman"/>
          <w:sz w:val="24"/>
          <w:szCs w:val="24"/>
        </w:rPr>
        <w:t>supported i</w:t>
      </w:r>
      <w:r w:rsidR="00880AAE">
        <w:rPr>
          <w:rFonts w:ascii="Times New Roman" w:hAnsi="Times New Roman" w:cs="Times New Roman"/>
          <w:sz w:val="24"/>
          <w:szCs w:val="24"/>
        </w:rPr>
        <w:t xml:space="preserve">t in a </w:t>
      </w:r>
      <w:r w:rsidR="00692BE9">
        <w:rPr>
          <w:rFonts w:ascii="Times New Roman" w:hAnsi="Times New Roman" w:cs="Times New Roman"/>
          <w:sz w:val="24"/>
          <w:szCs w:val="24"/>
        </w:rPr>
        <w:t xml:space="preserve">soft </w:t>
      </w:r>
      <w:r w:rsidR="00880AAE">
        <w:rPr>
          <w:rFonts w:ascii="Times New Roman" w:hAnsi="Times New Roman" w:cs="Times New Roman"/>
          <w:sz w:val="24"/>
          <w:szCs w:val="24"/>
        </w:rPr>
        <w:t>“comply-or-explain” form</w:t>
      </w:r>
      <w:r w:rsidR="00342FB5">
        <w:rPr>
          <w:rFonts w:ascii="Times New Roman" w:hAnsi="Times New Roman" w:cs="Times New Roman"/>
          <w:sz w:val="24"/>
          <w:szCs w:val="24"/>
        </w:rPr>
        <w:t xml:space="preserve"> </w:t>
      </w:r>
      <w:r w:rsidRPr="008D53DE">
        <w:rPr>
          <w:rFonts w:ascii="Times New Roman" w:hAnsi="Times New Roman" w:cs="Times New Roman"/>
          <w:sz w:val="24"/>
          <w:szCs w:val="24"/>
        </w:rPr>
        <w:t>(</w:t>
      </w:r>
      <w:proofErr w:type="spellStart"/>
      <w:r w:rsidRPr="008D53DE">
        <w:rPr>
          <w:rFonts w:ascii="Times New Roman" w:hAnsi="Times New Roman" w:cs="Times New Roman"/>
          <w:sz w:val="24"/>
          <w:szCs w:val="24"/>
        </w:rPr>
        <w:t>Firstpost</w:t>
      </w:r>
      <w:proofErr w:type="spellEnd"/>
      <w:r w:rsidRPr="008D53DE">
        <w:rPr>
          <w:rFonts w:ascii="Times New Roman" w:hAnsi="Times New Roman" w:cs="Times New Roman"/>
          <w:sz w:val="24"/>
          <w:szCs w:val="24"/>
        </w:rPr>
        <w:t xml:space="preserve">, 2013).  </w:t>
      </w:r>
    </w:p>
    <w:p w14:paraId="4C3B0662" w14:textId="462E9D7E" w:rsidR="000F050A" w:rsidRPr="008D53DE" w:rsidRDefault="00F70F0D" w:rsidP="005979A7">
      <w:pPr>
        <w:spacing w:before="200" w:line="480" w:lineRule="auto"/>
        <w:ind w:firstLine="720"/>
        <w:jc w:val="both"/>
        <w:rPr>
          <w:rFonts w:ascii="Times New Roman" w:hAnsi="Times New Roman" w:cs="Times New Roman"/>
          <w:sz w:val="24"/>
          <w:szCs w:val="24"/>
        </w:rPr>
      </w:pPr>
      <w:r w:rsidRPr="00F70F0D">
        <w:rPr>
          <w:rFonts w:ascii="Times New Roman" w:hAnsi="Times New Roman" w:cs="Times New Roman"/>
          <w:sz w:val="24"/>
          <w:szCs w:val="24"/>
        </w:rPr>
        <w:lastRenderedPageBreak/>
        <w:t xml:space="preserve">There </w:t>
      </w:r>
      <w:r w:rsidR="00023A8A">
        <w:rPr>
          <w:rFonts w:ascii="Times New Roman" w:hAnsi="Times New Roman" w:cs="Times New Roman"/>
          <w:sz w:val="24"/>
          <w:szCs w:val="24"/>
        </w:rPr>
        <w:t>is considerable anecdotal evidence</w:t>
      </w:r>
      <w:r w:rsidRPr="00F70F0D">
        <w:rPr>
          <w:rFonts w:ascii="Times New Roman" w:hAnsi="Times New Roman" w:cs="Times New Roman"/>
          <w:sz w:val="24"/>
          <w:szCs w:val="24"/>
        </w:rPr>
        <w:t xml:space="preserve"> suggesting that </w:t>
      </w:r>
      <w:r w:rsidR="00023A8A">
        <w:rPr>
          <w:rFonts w:ascii="Times New Roman" w:hAnsi="Times New Roman" w:cs="Times New Roman"/>
          <w:sz w:val="24"/>
          <w:szCs w:val="24"/>
        </w:rPr>
        <w:t xml:space="preserve">India’s </w:t>
      </w:r>
      <w:r w:rsidR="0043038E">
        <w:rPr>
          <w:rFonts w:ascii="Times New Roman" w:hAnsi="Times New Roman" w:cs="Times New Roman"/>
          <w:sz w:val="24"/>
          <w:szCs w:val="24"/>
        </w:rPr>
        <w:t>largest</w:t>
      </w:r>
      <w:r w:rsidR="00023A8A">
        <w:rPr>
          <w:rFonts w:ascii="Times New Roman" w:hAnsi="Times New Roman" w:cs="Times New Roman"/>
          <w:sz w:val="24"/>
          <w:szCs w:val="24"/>
        </w:rPr>
        <w:t xml:space="preserve"> corporations </w:t>
      </w:r>
      <w:r w:rsidRPr="00F70F0D">
        <w:rPr>
          <w:rFonts w:ascii="Times New Roman" w:hAnsi="Times New Roman" w:cs="Times New Roman"/>
          <w:sz w:val="24"/>
          <w:szCs w:val="24"/>
        </w:rPr>
        <w:t>w</w:t>
      </w:r>
      <w:r w:rsidR="00023A8A">
        <w:rPr>
          <w:rFonts w:ascii="Times New Roman" w:hAnsi="Times New Roman" w:cs="Times New Roman"/>
          <w:sz w:val="24"/>
          <w:szCs w:val="24"/>
        </w:rPr>
        <w:t>ere</w:t>
      </w:r>
      <w:r w:rsidRPr="00F70F0D">
        <w:rPr>
          <w:rFonts w:ascii="Times New Roman" w:hAnsi="Times New Roman" w:cs="Times New Roman"/>
          <w:sz w:val="24"/>
          <w:szCs w:val="24"/>
        </w:rPr>
        <w:t xml:space="preserve"> poised to welcome the CSR mandate in its soft (flexible) form</w:t>
      </w:r>
      <w:r w:rsidR="00023A8A">
        <w:rPr>
          <w:rFonts w:ascii="Times New Roman" w:hAnsi="Times New Roman" w:cs="Times New Roman"/>
          <w:sz w:val="24"/>
          <w:szCs w:val="24"/>
        </w:rPr>
        <w:t xml:space="preserve">. However, </w:t>
      </w:r>
      <w:r w:rsidR="00EE7550">
        <w:rPr>
          <w:rFonts w:ascii="Times New Roman" w:hAnsi="Times New Roman" w:cs="Times New Roman"/>
          <w:sz w:val="24"/>
          <w:szCs w:val="24"/>
        </w:rPr>
        <w:t xml:space="preserve">there were no precedents available to fully </w:t>
      </w:r>
      <w:r w:rsidRPr="00F70F0D">
        <w:rPr>
          <w:rFonts w:ascii="Times New Roman" w:hAnsi="Times New Roman" w:cs="Times New Roman"/>
          <w:sz w:val="24"/>
          <w:szCs w:val="24"/>
        </w:rPr>
        <w:t xml:space="preserve">understand </w:t>
      </w:r>
      <w:r w:rsidR="00023A8A">
        <w:rPr>
          <w:rFonts w:ascii="Times New Roman" w:hAnsi="Times New Roman" w:cs="Times New Roman"/>
          <w:sz w:val="24"/>
          <w:szCs w:val="24"/>
        </w:rPr>
        <w:t>the</w:t>
      </w:r>
      <w:r w:rsidRPr="00F70F0D">
        <w:rPr>
          <w:rFonts w:ascii="Times New Roman" w:hAnsi="Times New Roman" w:cs="Times New Roman"/>
          <w:sz w:val="24"/>
          <w:szCs w:val="24"/>
        </w:rPr>
        <w:t xml:space="preserve"> overall effect</w:t>
      </w:r>
      <w:r w:rsidR="00023A8A">
        <w:rPr>
          <w:rFonts w:ascii="Times New Roman" w:hAnsi="Times New Roman" w:cs="Times New Roman"/>
          <w:sz w:val="24"/>
          <w:szCs w:val="24"/>
        </w:rPr>
        <w:t xml:space="preserve"> of the CSR mandate</w:t>
      </w:r>
      <w:r w:rsidRPr="00F70F0D">
        <w:rPr>
          <w:rFonts w:ascii="Times New Roman" w:hAnsi="Times New Roman" w:cs="Times New Roman"/>
          <w:sz w:val="24"/>
          <w:szCs w:val="24"/>
        </w:rPr>
        <w:t xml:space="preserve"> on </w:t>
      </w:r>
      <w:r w:rsidR="00EE7550">
        <w:rPr>
          <w:rFonts w:ascii="Times New Roman" w:hAnsi="Times New Roman" w:cs="Times New Roman"/>
          <w:sz w:val="24"/>
          <w:szCs w:val="24"/>
        </w:rPr>
        <w:t>Indian corporations. Indeed, the question of whether India’s CSR mandate enhanced or harmed firm value for corporations subject to the law is still a matter of considerable scholarly debate (</w:t>
      </w:r>
      <w:proofErr w:type="spellStart"/>
      <w:r w:rsidR="001B31C8">
        <w:rPr>
          <w:rFonts w:ascii="Times New Roman" w:hAnsi="Times New Roman" w:cs="Times New Roman"/>
          <w:sz w:val="24"/>
          <w:szCs w:val="24"/>
        </w:rPr>
        <w:t>Aswani</w:t>
      </w:r>
      <w:proofErr w:type="spellEnd"/>
      <w:r w:rsidR="001B31C8">
        <w:rPr>
          <w:rFonts w:ascii="Times New Roman" w:hAnsi="Times New Roman" w:cs="Times New Roman"/>
          <w:sz w:val="24"/>
          <w:szCs w:val="24"/>
        </w:rPr>
        <w:t xml:space="preserve">, </w:t>
      </w:r>
      <w:proofErr w:type="spellStart"/>
      <w:r w:rsidR="001B31C8">
        <w:rPr>
          <w:rFonts w:ascii="Times New Roman" w:hAnsi="Times New Roman" w:cs="Times New Roman"/>
          <w:sz w:val="24"/>
          <w:szCs w:val="24"/>
        </w:rPr>
        <w:t>Chidambaran</w:t>
      </w:r>
      <w:proofErr w:type="spellEnd"/>
      <w:r w:rsidR="001B31C8">
        <w:rPr>
          <w:rFonts w:ascii="Times New Roman" w:hAnsi="Times New Roman" w:cs="Times New Roman"/>
          <w:sz w:val="24"/>
          <w:szCs w:val="24"/>
        </w:rPr>
        <w:t xml:space="preserve">, &amp; Hasan, 2021; </w:t>
      </w:r>
      <w:proofErr w:type="spellStart"/>
      <w:r w:rsidR="00EE7550">
        <w:rPr>
          <w:rFonts w:ascii="Times New Roman" w:hAnsi="Times New Roman" w:cs="Times New Roman"/>
          <w:sz w:val="24"/>
          <w:szCs w:val="24"/>
        </w:rPr>
        <w:t>Manchiraju</w:t>
      </w:r>
      <w:proofErr w:type="spellEnd"/>
      <w:r w:rsidR="00EE7550">
        <w:rPr>
          <w:rFonts w:ascii="Times New Roman" w:hAnsi="Times New Roman" w:cs="Times New Roman"/>
          <w:sz w:val="24"/>
          <w:szCs w:val="24"/>
        </w:rPr>
        <w:t xml:space="preserve"> &amp; </w:t>
      </w:r>
      <w:proofErr w:type="spellStart"/>
      <w:r w:rsidR="00EE7550">
        <w:rPr>
          <w:rFonts w:ascii="Times New Roman" w:hAnsi="Times New Roman" w:cs="Times New Roman"/>
          <w:sz w:val="24"/>
          <w:szCs w:val="24"/>
        </w:rPr>
        <w:t>Rajgopal</w:t>
      </w:r>
      <w:proofErr w:type="spellEnd"/>
      <w:r w:rsidR="00EE7550">
        <w:rPr>
          <w:rFonts w:ascii="Times New Roman" w:hAnsi="Times New Roman" w:cs="Times New Roman"/>
          <w:sz w:val="24"/>
          <w:szCs w:val="24"/>
        </w:rPr>
        <w:t>, 2017</w:t>
      </w:r>
      <w:r w:rsidR="00D65A16">
        <w:rPr>
          <w:rFonts w:ascii="Times New Roman" w:hAnsi="Times New Roman" w:cs="Times New Roman"/>
          <w:sz w:val="24"/>
          <w:szCs w:val="24"/>
        </w:rPr>
        <w:t>; Nair &amp; Bhattacharya, 2019</w:t>
      </w:r>
      <w:r w:rsidR="00EE7550">
        <w:rPr>
          <w:rFonts w:ascii="Times New Roman" w:hAnsi="Times New Roman" w:cs="Times New Roman"/>
          <w:sz w:val="24"/>
          <w:szCs w:val="24"/>
        </w:rPr>
        <w:t xml:space="preserve">). We address this question in the balance of this </w:t>
      </w:r>
      <w:r w:rsidR="001056E1">
        <w:rPr>
          <w:rFonts w:ascii="Times New Roman" w:hAnsi="Times New Roman" w:cs="Times New Roman"/>
          <w:sz w:val="24"/>
          <w:szCs w:val="24"/>
        </w:rPr>
        <w:t>article</w:t>
      </w:r>
      <w:r w:rsidR="00EE7550">
        <w:rPr>
          <w:rFonts w:ascii="Times New Roman" w:hAnsi="Times New Roman" w:cs="Times New Roman"/>
          <w:sz w:val="24"/>
          <w:szCs w:val="24"/>
        </w:rPr>
        <w:t>. We begin by theorizing the potential effects and generating testable</w:t>
      </w:r>
      <w:r w:rsidR="00023A8A">
        <w:rPr>
          <w:rFonts w:ascii="Times New Roman" w:hAnsi="Times New Roman" w:cs="Times New Roman"/>
          <w:sz w:val="24"/>
          <w:szCs w:val="24"/>
        </w:rPr>
        <w:t xml:space="preserve"> hypotheses in the next section</w:t>
      </w:r>
      <w:r w:rsidRPr="00F70F0D">
        <w:rPr>
          <w:rFonts w:ascii="Times New Roman" w:hAnsi="Times New Roman" w:cs="Times New Roman"/>
          <w:sz w:val="24"/>
          <w:szCs w:val="24"/>
        </w:rPr>
        <w:t xml:space="preserve">. </w:t>
      </w:r>
    </w:p>
    <w:p w14:paraId="08FE6E2D" w14:textId="54F8075B" w:rsidR="004E3E50" w:rsidRPr="00006974" w:rsidRDefault="004E3E50" w:rsidP="005979A7">
      <w:pPr>
        <w:spacing w:before="200" w:line="480" w:lineRule="auto"/>
        <w:jc w:val="both"/>
        <w:rPr>
          <w:rFonts w:ascii="Times New Roman" w:hAnsi="Times New Roman" w:cs="Times New Roman"/>
          <w:sz w:val="24"/>
          <w:szCs w:val="24"/>
        </w:rPr>
      </w:pPr>
      <w:r w:rsidRPr="005979A7">
        <w:rPr>
          <w:rFonts w:ascii="Times New Roman" w:hAnsi="Times New Roman" w:cs="Times New Roman"/>
          <w:b/>
          <w:sz w:val="24"/>
          <w:szCs w:val="24"/>
        </w:rPr>
        <w:t>Hypotheses</w:t>
      </w:r>
      <w:r w:rsidRPr="00006974">
        <w:rPr>
          <w:rFonts w:ascii="Times New Roman" w:hAnsi="Times New Roman" w:cs="Times New Roman"/>
          <w:sz w:val="24"/>
          <w:szCs w:val="24"/>
        </w:rPr>
        <w:t xml:space="preserve"> </w:t>
      </w:r>
    </w:p>
    <w:p w14:paraId="23D55911" w14:textId="29C7523E" w:rsidR="004E3E50" w:rsidRPr="005979A7" w:rsidRDefault="00F72443" w:rsidP="003A7DB1">
      <w:pPr>
        <w:spacing w:after="120" w:line="480" w:lineRule="auto"/>
        <w:jc w:val="both"/>
        <w:rPr>
          <w:rFonts w:ascii="Times New Roman" w:hAnsi="Times New Roman" w:cs="Times New Roman"/>
          <w:sz w:val="24"/>
          <w:szCs w:val="24"/>
        </w:rPr>
      </w:pPr>
      <w:r w:rsidRPr="005979A7">
        <w:rPr>
          <w:rFonts w:ascii="Times New Roman" w:hAnsi="Times New Roman" w:cs="Times New Roman"/>
          <w:sz w:val="24"/>
          <w:szCs w:val="24"/>
        </w:rPr>
        <w:t xml:space="preserve">The modern form of CSR originated in the </w:t>
      </w:r>
      <w:r w:rsidR="00587456" w:rsidRPr="005979A7">
        <w:rPr>
          <w:rFonts w:ascii="Times New Roman" w:hAnsi="Times New Roman" w:cs="Times New Roman"/>
          <w:sz w:val="24"/>
          <w:szCs w:val="24"/>
        </w:rPr>
        <w:t xml:space="preserve">US </w:t>
      </w:r>
      <w:r w:rsidRPr="005979A7">
        <w:rPr>
          <w:rFonts w:ascii="Times New Roman" w:hAnsi="Times New Roman" w:cs="Times New Roman"/>
          <w:sz w:val="24"/>
          <w:szCs w:val="24"/>
        </w:rPr>
        <w:t>(Matten &amp; Moon 2008)</w:t>
      </w:r>
      <w:r w:rsidR="00587456" w:rsidRPr="005979A7">
        <w:rPr>
          <w:rFonts w:ascii="Times New Roman" w:hAnsi="Times New Roman" w:cs="Times New Roman"/>
          <w:sz w:val="24"/>
          <w:szCs w:val="24"/>
        </w:rPr>
        <w:t xml:space="preserve"> </w:t>
      </w:r>
      <w:r w:rsidR="007E4676">
        <w:rPr>
          <w:rFonts w:ascii="Times New Roman" w:hAnsi="Times New Roman" w:cs="Times New Roman"/>
          <w:sz w:val="24"/>
          <w:szCs w:val="24"/>
        </w:rPr>
        <w:t xml:space="preserve">and has diffused globally as a result of </w:t>
      </w:r>
      <w:r w:rsidR="00587456" w:rsidRPr="005979A7">
        <w:rPr>
          <w:rFonts w:ascii="Times New Roman" w:hAnsi="Times New Roman" w:cs="Times New Roman"/>
          <w:sz w:val="24"/>
          <w:szCs w:val="24"/>
        </w:rPr>
        <w:t>the transnational expansion of American corporations</w:t>
      </w:r>
      <w:r w:rsidR="00B957CC" w:rsidRPr="005979A7">
        <w:rPr>
          <w:rFonts w:ascii="Times New Roman" w:hAnsi="Times New Roman" w:cs="Times New Roman"/>
          <w:sz w:val="24"/>
          <w:szCs w:val="24"/>
        </w:rPr>
        <w:t xml:space="preserve">. </w:t>
      </w:r>
      <w:r w:rsidR="007E4676">
        <w:rPr>
          <w:rFonts w:ascii="Times New Roman" w:hAnsi="Times New Roman" w:cs="Times New Roman"/>
          <w:sz w:val="24"/>
          <w:szCs w:val="24"/>
        </w:rPr>
        <w:t xml:space="preserve">CSR has not, however, diffused as a universal template. Rather, it has been adapted to local contexts </w:t>
      </w:r>
      <w:r w:rsidR="004E3E50" w:rsidRPr="005979A7">
        <w:rPr>
          <w:rFonts w:ascii="Times New Roman" w:hAnsi="Times New Roman" w:cs="Times New Roman"/>
          <w:sz w:val="24"/>
          <w:szCs w:val="24"/>
        </w:rPr>
        <w:t>(Jamali &amp; Neville, 2011)</w:t>
      </w:r>
      <w:r w:rsidR="007E4676">
        <w:rPr>
          <w:rFonts w:ascii="Times New Roman" w:hAnsi="Times New Roman" w:cs="Times New Roman"/>
          <w:sz w:val="24"/>
          <w:szCs w:val="24"/>
        </w:rPr>
        <w:t xml:space="preserve"> in order to make</w:t>
      </w:r>
      <w:r w:rsidR="004E3E50" w:rsidRPr="005979A7">
        <w:rPr>
          <w:rFonts w:ascii="Times New Roman" w:hAnsi="Times New Roman" w:cs="Times New Roman"/>
          <w:sz w:val="24"/>
          <w:szCs w:val="24"/>
        </w:rPr>
        <w:t xml:space="preserve"> </w:t>
      </w:r>
      <w:r w:rsidR="001B31C8">
        <w:rPr>
          <w:rFonts w:ascii="Times New Roman" w:hAnsi="Times New Roman" w:cs="Times New Roman"/>
          <w:sz w:val="24"/>
          <w:szCs w:val="24"/>
        </w:rPr>
        <w:t>CSR</w:t>
      </w:r>
      <w:r w:rsidR="001B31C8" w:rsidRPr="005979A7">
        <w:rPr>
          <w:rFonts w:ascii="Times New Roman" w:hAnsi="Times New Roman" w:cs="Times New Roman"/>
          <w:sz w:val="24"/>
          <w:szCs w:val="24"/>
        </w:rPr>
        <w:t xml:space="preserve"> </w:t>
      </w:r>
      <w:r w:rsidR="004E3E50" w:rsidRPr="005979A7">
        <w:rPr>
          <w:rFonts w:ascii="Times New Roman" w:hAnsi="Times New Roman" w:cs="Times New Roman"/>
          <w:sz w:val="24"/>
          <w:szCs w:val="24"/>
        </w:rPr>
        <w:t>relevant for local stakeholders and communities (Baumgartner, 2014)</w:t>
      </w:r>
      <w:r w:rsidR="007E4676">
        <w:rPr>
          <w:rFonts w:ascii="Times New Roman" w:hAnsi="Times New Roman" w:cs="Times New Roman"/>
          <w:sz w:val="24"/>
          <w:szCs w:val="24"/>
        </w:rPr>
        <w:t xml:space="preserve">. Local adaptation, however, creates considerable opportunity for </w:t>
      </w:r>
      <w:r w:rsidR="004E3E50" w:rsidRPr="005979A7">
        <w:rPr>
          <w:rFonts w:ascii="Times New Roman" w:hAnsi="Times New Roman" w:cs="Times New Roman"/>
          <w:sz w:val="24"/>
          <w:szCs w:val="24"/>
        </w:rPr>
        <w:t xml:space="preserve">ambiguity and confusion about </w:t>
      </w:r>
      <w:r w:rsidR="007E4676">
        <w:rPr>
          <w:rFonts w:ascii="Times New Roman" w:hAnsi="Times New Roman" w:cs="Times New Roman"/>
          <w:sz w:val="24"/>
          <w:szCs w:val="24"/>
        </w:rPr>
        <w:t>the</w:t>
      </w:r>
      <w:r w:rsidR="004E3E50" w:rsidRPr="005979A7">
        <w:rPr>
          <w:rFonts w:ascii="Times New Roman" w:hAnsi="Times New Roman" w:cs="Times New Roman"/>
          <w:sz w:val="24"/>
          <w:szCs w:val="24"/>
        </w:rPr>
        <w:t xml:space="preserve"> meaning and </w:t>
      </w:r>
      <w:r w:rsidR="00587456" w:rsidRPr="005979A7">
        <w:rPr>
          <w:rFonts w:ascii="Times New Roman" w:hAnsi="Times New Roman" w:cs="Times New Roman"/>
          <w:sz w:val="24"/>
          <w:szCs w:val="24"/>
        </w:rPr>
        <w:t>composition</w:t>
      </w:r>
      <w:r w:rsidR="007E4676">
        <w:rPr>
          <w:rFonts w:ascii="Times New Roman" w:hAnsi="Times New Roman" w:cs="Times New Roman"/>
          <w:sz w:val="24"/>
          <w:szCs w:val="24"/>
        </w:rPr>
        <w:t xml:space="preserve"> of CSR</w:t>
      </w:r>
      <w:r w:rsidR="00587456" w:rsidRPr="005979A7">
        <w:rPr>
          <w:rFonts w:ascii="Times New Roman" w:hAnsi="Times New Roman" w:cs="Times New Roman"/>
          <w:sz w:val="24"/>
          <w:szCs w:val="24"/>
        </w:rPr>
        <w:t xml:space="preserve"> </w:t>
      </w:r>
      <w:r w:rsidR="004E3E50" w:rsidRPr="005979A7">
        <w:rPr>
          <w:rFonts w:ascii="Times New Roman" w:hAnsi="Times New Roman" w:cs="Times New Roman"/>
          <w:sz w:val="24"/>
          <w:szCs w:val="24"/>
        </w:rPr>
        <w:t xml:space="preserve">(Pederson, 2006; </w:t>
      </w:r>
      <w:r w:rsidR="00B957CC" w:rsidRPr="008D53DE">
        <w:rPr>
          <w:rFonts w:ascii="Times New Roman" w:hAnsi="Times New Roman" w:cs="Times New Roman"/>
          <w:sz w:val="24"/>
          <w:szCs w:val="24"/>
        </w:rPr>
        <w:t>Reddy &amp; Hamann, 2018</w:t>
      </w:r>
      <w:r w:rsidR="00B957CC">
        <w:rPr>
          <w:rFonts w:ascii="Times New Roman" w:hAnsi="Times New Roman" w:cs="Times New Roman"/>
          <w:sz w:val="24"/>
          <w:szCs w:val="24"/>
        </w:rPr>
        <w:t xml:space="preserve">; </w:t>
      </w:r>
      <w:proofErr w:type="spellStart"/>
      <w:r w:rsidR="004E3E50" w:rsidRPr="005979A7">
        <w:rPr>
          <w:rFonts w:ascii="Times New Roman" w:hAnsi="Times New Roman" w:cs="Times New Roman"/>
          <w:sz w:val="24"/>
          <w:szCs w:val="24"/>
        </w:rPr>
        <w:t>Wijen</w:t>
      </w:r>
      <w:proofErr w:type="spellEnd"/>
      <w:r w:rsidR="004E3E50" w:rsidRPr="005979A7">
        <w:rPr>
          <w:rFonts w:ascii="Times New Roman" w:hAnsi="Times New Roman" w:cs="Times New Roman"/>
          <w:sz w:val="24"/>
          <w:szCs w:val="24"/>
        </w:rPr>
        <w:t xml:space="preserve">, 2014). </w:t>
      </w:r>
      <w:r w:rsidR="00B957CC" w:rsidRPr="005979A7">
        <w:rPr>
          <w:rFonts w:ascii="Times New Roman" w:hAnsi="Times New Roman" w:cs="Times New Roman"/>
          <w:sz w:val="24"/>
          <w:szCs w:val="24"/>
        </w:rPr>
        <w:t xml:space="preserve"> Some </w:t>
      </w:r>
      <w:r w:rsidR="003270AB" w:rsidRPr="005979A7">
        <w:rPr>
          <w:rFonts w:ascii="Times New Roman" w:hAnsi="Times New Roman" w:cs="Times New Roman"/>
          <w:sz w:val="24"/>
          <w:szCs w:val="24"/>
        </w:rPr>
        <w:t xml:space="preserve">may view </w:t>
      </w:r>
      <w:r w:rsidR="007E4676">
        <w:rPr>
          <w:rFonts w:ascii="Times New Roman" w:hAnsi="Times New Roman" w:cs="Times New Roman"/>
          <w:sz w:val="24"/>
          <w:szCs w:val="24"/>
        </w:rPr>
        <w:t>CSR</w:t>
      </w:r>
      <w:r w:rsidR="003270AB" w:rsidRPr="005979A7">
        <w:rPr>
          <w:rFonts w:ascii="Times New Roman" w:hAnsi="Times New Roman" w:cs="Times New Roman"/>
          <w:sz w:val="24"/>
          <w:szCs w:val="24"/>
        </w:rPr>
        <w:t xml:space="preserve"> as a philanthropic act, </w:t>
      </w:r>
      <w:r w:rsidR="007E4676">
        <w:rPr>
          <w:rFonts w:ascii="Times New Roman" w:hAnsi="Times New Roman" w:cs="Times New Roman"/>
          <w:sz w:val="24"/>
          <w:szCs w:val="24"/>
        </w:rPr>
        <w:t xml:space="preserve">while </w:t>
      </w:r>
      <w:r w:rsidR="003270AB" w:rsidRPr="005979A7">
        <w:rPr>
          <w:rFonts w:ascii="Times New Roman" w:hAnsi="Times New Roman" w:cs="Times New Roman"/>
          <w:sz w:val="24"/>
          <w:szCs w:val="24"/>
        </w:rPr>
        <w:t xml:space="preserve">others </w:t>
      </w:r>
      <w:r w:rsidR="007E4676">
        <w:rPr>
          <w:rFonts w:ascii="Times New Roman" w:hAnsi="Times New Roman" w:cs="Times New Roman"/>
          <w:sz w:val="24"/>
          <w:szCs w:val="24"/>
        </w:rPr>
        <w:t xml:space="preserve">may see it </w:t>
      </w:r>
      <w:r w:rsidR="003270AB" w:rsidRPr="005979A7">
        <w:rPr>
          <w:rFonts w:ascii="Times New Roman" w:hAnsi="Times New Roman" w:cs="Times New Roman"/>
          <w:sz w:val="24"/>
          <w:szCs w:val="24"/>
        </w:rPr>
        <w:t xml:space="preserve">as an approach to improving business practices in </w:t>
      </w:r>
      <w:r w:rsidR="00587456" w:rsidRPr="005979A7">
        <w:rPr>
          <w:rFonts w:ascii="Times New Roman" w:hAnsi="Times New Roman" w:cs="Times New Roman"/>
          <w:sz w:val="24"/>
          <w:szCs w:val="24"/>
        </w:rPr>
        <w:t xml:space="preserve">such wide-ranging </w:t>
      </w:r>
      <w:r w:rsidR="003270AB" w:rsidRPr="005979A7">
        <w:rPr>
          <w:rFonts w:ascii="Times New Roman" w:hAnsi="Times New Roman" w:cs="Times New Roman"/>
          <w:sz w:val="24"/>
          <w:szCs w:val="24"/>
        </w:rPr>
        <w:t>domains as consumers, employees, suppliers, and communities</w:t>
      </w:r>
      <w:r w:rsidR="002E3ADF">
        <w:rPr>
          <w:rFonts w:ascii="Times New Roman" w:hAnsi="Times New Roman" w:cs="Times New Roman"/>
          <w:sz w:val="24"/>
          <w:szCs w:val="24"/>
        </w:rPr>
        <w:t>.</w:t>
      </w:r>
    </w:p>
    <w:p w14:paraId="4AC694CD" w14:textId="6FB71960" w:rsidR="004E3E50" w:rsidRPr="00006974" w:rsidRDefault="002E3ADF" w:rsidP="00006974">
      <w:pPr>
        <w:widowControl w:val="0"/>
        <w:tabs>
          <w:tab w:val="left" w:pos="1439"/>
        </w:tabs>
        <w:autoSpaceDE w:val="0"/>
        <w:autoSpaceDN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3E50" w:rsidRPr="00006974">
        <w:rPr>
          <w:rFonts w:ascii="Times New Roman" w:hAnsi="Times New Roman" w:cs="Times New Roman"/>
          <w:sz w:val="24"/>
          <w:szCs w:val="24"/>
        </w:rPr>
        <w:t xml:space="preserve">When pioneering firms </w:t>
      </w:r>
      <w:r w:rsidR="003270AB" w:rsidRPr="00006974">
        <w:rPr>
          <w:rFonts w:ascii="Times New Roman" w:hAnsi="Times New Roman" w:cs="Times New Roman"/>
          <w:sz w:val="24"/>
          <w:szCs w:val="24"/>
        </w:rPr>
        <w:t xml:space="preserve">first </w:t>
      </w:r>
      <w:r w:rsidR="00587456" w:rsidRPr="00006974">
        <w:rPr>
          <w:rFonts w:ascii="Times New Roman" w:hAnsi="Times New Roman" w:cs="Times New Roman"/>
          <w:sz w:val="24"/>
          <w:szCs w:val="24"/>
        </w:rPr>
        <w:t xml:space="preserve">introduce </w:t>
      </w:r>
      <w:r w:rsidR="004E3E50" w:rsidRPr="00006974">
        <w:rPr>
          <w:rFonts w:ascii="Times New Roman" w:hAnsi="Times New Roman" w:cs="Times New Roman"/>
          <w:sz w:val="24"/>
          <w:szCs w:val="24"/>
        </w:rPr>
        <w:t>CSR</w:t>
      </w:r>
      <w:r w:rsidR="00B957CC" w:rsidRPr="00006974">
        <w:rPr>
          <w:rFonts w:ascii="Times New Roman" w:hAnsi="Times New Roman" w:cs="Times New Roman"/>
          <w:sz w:val="24"/>
          <w:szCs w:val="24"/>
        </w:rPr>
        <w:t xml:space="preserve"> </w:t>
      </w:r>
      <w:r w:rsidR="00587456" w:rsidRPr="00006974">
        <w:rPr>
          <w:rFonts w:ascii="Times New Roman" w:hAnsi="Times New Roman" w:cs="Times New Roman"/>
          <w:sz w:val="24"/>
          <w:szCs w:val="24"/>
        </w:rPr>
        <w:t xml:space="preserve">to </w:t>
      </w:r>
      <w:r w:rsidR="00B957CC" w:rsidRPr="00006974">
        <w:rPr>
          <w:rFonts w:ascii="Times New Roman" w:hAnsi="Times New Roman" w:cs="Times New Roman"/>
          <w:sz w:val="24"/>
          <w:szCs w:val="24"/>
        </w:rPr>
        <w:t>a n</w:t>
      </w:r>
      <w:r w:rsidR="003270AB" w:rsidRPr="00006974">
        <w:rPr>
          <w:rFonts w:ascii="Times New Roman" w:hAnsi="Times New Roman" w:cs="Times New Roman"/>
          <w:sz w:val="24"/>
          <w:szCs w:val="24"/>
        </w:rPr>
        <w:t xml:space="preserve">ew </w:t>
      </w:r>
      <w:r w:rsidR="00B957CC" w:rsidRPr="00006974">
        <w:rPr>
          <w:rFonts w:ascii="Times New Roman" w:hAnsi="Times New Roman" w:cs="Times New Roman"/>
          <w:sz w:val="24"/>
          <w:szCs w:val="24"/>
        </w:rPr>
        <w:t>context</w:t>
      </w:r>
      <w:r w:rsidR="004E3E50" w:rsidRPr="00006974">
        <w:rPr>
          <w:rFonts w:ascii="Times New Roman" w:hAnsi="Times New Roman" w:cs="Times New Roman"/>
          <w:sz w:val="24"/>
          <w:szCs w:val="24"/>
        </w:rPr>
        <w:t>, the</w:t>
      </w:r>
      <w:r w:rsidR="00587456" w:rsidRPr="00006974">
        <w:rPr>
          <w:rFonts w:ascii="Times New Roman" w:hAnsi="Times New Roman" w:cs="Times New Roman"/>
          <w:sz w:val="24"/>
          <w:szCs w:val="24"/>
        </w:rPr>
        <w:t xml:space="preserve"> </w:t>
      </w:r>
      <w:r w:rsidR="003270AB" w:rsidRPr="00006974">
        <w:rPr>
          <w:rFonts w:ascii="Times New Roman" w:hAnsi="Times New Roman" w:cs="Times New Roman"/>
          <w:sz w:val="24"/>
          <w:szCs w:val="24"/>
        </w:rPr>
        <w:t xml:space="preserve">views of </w:t>
      </w:r>
      <w:r w:rsidR="00587456" w:rsidRPr="00006974">
        <w:rPr>
          <w:rFonts w:ascii="Times New Roman" w:hAnsi="Times New Roman" w:cs="Times New Roman"/>
          <w:sz w:val="24"/>
          <w:szCs w:val="24"/>
        </w:rPr>
        <w:t xml:space="preserve">managers of these firms about </w:t>
      </w:r>
      <w:r w:rsidR="003270AB" w:rsidRPr="00006974">
        <w:rPr>
          <w:rFonts w:ascii="Times New Roman" w:hAnsi="Times New Roman" w:cs="Times New Roman"/>
          <w:sz w:val="24"/>
          <w:szCs w:val="24"/>
        </w:rPr>
        <w:t xml:space="preserve">CSR may not necessarily align with those of </w:t>
      </w:r>
      <w:r w:rsidR="004E3E50" w:rsidRPr="00006974">
        <w:rPr>
          <w:rFonts w:ascii="Times New Roman" w:hAnsi="Times New Roman" w:cs="Times New Roman"/>
          <w:sz w:val="24"/>
          <w:szCs w:val="24"/>
        </w:rPr>
        <w:t xml:space="preserve">their </w:t>
      </w:r>
      <w:r w:rsidR="003270AB" w:rsidRPr="00006974">
        <w:rPr>
          <w:rFonts w:ascii="Times New Roman" w:hAnsi="Times New Roman" w:cs="Times New Roman"/>
          <w:sz w:val="24"/>
          <w:szCs w:val="24"/>
        </w:rPr>
        <w:t xml:space="preserve">business </w:t>
      </w:r>
      <w:r w:rsidR="004E3E50" w:rsidRPr="00006974">
        <w:rPr>
          <w:rFonts w:ascii="Times New Roman" w:hAnsi="Times New Roman" w:cs="Times New Roman"/>
          <w:sz w:val="24"/>
          <w:szCs w:val="24"/>
        </w:rPr>
        <w:t xml:space="preserve">network </w:t>
      </w:r>
      <w:r w:rsidR="003270AB" w:rsidRPr="00006974">
        <w:rPr>
          <w:rFonts w:ascii="Times New Roman" w:hAnsi="Times New Roman" w:cs="Times New Roman"/>
          <w:sz w:val="24"/>
          <w:szCs w:val="24"/>
        </w:rPr>
        <w:t xml:space="preserve">members </w:t>
      </w:r>
      <w:r w:rsidR="004E3E50" w:rsidRPr="00006974">
        <w:rPr>
          <w:rFonts w:ascii="Times New Roman" w:hAnsi="Times New Roman" w:cs="Times New Roman"/>
          <w:sz w:val="24"/>
          <w:szCs w:val="24"/>
        </w:rPr>
        <w:t>(e.g., suppliers, contractors, distributors)</w:t>
      </w:r>
      <w:r w:rsidR="003270AB" w:rsidRPr="00006974">
        <w:rPr>
          <w:rFonts w:ascii="Times New Roman" w:hAnsi="Times New Roman" w:cs="Times New Roman"/>
          <w:sz w:val="24"/>
          <w:szCs w:val="24"/>
        </w:rPr>
        <w:t xml:space="preserve"> or internal </w:t>
      </w:r>
      <w:r w:rsidR="00587456" w:rsidRPr="00006974">
        <w:rPr>
          <w:rFonts w:ascii="Times New Roman" w:hAnsi="Times New Roman" w:cs="Times New Roman"/>
          <w:sz w:val="24"/>
          <w:szCs w:val="24"/>
        </w:rPr>
        <w:t xml:space="preserve">(e.g., employees) </w:t>
      </w:r>
      <w:r w:rsidR="003270AB" w:rsidRPr="00006974">
        <w:rPr>
          <w:rFonts w:ascii="Times New Roman" w:hAnsi="Times New Roman" w:cs="Times New Roman"/>
          <w:sz w:val="24"/>
          <w:szCs w:val="24"/>
        </w:rPr>
        <w:t xml:space="preserve">and external </w:t>
      </w:r>
      <w:r w:rsidR="00587456" w:rsidRPr="00006974">
        <w:rPr>
          <w:rFonts w:ascii="Times New Roman" w:hAnsi="Times New Roman" w:cs="Times New Roman"/>
          <w:sz w:val="24"/>
          <w:szCs w:val="24"/>
        </w:rPr>
        <w:t>stakeholders (e.g., NGOs or community members)</w:t>
      </w:r>
      <w:r w:rsidR="003270AB" w:rsidRPr="00006974">
        <w:rPr>
          <w:rFonts w:ascii="Times New Roman" w:hAnsi="Times New Roman" w:cs="Times New Roman"/>
          <w:sz w:val="24"/>
          <w:szCs w:val="24"/>
        </w:rPr>
        <w:t xml:space="preserve">. In the absence of </w:t>
      </w:r>
      <w:r w:rsidR="004E3E50" w:rsidRPr="00006974">
        <w:rPr>
          <w:rFonts w:ascii="Times New Roman" w:hAnsi="Times New Roman" w:cs="Times New Roman"/>
          <w:sz w:val="24"/>
          <w:szCs w:val="24"/>
        </w:rPr>
        <w:t>a shared understanding</w:t>
      </w:r>
      <w:r w:rsidR="00587456" w:rsidRPr="00006974">
        <w:rPr>
          <w:rFonts w:ascii="Times New Roman" w:hAnsi="Times New Roman" w:cs="Times New Roman"/>
          <w:sz w:val="24"/>
          <w:szCs w:val="24"/>
        </w:rPr>
        <w:t>, CSR initially</w:t>
      </w:r>
      <w:r w:rsidR="003270AB" w:rsidRPr="00006974">
        <w:rPr>
          <w:rFonts w:ascii="Times New Roman" w:hAnsi="Times New Roman" w:cs="Times New Roman"/>
          <w:sz w:val="24"/>
          <w:szCs w:val="24"/>
        </w:rPr>
        <w:t xml:space="preserve"> </w:t>
      </w:r>
      <w:r w:rsidR="004E3E50" w:rsidRPr="00006974">
        <w:rPr>
          <w:rFonts w:ascii="Times New Roman" w:hAnsi="Times New Roman" w:cs="Times New Roman"/>
          <w:sz w:val="24"/>
          <w:szCs w:val="24"/>
        </w:rPr>
        <w:t>remains an incomplete contract (Pederson &amp; Anderson, 2006</w:t>
      </w:r>
      <w:r w:rsidR="006F676C">
        <w:rPr>
          <w:rFonts w:ascii="Times New Roman" w:hAnsi="Times New Roman" w:cs="Times New Roman"/>
          <w:sz w:val="24"/>
          <w:szCs w:val="24"/>
        </w:rPr>
        <w:t>;</w:t>
      </w:r>
      <w:r w:rsidR="006F676C" w:rsidRPr="006F676C">
        <w:rPr>
          <w:rFonts w:ascii="Times New Roman" w:hAnsi="Times New Roman" w:cs="Times New Roman"/>
          <w:sz w:val="24"/>
          <w:szCs w:val="24"/>
        </w:rPr>
        <w:t xml:space="preserve"> </w:t>
      </w:r>
      <w:proofErr w:type="spellStart"/>
      <w:r w:rsidR="006F676C" w:rsidRPr="002D773A">
        <w:rPr>
          <w:rFonts w:ascii="Times New Roman" w:hAnsi="Times New Roman" w:cs="Times New Roman"/>
          <w:sz w:val="24"/>
          <w:szCs w:val="24"/>
        </w:rPr>
        <w:t>Sacconi</w:t>
      </w:r>
      <w:proofErr w:type="spellEnd"/>
      <w:r w:rsidR="006F676C" w:rsidRPr="002D773A">
        <w:rPr>
          <w:rFonts w:ascii="Times New Roman" w:hAnsi="Times New Roman" w:cs="Times New Roman"/>
          <w:sz w:val="24"/>
          <w:szCs w:val="24"/>
        </w:rPr>
        <w:t>, 2006</w:t>
      </w:r>
      <w:r w:rsidR="004E3E50" w:rsidRPr="00006974">
        <w:rPr>
          <w:rFonts w:ascii="Times New Roman" w:hAnsi="Times New Roman" w:cs="Times New Roman"/>
          <w:sz w:val="24"/>
          <w:szCs w:val="24"/>
        </w:rPr>
        <w:t xml:space="preserve">), increasing the likelihood of </w:t>
      </w:r>
      <w:r w:rsidR="004E3E50" w:rsidRPr="00006974">
        <w:rPr>
          <w:rFonts w:ascii="Times New Roman" w:hAnsi="Times New Roman" w:cs="Times New Roman"/>
          <w:sz w:val="24"/>
          <w:szCs w:val="24"/>
        </w:rPr>
        <w:lastRenderedPageBreak/>
        <w:t>opportunistic behavior (Williamson, 1985)</w:t>
      </w:r>
      <w:r w:rsidR="003270AB" w:rsidRPr="00006974">
        <w:rPr>
          <w:rFonts w:ascii="Times New Roman" w:hAnsi="Times New Roman" w:cs="Times New Roman"/>
          <w:sz w:val="24"/>
          <w:szCs w:val="24"/>
        </w:rPr>
        <w:t xml:space="preserve"> by network members or stakeholders</w:t>
      </w:r>
      <w:r w:rsidR="004E3E50" w:rsidRPr="00006974">
        <w:rPr>
          <w:rFonts w:ascii="Times New Roman" w:hAnsi="Times New Roman" w:cs="Times New Roman"/>
          <w:sz w:val="24"/>
          <w:szCs w:val="24"/>
        </w:rPr>
        <w:t xml:space="preserve">. </w:t>
      </w:r>
      <w:r w:rsidR="00604C11" w:rsidRPr="00006974">
        <w:rPr>
          <w:rFonts w:ascii="Times New Roman" w:hAnsi="Times New Roman" w:cs="Times New Roman"/>
          <w:sz w:val="24"/>
          <w:szCs w:val="24"/>
        </w:rPr>
        <w:t>The uncertainty and ambiguity about the meaning and co</w:t>
      </w:r>
      <w:r w:rsidR="00587456" w:rsidRPr="00006974">
        <w:rPr>
          <w:rFonts w:ascii="Times New Roman" w:hAnsi="Times New Roman" w:cs="Times New Roman"/>
          <w:sz w:val="24"/>
          <w:szCs w:val="24"/>
        </w:rPr>
        <w:t xml:space="preserve">mposition </w:t>
      </w:r>
      <w:r w:rsidR="00604C11" w:rsidRPr="00006974">
        <w:rPr>
          <w:rFonts w:ascii="Times New Roman" w:hAnsi="Times New Roman" w:cs="Times New Roman"/>
          <w:sz w:val="24"/>
          <w:szCs w:val="24"/>
        </w:rPr>
        <w:t>of CSR (</w:t>
      </w:r>
      <w:proofErr w:type="spellStart"/>
      <w:r w:rsidR="00604C11" w:rsidRPr="008D53DE">
        <w:rPr>
          <w:rFonts w:ascii="Times New Roman" w:hAnsi="Times New Roman" w:cs="Times New Roman"/>
          <w:sz w:val="24"/>
          <w:szCs w:val="24"/>
        </w:rPr>
        <w:t>Lepoutre</w:t>
      </w:r>
      <w:proofErr w:type="spellEnd"/>
      <w:r w:rsidR="00604C11" w:rsidRPr="008D53DE">
        <w:rPr>
          <w:rFonts w:ascii="Times New Roman" w:hAnsi="Times New Roman" w:cs="Times New Roman"/>
          <w:sz w:val="24"/>
          <w:szCs w:val="24"/>
        </w:rPr>
        <w:t xml:space="preserve"> et al., 2007)</w:t>
      </w:r>
      <w:r w:rsidR="00604C11">
        <w:rPr>
          <w:rFonts w:ascii="Times New Roman" w:hAnsi="Times New Roman" w:cs="Times New Roman"/>
          <w:sz w:val="24"/>
          <w:szCs w:val="24"/>
        </w:rPr>
        <w:t xml:space="preserve"> underlies the d</w:t>
      </w:r>
      <w:r w:rsidR="004E3E50" w:rsidRPr="00006974">
        <w:rPr>
          <w:rFonts w:ascii="Times New Roman" w:hAnsi="Times New Roman" w:cs="Times New Roman"/>
          <w:sz w:val="24"/>
          <w:szCs w:val="24"/>
        </w:rPr>
        <w:t xml:space="preserve">iscord </w:t>
      </w:r>
      <w:r w:rsidR="00604C11" w:rsidRPr="00006974">
        <w:rPr>
          <w:rFonts w:ascii="Times New Roman" w:hAnsi="Times New Roman" w:cs="Times New Roman"/>
          <w:sz w:val="24"/>
          <w:szCs w:val="24"/>
        </w:rPr>
        <w:t xml:space="preserve">that often arises </w:t>
      </w:r>
      <w:r w:rsidR="004E3E50" w:rsidRPr="00006974">
        <w:rPr>
          <w:rFonts w:ascii="Times New Roman" w:hAnsi="Times New Roman" w:cs="Times New Roman"/>
          <w:sz w:val="24"/>
          <w:szCs w:val="24"/>
        </w:rPr>
        <w:t xml:space="preserve">between a firm and its network </w:t>
      </w:r>
      <w:r w:rsidR="003270AB" w:rsidRPr="00006974">
        <w:rPr>
          <w:rFonts w:ascii="Times New Roman" w:hAnsi="Times New Roman" w:cs="Times New Roman"/>
          <w:sz w:val="24"/>
          <w:szCs w:val="24"/>
        </w:rPr>
        <w:t xml:space="preserve">members </w:t>
      </w:r>
      <w:r w:rsidR="004E3E50" w:rsidRPr="00006974">
        <w:rPr>
          <w:rFonts w:ascii="Times New Roman" w:hAnsi="Times New Roman" w:cs="Times New Roman"/>
          <w:sz w:val="24"/>
          <w:szCs w:val="24"/>
        </w:rPr>
        <w:t xml:space="preserve">(Arenas et al., 2009). </w:t>
      </w:r>
    </w:p>
    <w:p w14:paraId="3F475C15" w14:textId="5FE414AD" w:rsidR="004E3E50" w:rsidRPr="00006974" w:rsidRDefault="004E3E50" w:rsidP="00006974">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CSR may also invoke skepticism at a societal level</w:t>
      </w:r>
      <w:r w:rsidR="00587456" w:rsidRPr="00006974">
        <w:rPr>
          <w:rFonts w:ascii="Times New Roman" w:hAnsi="Times New Roman" w:cs="Times New Roman"/>
          <w:sz w:val="24"/>
          <w:szCs w:val="24"/>
        </w:rPr>
        <w:t xml:space="preserve"> especially given the rising distrust of corporations </w:t>
      </w:r>
      <w:r w:rsidRPr="00006974">
        <w:rPr>
          <w:rFonts w:ascii="Times New Roman" w:hAnsi="Times New Roman" w:cs="Times New Roman"/>
          <w:sz w:val="24"/>
          <w:szCs w:val="24"/>
        </w:rPr>
        <w:t>(Connors et al., 2017)</w:t>
      </w:r>
      <w:r w:rsidR="00587456" w:rsidRPr="00006974">
        <w:rPr>
          <w:rFonts w:ascii="Times New Roman" w:hAnsi="Times New Roman" w:cs="Times New Roman"/>
          <w:sz w:val="24"/>
          <w:szCs w:val="24"/>
        </w:rPr>
        <w:t xml:space="preserve">. </w:t>
      </w:r>
      <w:r w:rsidRPr="00006974">
        <w:rPr>
          <w:rFonts w:ascii="Times New Roman" w:hAnsi="Times New Roman" w:cs="Times New Roman"/>
          <w:sz w:val="24"/>
          <w:szCs w:val="24"/>
        </w:rPr>
        <w:t xml:space="preserve">Forty </w:t>
      </w:r>
      <w:r w:rsidR="00587456" w:rsidRPr="00006974">
        <w:rPr>
          <w:rFonts w:ascii="Times New Roman" w:hAnsi="Times New Roman" w:cs="Times New Roman"/>
          <w:sz w:val="24"/>
          <w:szCs w:val="24"/>
        </w:rPr>
        <w:t xml:space="preserve">of the </w:t>
      </w:r>
      <w:r w:rsidRPr="00006974">
        <w:rPr>
          <w:rFonts w:ascii="Times New Roman" w:hAnsi="Times New Roman" w:cs="Times New Roman"/>
          <w:sz w:val="24"/>
          <w:szCs w:val="24"/>
        </w:rPr>
        <w:t xml:space="preserve">Fortune 100 corporations that </w:t>
      </w:r>
      <w:r w:rsidR="00587456" w:rsidRPr="00006974">
        <w:rPr>
          <w:rFonts w:ascii="Times New Roman" w:hAnsi="Times New Roman" w:cs="Times New Roman"/>
          <w:sz w:val="24"/>
          <w:szCs w:val="24"/>
        </w:rPr>
        <w:t xml:space="preserve">once </w:t>
      </w:r>
      <w:r w:rsidRPr="00006974">
        <w:rPr>
          <w:rFonts w:ascii="Times New Roman" w:hAnsi="Times New Roman" w:cs="Times New Roman"/>
          <w:sz w:val="24"/>
          <w:szCs w:val="24"/>
        </w:rPr>
        <w:t xml:space="preserve">trumpeted strong CSR </w:t>
      </w:r>
      <w:r w:rsidR="00604C11" w:rsidRPr="00006974">
        <w:rPr>
          <w:rFonts w:ascii="Times New Roman" w:hAnsi="Times New Roman" w:cs="Times New Roman"/>
          <w:sz w:val="24"/>
          <w:szCs w:val="24"/>
        </w:rPr>
        <w:t>commitment</w:t>
      </w:r>
      <w:r w:rsidR="00786001" w:rsidRPr="00006974">
        <w:rPr>
          <w:rFonts w:ascii="Times New Roman" w:hAnsi="Times New Roman" w:cs="Times New Roman"/>
          <w:sz w:val="24"/>
          <w:szCs w:val="24"/>
        </w:rPr>
        <w:t>s</w:t>
      </w:r>
      <w:r w:rsidR="00604C11" w:rsidRPr="00006974">
        <w:rPr>
          <w:rFonts w:ascii="Times New Roman" w:hAnsi="Times New Roman" w:cs="Times New Roman"/>
          <w:sz w:val="24"/>
          <w:szCs w:val="24"/>
        </w:rPr>
        <w:t xml:space="preserve"> </w:t>
      </w:r>
      <w:r w:rsidRPr="00006974">
        <w:rPr>
          <w:rFonts w:ascii="Times New Roman" w:hAnsi="Times New Roman" w:cs="Times New Roman"/>
          <w:sz w:val="24"/>
          <w:szCs w:val="24"/>
        </w:rPr>
        <w:t>were later found to have engaged in some form of unethical behavior (Clement, 2006). Not long before it was exposed, Enron, the infamous poster</w:t>
      </w:r>
      <w:r w:rsidR="00B6240A" w:rsidRPr="00006974">
        <w:rPr>
          <w:rFonts w:ascii="Times New Roman" w:hAnsi="Times New Roman" w:cs="Times New Roman"/>
          <w:sz w:val="24"/>
          <w:szCs w:val="24"/>
        </w:rPr>
        <w:t xml:space="preserve"> </w:t>
      </w:r>
      <w:r w:rsidRPr="00006974">
        <w:rPr>
          <w:rFonts w:ascii="Times New Roman" w:hAnsi="Times New Roman" w:cs="Times New Roman"/>
          <w:sz w:val="24"/>
          <w:szCs w:val="24"/>
        </w:rPr>
        <w:t>child of corporate fraud, was ‘‘heralded as a paragon of corporate responsibility and ethics…” (Sims &amp; Brinkmann, 2003, p. 243). More recently, companies such as Amazon, Google, and Volkswagen which extensively tout their commitment to CSR, have been involved in ethical controversies. The wrongdoings of even just a few companies engender general skepticism of CSR (</w:t>
      </w:r>
      <w:proofErr w:type="spellStart"/>
      <w:r w:rsidRPr="00006974">
        <w:rPr>
          <w:rFonts w:ascii="Times New Roman" w:hAnsi="Times New Roman" w:cs="Times New Roman"/>
          <w:sz w:val="24"/>
          <w:szCs w:val="24"/>
        </w:rPr>
        <w:t>Skarmeas</w:t>
      </w:r>
      <w:proofErr w:type="spellEnd"/>
      <w:r w:rsidRPr="00006974">
        <w:rPr>
          <w:rFonts w:ascii="Times New Roman" w:hAnsi="Times New Roman" w:cs="Times New Roman"/>
          <w:sz w:val="24"/>
          <w:szCs w:val="24"/>
        </w:rPr>
        <w:t xml:space="preserve"> &amp; </w:t>
      </w:r>
      <w:proofErr w:type="spellStart"/>
      <w:r w:rsidRPr="00006974">
        <w:rPr>
          <w:rFonts w:ascii="Times New Roman" w:hAnsi="Times New Roman" w:cs="Times New Roman"/>
          <w:sz w:val="24"/>
          <w:szCs w:val="24"/>
        </w:rPr>
        <w:t>Leonidou</w:t>
      </w:r>
      <w:proofErr w:type="spellEnd"/>
      <w:r w:rsidRPr="00006974">
        <w:rPr>
          <w:rFonts w:ascii="Times New Roman" w:hAnsi="Times New Roman" w:cs="Times New Roman"/>
          <w:sz w:val="24"/>
          <w:szCs w:val="24"/>
        </w:rPr>
        <w:t>, 2013). Such negative perceptions of CSR are even more pronounced in those societies – e.g., India – where private sector corruption is rampant and firms openly flout even basic legal requirements (</w:t>
      </w:r>
      <w:r w:rsidR="006F676C" w:rsidRPr="008A332B">
        <w:rPr>
          <w:rFonts w:ascii="Times New Roman" w:hAnsi="Times New Roman" w:cs="Times New Roman"/>
          <w:sz w:val="24"/>
          <w:szCs w:val="24"/>
        </w:rPr>
        <w:t>Panwar et al., 2018</w:t>
      </w:r>
      <w:r w:rsidR="006F676C">
        <w:rPr>
          <w:rFonts w:ascii="Times New Roman" w:hAnsi="Times New Roman" w:cs="Times New Roman"/>
          <w:sz w:val="24"/>
          <w:szCs w:val="24"/>
        </w:rPr>
        <w:t xml:space="preserve">; </w:t>
      </w:r>
      <w:r w:rsidRPr="00006974">
        <w:rPr>
          <w:rFonts w:ascii="Times New Roman" w:hAnsi="Times New Roman" w:cs="Times New Roman"/>
          <w:sz w:val="24"/>
          <w:szCs w:val="24"/>
        </w:rPr>
        <w:t>Prieto-</w:t>
      </w:r>
      <w:proofErr w:type="spellStart"/>
      <w:r w:rsidRPr="00006974">
        <w:rPr>
          <w:rFonts w:ascii="Times New Roman" w:hAnsi="Times New Roman" w:cs="Times New Roman"/>
          <w:sz w:val="24"/>
          <w:szCs w:val="24"/>
        </w:rPr>
        <w:t>Carrón</w:t>
      </w:r>
      <w:proofErr w:type="spellEnd"/>
      <w:r w:rsidRPr="00006974">
        <w:rPr>
          <w:rFonts w:ascii="Times New Roman" w:hAnsi="Times New Roman" w:cs="Times New Roman"/>
          <w:sz w:val="24"/>
          <w:szCs w:val="24"/>
        </w:rPr>
        <w:t xml:space="preserve"> et al., 2006). In those contexts, while firms feel isomorphic pressures to conform to global norms and adopt CSR (</w:t>
      </w:r>
      <w:r w:rsidRPr="008D53DE">
        <w:rPr>
          <w:rFonts w:ascii="Times New Roman" w:hAnsi="Times New Roman" w:cs="Times New Roman"/>
          <w:sz w:val="24"/>
          <w:szCs w:val="24"/>
        </w:rPr>
        <w:t xml:space="preserve">Kaplan &amp; </w:t>
      </w:r>
      <w:proofErr w:type="spellStart"/>
      <w:r w:rsidRPr="008D53DE">
        <w:rPr>
          <w:rFonts w:ascii="Times New Roman" w:hAnsi="Times New Roman" w:cs="Times New Roman"/>
          <w:sz w:val="24"/>
          <w:szCs w:val="24"/>
        </w:rPr>
        <w:t>Kinderman</w:t>
      </w:r>
      <w:proofErr w:type="spellEnd"/>
      <w:r w:rsidRPr="008D53DE">
        <w:rPr>
          <w:rFonts w:ascii="Times New Roman" w:hAnsi="Times New Roman" w:cs="Times New Roman"/>
          <w:sz w:val="24"/>
          <w:szCs w:val="24"/>
        </w:rPr>
        <w:t xml:space="preserve">, 2020), their </w:t>
      </w:r>
      <w:r w:rsidRPr="00006974">
        <w:rPr>
          <w:rFonts w:ascii="Times New Roman" w:hAnsi="Times New Roman" w:cs="Times New Roman"/>
          <w:sz w:val="24"/>
          <w:szCs w:val="24"/>
        </w:rPr>
        <w:t>CSR claims would likely be viewed with deep skepticism, making it imp</w:t>
      </w:r>
      <w:r w:rsidR="00350700">
        <w:rPr>
          <w:rFonts w:ascii="Times New Roman" w:hAnsi="Times New Roman" w:cs="Times New Roman"/>
          <w:sz w:val="24"/>
          <w:szCs w:val="24"/>
        </w:rPr>
        <w:t xml:space="preserve">lausible </w:t>
      </w:r>
      <w:r w:rsidRPr="00006974">
        <w:rPr>
          <w:rFonts w:ascii="Times New Roman" w:hAnsi="Times New Roman" w:cs="Times New Roman"/>
          <w:sz w:val="24"/>
          <w:szCs w:val="24"/>
        </w:rPr>
        <w:t xml:space="preserve">for </w:t>
      </w:r>
      <w:r w:rsidR="00DC458E" w:rsidRPr="00006974">
        <w:rPr>
          <w:rFonts w:ascii="Times New Roman" w:hAnsi="Times New Roman" w:cs="Times New Roman"/>
          <w:sz w:val="24"/>
          <w:szCs w:val="24"/>
        </w:rPr>
        <w:t xml:space="preserve">firms </w:t>
      </w:r>
      <w:r w:rsidRPr="00006974">
        <w:rPr>
          <w:rFonts w:ascii="Times New Roman" w:hAnsi="Times New Roman" w:cs="Times New Roman"/>
          <w:sz w:val="24"/>
          <w:szCs w:val="24"/>
        </w:rPr>
        <w:t xml:space="preserve">to reap the business benefits of CSR that motivate </w:t>
      </w:r>
      <w:r w:rsidR="00DC458E" w:rsidRPr="00006974">
        <w:rPr>
          <w:rFonts w:ascii="Times New Roman" w:hAnsi="Times New Roman" w:cs="Times New Roman"/>
          <w:sz w:val="24"/>
          <w:szCs w:val="24"/>
        </w:rPr>
        <w:t xml:space="preserve">them </w:t>
      </w:r>
      <w:r w:rsidRPr="00006974">
        <w:rPr>
          <w:rFonts w:ascii="Times New Roman" w:hAnsi="Times New Roman" w:cs="Times New Roman"/>
          <w:sz w:val="24"/>
          <w:szCs w:val="24"/>
        </w:rPr>
        <w:t xml:space="preserve">to adopt CSR in the first place. </w:t>
      </w:r>
    </w:p>
    <w:p w14:paraId="2FA462C7" w14:textId="4153EB99" w:rsidR="004E3E50" w:rsidRPr="00006974" w:rsidRDefault="002E3ADF" w:rsidP="002E3ADF">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sidRPr="002E3ADF">
        <w:rPr>
          <w:rFonts w:ascii="Times New Roman" w:hAnsi="Times New Roman" w:cs="Times New Roman"/>
          <w:sz w:val="24"/>
          <w:szCs w:val="24"/>
        </w:rPr>
        <w:t>One of the advantages of a universal form of CSR, thus, is the degree of certainty that it introduces into a local business context. When the understanding of CSR is fixed, either by established norms or by regulations, it levels the playing field by providing a degree</w:t>
      </w:r>
      <w:r>
        <w:rPr>
          <w:rFonts w:ascii="Times New Roman" w:hAnsi="Times New Roman" w:cs="Times New Roman"/>
          <w:sz w:val="24"/>
          <w:szCs w:val="24"/>
        </w:rPr>
        <w:t xml:space="preserve"> of predictability and stability</w:t>
      </w:r>
      <w:r w:rsidRPr="002E3ADF">
        <w:rPr>
          <w:rFonts w:ascii="Times New Roman" w:hAnsi="Times New Roman" w:cs="Times New Roman"/>
          <w:sz w:val="24"/>
          <w:szCs w:val="24"/>
        </w:rPr>
        <w:t>.</w:t>
      </w:r>
      <w:r>
        <w:rPr>
          <w:rFonts w:ascii="Times New Roman" w:hAnsi="Times New Roman" w:cs="Times New Roman"/>
          <w:sz w:val="24"/>
          <w:szCs w:val="24"/>
        </w:rPr>
        <w:t xml:space="preserve"> </w:t>
      </w:r>
      <w:r w:rsidR="00DC458E" w:rsidRPr="00006974">
        <w:rPr>
          <w:rFonts w:ascii="Times New Roman" w:hAnsi="Times New Roman" w:cs="Times New Roman"/>
          <w:sz w:val="24"/>
          <w:szCs w:val="24"/>
        </w:rPr>
        <w:t xml:space="preserve">Soft </w:t>
      </w:r>
      <w:r w:rsidR="004E3E50" w:rsidRPr="00006974">
        <w:rPr>
          <w:rFonts w:ascii="Times New Roman" w:hAnsi="Times New Roman" w:cs="Times New Roman"/>
          <w:sz w:val="24"/>
          <w:szCs w:val="24"/>
        </w:rPr>
        <w:t xml:space="preserve">CSR regulations </w:t>
      </w:r>
      <w:r w:rsidR="00604C11" w:rsidRPr="00006974">
        <w:rPr>
          <w:rFonts w:ascii="Times New Roman" w:hAnsi="Times New Roman" w:cs="Times New Roman"/>
          <w:sz w:val="24"/>
          <w:szCs w:val="24"/>
        </w:rPr>
        <w:t xml:space="preserve">– a hybrid </w:t>
      </w:r>
      <w:r w:rsidR="0025574D" w:rsidRPr="00006974">
        <w:rPr>
          <w:rFonts w:ascii="Times New Roman" w:hAnsi="Times New Roman" w:cs="Times New Roman"/>
          <w:sz w:val="24"/>
          <w:szCs w:val="24"/>
        </w:rPr>
        <w:t>between d</w:t>
      </w:r>
      <w:r w:rsidR="00604C11" w:rsidRPr="00006974">
        <w:rPr>
          <w:rFonts w:ascii="Times New Roman" w:hAnsi="Times New Roman" w:cs="Times New Roman"/>
          <w:sz w:val="24"/>
          <w:szCs w:val="24"/>
        </w:rPr>
        <w:t xml:space="preserve">iscretionary CSR and </w:t>
      </w:r>
      <w:r w:rsidR="00DC458E" w:rsidRPr="00006974">
        <w:rPr>
          <w:rFonts w:ascii="Times New Roman" w:hAnsi="Times New Roman" w:cs="Times New Roman"/>
          <w:sz w:val="24"/>
          <w:szCs w:val="24"/>
        </w:rPr>
        <w:t xml:space="preserve">flexible </w:t>
      </w:r>
      <w:r w:rsidR="00604C11" w:rsidRPr="00006974">
        <w:rPr>
          <w:rFonts w:ascii="Times New Roman" w:hAnsi="Times New Roman" w:cs="Times New Roman"/>
          <w:sz w:val="24"/>
          <w:szCs w:val="24"/>
        </w:rPr>
        <w:t xml:space="preserve">regulations – can </w:t>
      </w:r>
      <w:r w:rsidR="004E3E50" w:rsidRPr="00006974">
        <w:rPr>
          <w:rFonts w:ascii="Times New Roman" w:hAnsi="Times New Roman" w:cs="Times New Roman"/>
          <w:sz w:val="24"/>
          <w:szCs w:val="24"/>
        </w:rPr>
        <w:t xml:space="preserve">be helpful in such situations. By offering a common framework to which all parties within a business relationship can refer, </w:t>
      </w:r>
      <w:r w:rsidR="00DC458E" w:rsidRPr="00006974">
        <w:rPr>
          <w:rFonts w:ascii="Times New Roman" w:hAnsi="Times New Roman" w:cs="Times New Roman"/>
          <w:sz w:val="24"/>
          <w:szCs w:val="24"/>
        </w:rPr>
        <w:t xml:space="preserve">soft </w:t>
      </w:r>
      <w:r w:rsidR="00604C11" w:rsidRPr="00006974">
        <w:rPr>
          <w:rFonts w:ascii="Times New Roman" w:hAnsi="Times New Roman" w:cs="Times New Roman"/>
          <w:sz w:val="24"/>
          <w:szCs w:val="24"/>
        </w:rPr>
        <w:t xml:space="preserve">CSR regulations </w:t>
      </w:r>
      <w:r w:rsidR="004E3E50" w:rsidRPr="00006974">
        <w:rPr>
          <w:rFonts w:ascii="Times New Roman" w:hAnsi="Times New Roman" w:cs="Times New Roman"/>
          <w:sz w:val="24"/>
          <w:szCs w:val="24"/>
        </w:rPr>
        <w:t xml:space="preserve">can reduce uncertainties </w:t>
      </w:r>
      <w:r w:rsidR="004E3E50" w:rsidRPr="00006974">
        <w:rPr>
          <w:rFonts w:ascii="Times New Roman" w:hAnsi="Times New Roman" w:cs="Times New Roman"/>
          <w:sz w:val="24"/>
          <w:szCs w:val="24"/>
        </w:rPr>
        <w:lastRenderedPageBreak/>
        <w:t xml:space="preserve">and ambiguities about </w:t>
      </w:r>
      <w:r w:rsidR="0025574D" w:rsidRPr="00006974">
        <w:rPr>
          <w:rFonts w:ascii="Times New Roman" w:hAnsi="Times New Roman" w:cs="Times New Roman"/>
          <w:sz w:val="24"/>
          <w:szCs w:val="24"/>
        </w:rPr>
        <w:t xml:space="preserve">a </w:t>
      </w:r>
      <w:r w:rsidR="00DC458E" w:rsidRPr="00006974">
        <w:rPr>
          <w:rFonts w:ascii="Times New Roman" w:hAnsi="Times New Roman" w:cs="Times New Roman"/>
          <w:sz w:val="24"/>
          <w:szCs w:val="24"/>
        </w:rPr>
        <w:t xml:space="preserve">pure </w:t>
      </w:r>
      <w:r w:rsidR="0058435F" w:rsidRPr="00006974">
        <w:rPr>
          <w:rFonts w:ascii="Times New Roman" w:hAnsi="Times New Roman" w:cs="Times New Roman"/>
          <w:sz w:val="24"/>
          <w:szCs w:val="24"/>
        </w:rPr>
        <w:t xml:space="preserve">discretionary form </w:t>
      </w:r>
      <w:r w:rsidR="004E3E50" w:rsidRPr="00006974">
        <w:rPr>
          <w:rFonts w:ascii="Times New Roman" w:hAnsi="Times New Roman" w:cs="Times New Roman"/>
          <w:sz w:val="24"/>
          <w:szCs w:val="24"/>
        </w:rPr>
        <w:t>CSR</w:t>
      </w:r>
      <w:r w:rsidR="00DC458E" w:rsidRPr="00006974">
        <w:rPr>
          <w:rFonts w:ascii="Times New Roman" w:hAnsi="Times New Roman" w:cs="Times New Roman"/>
          <w:sz w:val="24"/>
          <w:szCs w:val="24"/>
        </w:rPr>
        <w:t xml:space="preserve">. These regulations can </w:t>
      </w:r>
      <w:r w:rsidR="004E3E50" w:rsidRPr="00006974">
        <w:rPr>
          <w:rFonts w:ascii="Times New Roman" w:hAnsi="Times New Roman" w:cs="Times New Roman"/>
          <w:sz w:val="24"/>
          <w:szCs w:val="24"/>
        </w:rPr>
        <w:t xml:space="preserve">also confer upon </w:t>
      </w:r>
      <w:r w:rsidR="00DC458E" w:rsidRPr="00006974">
        <w:rPr>
          <w:rFonts w:ascii="Times New Roman" w:hAnsi="Times New Roman" w:cs="Times New Roman"/>
          <w:sz w:val="24"/>
          <w:szCs w:val="24"/>
        </w:rPr>
        <w:t xml:space="preserve">CSR practices </w:t>
      </w:r>
      <w:r w:rsidR="004E3E50" w:rsidRPr="00006974">
        <w:rPr>
          <w:rFonts w:ascii="Times New Roman" w:hAnsi="Times New Roman" w:cs="Times New Roman"/>
          <w:sz w:val="24"/>
          <w:szCs w:val="24"/>
        </w:rPr>
        <w:t xml:space="preserve">regulatory legitimacy </w:t>
      </w:r>
      <w:r w:rsidR="0058435F" w:rsidRPr="00006974">
        <w:rPr>
          <w:rFonts w:ascii="Times New Roman" w:hAnsi="Times New Roman" w:cs="Times New Roman"/>
          <w:sz w:val="24"/>
          <w:szCs w:val="24"/>
        </w:rPr>
        <w:t>(</w:t>
      </w:r>
      <w:proofErr w:type="spellStart"/>
      <w:r w:rsidR="0058435F" w:rsidRPr="00006974">
        <w:rPr>
          <w:rFonts w:ascii="Times New Roman" w:hAnsi="Times New Roman" w:cs="Times New Roman"/>
          <w:sz w:val="24"/>
          <w:szCs w:val="24"/>
        </w:rPr>
        <w:t>Deephouse</w:t>
      </w:r>
      <w:proofErr w:type="spellEnd"/>
      <w:r w:rsidR="0058435F" w:rsidRPr="00006974">
        <w:rPr>
          <w:rFonts w:ascii="Times New Roman" w:hAnsi="Times New Roman" w:cs="Times New Roman"/>
          <w:sz w:val="24"/>
          <w:szCs w:val="24"/>
        </w:rPr>
        <w:t xml:space="preserve"> &amp; </w:t>
      </w:r>
      <w:proofErr w:type="spellStart"/>
      <w:r w:rsidR="0058435F" w:rsidRPr="00006974">
        <w:rPr>
          <w:rFonts w:ascii="Times New Roman" w:hAnsi="Times New Roman" w:cs="Times New Roman"/>
          <w:sz w:val="24"/>
          <w:szCs w:val="24"/>
        </w:rPr>
        <w:t>Suchman</w:t>
      </w:r>
      <w:proofErr w:type="spellEnd"/>
      <w:r w:rsidR="0058435F" w:rsidRPr="00006974">
        <w:rPr>
          <w:rFonts w:ascii="Times New Roman" w:hAnsi="Times New Roman" w:cs="Times New Roman"/>
          <w:sz w:val="24"/>
          <w:szCs w:val="24"/>
        </w:rPr>
        <w:t>, 2008)</w:t>
      </w:r>
      <w:r>
        <w:rPr>
          <w:rFonts w:ascii="Times New Roman" w:hAnsi="Times New Roman" w:cs="Times New Roman"/>
          <w:sz w:val="24"/>
          <w:szCs w:val="24"/>
        </w:rPr>
        <w:t>, particularly in the context of CSR mandates which introduce more structure and certainty into the rules of adoption.</w:t>
      </w:r>
    </w:p>
    <w:p w14:paraId="45665DB5" w14:textId="4D440A12" w:rsidR="00F1383C" w:rsidRPr="00006974" w:rsidRDefault="002E3ADF" w:rsidP="0019363B">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58435F" w:rsidRPr="00006974">
        <w:rPr>
          <w:rFonts w:ascii="Times New Roman" w:hAnsi="Times New Roman" w:cs="Times New Roman"/>
          <w:sz w:val="24"/>
          <w:szCs w:val="24"/>
        </w:rPr>
        <w:t>e</w:t>
      </w:r>
      <w:r>
        <w:rPr>
          <w:rFonts w:ascii="Times New Roman" w:hAnsi="Times New Roman" w:cs="Times New Roman"/>
          <w:sz w:val="24"/>
          <w:szCs w:val="24"/>
        </w:rPr>
        <w:t xml:space="preserve"> </w:t>
      </w:r>
      <w:r w:rsidR="0058435F" w:rsidRPr="00006974">
        <w:rPr>
          <w:rFonts w:ascii="Times New Roman" w:hAnsi="Times New Roman" w:cs="Times New Roman"/>
          <w:sz w:val="24"/>
          <w:szCs w:val="24"/>
        </w:rPr>
        <w:t>expect</w:t>
      </w:r>
      <w:r>
        <w:rPr>
          <w:rFonts w:ascii="Times New Roman" w:hAnsi="Times New Roman" w:cs="Times New Roman"/>
          <w:sz w:val="24"/>
          <w:szCs w:val="24"/>
        </w:rPr>
        <w:t>, therefore,</w:t>
      </w:r>
      <w:r w:rsidR="0058435F" w:rsidRPr="00006974">
        <w:rPr>
          <w:rFonts w:ascii="Times New Roman" w:hAnsi="Times New Roman" w:cs="Times New Roman"/>
          <w:sz w:val="24"/>
          <w:szCs w:val="24"/>
        </w:rPr>
        <w:t xml:space="preserve"> that f</w:t>
      </w:r>
      <w:r w:rsidR="004E3E50" w:rsidRPr="00006974">
        <w:rPr>
          <w:rFonts w:ascii="Times New Roman" w:hAnsi="Times New Roman" w:cs="Times New Roman"/>
          <w:sz w:val="24"/>
          <w:szCs w:val="24"/>
        </w:rPr>
        <w:t xml:space="preserve">irms bound by </w:t>
      </w:r>
      <w:r w:rsidR="0058435F" w:rsidRPr="00006974">
        <w:rPr>
          <w:rFonts w:ascii="Times New Roman" w:hAnsi="Times New Roman" w:cs="Times New Roman"/>
          <w:sz w:val="24"/>
          <w:szCs w:val="24"/>
        </w:rPr>
        <w:t xml:space="preserve">a </w:t>
      </w:r>
      <w:r w:rsidR="00DC458E" w:rsidRPr="00006974">
        <w:rPr>
          <w:rFonts w:ascii="Times New Roman" w:hAnsi="Times New Roman" w:cs="Times New Roman"/>
          <w:sz w:val="24"/>
          <w:szCs w:val="24"/>
        </w:rPr>
        <w:t xml:space="preserve">soft </w:t>
      </w:r>
      <w:r w:rsidR="004E3E50" w:rsidRPr="00006974">
        <w:rPr>
          <w:rFonts w:ascii="Times New Roman" w:hAnsi="Times New Roman" w:cs="Times New Roman"/>
          <w:sz w:val="24"/>
          <w:szCs w:val="24"/>
        </w:rPr>
        <w:t>CSR regulation</w:t>
      </w:r>
      <w:r w:rsidR="0058435F" w:rsidRPr="00006974">
        <w:rPr>
          <w:rFonts w:ascii="Times New Roman" w:hAnsi="Times New Roman" w:cs="Times New Roman"/>
          <w:sz w:val="24"/>
          <w:szCs w:val="24"/>
        </w:rPr>
        <w:t>, specifically CSR mandate</w:t>
      </w:r>
      <w:r w:rsidR="00DC458E" w:rsidRPr="00006974">
        <w:rPr>
          <w:rFonts w:ascii="Times New Roman" w:hAnsi="Times New Roman" w:cs="Times New Roman"/>
          <w:sz w:val="24"/>
          <w:szCs w:val="24"/>
        </w:rPr>
        <w:t>s</w:t>
      </w:r>
      <w:r w:rsidR="0058435F" w:rsidRPr="00006974">
        <w:rPr>
          <w:rFonts w:ascii="Times New Roman" w:hAnsi="Times New Roman" w:cs="Times New Roman"/>
          <w:sz w:val="24"/>
          <w:szCs w:val="24"/>
        </w:rPr>
        <w:t xml:space="preserve"> that ha</w:t>
      </w:r>
      <w:r w:rsidR="00DC458E" w:rsidRPr="00006974">
        <w:rPr>
          <w:rFonts w:ascii="Times New Roman" w:hAnsi="Times New Roman" w:cs="Times New Roman"/>
          <w:sz w:val="24"/>
          <w:szCs w:val="24"/>
        </w:rPr>
        <w:t>ve</w:t>
      </w:r>
      <w:r w:rsidR="0058435F" w:rsidRPr="00006974">
        <w:rPr>
          <w:rFonts w:ascii="Times New Roman" w:hAnsi="Times New Roman" w:cs="Times New Roman"/>
          <w:sz w:val="24"/>
          <w:szCs w:val="24"/>
        </w:rPr>
        <w:t xml:space="preserve"> gr</w:t>
      </w:r>
      <w:r w:rsidR="00B6240A" w:rsidRPr="00006974">
        <w:rPr>
          <w:rFonts w:ascii="Times New Roman" w:hAnsi="Times New Roman" w:cs="Times New Roman"/>
          <w:sz w:val="24"/>
          <w:szCs w:val="24"/>
        </w:rPr>
        <w:t>e</w:t>
      </w:r>
      <w:r w:rsidR="0058435F" w:rsidRPr="00006974">
        <w:rPr>
          <w:rFonts w:ascii="Times New Roman" w:hAnsi="Times New Roman" w:cs="Times New Roman"/>
          <w:sz w:val="24"/>
          <w:szCs w:val="24"/>
        </w:rPr>
        <w:t>ater regulatory strength than other forms of CSR regulations (Knudsen, 201</w:t>
      </w:r>
      <w:r w:rsidR="006B3922" w:rsidRPr="00006974">
        <w:rPr>
          <w:rFonts w:ascii="Times New Roman" w:hAnsi="Times New Roman" w:cs="Times New Roman"/>
          <w:sz w:val="24"/>
          <w:szCs w:val="24"/>
        </w:rPr>
        <w:t>8</w:t>
      </w:r>
      <w:r w:rsidR="0058435F" w:rsidRPr="00006974">
        <w:rPr>
          <w:rFonts w:ascii="Times New Roman" w:hAnsi="Times New Roman" w:cs="Times New Roman"/>
          <w:sz w:val="24"/>
          <w:szCs w:val="24"/>
        </w:rPr>
        <w:t>), to</w:t>
      </w:r>
      <w:r w:rsidR="004E3E50" w:rsidRPr="00006974">
        <w:rPr>
          <w:rFonts w:ascii="Times New Roman" w:hAnsi="Times New Roman" w:cs="Times New Roman"/>
          <w:sz w:val="24"/>
          <w:szCs w:val="24"/>
        </w:rPr>
        <w:t xml:space="preserve"> be better positioned </w:t>
      </w:r>
      <w:r w:rsidR="00DC458E" w:rsidRPr="00006974">
        <w:rPr>
          <w:rFonts w:ascii="Times New Roman" w:hAnsi="Times New Roman" w:cs="Times New Roman"/>
          <w:sz w:val="24"/>
          <w:szCs w:val="24"/>
        </w:rPr>
        <w:t xml:space="preserve">for </w:t>
      </w:r>
      <w:r w:rsidR="0058435F" w:rsidRPr="00006974">
        <w:rPr>
          <w:rFonts w:ascii="Times New Roman" w:hAnsi="Times New Roman" w:cs="Times New Roman"/>
          <w:sz w:val="24"/>
          <w:szCs w:val="24"/>
        </w:rPr>
        <w:t>engag</w:t>
      </w:r>
      <w:r w:rsidR="00DC458E" w:rsidRPr="00006974">
        <w:rPr>
          <w:rFonts w:ascii="Times New Roman" w:hAnsi="Times New Roman" w:cs="Times New Roman"/>
          <w:sz w:val="24"/>
          <w:szCs w:val="24"/>
        </w:rPr>
        <w:t>ing</w:t>
      </w:r>
      <w:r w:rsidR="0058435F" w:rsidRPr="00006974">
        <w:rPr>
          <w:rFonts w:ascii="Times New Roman" w:hAnsi="Times New Roman" w:cs="Times New Roman"/>
          <w:sz w:val="24"/>
          <w:szCs w:val="24"/>
        </w:rPr>
        <w:t xml:space="preserve"> their business network</w:t>
      </w:r>
      <w:r w:rsidR="00DC458E" w:rsidRPr="00006974">
        <w:rPr>
          <w:rFonts w:ascii="Times New Roman" w:hAnsi="Times New Roman" w:cs="Times New Roman"/>
          <w:sz w:val="24"/>
          <w:szCs w:val="24"/>
        </w:rPr>
        <w:t xml:space="preserve"> members </w:t>
      </w:r>
      <w:r w:rsidR="0058435F" w:rsidRPr="00006974">
        <w:rPr>
          <w:rFonts w:ascii="Times New Roman" w:hAnsi="Times New Roman" w:cs="Times New Roman"/>
          <w:sz w:val="24"/>
          <w:szCs w:val="24"/>
        </w:rPr>
        <w:t>and stakeholders in developing and implementing CSR</w:t>
      </w:r>
      <w:r w:rsidR="004E3E50" w:rsidRPr="00006974">
        <w:rPr>
          <w:rFonts w:ascii="Times New Roman" w:hAnsi="Times New Roman" w:cs="Times New Roman"/>
          <w:sz w:val="24"/>
          <w:szCs w:val="24"/>
        </w:rPr>
        <w:t xml:space="preserve"> activities</w:t>
      </w:r>
      <w:r w:rsidR="0058435F" w:rsidRPr="00006974">
        <w:rPr>
          <w:rFonts w:ascii="Times New Roman" w:hAnsi="Times New Roman" w:cs="Times New Roman"/>
          <w:sz w:val="24"/>
          <w:szCs w:val="24"/>
        </w:rPr>
        <w:t xml:space="preserve">. </w:t>
      </w:r>
      <w:r w:rsidR="00DC458E" w:rsidRPr="00006974">
        <w:rPr>
          <w:rFonts w:ascii="Times New Roman" w:hAnsi="Times New Roman" w:cs="Times New Roman"/>
          <w:sz w:val="24"/>
          <w:szCs w:val="24"/>
        </w:rPr>
        <w:t>Also, CSR activities of s</w:t>
      </w:r>
      <w:r w:rsidR="0058435F" w:rsidRPr="00006974">
        <w:rPr>
          <w:rFonts w:ascii="Times New Roman" w:hAnsi="Times New Roman" w:cs="Times New Roman"/>
          <w:sz w:val="24"/>
          <w:szCs w:val="24"/>
        </w:rPr>
        <w:t xml:space="preserve">uch firms would be </w:t>
      </w:r>
      <w:r w:rsidR="00DC458E" w:rsidRPr="00006974">
        <w:rPr>
          <w:rFonts w:ascii="Times New Roman" w:hAnsi="Times New Roman" w:cs="Times New Roman"/>
          <w:sz w:val="24"/>
          <w:szCs w:val="24"/>
        </w:rPr>
        <w:t xml:space="preserve">considered </w:t>
      </w:r>
      <w:r w:rsidR="0058435F" w:rsidRPr="00006974">
        <w:rPr>
          <w:rFonts w:ascii="Times New Roman" w:hAnsi="Times New Roman" w:cs="Times New Roman"/>
          <w:sz w:val="24"/>
          <w:szCs w:val="24"/>
        </w:rPr>
        <w:t xml:space="preserve">more </w:t>
      </w:r>
      <w:r w:rsidR="004E3E50" w:rsidRPr="00006974">
        <w:rPr>
          <w:rFonts w:ascii="Times New Roman" w:hAnsi="Times New Roman" w:cs="Times New Roman"/>
          <w:sz w:val="24"/>
          <w:szCs w:val="24"/>
        </w:rPr>
        <w:t xml:space="preserve">credible </w:t>
      </w:r>
      <w:r w:rsidR="00DC458E" w:rsidRPr="00006974">
        <w:rPr>
          <w:rFonts w:ascii="Times New Roman" w:hAnsi="Times New Roman" w:cs="Times New Roman"/>
          <w:sz w:val="24"/>
          <w:szCs w:val="24"/>
        </w:rPr>
        <w:t xml:space="preserve">by </w:t>
      </w:r>
      <w:r w:rsidR="004E3E50" w:rsidRPr="00006974">
        <w:rPr>
          <w:rFonts w:ascii="Times New Roman" w:hAnsi="Times New Roman" w:cs="Times New Roman"/>
          <w:sz w:val="24"/>
          <w:szCs w:val="24"/>
        </w:rPr>
        <w:t>relevant audiences</w:t>
      </w:r>
      <w:r w:rsidR="00DC458E" w:rsidRPr="00006974">
        <w:rPr>
          <w:rFonts w:ascii="Times New Roman" w:hAnsi="Times New Roman" w:cs="Times New Roman"/>
          <w:sz w:val="24"/>
          <w:szCs w:val="24"/>
        </w:rPr>
        <w:t xml:space="preserve">. </w:t>
      </w:r>
      <w:r w:rsidR="0058435F" w:rsidRPr="00006974">
        <w:rPr>
          <w:rFonts w:ascii="Times New Roman" w:hAnsi="Times New Roman" w:cs="Times New Roman"/>
          <w:sz w:val="24"/>
          <w:szCs w:val="24"/>
        </w:rPr>
        <w:t xml:space="preserve"> </w:t>
      </w:r>
      <w:r w:rsidR="004E3E50" w:rsidRPr="00006974">
        <w:rPr>
          <w:rFonts w:ascii="Times New Roman" w:hAnsi="Times New Roman" w:cs="Times New Roman"/>
          <w:sz w:val="24"/>
          <w:szCs w:val="24"/>
        </w:rPr>
        <w:t xml:space="preserve">Conversely, CSR activities of firms not bound by </w:t>
      </w:r>
      <w:r w:rsidR="0058435F" w:rsidRPr="00006974">
        <w:rPr>
          <w:rFonts w:ascii="Times New Roman" w:hAnsi="Times New Roman" w:cs="Times New Roman"/>
          <w:sz w:val="24"/>
          <w:szCs w:val="24"/>
        </w:rPr>
        <w:t xml:space="preserve">a </w:t>
      </w:r>
      <w:r w:rsidR="004E3E50" w:rsidRPr="00006974">
        <w:rPr>
          <w:rFonts w:ascii="Times New Roman" w:hAnsi="Times New Roman" w:cs="Times New Roman"/>
          <w:sz w:val="24"/>
          <w:szCs w:val="24"/>
        </w:rPr>
        <w:t xml:space="preserve">CSR </w:t>
      </w:r>
      <w:r w:rsidR="0058435F" w:rsidRPr="00006974">
        <w:rPr>
          <w:rFonts w:ascii="Times New Roman" w:hAnsi="Times New Roman" w:cs="Times New Roman"/>
          <w:sz w:val="24"/>
          <w:szCs w:val="24"/>
        </w:rPr>
        <w:t xml:space="preserve">mandate </w:t>
      </w:r>
      <w:r w:rsidR="004E3E50" w:rsidRPr="00006974">
        <w:rPr>
          <w:rFonts w:ascii="Times New Roman" w:hAnsi="Times New Roman" w:cs="Times New Roman"/>
          <w:sz w:val="24"/>
          <w:szCs w:val="24"/>
        </w:rPr>
        <w:t xml:space="preserve">will likely </w:t>
      </w:r>
      <w:r w:rsidR="0058435F" w:rsidRPr="00006974">
        <w:rPr>
          <w:rFonts w:ascii="Times New Roman" w:hAnsi="Times New Roman" w:cs="Times New Roman"/>
          <w:sz w:val="24"/>
          <w:szCs w:val="24"/>
        </w:rPr>
        <w:t xml:space="preserve">incur higher </w:t>
      </w:r>
      <w:r w:rsidR="004E3E50" w:rsidRPr="00006974">
        <w:rPr>
          <w:rFonts w:ascii="Times New Roman" w:hAnsi="Times New Roman" w:cs="Times New Roman"/>
          <w:sz w:val="24"/>
          <w:szCs w:val="24"/>
        </w:rPr>
        <w:t xml:space="preserve">coordination costs due to recurring multiple interpretations of and disagreements </w:t>
      </w:r>
      <w:r w:rsidR="0058435F" w:rsidRPr="00006974">
        <w:rPr>
          <w:rFonts w:ascii="Times New Roman" w:hAnsi="Times New Roman" w:cs="Times New Roman"/>
          <w:sz w:val="24"/>
          <w:szCs w:val="24"/>
        </w:rPr>
        <w:t xml:space="preserve">among their business network members and stakeholders </w:t>
      </w:r>
      <w:r w:rsidR="004E3E50" w:rsidRPr="00006974">
        <w:rPr>
          <w:rFonts w:ascii="Times New Roman" w:hAnsi="Times New Roman" w:cs="Times New Roman"/>
          <w:sz w:val="24"/>
          <w:szCs w:val="24"/>
        </w:rPr>
        <w:t xml:space="preserve">about </w:t>
      </w:r>
      <w:r w:rsidR="0058435F" w:rsidRPr="00006974">
        <w:rPr>
          <w:rFonts w:ascii="Times New Roman" w:hAnsi="Times New Roman" w:cs="Times New Roman"/>
          <w:sz w:val="24"/>
          <w:szCs w:val="24"/>
        </w:rPr>
        <w:t xml:space="preserve">what ought to be done in the </w:t>
      </w:r>
      <w:r w:rsidR="004E3E50" w:rsidRPr="00006974">
        <w:rPr>
          <w:rFonts w:ascii="Times New Roman" w:hAnsi="Times New Roman" w:cs="Times New Roman"/>
          <w:sz w:val="24"/>
          <w:szCs w:val="24"/>
        </w:rPr>
        <w:t xml:space="preserve">CSR </w:t>
      </w:r>
      <w:r w:rsidR="0058435F" w:rsidRPr="00006974">
        <w:rPr>
          <w:rFonts w:ascii="Times New Roman" w:hAnsi="Times New Roman" w:cs="Times New Roman"/>
          <w:sz w:val="24"/>
          <w:szCs w:val="24"/>
        </w:rPr>
        <w:t xml:space="preserve">realm. </w:t>
      </w:r>
    </w:p>
    <w:p w14:paraId="506E3B44" w14:textId="2DE7F762" w:rsidR="004E3E50" w:rsidRPr="00006974" w:rsidRDefault="00F1383C" w:rsidP="00006974">
      <w:pPr>
        <w:widowControl w:val="0"/>
        <w:tabs>
          <w:tab w:val="left" w:pos="1439"/>
        </w:tabs>
        <w:autoSpaceDE w:val="0"/>
        <w:autoSpaceDN w:val="0"/>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Thus, we postulate that amid </w:t>
      </w:r>
      <w:r w:rsidR="00F360E4">
        <w:rPr>
          <w:rFonts w:ascii="Times New Roman" w:hAnsi="Times New Roman" w:cs="Times New Roman"/>
          <w:sz w:val="24"/>
          <w:szCs w:val="24"/>
        </w:rPr>
        <w:t>the</w:t>
      </w:r>
      <w:r w:rsidRPr="00006974">
        <w:rPr>
          <w:rFonts w:ascii="Times New Roman" w:hAnsi="Times New Roman" w:cs="Times New Roman"/>
          <w:sz w:val="24"/>
          <w:szCs w:val="24"/>
        </w:rPr>
        <w:t xml:space="preserve"> nascent and distrusting CSR environment </w:t>
      </w:r>
      <w:r w:rsidR="00F360E4">
        <w:rPr>
          <w:rFonts w:ascii="Times New Roman" w:hAnsi="Times New Roman" w:cs="Times New Roman"/>
          <w:sz w:val="24"/>
          <w:szCs w:val="24"/>
        </w:rPr>
        <w:t>prevalent</w:t>
      </w:r>
      <w:r w:rsidRPr="00006974">
        <w:rPr>
          <w:rFonts w:ascii="Times New Roman" w:hAnsi="Times New Roman" w:cs="Times New Roman"/>
          <w:sz w:val="24"/>
          <w:szCs w:val="24"/>
        </w:rPr>
        <w:t xml:space="preserve"> in India when the CSR mandate was introduced, investors</w:t>
      </w:r>
      <w:r w:rsidR="00DC458E" w:rsidRPr="00006974">
        <w:rPr>
          <w:rFonts w:ascii="Times New Roman" w:hAnsi="Times New Roman" w:cs="Times New Roman"/>
          <w:sz w:val="24"/>
          <w:szCs w:val="24"/>
        </w:rPr>
        <w:t xml:space="preserve"> </w:t>
      </w:r>
      <w:r w:rsidRPr="00006974">
        <w:rPr>
          <w:rFonts w:ascii="Times New Roman" w:hAnsi="Times New Roman" w:cs="Times New Roman"/>
          <w:sz w:val="24"/>
          <w:szCs w:val="24"/>
        </w:rPr>
        <w:t>view</w:t>
      </w:r>
      <w:r w:rsidR="00DC458E" w:rsidRPr="00006974">
        <w:rPr>
          <w:rFonts w:ascii="Times New Roman" w:hAnsi="Times New Roman" w:cs="Times New Roman"/>
          <w:sz w:val="24"/>
          <w:szCs w:val="24"/>
        </w:rPr>
        <w:t>ed</w:t>
      </w:r>
      <w:r w:rsidRPr="00006974">
        <w:rPr>
          <w:rFonts w:ascii="Times New Roman" w:hAnsi="Times New Roman" w:cs="Times New Roman"/>
          <w:sz w:val="24"/>
          <w:szCs w:val="24"/>
        </w:rPr>
        <w:t xml:space="preserve"> it as a way to streamline firms’ CSR efforts and </w:t>
      </w:r>
      <w:r w:rsidR="00DC458E" w:rsidRPr="00006974">
        <w:rPr>
          <w:rFonts w:ascii="Times New Roman" w:hAnsi="Times New Roman" w:cs="Times New Roman"/>
          <w:sz w:val="24"/>
          <w:szCs w:val="24"/>
        </w:rPr>
        <w:t xml:space="preserve">to </w:t>
      </w:r>
      <w:r w:rsidRPr="00006974">
        <w:rPr>
          <w:rFonts w:ascii="Times New Roman" w:hAnsi="Times New Roman" w:cs="Times New Roman"/>
          <w:sz w:val="24"/>
          <w:szCs w:val="24"/>
        </w:rPr>
        <w:t>make th</w:t>
      </w:r>
      <w:r w:rsidR="0019363B">
        <w:rPr>
          <w:rFonts w:ascii="Times New Roman" w:hAnsi="Times New Roman" w:cs="Times New Roman"/>
          <w:sz w:val="24"/>
          <w:szCs w:val="24"/>
        </w:rPr>
        <w:t xml:space="preserve">ose efforts </w:t>
      </w:r>
      <w:r w:rsidRPr="00006974">
        <w:rPr>
          <w:rFonts w:ascii="Times New Roman" w:hAnsi="Times New Roman" w:cs="Times New Roman"/>
          <w:sz w:val="24"/>
          <w:szCs w:val="24"/>
        </w:rPr>
        <w:t>more credible in public eye</w:t>
      </w:r>
      <w:r w:rsidR="00DC458E" w:rsidRPr="00006974">
        <w:rPr>
          <w:rFonts w:ascii="Times New Roman" w:hAnsi="Times New Roman" w:cs="Times New Roman"/>
          <w:sz w:val="24"/>
          <w:szCs w:val="24"/>
        </w:rPr>
        <w:t>s</w:t>
      </w:r>
      <w:r w:rsidRPr="00006974">
        <w:rPr>
          <w:rFonts w:ascii="Times New Roman" w:hAnsi="Times New Roman" w:cs="Times New Roman"/>
          <w:sz w:val="24"/>
          <w:szCs w:val="24"/>
        </w:rPr>
        <w:t xml:space="preserve">. </w:t>
      </w:r>
      <w:r w:rsidR="00EC14AB" w:rsidRPr="00006974">
        <w:rPr>
          <w:rFonts w:ascii="Times New Roman" w:hAnsi="Times New Roman" w:cs="Times New Roman"/>
          <w:sz w:val="24"/>
          <w:szCs w:val="24"/>
        </w:rPr>
        <w:t>Moreover, because the mandate gave a broad framework allowing firms to either donate the stipulated amount or invest in improving its performance on identified social and environmental issues, investors would see it as an enabl</w:t>
      </w:r>
      <w:r w:rsidR="00DC458E" w:rsidRPr="00006974">
        <w:rPr>
          <w:rFonts w:ascii="Times New Roman" w:hAnsi="Times New Roman" w:cs="Times New Roman"/>
          <w:sz w:val="24"/>
          <w:szCs w:val="24"/>
        </w:rPr>
        <w:t xml:space="preserve">ing regulation </w:t>
      </w:r>
      <w:r w:rsidR="00F360E4">
        <w:rPr>
          <w:rFonts w:ascii="Times New Roman" w:hAnsi="Times New Roman" w:cs="Times New Roman"/>
          <w:sz w:val="24"/>
          <w:szCs w:val="24"/>
        </w:rPr>
        <w:t xml:space="preserve">that introduced stability and certainty into the marketplace, rather </w:t>
      </w:r>
      <w:r w:rsidR="00EC14AB" w:rsidRPr="00006974">
        <w:rPr>
          <w:rFonts w:ascii="Times New Roman" w:hAnsi="Times New Roman" w:cs="Times New Roman"/>
          <w:sz w:val="24"/>
          <w:szCs w:val="24"/>
        </w:rPr>
        <w:t>than a</w:t>
      </w:r>
      <w:r w:rsidR="00F360E4">
        <w:rPr>
          <w:rFonts w:ascii="Times New Roman" w:hAnsi="Times New Roman" w:cs="Times New Roman"/>
          <w:sz w:val="24"/>
          <w:szCs w:val="24"/>
        </w:rPr>
        <w:t xml:space="preserve"> source of uncertainty and unfairness and therefore a</w:t>
      </w:r>
      <w:r w:rsidR="00EC14AB" w:rsidRPr="00006974">
        <w:rPr>
          <w:rFonts w:ascii="Times New Roman" w:hAnsi="Times New Roman" w:cs="Times New Roman"/>
          <w:sz w:val="24"/>
          <w:szCs w:val="24"/>
        </w:rPr>
        <w:t xml:space="preserve"> hindrance. We expect investors to</w:t>
      </w:r>
      <w:r w:rsidR="00DC458E" w:rsidRPr="00006974">
        <w:rPr>
          <w:rFonts w:ascii="Times New Roman" w:hAnsi="Times New Roman" w:cs="Times New Roman"/>
          <w:sz w:val="24"/>
          <w:szCs w:val="24"/>
        </w:rPr>
        <w:t xml:space="preserve"> have </w:t>
      </w:r>
      <w:r w:rsidR="00EC14AB" w:rsidRPr="00006974">
        <w:rPr>
          <w:rFonts w:ascii="Times New Roman" w:hAnsi="Times New Roman" w:cs="Times New Roman"/>
          <w:sz w:val="24"/>
          <w:szCs w:val="24"/>
        </w:rPr>
        <w:t>support</w:t>
      </w:r>
      <w:r w:rsidR="00DC458E" w:rsidRPr="00006974">
        <w:rPr>
          <w:rFonts w:ascii="Times New Roman" w:hAnsi="Times New Roman" w:cs="Times New Roman"/>
          <w:sz w:val="24"/>
          <w:szCs w:val="24"/>
        </w:rPr>
        <w:t>ed</w:t>
      </w:r>
      <w:r w:rsidR="00EC14AB" w:rsidRPr="00006974">
        <w:rPr>
          <w:rFonts w:ascii="Times New Roman" w:hAnsi="Times New Roman" w:cs="Times New Roman"/>
          <w:sz w:val="24"/>
          <w:szCs w:val="24"/>
        </w:rPr>
        <w:t xml:space="preserve"> the mandate, </w:t>
      </w:r>
      <w:r w:rsidR="00DC458E" w:rsidRPr="00006974">
        <w:rPr>
          <w:rFonts w:ascii="Times New Roman" w:hAnsi="Times New Roman" w:cs="Times New Roman"/>
          <w:sz w:val="24"/>
          <w:szCs w:val="24"/>
        </w:rPr>
        <w:t xml:space="preserve">leading to an </w:t>
      </w:r>
      <w:r w:rsidR="00EC14AB" w:rsidRPr="00006974">
        <w:rPr>
          <w:rFonts w:ascii="Times New Roman" w:hAnsi="Times New Roman" w:cs="Times New Roman"/>
          <w:sz w:val="24"/>
          <w:szCs w:val="24"/>
        </w:rPr>
        <w:t xml:space="preserve">increase </w:t>
      </w:r>
      <w:r w:rsidR="00B6240A" w:rsidRPr="00006974">
        <w:rPr>
          <w:rFonts w:ascii="Times New Roman" w:hAnsi="Times New Roman" w:cs="Times New Roman"/>
          <w:sz w:val="24"/>
          <w:szCs w:val="24"/>
        </w:rPr>
        <w:t xml:space="preserve">in </w:t>
      </w:r>
      <w:r w:rsidR="00EC14AB" w:rsidRPr="00006974">
        <w:rPr>
          <w:rFonts w:ascii="Times New Roman" w:hAnsi="Times New Roman" w:cs="Times New Roman"/>
          <w:sz w:val="24"/>
          <w:szCs w:val="24"/>
        </w:rPr>
        <w:t xml:space="preserve">firm value. </w:t>
      </w:r>
    </w:p>
    <w:p w14:paraId="2FE48AC7" w14:textId="723F5DF0" w:rsidR="004E3E50" w:rsidRPr="00006974" w:rsidRDefault="004E3E50" w:rsidP="00006974">
      <w:pPr>
        <w:widowControl w:val="0"/>
        <w:tabs>
          <w:tab w:val="left" w:pos="1439"/>
        </w:tabs>
        <w:autoSpaceDE w:val="0"/>
        <w:autoSpaceDN w:val="0"/>
        <w:spacing w:after="120" w:line="480" w:lineRule="auto"/>
        <w:jc w:val="both"/>
        <w:rPr>
          <w:rFonts w:ascii="Times New Roman" w:hAnsi="Times New Roman" w:cs="Times New Roman"/>
          <w:sz w:val="24"/>
          <w:szCs w:val="24"/>
        </w:rPr>
      </w:pPr>
      <w:r w:rsidRPr="00006974">
        <w:rPr>
          <w:rFonts w:ascii="Times New Roman" w:hAnsi="Times New Roman" w:cs="Times New Roman"/>
          <w:sz w:val="24"/>
          <w:szCs w:val="24"/>
        </w:rPr>
        <w:t>Therefore, our first hypothesis is:</w:t>
      </w:r>
    </w:p>
    <w:p w14:paraId="6DACBD6C" w14:textId="7680D82C" w:rsidR="004E3E50" w:rsidRPr="00006974" w:rsidRDefault="004E3E50" w:rsidP="00006974">
      <w:pPr>
        <w:widowControl w:val="0"/>
        <w:tabs>
          <w:tab w:val="left" w:pos="1439"/>
        </w:tabs>
        <w:autoSpaceDE w:val="0"/>
        <w:autoSpaceDN w:val="0"/>
        <w:spacing w:after="120" w:line="480" w:lineRule="auto"/>
        <w:jc w:val="both"/>
        <w:rPr>
          <w:rFonts w:ascii="Times New Roman" w:hAnsi="Times New Roman" w:cs="Times New Roman"/>
          <w:sz w:val="24"/>
          <w:szCs w:val="24"/>
        </w:rPr>
      </w:pPr>
      <w:r w:rsidRPr="00006974">
        <w:rPr>
          <w:rFonts w:ascii="Times New Roman" w:hAnsi="Times New Roman" w:cs="Times New Roman"/>
          <w:b/>
          <w:sz w:val="24"/>
          <w:szCs w:val="24"/>
        </w:rPr>
        <w:t>H1:</w:t>
      </w:r>
      <w:r w:rsidRPr="00006974">
        <w:rPr>
          <w:rFonts w:ascii="Times New Roman" w:hAnsi="Times New Roman" w:cs="Times New Roman"/>
          <w:sz w:val="24"/>
          <w:szCs w:val="24"/>
        </w:rPr>
        <w:t xml:space="preserve"> </w:t>
      </w:r>
      <w:r w:rsidR="00DC458E" w:rsidRPr="00006974">
        <w:rPr>
          <w:rFonts w:ascii="Times New Roman" w:hAnsi="Times New Roman" w:cs="Times New Roman"/>
          <w:i/>
          <w:sz w:val="24"/>
          <w:szCs w:val="24"/>
        </w:rPr>
        <w:t xml:space="preserve">The CSR mandate of India </w:t>
      </w:r>
      <w:r w:rsidR="00EC14AB" w:rsidRPr="00006974">
        <w:rPr>
          <w:rFonts w:ascii="Times New Roman" w:hAnsi="Times New Roman" w:cs="Times New Roman"/>
          <w:i/>
          <w:sz w:val="24"/>
          <w:szCs w:val="24"/>
        </w:rPr>
        <w:t>enhance</w:t>
      </w:r>
      <w:r w:rsidR="00DC458E" w:rsidRPr="00006974">
        <w:rPr>
          <w:rFonts w:ascii="Times New Roman" w:hAnsi="Times New Roman" w:cs="Times New Roman"/>
          <w:i/>
          <w:sz w:val="24"/>
          <w:szCs w:val="24"/>
        </w:rPr>
        <w:t>d</w:t>
      </w:r>
      <w:r w:rsidR="00EC14AB" w:rsidRPr="00006974">
        <w:rPr>
          <w:rFonts w:ascii="Times New Roman" w:hAnsi="Times New Roman" w:cs="Times New Roman"/>
          <w:i/>
          <w:sz w:val="24"/>
          <w:szCs w:val="24"/>
        </w:rPr>
        <w:t xml:space="preserve"> firm value for all firms </w:t>
      </w:r>
      <w:r w:rsidRPr="00006974">
        <w:rPr>
          <w:rFonts w:ascii="Times New Roman" w:hAnsi="Times New Roman" w:cs="Times New Roman"/>
          <w:i/>
          <w:sz w:val="24"/>
          <w:szCs w:val="24"/>
        </w:rPr>
        <w:t xml:space="preserve">bounded by the </w:t>
      </w:r>
      <w:r w:rsidR="001704B1" w:rsidRPr="00006974">
        <w:rPr>
          <w:rFonts w:ascii="Times New Roman" w:hAnsi="Times New Roman" w:cs="Times New Roman"/>
          <w:i/>
          <w:sz w:val="24"/>
          <w:szCs w:val="24"/>
        </w:rPr>
        <w:t>mandate</w:t>
      </w:r>
      <w:r w:rsidR="001704B1" w:rsidRPr="00006974">
        <w:rPr>
          <w:rFonts w:ascii="Times New Roman" w:hAnsi="Times New Roman" w:cs="Times New Roman"/>
          <w:sz w:val="24"/>
          <w:szCs w:val="24"/>
        </w:rPr>
        <w:t xml:space="preserve"> </w:t>
      </w:r>
      <w:r w:rsidRPr="00006974">
        <w:rPr>
          <w:rFonts w:ascii="Times New Roman" w:hAnsi="Times New Roman" w:cs="Times New Roman"/>
          <w:sz w:val="24"/>
          <w:szCs w:val="24"/>
        </w:rPr>
        <w:t xml:space="preserve"> </w:t>
      </w:r>
    </w:p>
    <w:p w14:paraId="16EBBCDE" w14:textId="43DC0395" w:rsidR="004E3E50" w:rsidRPr="008D53DE" w:rsidRDefault="004E3E50" w:rsidP="005979A7">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w:t>
      </w:r>
      <w:r w:rsidR="001704B1">
        <w:rPr>
          <w:rFonts w:ascii="Times New Roman" w:hAnsi="Times New Roman" w:cs="Times New Roman"/>
          <w:sz w:val="24"/>
          <w:szCs w:val="24"/>
        </w:rPr>
        <w:t xml:space="preserve">we expect </w:t>
      </w:r>
      <w:r>
        <w:rPr>
          <w:rFonts w:ascii="Times New Roman" w:hAnsi="Times New Roman" w:cs="Times New Roman"/>
          <w:sz w:val="24"/>
          <w:szCs w:val="24"/>
        </w:rPr>
        <w:t xml:space="preserve">all firms </w:t>
      </w:r>
      <w:r w:rsidR="001704B1">
        <w:rPr>
          <w:rFonts w:ascii="Times New Roman" w:hAnsi="Times New Roman" w:cs="Times New Roman"/>
          <w:sz w:val="24"/>
          <w:szCs w:val="24"/>
        </w:rPr>
        <w:t xml:space="preserve">bound by a </w:t>
      </w:r>
      <w:r w:rsidR="00EC14AB">
        <w:rPr>
          <w:rFonts w:ascii="Times New Roman" w:hAnsi="Times New Roman" w:cs="Times New Roman"/>
          <w:sz w:val="24"/>
          <w:szCs w:val="24"/>
        </w:rPr>
        <w:t xml:space="preserve">CSR </w:t>
      </w:r>
      <w:r w:rsidR="001704B1">
        <w:rPr>
          <w:rFonts w:ascii="Times New Roman" w:hAnsi="Times New Roman" w:cs="Times New Roman"/>
          <w:sz w:val="24"/>
          <w:szCs w:val="24"/>
        </w:rPr>
        <w:t xml:space="preserve">mandate </w:t>
      </w:r>
      <w:r w:rsidR="00EC14AB">
        <w:rPr>
          <w:rFonts w:ascii="Times New Roman" w:hAnsi="Times New Roman" w:cs="Times New Roman"/>
          <w:sz w:val="24"/>
          <w:szCs w:val="24"/>
        </w:rPr>
        <w:t xml:space="preserve">to </w:t>
      </w:r>
      <w:r>
        <w:rPr>
          <w:rFonts w:ascii="Times New Roman" w:hAnsi="Times New Roman" w:cs="Times New Roman"/>
          <w:sz w:val="24"/>
          <w:szCs w:val="24"/>
        </w:rPr>
        <w:t>benefit</w:t>
      </w:r>
      <w:r w:rsidR="00EC14AB">
        <w:rPr>
          <w:rFonts w:ascii="Times New Roman" w:hAnsi="Times New Roman" w:cs="Times New Roman"/>
          <w:sz w:val="24"/>
          <w:szCs w:val="24"/>
        </w:rPr>
        <w:t xml:space="preserve">, firms with certain </w:t>
      </w:r>
      <w:r>
        <w:rPr>
          <w:rFonts w:ascii="Times New Roman" w:hAnsi="Times New Roman" w:cs="Times New Roman"/>
          <w:sz w:val="24"/>
          <w:szCs w:val="24"/>
        </w:rPr>
        <w:t>characteristics</w:t>
      </w:r>
      <w:r w:rsidR="00EC14AB">
        <w:rPr>
          <w:rFonts w:ascii="Times New Roman" w:hAnsi="Times New Roman" w:cs="Times New Roman"/>
          <w:sz w:val="24"/>
          <w:szCs w:val="24"/>
        </w:rPr>
        <w:t xml:space="preserve"> would </w:t>
      </w:r>
      <w:r w:rsidR="003C15A5">
        <w:rPr>
          <w:rFonts w:ascii="Times New Roman" w:hAnsi="Times New Roman" w:cs="Times New Roman"/>
          <w:sz w:val="24"/>
          <w:szCs w:val="24"/>
        </w:rPr>
        <w:t xml:space="preserve">be likely to benefit </w:t>
      </w:r>
      <w:r w:rsidR="00EC14AB">
        <w:rPr>
          <w:rFonts w:ascii="Times New Roman" w:hAnsi="Times New Roman" w:cs="Times New Roman"/>
          <w:sz w:val="24"/>
          <w:szCs w:val="24"/>
        </w:rPr>
        <w:t xml:space="preserve">more than others. </w:t>
      </w:r>
      <w:r w:rsidR="003C15A5">
        <w:rPr>
          <w:rFonts w:ascii="Times New Roman" w:hAnsi="Times New Roman" w:cs="Times New Roman"/>
          <w:sz w:val="24"/>
          <w:szCs w:val="24"/>
        </w:rPr>
        <w:t xml:space="preserve">In particular, we expect those </w:t>
      </w:r>
      <w:r w:rsidRPr="008D53DE">
        <w:rPr>
          <w:rFonts w:ascii="Times New Roman" w:hAnsi="Times New Roman" w:cs="Times New Roman"/>
          <w:sz w:val="24"/>
          <w:szCs w:val="24"/>
        </w:rPr>
        <w:t xml:space="preserve">characteristics which may influence </w:t>
      </w:r>
      <w:r w:rsidR="003C15A5">
        <w:rPr>
          <w:rFonts w:ascii="Times New Roman" w:hAnsi="Times New Roman" w:cs="Times New Roman"/>
          <w:sz w:val="24"/>
          <w:szCs w:val="24"/>
        </w:rPr>
        <w:t xml:space="preserve">a firm’s </w:t>
      </w:r>
      <w:r w:rsidRPr="008D53DE">
        <w:rPr>
          <w:rFonts w:ascii="Times New Roman" w:hAnsi="Times New Roman" w:cs="Times New Roman"/>
          <w:sz w:val="24"/>
          <w:szCs w:val="24"/>
        </w:rPr>
        <w:t xml:space="preserve">degree of uncertainty </w:t>
      </w:r>
      <w:r w:rsidR="003C15A5">
        <w:rPr>
          <w:rFonts w:ascii="Times New Roman" w:hAnsi="Times New Roman" w:cs="Times New Roman"/>
          <w:sz w:val="24"/>
          <w:szCs w:val="24"/>
        </w:rPr>
        <w:t xml:space="preserve">about CSR </w:t>
      </w:r>
      <w:r w:rsidRPr="008D53DE">
        <w:rPr>
          <w:rFonts w:ascii="Times New Roman" w:hAnsi="Times New Roman" w:cs="Times New Roman"/>
          <w:sz w:val="24"/>
          <w:szCs w:val="24"/>
        </w:rPr>
        <w:t xml:space="preserve">and those which may influence the trustworthiness of </w:t>
      </w:r>
      <w:r w:rsidR="003C15A5">
        <w:rPr>
          <w:rFonts w:ascii="Times New Roman" w:hAnsi="Times New Roman" w:cs="Times New Roman"/>
          <w:sz w:val="24"/>
          <w:szCs w:val="24"/>
        </w:rPr>
        <w:t xml:space="preserve">a </w:t>
      </w:r>
      <w:r w:rsidRPr="008D53DE">
        <w:rPr>
          <w:rFonts w:ascii="Times New Roman" w:hAnsi="Times New Roman" w:cs="Times New Roman"/>
          <w:sz w:val="24"/>
          <w:szCs w:val="24"/>
        </w:rPr>
        <w:t>firm</w:t>
      </w:r>
      <w:r w:rsidR="003C15A5">
        <w:rPr>
          <w:rFonts w:ascii="Times New Roman" w:hAnsi="Times New Roman" w:cs="Times New Roman"/>
          <w:sz w:val="24"/>
          <w:szCs w:val="24"/>
        </w:rPr>
        <w:t>’</w:t>
      </w:r>
      <w:r w:rsidRPr="008D53DE">
        <w:rPr>
          <w:rFonts w:ascii="Times New Roman" w:hAnsi="Times New Roman" w:cs="Times New Roman"/>
          <w:sz w:val="24"/>
          <w:szCs w:val="24"/>
        </w:rPr>
        <w:t xml:space="preserve">s CSR </w:t>
      </w:r>
      <w:r w:rsidR="003C15A5">
        <w:rPr>
          <w:rFonts w:ascii="Times New Roman" w:hAnsi="Times New Roman" w:cs="Times New Roman"/>
          <w:sz w:val="24"/>
          <w:szCs w:val="24"/>
        </w:rPr>
        <w:t xml:space="preserve">activities to be instrumental in determining whether the firm would benefit more or less than other firms from a CSR mandate. </w:t>
      </w:r>
      <w:r w:rsidRPr="008D53DE">
        <w:rPr>
          <w:rFonts w:ascii="Times New Roman" w:hAnsi="Times New Roman" w:cs="Times New Roman"/>
          <w:sz w:val="24"/>
          <w:szCs w:val="24"/>
        </w:rPr>
        <w:t>For the former</w:t>
      </w:r>
      <w:r w:rsidR="003C15A5">
        <w:rPr>
          <w:rFonts w:ascii="Times New Roman" w:hAnsi="Times New Roman" w:cs="Times New Roman"/>
          <w:sz w:val="24"/>
          <w:szCs w:val="24"/>
        </w:rPr>
        <w:t xml:space="preserve"> (i.e., the uncertainty aspect)</w:t>
      </w:r>
      <w:r w:rsidRPr="008D53DE">
        <w:rPr>
          <w:rFonts w:ascii="Times New Roman" w:hAnsi="Times New Roman" w:cs="Times New Roman"/>
          <w:sz w:val="24"/>
          <w:szCs w:val="24"/>
        </w:rPr>
        <w:t>, we choose foreign ownership; for the latter</w:t>
      </w:r>
      <w:r w:rsidR="003C15A5">
        <w:rPr>
          <w:rFonts w:ascii="Times New Roman" w:hAnsi="Times New Roman" w:cs="Times New Roman"/>
          <w:sz w:val="24"/>
          <w:szCs w:val="24"/>
        </w:rPr>
        <w:t xml:space="preserve"> (i.e., </w:t>
      </w:r>
      <w:r w:rsidR="00300E34">
        <w:rPr>
          <w:rFonts w:ascii="Times New Roman" w:hAnsi="Times New Roman" w:cs="Times New Roman"/>
          <w:sz w:val="24"/>
          <w:szCs w:val="24"/>
        </w:rPr>
        <w:t>the trustworthiness aspect)</w:t>
      </w:r>
      <w:r w:rsidRPr="008D53DE">
        <w:rPr>
          <w:rFonts w:ascii="Times New Roman" w:hAnsi="Times New Roman" w:cs="Times New Roman"/>
          <w:sz w:val="24"/>
          <w:szCs w:val="24"/>
        </w:rPr>
        <w:t xml:space="preserve">, </w:t>
      </w:r>
      <w:r w:rsidR="00300E34">
        <w:rPr>
          <w:rFonts w:ascii="Times New Roman" w:hAnsi="Times New Roman" w:cs="Times New Roman"/>
          <w:sz w:val="24"/>
          <w:szCs w:val="24"/>
        </w:rPr>
        <w:t xml:space="preserve">we choose </w:t>
      </w:r>
      <w:r w:rsidRPr="008D53DE">
        <w:rPr>
          <w:rFonts w:ascii="Times New Roman" w:hAnsi="Times New Roman" w:cs="Times New Roman"/>
          <w:sz w:val="24"/>
          <w:szCs w:val="24"/>
        </w:rPr>
        <w:t xml:space="preserve">controversial industry sectors. Below we explore how the effect of a CSR </w:t>
      </w:r>
      <w:r w:rsidR="00300E34">
        <w:rPr>
          <w:rFonts w:ascii="Times New Roman" w:hAnsi="Times New Roman" w:cs="Times New Roman"/>
          <w:sz w:val="24"/>
          <w:szCs w:val="24"/>
        </w:rPr>
        <w:t xml:space="preserve">mandate </w:t>
      </w:r>
      <w:r w:rsidRPr="008D53DE">
        <w:rPr>
          <w:rFonts w:ascii="Times New Roman" w:hAnsi="Times New Roman" w:cs="Times New Roman"/>
          <w:sz w:val="24"/>
          <w:szCs w:val="24"/>
        </w:rPr>
        <w:t xml:space="preserve">on firm value might vary </w:t>
      </w:r>
      <w:r w:rsidR="00300E34">
        <w:rPr>
          <w:rFonts w:ascii="Times New Roman" w:hAnsi="Times New Roman" w:cs="Times New Roman"/>
          <w:sz w:val="24"/>
          <w:szCs w:val="24"/>
        </w:rPr>
        <w:t xml:space="preserve">for firms possessing these characteristics. </w:t>
      </w:r>
      <w:r w:rsidRPr="008D53DE">
        <w:rPr>
          <w:rFonts w:ascii="Times New Roman" w:hAnsi="Times New Roman" w:cs="Times New Roman"/>
          <w:sz w:val="24"/>
          <w:szCs w:val="24"/>
        </w:rPr>
        <w:t xml:space="preserve"> </w:t>
      </w:r>
    </w:p>
    <w:p w14:paraId="6CB94206" w14:textId="1E529A36" w:rsidR="004E3E50" w:rsidRPr="008D53DE" w:rsidRDefault="00696653" w:rsidP="005979A7">
      <w:pPr>
        <w:spacing w:before="20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Foreign Firms: </w:t>
      </w:r>
      <w:r>
        <w:rPr>
          <w:rFonts w:ascii="Times New Roman" w:hAnsi="Times New Roman" w:cs="Times New Roman"/>
          <w:sz w:val="24"/>
          <w:szCs w:val="24"/>
        </w:rPr>
        <w:t>E</w:t>
      </w:r>
      <w:r w:rsidRPr="00696653">
        <w:rPr>
          <w:rFonts w:ascii="Times New Roman" w:hAnsi="Times New Roman" w:cs="Times New Roman"/>
          <w:sz w:val="24"/>
          <w:szCs w:val="24"/>
        </w:rPr>
        <w:t>ven though the ambiguity and confusion about the meaning and content of CSR is a matter of concern for all firms (Pederso</w:t>
      </w:r>
      <w:r>
        <w:rPr>
          <w:rFonts w:ascii="Times New Roman" w:hAnsi="Times New Roman" w:cs="Times New Roman"/>
          <w:sz w:val="24"/>
          <w:szCs w:val="24"/>
        </w:rPr>
        <w:t xml:space="preserve">n, 2006; </w:t>
      </w:r>
      <w:proofErr w:type="spellStart"/>
      <w:r>
        <w:rPr>
          <w:rFonts w:ascii="Times New Roman" w:hAnsi="Times New Roman" w:cs="Times New Roman"/>
          <w:sz w:val="24"/>
          <w:szCs w:val="24"/>
        </w:rPr>
        <w:t>Wijen</w:t>
      </w:r>
      <w:proofErr w:type="spellEnd"/>
      <w:r>
        <w:rPr>
          <w:rFonts w:ascii="Times New Roman" w:hAnsi="Times New Roman" w:cs="Times New Roman"/>
          <w:sz w:val="24"/>
          <w:szCs w:val="24"/>
        </w:rPr>
        <w:t>, 2014), the concern is particularly acute for</w:t>
      </w:r>
      <w:r w:rsidRPr="00696653">
        <w:rPr>
          <w:rFonts w:ascii="Times New Roman" w:hAnsi="Times New Roman" w:cs="Times New Roman"/>
          <w:sz w:val="24"/>
          <w:szCs w:val="24"/>
        </w:rPr>
        <w:t xml:space="preserve"> foreign firms (Jamali &amp; Neville, 2011).</w:t>
      </w:r>
      <w:r>
        <w:rPr>
          <w:rFonts w:ascii="Times New Roman" w:hAnsi="Times New Roman" w:cs="Times New Roman"/>
          <w:sz w:val="24"/>
          <w:szCs w:val="24"/>
        </w:rPr>
        <w:t xml:space="preserve"> F</w:t>
      </w:r>
      <w:r w:rsidR="004E3E50" w:rsidRPr="008D53DE">
        <w:rPr>
          <w:rFonts w:ascii="Times New Roman" w:hAnsi="Times New Roman" w:cs="Times New Roman"/>
          <w:sz w:val="24"/>
          <w:szCs w:val="24"/>
        </w:rPr>
        <w:t xml:space="preserve">oreign firms are </w:t>
      </w:r>
      <w:r>
        <w:rPr>
          <w:rFonts w:ascii="Times New Roman" w:hAnsi="Times New Roman" w:cs="Times New Roman"/>
          <w:sz w:val="24"/>
          <w:szCs w:val="24"/>
        </w:rPr>
        <w:t xml:space="preserve">more distant from and </w:t>
      </w:r>
      <w:r w:rsidR="004E3E50" w:rsidRPr="008D53DE">
        <w:rPr>
          <w:rFonts w:ascii="Times New Roman" w:hAnsi="Times New Roman" w:cs="Times New Roman"/>
          <w:sz w:val="24"/>
          <w:szCs w:val="24"/>
        </w:rPr>
        <w:t>less knowledgeable about local contexts relative to domestic firms. This phenomenon, known as liability of foreignness or LOF (</w:t>
      </w:r>
      <w:proofErr w:type="spellStart"/>
      <w:r w:rsidR="004E3E50" w:rsidRPr="008D53DE">
        <w:rPr>
          <w:rFonts w:ascii="Times New Roman" w:hAnsi="Times New Roman" w:cs="Times New Roman"/>
          <w:sz w:val="24"/>
          <w:szCs w:val="24"/>
        </w:rPr>
        <w:t>Gardberg</w:t>
      </w:r>
      <w:proofErr w:type="spellEnd"/>
      <w:r w:rsidR="004E3E50" w:rsidRPr="008D53DE">
        <w:rPr>
          <w:rFonts w:ascii="Times New Roman" w:hAnsi="Times New Roman" w:cs="Times New Roman"/>
          <w:sz w:val="24"/>
          <w:szCs w:val="24"/>
        </w:rPr>
        <w:t xml:space="preserve"> &amp; </w:t>
      </w:r>
      <w:proofErr w:type="spellStart"/>
      <w:r w:rsidR="004E3E50" w:rsidRPr="008D53DE">
        <w:rPr>
          <w:rFonts w:ascii="Times New Roman" w:hAnsi="Times New Roman" w:cs="Times New Roman"/>
          <w:sz w:val="24"/>
          <w:szCs w:val="24"/>
        </w:rPr>
        <w:t>Fombrum</w:t>
      </w:r>
      <w:proofErr w:type="spellEnd"/>
      <w:r w:rsidR="004E3E50" w:rsidRPr="008D53DE">
        <w:rPr>
          <w:rFonts w:ascii="Times New Roman" w:hAnsi="Times New Roman" w:cs="Times New Roman"/>
          <w:sz w:val="24"/>
          <w:szCs w:val="24"/>
        </w:rPr>
        <w:t xml:space="preserve">, 2006; Zaheer, 1995), makes the </w:t>
      </w:r>
      <w:r>
        <w:rPr>
          <w:rFonts w:ascii="Times New Roman" w:hAnsi="Times New Roman" w:cs="Times New Roman"/>
          <w:sz w:val="24"/>
          <w:szCs w:val="24"/>
        </w:rPr>
        <w:t>adoption of local CSR practices</w:t>
      </w:r>
      <w:r w:rsidR="004E3E50" w:rsidRPr="008D53DE">
        <w:rPr>
          <w:rFonts w:ascii="Times New Roman" w:hAnsi="Times New Roman" w:cs="Times New Roman"/>
          <w:sz w:val="24"/>
          <w:szCs w:val="24"/>
        </w:rPr>
        <w:t xml:space="preserve"> more uncertain and complex</w:t>
      </w:r>
      <w:r>
        <w:rPr>
          <w:rFonts w:ascii="Times New Roman" w:hAnsi="Times New Roman" w:cs="Times New Roman"/>
          <w:sz w:val="24"/>
          <w:szCs w:val="24"/>
        </w:rPr>
        <w:t xml:space="preserve"> for foreign firms</w:t>
      </w:r>
      <w:r w:rsidR="004E3E50" w:rsidRPr="008D53DE">
        <w:rPr>
          <w:rFonts w:ascii="Times New Roman" w:hAnsi="Times New Roman" w:cs="Times New Roman"/>
          <w:sz w:val="24"/>
          <w:szCs w:val="24"/>
        </w:rPr>
        <w:t xml:space="preserve"> than </w:t>
      </w:r>
      <w:r>
        <w:rPr>
          <w:rFonts w:ascii="Times New Roman" w:hAnsi="Times New Roman" w:cs="Times New Roman"/>
          <w:sz w:val="24"/>
          <w:szCs w:val="24"/>
        </w:rPr>
        <w:t>for</w:t>
      </w:r>
      <w:r w:rsidR="004E3E50" w:rsidRPr="008D53DE">
        <w:rPr>
          <w:rFonts w:ascii="Times New Roman" w:hAnsi="Times New Roman" w:cs="Times New Roman"/>
          <w:sz w:val="24"/>
          <w:szCs w:val="24"/>
        </w:rPr>
        <w:t xml:space="preserve"> domestic firms. Foreign firms lack the knowledge about which social (and environmental) issues are more relevant, which stakeholder groups are more prominent, and what are the most appropriate CSR activities in the host environment. A CSR </w:t>
      </w:r>
      <w:r w:rsidR="00300E34">
        <w:rPr>
          <w:rFonts w:ascii="Times New Roman" w:hAnsi="Times New Roman" w:cs="Times New Roman"/>
          <w:sz w:val="24"/>
          <w:szCs w:val="24"/>
        </w:rPr>
        <w:t>mandate may</w:t>
      </w:r>
      <w:r w:rsidR="004E3E50" w:rsidRPr="008D53DE">
        <w:rPr>
          <w:rFonts w:ascii="Times New Roman" w:hAnsi="Times New Roman" w:cs="Times New Roman"/>
          <w:sz w:val="24"/>
          <w:szCs w:val="24"/>
        </w:rPr>
        <w:t xml:space="preserve"> help foreign firms</w:t>
      </w:r>
      <w:r>
        <w:rPr>
          <w:rFonts w:ascii="Times New Roman" w:hAnsi="Times New Roman" w:cs="Times New Roman"/>
          <w:sz w:val="24"/>
          <w:szCs w:val="24"/>
        </w:rPr>
        <w:t xml:space="preserve"> reduce the</w:t>
      </w:r>
      <w:r w:rsidR="004E3E50" w:rsidRPr="008D53DE">
        <w:rPr>
          <w:rFonts w:ascii="Times New Roman" w:hAnsi="Times New Roman" w:cs="Times New Roman"/>
          <w:sz w:val="24"/>
          <w:szCs w:val="24"/>
        </w:rPr>
        <w:t xml:space="preserve"> LOF</w:t>
      </w:r>
      <w:r>
        <w:rPr>
          <w:rFonts w:ascii="Times New Roman" w:hAnsi="Times New Roman" w:cs="Times New Roman"/>
          <w:sz w:val="24"/>
          <w:szCs w:val="24"/>
        </w:rPr>
        <w:t>.</w:t>
      </w:r>
      <w:r w:rsidR="004E3E50" w:rsidRPr="008D53DE">
        <w:rPr>
          <w:rFonts w:ascii="Times New Roman" w:hAnsi="Times New Roman" w:cs="Times New Roman"/>
          <w:sz w:val="24"/>
          <w:szCs w:val="24"/>
        </w:rPr>
        <w:t xml:space="preserve"> </w:t>
      </w:r>
      <w:r>
        <w:rPr>
          <w:rFonts w:ascii="Times New Roman" w:hAnsi="Times New Roman" w:cs="Times New Roman"/>
          <w:sz w:val="24"/>
          <w:szCs w:val="24"/>
        </w:rPr>
        <w:t>A</w:t>
      </w:r>
      <w:r w:rsidR="004E3E50" w:rsidRPr="008D53DE">
        <w:rPr>
          <w:rFonts w:ascii="Times New Roman" w:hAnsi="Times New Roman" w:cs="Times New Roman"/>
          <w:sz w:val="24"/>
          <w:szCs w:val="24"/>
        </w:rPr>
        <w:t xml:space="preserve"> regulatory edict would </w:t>
      </w:r>
      <w:r>
        <w:rPr>
          <w:rFonts w:ascii="Times New Roman" w:hAnsi="Times New Roman" w:cs="Times New Roman"/>
          <w:sz w:val="24"/>
          <w:szCs w:val="24"/>
        </w:rPr>
        <w:t>make the rules of adoption more comprehensible, require less</w:t>
      </w:r>
      <w:r w:rsidR="004E3E50" w:rsidRPr="008D53DE">
        <w:rPr>
          <w:rFonts w:ascii="Times New Roman" w:hAnsi="Times New Roman" w:cs="Times New Roman"/>
          <w:sz w:val="24"/>
          <w:szCs w:val="24"/>
        </w:rPr>
        <w:t xml:space="preserve"> time</w:t>
      </w:r>
      <w:r>
        <w:rPr>
          <w:rFonts w:ascii="Times New Roman" w:hAnsi="Times New Roman" w:cs="Times New Roman"/>
          <w:sz w:val="24"/>
          <w:szCs w:val="24"/>
        </w:rPr>
        <w:t xml:space="preserve"> to implement,</w:t>
      </w:r>
      <w:r w:rsidR="004E3E50" w:rsidRPr="008D53DE">
        <w:rPr>
          <w:rFonts w:ascii="Times New Roman" w:hAnsi="Times New Roman" w:cs="Times New Roman"/>
          <w:sz w:val="24"/>
          <w:szCs w:val="24"/>
        </w:rPr>
        <w:t xml:space="preserve"> and </w:t>
      </w:r>
      <w:r>
        <w:rPr>
          <w:rFonts w:ascii="Times New Roman" w:hAnsi="Times New Roman" w:cs="Times New Roman"/>
          <w:sz w:val="24"/>
          <w:szCs w:val="24"/>
        </w:rPr>
        <w:t xml:space="preserve">would lower the </w:t>
      </w:r>
      <w:r w:rsidR="004E3E50" w:rsidRPr="008D53DE">
        <w:rPr>
          <w:rFonts w:ascii="Times New Roman" w:hAnsi="Times New Roman" w:cs="Times New Roman"/>
          <w:sz w:val="24"/>
          <w:szCs w:val="24"/>
        </w:rPr>
        <w:t xml:space="preserve">cost </w:t>
      </w:r>
      <w:r>
        <w:rPr>
          <w:rFonts w:ascii="Times New Roman" w:hAnsi="Times New Roman" w:cs="Times New Roman"/>
          <w:sz w:val="24"/>
          <w:szCs w:val="24"/>
        </w:rPr>
        <w:t xml:space="preserve">of </w:t>
      </w:r>
      <w:r w:rsidR="004E3E50" w:rsidRPr="008D53DE">
        <w:rPr>
          <w:rFonts w:ascii="Times New Roman" w:hAnsi="Times New Roman" w:cs="Times New Roman"/>
          <w:sz w:val="24"/>
          <w:szCs w:val="24"/>
        </w:rPr>
        <w:t xml:space="preserve">exploring and learning </w:t>
      </w:r>
      <w:r>
        <w:rPr>
          <w:rFonts w:ascii="Times New Roman" w:hAnsi="Times New Roman" w:cs="Times New Roman"/>
          <w:sz w:val="24"/>
          <w:szCs w:val="24"/>
        </w:rPr>
        <w:t>the opaque norms of</w:t>
      </w:r>
      <w:r w:rsidR="004E3E50" w:rsidRPr="008D53DE">
        <w:rPr>
          <w:rFonts w:ascii="Times New Roman" w:hAnsi="Times New Roman" w:cs="Times New Roman"/>
          <w:sz w:val="24"/>
          <w:szCs w:val="24"/>
        </w:rPr>
        <w:t xml:space="preserve"> CSR in </w:t>
      </w:r>
      <w:r>
        <w:rPr>
          <w:rFonts w:ascii="Times New Roman" w:hAnsi="Times New Roman" w:cs="Times New Roman"/>
          <w:sz w:val="24"/>
          <w:szCs w:val="24"/>
        </w:rPr>
        <w:t>the local</w:t>
      </w:r>
      <w:r w:rsidR="004E3E50" w:rsidRPr="008D53DE">
        <w:rPr>
          <w:rFonts w:ascii="Times New Roman" w:hAnsi="Times New Roman" w:cs="Times New Roman"/>
          <w:sz w:val="24"/>
          <w:szCs w:val="24"/>
        </w:rPr>
        <w:t xml:space="preserve"> context.  </w:t>
      </w:r>
      <w:r>
        <w:rPr>
          <w:rFonts w:ascii="Times New Roman" w:hAnsi="Times New Roman" w:cs="Times New Roman"/>
          <w:sz w:val="24"/>
          <w:szCs w:val="24"/>
        </w:rPr>
        <w:t>Explicit rules</w:t>
      </w:r>
      <w:r w:rsidR="00F263C4">
        <w:rPr>
          <w:rFonts w:ascii="Times New Roman" w:hAnsi="Times New Roman" w:cs="Times New Roman"/>
          <w:sz w:val="24"/>
          <w:szCs w:val="24"/>
        </w:rPr>
        <w:t xml:space="preserve"> for CSR in a regulatory edict</w:t>
      </w:r>
      <w:r w:rsidR="004E3E50" w:rsidRPr="008D53DE">
        <w:rPr>
          <w:rFonts w:ascii="Times New Roman" w:hAnsi="Times New Roman" w:cs="Times New Roman"/>
          <w:sz w:val="24"/>
          <w:szCs w:val="24"/>
        </w:rPr>
        <w:t xml:space="preserve"> would put foreign firms on an equal footing with domestic firms.</w:t>
      </w:r>
    </w:p>
    <w:p w14:paraId="1A26D4EC" w14:textId="44D37AA5" w:rsidR="004E3E50" w:rsidRPr="008D53DE" w:rsidRDefault="004E3E50" w:rsidP="005979A7">
      <w:pPr>
        <w:spacing w:before="200" w:line="480" w:lineRule="auto"/>
        <w:ind w:firstLine="720"/>
        <w:jc w:val="both"/>
        <w:rPr>
          <w:rFonts w:ascii="Times New Roman" w:hAnsi="Times New Roman" w:cs="Times New Roman"/>
          <w:sz w:val="24"/>
          <w:szCs w:val="24"/>
        </w:rPr>
      </w:pPr>
      <w:r w:rsidRPr="008D53DE">
        <w:rPr>
          <w:rFonts w:ascii="Times New Roman" w:hAnsi="Times New Roman" w:cs="Times New Roman"/>
          <w:sz w:val="24"/>
          <w:szCs w:val="24"/>
        </w:rPr>
        <w:t xml:space="preserve">Thus, while a CSR </w:t>
      </w:r>
      <w:r w:rsidR="004934A9">
        <w:rPr>
          <w:rFonts w:ascii="Times New Roman" w:hAnsi="Times New Roman" w:cs="Times New Roman"/>
          <w:sz w:val="24"/>
          <w:szCs w:val="24"/>
        </w:rPr>
        <w:t xml:space="preserve">mandate </w:t>
      </w:r>
      <w:r w:rsidRPr="008D53DE">
        <w:rPr>
          <w:rFonts w:ascii="Times New Roman" w:hAnsi="Times New Roman" w:cs="Times New Roman"/>
          <w:sz w:val="24"/>
          <w:szCs w:val="24"/>
        </w:rPr>
        <w:t xml:space="preserve">should enhance value for all firms bound by </w:t>
      </w:r>
      <w:r w:rsidR="004934A9">
        <w:rPr>
          <w:rFonts w:ascii="Times New Roman" w:hAnsi="Times New Roman" w:cs="Times New Roman"/>
          <w:sz w:val="24"/>
          <w:szCs w:val="24"/>
        </w:rPr>
        <w:t>it</w:t>
      </w:r>
      <w:r w:rsidRPr="008D53DE">
        <w:rPr>
          <w:rFonts w:ascii="Times New Roman" w:hAnsi="Times New Roman" w:cs="Times New Roman"/>
          <w:sz w:val="24"/>
          <w:szCs w:val="24"/>
        </w:rPr>
        <w:t xml:space="preserve">, </w:t>
      </w:r>
      <w:r w:rsidR="004934A9">
        <w:rPr>
          <w:rFonts w:ascii="Times New Roman" w:hAnsi="Times New Roman" w:cs="Times New Roman"/>
          <w:sz w:val="24"/>
          <w:szCs w:val="24"/>
        </w:rPr>
        <w:t>the benefits for foreign firms are likely to be greater than domestic firms. I</w:t>
      </w:r>
      <w:r w:rsidRPr="008D53DE">
        <w:rPr>
          <w:rFonts w:ascii="Times New Roman" w:hAnsi="Times New Roman" w:cs="Times New Roman"/>
          <w:sz w:val="24"/>
          <w:szCs w:val="24"/>
        </w:rPr>
        <w:t xml:space="preserve">nvestors in foreign firms would note </w:t>
      </w:r>
      <w:r w:rsidRPr="008D53DE">
        <w:rPr>
          <w:rFonts w:ascii="Times New Roman" w:hAnsi="Times New Roman" w:cs="Times New Roman"/>
          <w:sz w:val="24"/>
          <w:szCs w:val="24"/>
        </w:rPr>
        <w:lastRenderedPageBreak/>
        <w:t xml:space="preserve">the especially advantageous positions of foreign firms in this regulatory regime. They would react even more favorably than investors of non-foreign firms. Hence, we expect a greater increase in the value of foreign firms relative to domestic firms. </w:t>
      </w:r>
      <w:r w:rsidR="00F27F1B">
        <w:rPr>
          <w:rFonts w:ascii="Times New Roman" w:hAnsi="Times New Roman" w:cs="Times New Roman"/>
          <w:sz w:val="24"/>
          <w:szCs w:val="24"/>
        </w:rPr>
        <w:t xml:space="preserve">In the context of India’s CSR mandate, </w:t>
      </w:r>
      <w:r w:rsidRPr="008D53DE">
        <w:rPr>
          <w:rFonts w:ascii="Times New Roman" w:hAnsi="Times New Roman" w:cs="Times New Roman"/>
          <w:sz w:val="24"/>
          <w:szCs w:val="24"/>
        </w:rPr>
        <w:t xml:space="preserve">we propose our second hypothesis as below: </w:t>
      </w:r>
    </w:p>
    <w:p w14:paraId="5EC31535" w14:textId="38C20E9C" w:rsidR="004E3E50" w:rsidRPr="00006974" w:rsidRDefault="004E3E50" w:rsidP="005979A7">
      <w:pPr>
        <w:spacing w:before="200" w:line="480" w:lineRule="auto"/>
        <w:jc w:val="both"/>
        <w:rPr>
          <w:rFonts w:ascii="Times New Roman" w:hAnsi="Times New Roman" w:cs="Times New Roman"/>
          <w:sz w:val="24"/>
          <w:szCs w:val="24"/>
        </w:rPr>
      </w:pPr>
      <w:r w:rsidRPr="00513D2A">
        <w:rPr>
          <w:rFonts w:ascii="Times New Roman" w:hAnsi="Times New Roman" w:cs="Times New Roman"/>
          <w:b/>
          <w:sz w:val="24"/>
          <w:szCs w:val="24"/>
        </w:rPr>
        <w:t>H2:</w:t>
      </w:r>
      <w:r w:rsidRPr="00006974">
        <w:rPr>
          <w:rFonts w:ascii="Times New Roman" w:hAnsi="Times New Roman" w:cs="Times New Roman"/>
          <w:sz w:val="24"/>
          <w:szCs w:val="24"/>
        </w:rPr>
        <w:t xml:space="preserve"> </w:t>
      </w:r>
      <w:r w:rsidR="00F27F1B" w:rsidRPr="00513D2A">
        <w:rPr>
          <w:rFonts w:ascii="Times New Roman" w:hAnsi="Times New Roman" w:cs="Times New Roman"/>
          <w:i/>
          <w:sz w:val="24"/>
          <w:szCs w:val="24"/>
        </w:rPr>
        <w:t xml:space="preserve">The CSR mandate of India had </w:t>
      </w:r>
      <w:r w:rsidRPr="00006974">
        <w:rPr>
          <w:rFonts w:ascii="Times New Roman" w:hAnsi="Times New Roman" w:cs="Times New Roman"/>
          <w:i/>
          <w:sz w:val="24"/>
          <w:szCs w:val="24"/>
        </w:rPr>
        <w:t>a greater value enhancing effect on foreign firms than on domestic firms</w:t>
      </w:r>
      <w:r w:rsidRPr="00006974">
        <w:rPr>
          <w:rFonts w:ascii="Times New Roman" w:hAnsi="Times New Roman" w:cs="Times New Roman"/>
          <w:sz w:val="24"/>
          <w:szCs w:val="24"/>
        </w:rPr>
        <w:t xml:space="preserve"> </w:t>
      </w:r>
    </w:p>
    <w:p w14:paraId="7D118A49" w14:textId="79C2FAD4" w:rsidR="004E3E50" w:rsidRPr="00F263C4" w:rsidRDefault="004E3E50" w:rsidP="005979A7">
      <w:pPr>
        <w:spacing w:before="200" w:line="480" w:lineRule="auto"/>
        <w:ind w:firstLine="720"/>
        <w:jc w:val="both"/>
        <w:rPr>
          <w:rFonts w:ascii="Times New Roman" w:hAnsi="Times New Roman" w:cs="Times New Roman"/>
          <w:sz w:val="24"/>
          <w:szCs w:val="24"/>
        </w:rPr>
      </w:pPr>
      <w:r w:rsidRPr="008D53DE">
        <w:rPr>
          <w:rFonts w:ascii="Times New Roman" w:hAnsi="Times New Roman" w:cs="Times New Roman"/>
          <w:sz w:val="24"/>
          <w:szCs w:val="24"/>
        </w:rPr>
        <w:t>Firms in controversial sectors such as mining, forestry, oil or related extractive industries or firms that engage in stigmatized practices such as “sweatshop” outsourcing, experience unique challenges in adopting CSR. On one hand, stakeholders and society exert greater pressure on such firms to show a deeper commitment to CSR; on the other hand, they are also critical and highly suspicious of their CSR efforts (</w:t>
      </w:r>
      <w:proofErr w:type="spellStart"/>
      <w:r w:rsidRPr="008D53DE">
        <w:rPr>
          <w:rFonts w:ascii="Times New Roman" w:hAnsi="Times New Roman" w:cs="Times New Roman"/>
          <w:sz w:val="24"/>
          <w:szCs w:val="24"/>
        </w:rPr>
        <w:t>Aqueveque</w:t>
      </w:r>
      <w:proofErr w:type="spellEnd"/>
      <w:r w:rsidRPr="008D53DE">
        <w:rPr>
          <w:rFonts w:ascii="Times New Roman" w:hAnsi="Times New Roman" w:cs="Times New Roman"/>
          <w:sz w:val="24"/>
          <w:szCs w:val="24"/>
        </w:rPr>
        <w:t xml:space="preserve"> et al., 2018; Cai et al., 2012</w:t>
      </w:r>
      <w:r w:rsidR="00B951E8">
        <w:rPr>
          <w:rFonts w:ascii="Times New Roman" w:hAnsi="Times New Roman" w:cs="Times New Roman"/>
          <w:sz w:val="24"/>
          <w:szCs w:val="24"/>
        </w:rPr>
        <w:t>; Panwar et al., 2014</w:t>
      </w:r>
      <w:r w:rsidRPr="00F263C4">
        <w:rPr>
          <w:rFonts w:ascii="Times New Roman" w:hAnsi="Times New Roman" w:cs="Times New Roman"/>
          <w:sz w:val="24"/>
          <w:szCs w:val="24"/>
        </w:rPr>
        <w:t xml:space="preserve">). Firms with such tarnished image would face what </w:t>
      </w:r>
      <w:proofErr w:type="spellStart"/>
      <w:r w:rsidRPr="00B951E8">
        <w:rPr>
          <w:rFonts w:ascii="Times New Roman" w:hAnsi="Times New Roman" w:cs="Times New Roman"/>
          <w:sz w:val="24"/>
          <w:szCs w:val="24"/>
        </w:rPr>
        <w:t>Ashforth</w:t>
      </w:r>
      <w:proofErr w:type="spellEnd"/>
      <w:r w:rsidRPr="00B951E8">
        <w:rPr>
          <w:rFonts w:ascii="Times New Roman" w:hAnsi="Times New Roman" w:cs="Times New Roman"/>
          <w:sz w:val="24"/>
          <w:szCs w:val="24"/>
        </w:rPr>
        <w:t xml:space="preserve"> and Gibbs (1990, pp. 186) call a “self-promoter’s paradox</w:t>
      </w:r>
      <w:r w:rsidRPr="00F263C4">
        <w:rPr>
          <w:rFonts w:ascii="Times New Roman" w:hAnsi="Times New Roman" w:cs="Times New Roman"/>
          <w:sz w:val="24"/>
          <w:szCs w:val="24"/>
        </w:rPr>
        <w:t>”</w:t>
      </w:r>
      <w:r w:rsidRPr="00B951E8">
        <w:rPr>
          <w:rFonts w:ascii="Times New Roman" w:hAnsi="Times New Roman" w:cs="Times New Roman"/>
          <w:sz w:val="24"/>
          <w:szCs w:val="24"/>
        </w:rPr>
        <w:t xml:space="preserve">. The more they try to </w:t>
      </w:r>
      <w:r w:rsidRPr="00F263C4">
        <w:rPr>
          <w:rFonts w:ascii="Times New Roman" w:hAnsi="Times New Roman" w:cs="Times New Roman"/>
          <w:sz w:val="24"/>
          <w:szCs w:val="24"/>
        </w:rPr>
        <w:t>(re)gain societal trust through CSR, the greater the risk of achieving the exact opposite (</w:t>
      </w:r>
      <w:proofErr w:type="spellStart"/>
      <w:r w:rsidRPr="00B951E8">
        <w:rPr>
          <w:rFonts w:ascii="Times New Roman" w:hAnsi="Times New Roman" w:cs="Times New Roman"/>
          <w:sz w:val="24"/>
          <w:szCs w:val="24"/>
        </w:rPr>
        <w:t>Lindgreen</w:t>
      </w:r>
      <w:proofErr w:type="spellEnd"/>
      <w:r w:rsidRPr="00B951E8">
        <w:rPr>
          <w:rFonts w:ascii="Times New Roman" w:hAnsi="Times New Roman" w:cs="Times New Roman"/>
          <w:sz w:val="24"/>
          <w:szCs w:val="24"/>
        </w:rPr>
        <w:t xml:space="preserve"> et al., 2012</w:t>
      </w:r>
      <w:r w:rsidRPr="00F263C4">
        <w:rPr>
          <w:rFonts w:ascii="Times New Roman" w:hAnsi="Times New Roman" w:cs="Times New Roman"/>
          <w:sz w:val="24"/>
          <w:szCs w:val="24"/>
        </w:rPr>
        <w:t>). So, for example, when firms in the tobacco industry attempted to improve their public image by adopting CSR practices, the World Health O</w:t>
      </w:r>
      <w:r w:rsidRPr="004C48FB">
        <w:rPr>
          <w:rFonts w:ascii="Times New Roman" w:hAnsi="Times New Roman" w:cs="Times New Roman"/>
          <w:sz w:val="24"/>
          <w:szCs w:val="24"/>
        </w:rPr>
        <w:t>rganization publicly delegitim</w:t>
      </w:r>
      <w:r w:rsidR="00B6240A" w:rsidRPr="00F263C4">
        <w:rPr>
          <w:rFonts w:ascii="Times New Roman" w:hAnsi="Times New Roman" w:cs="Times New Roman"/>
          <w:sz w:val="24"/>
          <w:szCs w:val="24"/>
        </w:rPr>
        <w:t xml:space="preserve">ized </w:t>
      </w:r>
      <w:r w:rsidRPr="00F263C4">
        <w:rPr>
          <w:rFonts w:ascii="Times New Roman" w:hAnsi="Times New Roman" w:cs="Times New Roman"/>
          <w:sz w:val="24"/>
          <w:szCs w:val="24"/>
        </w:rPr>
        <w:t xml:space="preserve">their claims </w:t>
      </w:r>
      <w:r w:rsidR="00B6240A" w:rsidRPr="00F263C4">
        <w:rPr>
          <w:rFonts w:ascii="Times New Roman" w:hAnsi="Times New Roman" w:cs="Times New Roman"/>
          <w:sz w:val="24"/>
          <w:szCs w:val="24"/>
        </w:rPr>
        <w:t xml:space="preserve">by calling them </w:t>
      </w:r>
      <w:r w:rsidRPr="00F263C4">
        <w:rPr>
          <w:rFonts w:ascii="Times New Roman" w:hAnsi="Times New Roman" w:cs="Times New Roman"/>
          <w:sz w:val="24"/>
          <w:szCs w:val="24"/>
        </w:rPr>
        <w:t>an inherent</w:t>
      </w:r>
      <w:r w:rsidR="00B6240A" w:rsidRPr="00F263C4">
        <w:rPr>
          <w:rFonts w:ascii="Times New Roman" w:hAnsi="Times New Roman" w:cs="Times New Roman"/>
          <w:sz w:val="24"/>
          <w:szCs w:val="24"/>
        </w:rPr>
        <w:t>ly</w:t>
      </w:r>
      <w:r w:rsidRPr="00F263C4">
        <w:rPr>
          <w:rFonts w:ascii="Times New Roman" w:hAnsi="Times New Roman" w:cs="Times New Roman"/>
          <w:sz w:val="24"/>
          <w:szCs w:val="24"/>
        </w:rPr>
        <w:t xml:space="preserve"> contradict</w:t>
      </w:r>
      <w:r w:rsidR="00B6240A" w:rsidRPr="00F263C4">
        <w:rPr>
          <w:rFonts w:ascii="Times New Roman" w:hAnsi="Times New Roman" w:cs="Times New Roman"/>
          <w:sz w:val="24"/>
          <w:szCs w:val="24"/>
        </w:rPr>
        <w:t>ory</w:t>
      </w:r>
      <w:r w:rsidRPr="00F263C4">
        <w:rPr>
          <w:rFonts w:ascii="Times New Roman" w:hAnsi="Times New Roman" w:cs="Times New Roman"/>
          <w:sz w:val="24"/>
          <w:szCs w:val="24"/>
        </w:rPr>
        <w:t xml:space="preserve"> (Palazzo &amp; Richter, 2005).</w:t>
      </w:r>
    </w:p>
    <w:p w14:paraId="147050D4" w14:textId="34D3F1B3" w:rsidR="00F263C4" w:rsidRDefault="004E3E50" w:rsidP="005979A7">
      <w:pPr>
        <w:spacing w:before="20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How might a CSR </w:t>
      </w:r>
      <w:r w:rsidR="004934A9"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affect this situation? Legitimacy theorists (e.g., </w:t>
      </w:r>
      <w:proofErr w:type="spellStart"/>
      <w:r w:rsidRPr="00006974">
        <w:rPr>
          <w:rFonts w:ascii="Times New Roman" w:hAnsi="Times New Roman" w:cs="Times New Roman"/>
          <w:sz w:val="24"/>
          <w:szCs w:val="24"/>
        </w:rPr>
        <w:t>Deephouse</w:t>
      </w:r>
      <w:proofErr w:type="spellEnd"/>
      <w:r w:rsidRPr="00006974">
        <w:rPr>
          <w:rFonts w:ascii="Times New Roman" w:hAnsi="Times New Roman" w:cs="Times New Roman"/>
          <w:sz w:val="24"/>
          <w:szCs w:val="24"/>
        </w:rPr>
        <w:t xml:space="preserve"> &amp; </w:t>
      </w:r>
      <w:proofErr w:type="spellStart"/>
      <w:r w:rsidRPr="00006974">
        <w:rPr>
          <w:rFonts w:ascii="Times New Roman" w:hAnsi="Times New Roman" w:cs="Times New Roman"/>
          <w:sz w:val="24"/>
          <w:szCs w:val="24"/>
        </w:rPr>
        <w:t>Suchman</w:t>
      </w:r>
      <w:proofErr w:type="spellEnd"/>
      <w:r w:rsidRPr="00006974">
        <w:rPr>
          <w:rFonts w:ascii="Times New Roman" w:hAnsi="Times New Roman" w:cs="Times New Roman"/>
          <w:sz w:val="24"/>
          <w:szCs w:val="24"/>
        </w:rPr>
        <w:t xml:space="preserve">, 2008; Meyer &amp; Scott, 1983; Ruef &amp; Scott, 1998; Scott, 2013) argue that when a practice lacks moral or cognitive legitimacy, it can be legitimized through </w:t>
      </w:r>
      <w:r w:rsidR="00F263C4">
        <w:rPr>
          <w:rFonts w:ascii="Times New Roman" w:hAnsi="Times New Roman" w:cs="Times New Roman"/>
          <w:sz w:val="24"/>
          <w:szCs w:val="24"/>
        </w:rPr>
        <w:t>coercive regulation</w:t>
      </w:r>
      <w:r w:rsidRPr="008D53DE">
        <w:rPr>
          <w:rFonts w:ascii="Times New Roman" w:hAnsi="Times New Roman" w:cs="Times New Roman"/>
          <w:sz w:val="24"/>
          <w:szCs w:val="24"/>
        </w:rPr>
        <w:t xml:space="preserve">. </w:t>
      </w:r>
      <w:r w:rsidR="00F263C4">
        <w:rPr>
          <w:rFonts w:ascii="Times New Roman" w:hAnsi="Times New Roman" w:cs="Times New Roman"/>
          <w:sz w:val="24"/>
          <w:szCs w:val="24"/>
        </w:rPr>
        <w:t>W</w:t>
      </w:r>
      <w:r w:rsidRPr="008D53DE">
        <w:rPr>
          <w:rFonts w:ascii="Times New Roman" w:hAnsi="Times New Roman" w:cs="Times New Roman"/>
          <w:sz w:val="24"/>
          <w:szCs w:val="24"/>
        </w:rPr>
        <w:t xml:space="preserve">hen a practice is distrusted, a “have to” signal is more convincing for societal evaluators than an “ought to” signal. </w:t>
      </w:r>
    </w:p>
    <w:p w14:paraId="24F31246" w14:textId="23EDE110" w:rsidR="004E3E50" w:rsidRPr="008D53DE" w:rsidRDefault="004E3E50" w:rsidP="005979A7">
      <w:pPr>
        <w:spacing w:before="20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lastRenderedPageBreak/>
        <w:t xml:space="preserve">Extrapolating this logic, we argue that the likelihood of CSR being perceived as hypocritical would be lower when controversial sector firms pursue CSR activities under the oversight and guidance of a regulatory edict relative to when without such an oversight. In the former case, CSR would be viewed as a matter of compliance; in the latter, </w:t>
      </w:r>
      <w:r w:rsidR="00786001" w:rsidRPr="00006974">
        <w:rPr>
          <w:rFonts w:ascii="Times New Roman" w:hAnsi="Times New Roman" w:cs="Times New Roman"/>
          <w:sz w:val="24"/>
          <w:szCs w:val="24"/>
        </w:rPr>
        <w:t xml:space="preserve">an act of </w:t>
      </w:r>
      <w:r w:rsidRPr="00006974">
        <w:rPr>
          <w:rFonts w:ascii="Times New Roman" w:hAnsi="Times New Roman" w:cs="Times New Roman"/>
          <w:sz w:val="24"/>
          <w:szCs w:val="24"/>
        </w:rPr>
        <w:t xml:space="preserve">window-dressing. </w:t>
      </w:r>
      <w:r w:rsidR="00F263C4" w:rsidRPr="00F263C4">
        <w:rPr>
          <w:rFonts w:ascii="Times New Roman" w:hAnsi="Times New Roman" w:cs="Times New Roman"/>
          <w:sz w:val="24"/>
          <w:szCs w:val="24"/>
        </w:rPr>
        <w:t>Shareh</w:t>
      </w:r>
      <w:r w:rsidR="00F263C4">
        <w:rPr>
          <w:rFonts w:ascii="Times New Roman" w:hAnsi="Times New Roman" w:cs="Times New Roman"/>
          <w:sz w:val="24"/>
          <w:szCs w:val="24"/>
        </w:rPr>
        <w:t xml:space="preserve">olders of a mining firm, thus, </w:t>
      </w:r>
      <w:r w:rsidR="00F263C4" w:rsidRPr="00F263C4">
        <w:rPr>
          <w:rFonts w:ascii="Times New Roman" w:hAnsi="Times New Roman" w:cs="Times New Roman"/>
          <w:sz w:val="24"/>
          <w:szCs w:val="24"/>
        </w:rPr>
        <w:t xml:space="preserve">might be more tolerant of CSR programs in their company when all mining companies are forced to do the same. Similarly, social activist groups may be more distrustful of CSR adoption in a mining firm in the absence of some degree of regulatory oversight. </w:t>
      </w:r>
      <w:r w:rsidR="00F263C4">
        <w:rPr>
          <w:rFonts w:ascii="Times New Roman" w:hAnsi="Times New Roman" w:cs="Times New Roman"/>
          <w:sz w:val="24"/>
          <w:szCs w:val="24"/>
        </w:rPr>
        <w:t xml:space="preserve">Based on this, we believe </w:t>
      </w:r>
      <w:r w:rsidRPr="00006974">
        <w:rPr>
          <w:rFonts w:ascii="Times New Roman" w:hAnsi="Times New Roman" w:cs="Times New Roman"/>
          <w:sz w:val="24"/>
          <w:szCs w:val="24"/>
        </w:rPr>
        <w:t xml:space="preserve">that investors in controversial sector firms would be </w:t>
      </w:r>
      <w:r w:rsidR="00F263C4">
        <w:rPr>
          <w:rFonts w:ascii="Times New Roman" w:hAnsi="Times New Roman" w:cs="Times New Roman"/>
          <w:sz w:val="24"/>
          <w:szCs w:val="24"/>
        </w:rPr>
        <w:t>more</w:t>
      </w:r>
      <w:r w:rsidRPr="00006974">
        <w:rPr>
          <w:rFonts w:ascii="Times New Roman" w:hAnsi="Times New Roman" w:cs="Times New Roman"/>
          <w:sz w:val="24"/>
          <w:szCs w:val="24"/>
        </w:rPr>
        <w:t xml:space="preserve"> supportive of a CSR </w:t>
      </w:r>
      <w:r w:rsidR="004934A9" w:rsidRPr="00006974">
        <w:rPr>
          <w:rFonts w:ascii="Times New Roman" w:hAnsi="Times New Roman" w:cs="Times New Roman"/>
          <w:sz w:val="24"/>
          <w:szCs w:val="24"/>
        </w:rPr>
        <w:t xml:space="preserve">mandate </w:t>
      </w:r>
      <w:r w:rsidR="00F263C4">
        <w:rPr>
          <w:rFonts w:ascii="Times New Roman" w:hAnsi="Times New Roman" w:cs="Times New Roman"/>
          <w:sz w:val="24"/>
          <w:szCs w:val="24"/>
        </w:rPr>
        <w:t>than firms in industries where CSR standards are already a</w:t>
      </w:r>
      <w:r w:rsidR="00061898">
        <w:rPr>
          <w:rFonts w:ascii="Times New Roman" w:hAnsi="Times New Roman" w:cs="Times New Roman"/>
          <w:sz w:val="24"/>
          <w:szCs w:val="24"/>
        </w:rPr>
        <w:t xml:space="preserve"> </w:t>
      </w:r>
      <w:r w:rsidR="00F263C4">
        <w:rPr>
          <w:rFonts w:ascii="Times New Roman" w:hAnsi="Times New Roman" w:cs="Times New Roman"/>
          <w:sz w:val="24"/>
          <w:szCs w:val="24"/>
        </w:rPr>
        <w:t>normative practice</w:t>
      </w:r>
      <w:r w:rsidRPr="00006974">
        <w:rPr>
          <w:rFonts w:ascii="Times New Roman" w:hAnsi="Times New Roman" w:cs="Times New Roman"/>
          <w:sz w:val="24"/>
          <w:szCs w:val="24"/>
        </w:rPr>
        <w:t xml:space="preserve">. As a result, the change in firm value as a result of </w:t>
      </w:r>
      <w:r w:rsidR="004934A9" w:rsidRPr="00006974">
        <w:rPr>
          <w:rFonts w:ascii="Times New Roman" w:hAnsi="Times New Roman" w:cs="Times New Roman"/>
          <w:sz w:val="24"/>
          <w:szCs w:val="24"/>
        </w:rPr>
        <w:t xml:space="preserve">a </w:t>
      </w:r>
      <w:r w:rsidRPr="00006974">
        <w:rPr>
          <w:rFonts w:ascii="Times New Roman" w:hAnsi="Times New Roman" w:cs="Times New Roman"/>
          <w:sz w:val="24"/>
          <w:szCs w:val="24"/>
        </w:rPr>
        <w:t xml:space="preserve">CSR </w:t>
      </w:r>
      <w:r w:rsidR="004934A9"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will be greater </w:t>
      </w:r>
      <w:r w:rsidR="00786001" w:rsidRPr="00006974">
        <w:rPr>
          <w:rFonts w:ascii="Times New Roman" w:hAnsi="Times New Roman" w:cs="Times New Roman"/>
          <w:sz w:val="24"/>
          <w:szCs w:val="24"/>
        </w:rPr>
        <w:t xml:space="preserve">relative to </w:t>
      </w:r>
      <w:r w:rsidRPr="00006974">
        <w:rPr>
          <w:rFonts w:ascii="Times New Roman" w:hAnsi="Times New Roman" w:cs="Times New Roman"/>
          <w:sz w:val="24"/>
          <w:szCs w:val="24"/>
        </w:rPr>
        <w:t xml:space="preserve">other firms. </w:t>
      </w:r>
      <w:r w:rsidRPr="008D53DE">
        <w:rPr>
          <w:rFonts w:ascii="Times New Roman" w:hAnsi="Times New Roman" w:cs="Times New Roman"/>
          <w:sz w:val="24"/>
          <w:szCs w:val="24"/>
        </w:rPr>
        <w:t xml:space="preserve">Therefore, </w:t>
      </w:r>
      <w:r w:rsidR="00F27F1B">
        <w:rPr>
          <w:rFonts w:ascii="Times New Roman" w:hAnsi="Times New Roman" w:cs="Times New Roman"/>
          <w:sz w:val="24"/>
          <w:szCs w:val="24"/>
        </w:rPr>
        <w:t xml:space="preserve">in the context of India’s soft CSR mandate, </w:t>
      </w:r>
      <w:r w:rsidRPr="008D53DE">
        <w:rPr>
          <w:rFonts w:ascii="Times New Roman" w:hAnsi="Times New Roman" w:cs="Times New Roman"/>
          <w:sz w:val="24"/>
          <w:szCs w:val="24"/>
        </w:rPr>
        <w:t xml:space="preserve">we propose our third hypothesis as below: </w:t>
      </w:r>
    </w:p>
    <w:p w14:paraId="1C10D5BB" w14:textId="6D83397B" w:rsidR="004E3E50" w:rsidRPr="005979A7" w:rsidRDefault="004E3E50" w:rsidP="005979A7">
      <w:pPr>
        <w:spacing w:before="200" w:line="480" w:lineRule="auto"/>
        <w:jc w:val="both"/>
        <w:rPr>
          <w:rFonts w:ascii="Times New Roman" w:hAnsi="Times New Roman" w:cs="Times New Roman"/>
          <w:sz w:val="24"/>
          <w:szCs w:val="24"/>
        </w:rPr>
      </w:pPr>
      <w:r w:rsidRPr="00513D2A">
        <w:rPr>
          <w:rFonts w:ascii="Times New Roman" w:hAnsi="Times New Roman" w:cs="Times New Roman"/>
          <w:b/>
          <w:sz w:val="24"/>
          <w:szCs w:val="24"/>
        </w:rPr>
        <w:t>H3:</w:t>
      </w:r>
      <w:r w:rsidRPr="00006974">
        <w:rPr>
          <w:rFonts w:ascii="Times New Roman" w:hAnsi="Times New Roman" w:cs="Times New Roman"/>
          <w:sz w:val="24"/>
          <w:szCs w:val="24"/>
        </w:rPr>
        <w:t xml:space="preserve"> </w:t>
      </w:r>
      <w:r w:rsidR="00F27F1B" w:rsidRPr="00006974">
        <w:rPr>
          <w:rFonts w:ascii="Times New Roman" w:hAnsi="Times New Roman" w:cs="Times New Roman"/>
          <w:i/>
          <w:sz w:val="24"/>
          <w:szCs w:val="24"/>
        </w:rPr>
        <w:t xml:space="preserve">The </w:t>
      </w:r>
      <w:r w:rsidRPr="00006974">
        <w:rPr>
          <w:rFonts w:ascii="Times New Roman" w:hAnsi="Times New Roman" w:cs="Times New Roman"/>
          <w:i/>
          <w:sz w:val="24"/>
          <w:szCs w:val="24"/>
        </w:rPr>
        <w:t xml:space="preserve">CSR </w:t>
      </w:r>
      <w:r w:rsidR="004934A9" w:rsidRPr="00006974">
        <w:rPr>
          <w:rFonts w:ascii="Times New Roman" w:hAnsi="Times New Roman" w:cs="Times New Roman"/>
          <w:i/>
          <w:sz w:val="24"/>
          <w:szCs w:val="24"/>
        </w:rPr>
        <w:t xml:space="preserve">mandate </w:t>
      </w:r>
      <w:r w:rsidR="00F27F1B" w:rsidRPr="00006974">
        <w:rPr>
          <w:rFonts w:ascii="Times New Roman" w:hAnsi="Times New Roman" w:cs="Times New Roman"/>
          <w:i/>
          <w:sz w:val="24"/>
          <w:szCs w:val="24"/>
        </w:rPr>
        <w:t xml:space="preserve">of India had </w:t>
      </w:r>
      <w:r w:rsidRPr="00006974">
        <w:rPr>
          <w:rFonts w:ascii="Times New Roman" w:hAnsi="Times New Roman" w:cs="Times New Roman"/>
          <w:i/>
          <w:sz w:val="24"/>
          <w:szCs w:val="24"/>
        </w:rPr>
        <w:t>a greater value enhancing effect on firms in controversial sector than firms</w:t>
      </w:r>
      <w:r w:rsidR="004934A9" w:rsidRPr="00006974">
        <w:rPr>
          <w:rFonts w:ascii="Times New Roman" w:hAnsi="Times New Roman" w:cs="Times New Roman"/>
          <w:i/>
          <w:sz w:val="24"/>
          <w:szCs w:val="24"/>
        </w:rPr>
        <w:t xml:space="preserve"> in other sectors</w:t>
      </w:r>
      <w:r w:rsidR="004934A9" w:rsidRPr="00006974">
        <w:rPr>
          <w:rFonts w:ascii="Times New Roman" w:hAnsi="Times New Roman" w:cs="Times New Roman"/>
          <w:sz w:val="24"/>
          <w:szCs w:val="24"/>
        </w:rPr>
        <w:t xml:space="preserve"> </w:t>
      </w:r>
    </w:p>
    <w:p w14:paraId="39BED72A" w14:textId="77777777" w:rsidR="00061898" w:rsidRDefault="00061898" w:rsidP="005979A7">
      <w:pPr>
        <w:spacing w:before="200" w:after="0" w:line="480" w:lineRule="auto"/>
        <w:jc w:val="both"/>
        <w:rPr>
          <w:rFonts w:ascii="Times New Roman" w:hAnsi="Times New Roman" w:cs="Times New Roman"/>
          <w:b/>
          <w:sz w:val="24"/>
          <w:szCs w:val="24"/>
        </w:rPr>
      </w:pPr>
    </w:p>
    <w:p w14:paraId="7A08EF1A" w14:textId="4C502596" w:rsidR="004D451D" w:rsidRPr="00006974" w:rsidRDefault="004D451D" w:rsidP="005979A7">
      <w:pPr>
        <w:spacing w:before="200" w:after="0" w:line="480" w:lineRule="auto"/>
        <w:jc w:val="both"/>
        <w:rPr>
          <w:rFonts w:ascii="Times New Roman" w:hAnsi="Times New Roman" w:cs="Times New Roman"/>
          <w:b/>
          <w:sz w:val="24"/>
          <w:szCs w:val="24"/>
        </w:rPr>
      </w:pPr>
      <w:r w:rsidRPr="00006974">
        <w:rPr>
          <w:rFonts w:ascii="Times New Roman" w:hAnsi="Times New Roman" w:cs="Times New Roman"/>
          <w:b/>
          <w:sz w:val="24"/>
          <w:szCs w:val="24"/>
        </w:rPr>
        <w:t>Methods</w:t>
      </w:r>
    </w:p>
    <w:p w14:paraId="43C9C35D" w14:textId="77777777" w:rsidR="004D451D" w:rsidRPr="00006974" w:rsidRDefault="004D451D" w:rsidP="005979A7">
      <w:pPr>
        <w:spacing w:before="200" w:after="0" w:line="480" w:lineRule="auto"/>
        <w:jc w:val="both"/>
        <w:rPr>
          <w:rFonts w:ascii="Times New Roman" w:hAnsi="Times New Roman" w:cs="Times New Roman"/>
          <w:i/>
          <w:sz w:val="24"/>
          <w:szCs w:val="24"/>
        </w:rPr>
      </w:pPr>
      <w:r w:rsidRPr="00006974">
        <w:rPr>
          <w:rFonts w:ascii="Times New Roman" w:hAnsi="Times New Roman" w:cs="Times New Roman"/>
          <w:i/>
          <w:sz w:val="24"/>
          <w:szCs w:val="24"/>
        </w:rPr>
        <w:t>Sample Selection</w:t>
      </w:r>
    </w:p>
    <w:p w14:paraId="1E3815F5" w14:textId="70663783" w:rsidR="00D87997" w:rsidRPr="00006974" w:rsidRDefault="004D451D" w:rsidP="00006974">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 xml:space="preserve">The first public announcement of India’s CSR mandate provided the empirical context for this study. The mandate stipulated that firms must adopt institutionalized CSR related governance structures and devote two percent of their average net profit from the previous three years to broadly CSR activities. They could focus on social issues, community issues, environmental issues, or could even make philanthropic contributions. If they fail to comply with the stipulated </w:t>
      </w:r>
      <w:r w:rsidRPr="00006974">
        <w:rPr>
          <w:rFonts w:ascii="Times New Roman" w:hAnsi="Times New Roman" w:cs="Times New Roman"/>
          <w:sz w:val="24"/>
          <w:szCs w:val="24"/>
        </w:rPr>
        <w:lastRenderedPageBreak/>
        <w:t>expenditures, however, they must publicly explain why. The proposed mandate would apply to firms that met any of the following three criteria: (</w:t>
      </w:r>
      <w:proofErr w:type="spellStart"/>
      <w:r w:rsidRPr="00006974">
        <w:rPr>
          <w:rFonts w:ascii="Times New Roman" w:hAnsi="Times New Roman" w:cs="Times New Roman"/>
          <w:sz w:val="24"/>
          <w:szCs w:val="24"/>
        </w:rPr>
        <w:t>i</w:t>
      </w:r>
      <w:proofErr w:type="spellEnd"/>
      <w:r w:rsidRPr="00006974">
        <w:rPr>
          <w:rFonts w:ascii="Times New Roman" w:hAnsi="Times New Roman" w:cs="Times New Roman"/>
          <w:sz w:val="24"/>
          <w:szCs w:val="24"/>
        </w:rPr>
        <w:t xml:space="preserve">) a net worth of Indian Rupees (INR) five billion, (ii) an annual turnover of INR ten billion, and (iii) an annual profit after tax (PAT) of INR fifty million averaged for the last three years. </w:t>
      </w:r>
    </w:p>
    <w:p w14:paraId="2E5897A2" w14:textId="0E54EFC5" w:rsidR="004D451D" w:rsidRPr="00006974" w:rsidRDefault="007820A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In total, 1832 publicly- listed companies and 14716 unlisted companies came under the purview of the proposed mandate. </w:t>
      </w:r>
      <w:r w:rsidR="004D451D" w:rsidRPr="00006974">
        <w:rPr>
          <w:rFonts w:ascii="Times New Roman" w:hAnsi="Times New Roman" w:cs="Times New Roman"/>
          <w:sz w:val="24"/>
          <w:szCs w:val="24"/>
        </w:rPr>
        <w:t>In th</w:t>
      </w:r>
      <w:r w:rsidRPr="00006974">
        <w:rPr>
          <w:rFonts w:ascii="Times New Roman" w:hAnsi="Times New Roman" w:cs="Times New Roman"/>
          <w:sz w:val="24"/>
          <w:szCs w:val="24"/>
        </w:rPr>
        <w:t xml:space="preserve">e present </w:t>
      </w:r>
      <w:r w:rsidR="004D451D" w:rsidRPr="00006974">
        <w:rPr>
          <w:rFonts w:ascii="Times New Roman" w:hAnsi="Times New Roman" w:cs="Times New Roman"/>
          <w:sz w:val="24"/>
          <w:szCs w:val="24"/>
        </w:rPr>
        <w:t>study, we used the third criteria (</w:t>
      </w:r>
      <w:proofErr w:type="spellStart"/>
      <w:r w:rsidR="004D451D" w:rsidRPr="00006974">
        <w:rPr>
          <w:rFonts w:ascii="Times New Roman" w:hAnsi="Times New Roman" w:cs="Times New Roman"/>
          <w:sz w:val="24"/>
          <w:szCs w:val="24"/>
        </w:rPr>
        <w:t>i.e</w:t>
      </w:r>
      <w:proofErr w:type="spellEnd"/>
      <w:r w:rsidR="004D451D" w:rsidRPr="00006974">
        <w:rPr>
          <w:rFonts w:ascii="Times New Roman" w:hAnsi="Times New Roman" w:cs="Times New Roman"/>
          <w:sz w:val="24"/>
          <w:szCs w:val="24"/>
        </w:rPr>
        <w:t>, PAT) to identify our sample because it yielded the largest sample size and was therefore helpful in capturing maximum variation in the outcome variable</w:t>
      </w:r>
      <w:r w:rsidR="00513D2A" w:rsidRPr="00006974">
        <w:rPr>
          <w:rFonts w:ascii="Times New Roman" w:hAnsi="Times New Roman" w:cs="Times New Roman"/>
          <w:sz w:val="24"/>
          <w:szCs w:val="24"/>
          <w:vertAlign w:val="superscript"/>
        </w:rPr>
        <w:t>1</w:t>
      </w:r>
      <w:r w:rsidR="004D451D" w:rsidRPr="00006974">
        <w:rPr>
          <w:rFonts w:ascii="Times New Roman" w:hAnsi="Times New Roman" w:cs="Times New Roman"/>
          <w:sz w:val="24"/>
          <w:szCs w:val="24"/>
        </w:rPr>
        <w:t>. We used the Prowess database of the Cente</w:t>
      </w:r>
      <w:r w:rsidR="00B6240A" w:rsidRPr="00006974">
        <w:rPr>
          <w:rFonts w:ascii="Times New Roman" w:hAnsi="Times New Roman" w:cs="Times New Roman"/>
          <w:sz w:val="24"/>
          <w:szCs w:val="24"/>
        </w:rPr>
        <w:t>r</w:t>
      </w:r>
      <w:r w:rsidR="004D451D" w:rsidRPr="00006974">
        <w:rPr>
          <w:rFonts w:ascii="Times New Roman" w:hAnsi="Times New Roman" w:cs="Times New Roman"/>
          <w:sz w:val="24"/>
          <w:szCs w:val="24"/>
        </w:rPr>
        <w:t xml:space="preserve"> for Monitoring Indian Economy (CMIE) to identify firms that meet this criterion. A total of 1526 firms were identified and these comprised our full study sample (N=1526). </w:t>
      </w:r>
      <w:r w:rsidRPr="00006974">
        <w:rPr>
          <w:rFonts w:ascii="Times New Roman" w:hAnsi="Times New Roman" w:cs="Times New Roman"/>
          <w:sz w:val="24"/>
          <w:szCs w:val="24"/>
        </w:rPr>
        <w:t xml:space="preserve">This represents </w:t>
      </w:r>
      <w:r w:rsidR="00A80E9E" w:rsidRPr="00006974">
        <w:rPr>
          <w:rFonts w:ascii="Times New Roman" w:hAnsi="Times New Roman" w:cs="Times New Roman"/>
          <w:sz w:val="24"/>
          <w:szCs w:val="24"/>
        </w:rPr>
        <w:t xml:space="preserve">eighty three </w:t>
      </w:r>
      <w:r w:rsidRPr="00006974">
        <w:rPr>
          <w:rFonts w:ascii="Times New Roman" w:hAnsi="Times New Roman" w:cs="Times New Roman"/>
          <w:sz w:val="24"/>
          <w:szCs w:val="24"/>
        </w:rPr>
        <w:t xml:space="preserve">percent </w:t>
      </w:r>
      <w:r w:rsidR="00A80E9E" w:rsidRPr="00006974">
        <w:rPr>
          <w:rFonts w:ascii="Times New Roman" w:hAnsi="Times New Roman" w:cs="Times New Roman"/>
          <w:sz w:val="24"/>
          <w:szCs w:val="24"/>
        </w:rPr>
        <w:t xml:space="preserve">of all listed firms subjugated to the proposed mandate. </w:t>
      </w:r>
      <w:r w:rsidR="004D451D" w:rsidRPr="00006974">
        <w:rPr>
          <w:rFonts w:ascii="Times New Roman" w:hAnsi="Times New Roman" w:cs="Times New Roman"/>
          <w:sz w:val="24"/>
          <w:szCs w:val="24"/>
        </w:rPr>
        <w:t>Of these 1526 firms, ninety six percent were domestic firms (the rest were foreign firms), and eight percent were in controversial (socially or environmentally high impact) industries</w:t>
      </w:r>
      <w:r w:rsidR="00513D2A" w:rsidRPr="00006974">
        <w:rPr>
          <w:rFonts w:ascii="Times New Roman" w:hAnsi="Times New Roman" w:cs="Times New Roman"/>
          <w:sz w:val="24"/>
          <w:szCs w:val="24"/>
          <w:vertAlign w:val="superscript"/>
        </w:rPr>
        <w:t>2</w:t>
      </w:r>
      <w:r w:rsidR="004D451D" w:rsidRPr="00006974">
        <w:rPr>
          <w:rFonts w:ascii="Times New Roman" w:hAnsi="Times New Roman" w:cs="Times New Roman"/>
          <w:sz w:val="24"/>
          <w:szCs w:val="24"/>
        </w:rPr>
        <w:t>. Sixty-five percent of sample firms did not report any expenditure on CSR activities in previous years. The average spending on CSR activities was 0.23% of PAT (about ten times lower than the proposed regulatory requirement of 2%).</w:t>
      </w:r>
      <w:r w:rsidR="00D87997" w:rsidRPr="00006974">
        <w:rPr>
          <w:rFonts w:ascii="Times New Roman" w:hAnsi="Times New Roman" w:cs="Times New Roman"/>
          <w:sz w:val="24"/>
          <w:szCs w:val="24"/>
        </w:rPr>
        <w:t xml:space="preserve"> </w:t>
      </w:r>
    </w:p>
    <w:p w14:paraId="17BDFB52" w14:textId="77777777" w:rsidR="004D451D" w:rsidRPr="00006974" w:rsidRDefault="004D451D" w:rsidP="005979A7">
      <w:pPr>
        <w:spacing w:before="200" w:after="0" w:line="480" w:lineRule="auto"/>
        <w:jc w:val="both"/>
        <w:rPr>
          <w:rFonts w:ascii="Times New Roman" w:hAnsi="Times New Roman" w:cs="Times New Roman"/>
          <w:i/>
          <w:sz w:val="24"/>
          <w:szCs w:val="24"/>
        </w:rPr>
      </w:pPr>
      <w:r w:rsidRPr="00006974">
        <w:rPr>
          <w:rFonts w:ascii="Times New Roman" w:hAnsi="Times New Roman" w:cs="Times New Roman"/>
          <w:i/>
          <w:sz w:val="24"/>
          <w:szCs w:val="24"/>
        </w:rPr>
        <w:t xml:space="preserve">Analytical framework  </w:t>
      </w:r>
    </w:p>
    <w:p w14:paraId="6E5F279E" w14:textId="77777777" w:rsidR="004D451D" w:rsidRPr="00006974" w:rsidRDefault="004D451D" w:rsidP="00006974">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We combined three methodological techniques, i.e., event study method, a regression discontinuity design (RDD) and a difference-in-differences (D-I-D) approach. Following numerous previous studies, firm value was assessed as a change in stock value (</w:t>
      </w:r>
      <w:proofErr w:type="spellStart"/>
      <w:r w:rsidRPr="00006974">
        <w:rPr>
          <w:rFonts w:ascii="Times New Roman" w:hAnsi="Times New Roman" w:cs="Times New Roman"/>
          <w:sz w:val="24"/>
          <w:szCs w:val="24"/>
        </w:rPr>
        <w:t>Cuñat</w:t>
      </w:r>
      <w:proofErr w:type="spellEnd"/>
      <w:r w:rsidRPr="00006974">
        <w:rPr>
          <w:rFonts w:ascii="Times New Roman" w:hAnsi="Times New Roman" w:cs="Times New Roman"/>
          <w:sz w:val="24"/>
          <w:szCs w:val="24"/>
        </w:rPr>
        <w:t xml:space="preserve"> et al., 2012; Flammer, 2015). The event study method enabled us to identify a precise event date to estimate any “abnormal” stock market reaction owing to the regulatory announcement; the RDD allowed us to address </w:t>
      </w:r>
      <w:r w:rsidRPr="00006974">
        <w:rPr>
          <w:rFonts w:ascii="Times New Roman" w:hAnsi="Times New Roman" w:cs="Times New Roman"/>
          <w:sz w:val="24"/>
          <w:szCs w:val="24"/>
        </w:rPr>
        <w:lastRenderedPageBreak/>
        <w:t xml:space="preserve">concerns of endogeneity by ascertaining that the stock market reaction was a causal effect of the regulatory announcement; and the D-I-D approach helped us tease apart differences in stock market reactions across firm types (foreign versus domestic; and controversial versus non-controversial industry sectors).  </w:t>
      </w:r>
    </w:p>
    <w:p w14:paraId="537FC664" w14:textId="6B7EFE2E"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To develop a robust event study design, we followed McWilliams and Siegel (1997) by considering market efficiency, unanticipated events, and confounding effects as our guiding principles to determine which stock market should be used to observe investor reaction to the regulatory announcement and on which date. We identified the Bombay Stock Exchange (BSE) as an appropriate market for this study because it is a major stock exchange in India, is an efficient market where no undervalued securities offer higher than deserved expected returns, and where the stock prices follow a random walk similar to other major stock markets of the world (Sharma &amp; Kennedy, </w:t>
      </w:r>
      <w:r w:rsidR="00EB4ABF">
        <w:rPr>
          <w:rFonts w:ascii="Times New Roman" w:hAnsi="Times New Roman" w:cs="Times New Roman"/>
          <w:sz w:val="24"/>
          <w:szCs w:val="24"/>
        </w:rPr>
        <w:t>1977</w:t>
      </w:r>
      <w:r w:rsidRPr="00006974">
        <w:rPr>
          <w:rFonts w:ascii="Times New Roman" w:hAnsi="Times New Roman" w:cs="Times New Roman"/>
          <w:sz w:val="24"/>
          <w:szCs w:val="24"/>
        </w:rPr>
        <w:t xml:space="preserve">). Identifying a precise event date is a complex issue in the enactment of a legislation especially in democratic societies, because they are typically enacted through a time-separated series of negotiated processes and legislative approvals. This makes it difficult to determine the last point at which a regulation could be considered unforeseen. Following previous studies (Dharmapala &amp; Khanna, 2018; </w:t>
      </w:r>
      <w:proofErr w:type="spellStart"/>
      <w:r w:rsidRPr="00006974">
        <w:rPr>
          <w:rFonts w:ascii="Times New Roman" w:hAnsi="Times New Roman" w:cs="Times New Roman"/>
          <w:sz w:val="24"/>
          <w:szCs w:val="24"/>
        </w:rPr>
        <w:t>Manchiraju</w:t>
      </w:r>
      <w:proofErr w:type="spellEnd"/>
      <w:r w:rsidRPr="00006974">
        <w:rPr>
          <w:rFonts w:ascii="Times New Roman" w:hAnsi="Times New Roman" w:cs="Times New Roman"/>
          <w:sz w:val="24"/>
          <w:szCs w:val="24"/>
        </w:rPr>
        <w:t xml:space="preserve"> &amp; </w:t>
      </w:r>
      <w:proofErr w:type="spellStart"/>
      <w:r w:rsidRPr="00006974">
        <w:rPr>
          <w:rFonts w:ascii="Times New Roman" w:hAnsi="Times New Roman" w:cs="Times New Roman"/>
          <w:sz w:val="24"/>
          <w:szCs w:val="24"/>
        </w:rPr>
        <w:t>Rajgopal</w:t>
      </w:r>
      <w:proofErr w:type="spellEnd"/>
      <w:r w:rsidRPr="00006974">
        <w:rPr>
          <w:rFonts w:ascii="Times New Roman" w:hAnsi="Times New Roman" w:cs="Times New Roman"/>
          <w:sz w:val="24"/>
          <w:szCs w:val="24"/>
        </w:rPr>
        <w:t xml:space="preserve">, 2017) and by exploring major Indian newspapers, we identified six potential event dates corresponding to the various stages of enactment of the CSR mandate. Upon careful analysis, we identified February 8, 2011 as the event date because it was on this date that it became clear for the first time that the regulation would be enacted in the form of a soft CSR mandate as opposed to a hard regulation, as was previously proposed. In other words, it became clear – and publicly known for the first time – on this date that the proposed mandate will have a “comply-or-explain” clause. Moreover, given the multi-party composition of the Parliamentary committee that developed these specifics, as well as the </w:t>
      </w:r>
      <w:r w:rsidRPr="00006974">
        <w:rPr>
          <w:rFonts w:ascii="Times New Roman" w:hAnsi="Times New Roman" w:cs="Times New Roman"/>
          <w:sz w:val="24"/>
          <w:szCs w:val="24"/>
        </w:rPr>
        <w:lastRenderedPageBreak/>
        <w:t xml:space="preserve">composition of the Indian Parliament at that time, any future changes in the proposed regulation were unlikely. Thus, February 8, 2011 is the most appropriate event date among possible alternatives. To test for any confounding effects on this date, </w:t>
      </w:r>
      <w:bookmarkStart w:id="0" w:name="_Hlk72665799"/>
      <w:r w:rsidRPr="00006974">
        <w:rPr>
          <w:rFonts w:ascii="Times New Roman" w:hAnsi="Times New Roman" w:cs="Times New Roman"/>
          <w:sz w:val="24"/>
          <w:szCs w:val="24"/>
        </w:rPr>
        <w:t xml:space="preserve">we analyzed the major Indian newspapers and electronic media. </w:t>
      </w:r>
      <w:bookmarkStart w:id="1" w:name="_Hlk72676892"/>
      <w:r w:rsidRPr="00006974">
        <w:rPr>
          <w:rFonts w:ascii="Times New Roman" w:hAnsi="Times New Roman" w:cs="Times New Roman"/>
          <w:sz w:val="24"/>
          <w:szCs w:val="24"/>
        </w:rPr>
        <w:t xml:space="preserve">Three coauthors of this </w:t>
      </w:r>
      <w:r w:rsidR="00DB740E" w:rsidRPr="00006974">
        <w:rPr>
          <w:rFonts w:ascii="Times New Roman" w:hAnsi="Times New Roman" w:cs="Times New Roman"/>
          <w:sz w:val="24"/>
          <w:szCs w:val="24"/>
        </w:rPr>
        <w:t xml:space="preserve">article </w:t>
      </w:r>
      <w:r w:rsidRPr="00006974">
        <w:rPr>
          <w:rFonts w:ascii="Times New Roman" w:hAnsi="Times New Roman" w:cs="Times New Roman"/>
          <w:sz w:val="24"/>
          <w:szCs w:val="24"/>
        </w:rPr>
        <w:t xml:space="preserve">independently searched for any major macroeconomic event on February 8, 2011 that could have potentially affected stock market returns. No substantive event was found. </w:t>
      </w:r>
      <w:bookmarkEnd w:id="0"/>
      <w:r w:rsidRPr="00006974">
        <w:rPr>
          <w:rFonts w:ascii="Times New Roman" w:hAnsi="Times New Roman" w:cs="Times New Roman"/>
          <w:sz w:val="24"/>
          <w:szCs w:val="24"/>
        </w:rPr>
        <w:t xml:space="preserve">Together these three considerations – market efficiency, </w:t>
      </w:r>
      <w:r w:rsidR="00B6240A" w:rsidRPr="00006974">
        <w:rPr>
          <w:rFonts w:ascii="Times New Roman" w:hAnsi="Times New Roman" w:cs="Times New Roman"/>
          <w:sz w:val="24"/>
          <w:szCs w:val="24"/>
        </w:rPr>
        <w:t xml:space="preserve">an </w:t>
      </w:r>
      <w:r w:rsidRPr="00006974">
        <w:rPr>
          <w:rFonts w:ascii="Times New Roman" w:hAnsi="Times New Roman" w:cs="Times New Roman"/>
          <w:sz w:val="24"/>
          <w:szCs w:val="24"/>
        </w:rPr>
        <w:t xml:space="preserve">unanticipated event, and confounding effects – gave us the confidence to determine that the February 8, 2011 announcement of the impending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gave an exogenous shock to the firms listed on the BSE index. </w:t>
      </w:r>
      <w:bookmarkEnd w:id="1"/>
      <w:r w:rsidRPr="00006974">
        <w:rPr>
          <w:rFonts w:ascii="Times New Roman" w:hAnsi="Times New Roman" w:cs="Times New Roman"/>
          <w:sz w:val="24"/>
          <w:szCs w:val="24"/>
        </w:rPr>
        <w:t xml:space="preserve">It is therefore an appropriate choice for an event date for examining any abnormal stock market returns for firms which would be subjected to the proposed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(hereon, subjugated firms) relative to firms which would not be subjected to </w:t>
      </w:r>
      <w:r w:rsidR="00F85AE8" w:rsidRPr="00006974">
        <w:rPr>
          <w:rFonts w:ascii="Times New Roman" w:hAnsi="Times New Roman" w:cs="Times New Roman"/>
          <w:sz w:val="24"/>
          <w:szCs w:val="24"/>
        </w:rPr>
        <w:t xml:space="preserve">it </w:t>
      </w:r>
      <w:r w:rsidRPr="00006974">
        <w:rPr>
          <w:rFonts w:ascii="Times New Roman" w:hAnsi="Times New Roman" w:cs="Times New Roman"/>
          <w:sz w:val="24"/>
          <w:szCs w:val="24"/>
        </w:rPr>
        <w:t xml:space="preserve">(hereon, non-subjugated firms). </w:t>
      </w:r>
    </w:p>
    <w:p w14:paraId="2277E2DE" w14:textId="6D41E0DC" w:rsidR="00DB740E" w:rsidRPr="00006974" w:rsidRDefault="00DB740E"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Notably, India’s CSR mandate came into effect through a long-drawn legislative process. The initial proposal about </w:t>
      </w:r>
      <w:r w:rsidR="00B6240A" w:rsidRPr="00006974">
        <w:rPr>
          <w:rFonts w:ascii="Times New Roman" w:hAnsi="Times New Roman" w:cs="Times New Roman"/>
          <w:sz w:val="24"/>
          <w:szCs w:val="24"/>
        </w:rPr>
        <w:t xml:space="preserve">the </w:t>
      </w:r>
      <w:r w:rsidRPr="00006974">
        <w:rPr>
          <w:rFonts w:ascii="Times New Roman" w:hAnsi="Times New Roman" w:cs="Times New Roman"/>
          <w:sz w:val="24"/>
          <w:szCs w:val="24"/>
        </w:rPr>
        <w:t>CSR mandate, as part of the new Companies Bill, w</w:t>
      </w:r>
      <w:r w:rsidR="00B6240A" w:rsidRPr="00006974">
        <w:rPr>
          <w:rFonts w:ascii="Times New Roman" w:hAnsi="Times New Roman" w:cs="Times New Roman"/>
          <w:sz w:val="24"/>
          <w:szCs w:val="24"/>
        </w:rPr>
        <w:t>as</w:t>
      </w:r>
      <w:r w:rsidRPr="00006974">
        <w:rPr>
          <w:rFonts w:ascii="Times New Roman" w:hAnsi="Times New Roman" w:cs="Times New Roman"/>
          <w:sz w:val="24"/>
          <w:szCs w:val="24"/>
        </w:rPr>
        <w:t xml:space="preserve"> made in August 2009 in the lower house of the Indian parliament. Between August 2009 and February 2011, several amendments were introduced. On February 8, 2011 (i.e., our event date for the present study), the first public announcement about the soft nature of </w:t>
      </w:r>
      <w:r w:rsidR="00B6240A" w:rsidRPr="00006974">
        <w:rPr>
          <w:rFonts w:ascii="Times New Roman" w:hAnsi="Times New Roman" w:cs="Times New Roman"/>
          <w:sz w:val="24"/>
          <w:szCs w:val="24"/>
        </w:rPr>
        <w:t xml:space="preserve">the </w:t>
      </w:r>
      <w:r w:rsidRPr="00006974">
        <w:rPr>
          <w:rFonts w:ascii="Times New Roman" w:hAnsi="Times New Roman" w:cs="Times New Roman"/>
          <w:sz w:val="24"/>
          <w:szCs w:val="24"/>
        </w:rPr>
        <w:t xml:space="preserve">CSR mandate was made. Upon passing through the lower house </w:t>
      </w:r>
      <w:r w:rsidR="003E0C79">
        <w:rPr>
          <w:rFonts w:ascii="Times New Roman" w:hAnsi="Times New Roman" w:cs="Times New Roman"/>
          <w:sz w:val="24"/>
          <w:szCs w:val="24"/>
        </w:rPr>
        <w:t>(</w:t>
      </w:r>
      <w:r w:rsidRPr="00006974">
        <w:rPr>
          <w:rFonts w:ascii="Times New Roman" w:hAnsi="Times New Roman" w:cs="Times New Roman"/>
          <w:sz w:val="24"/>
          <w:szCs w:val="24"/>
        </w:rPr>
        <w:t xml:space="preserve">in December 2012) and the upper house </w:t>
      </w:r>
      <w:r w:rsidR="003E0C79">
        <w:rPr>
          <w:rFonts w:ascii="Times New Roman" w:hAnsi="Times New Roman" w:cs="Times New Roman"/>
          <w:sz w:val="24"/>
          <w:szCs w:val="24"/>
        </w:rPr>
        <w:t>(</w:t>
      </w:r>
      <w:r w:rsidRPr="00006974">
        <w:rPr>
          <w:rFonts w:ascii="Times New Roman" w:hAnsi="Times New Roman" w:cs="Times New Roman"/>
          <w:sz w:val="24"/>
          <w:szCs w:val="24"/>
        </w:rPr>
        <w:t>in August 2013</w:t>
      </w:r>
      <w:r w:rsidR="003E0C79">
        <w:rPr>
          <w:rFonts w:ascii="Times New Roman" w:hAnsi="Times New Roman" w:cs="Times New Roman"/>
          <w:sz w:val="24"/>
          <w:szCs w:val="24"/>
        </w:rPr>
        <w:t>)</w:t>
      </w:r>
      <w:r w:rsidRPr="00006974">
        <w:rPr>
          <w:rFonts w:ascii="Times New Roman" w:hAnsi="Times New Roman" w:cs="Times New Roman"/>
          <w:sz w:val="24"/>
          <w:szCs w:val="24"/>
        </w:rPr>
        <w:t xml:space="preserve"> and after being signed by the President of India on August 29, 2013, the Companies Bill</w:t>
      </w:r>
      <w:r w:rsidR="003E0C79">
        <w:rPr>
          <w:rFonts w:ascii="Times New Roman" w:hAnsi="Times New Roman" w:cs="Times New Roman"/>
          <w:sz w:val="24"/>
          <w:szCs w:val="24"/>
        </w:rPr>
        <w:t xml:space="preserve">, which the CSR mandate was a part of, </w:t>
      </w:r>
      <w:r w:rsidRPr="00006974">
        <w:rPr>
          <w:rFonts w:ascii="Times New Roman" w:hAnsi="Times New Roman" w:cs="Times New Roman"/>
          <w:sz w:val="24"/>
          <w:szCs w:val="24"/>
        </w:rPr>
        <w:t xml:space="preserve">came into effect from April 1, 2014.  </w:t>
      </w:r>
    </w:p>
    <w:p w14:paraId="67EADD0B" w14:textId="0505B00D"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Because a firm’s subjugation or non-subjugation to the proposed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was not randomly determined, we employed a sharp RDD</w:t>
      </w:r>
      <w:r w:rsidR="0072268A" w:rsidRPr="00006974">
        <w:rPr>
          <w:rFonts w:ascii="Times New Roman" w:hAnsi="Times New Roman" w:cs="Times New Roman"/>
          <w:sz w:val="24"/>
          <w:szCs w:val="24"/>
          <w:vertAlign w:val="superscript"/>
        </w:rPr>
        <w:t>3</w:t>
      </w:r>
      <w:r w:rsidRPr="00006974">
        <w:rPr>
          <w:rFonts w:ascii="Times New Roman" w:hAnsi="Times New Roman" w:cs="Times New Roman"/>
          <w:sz w:val="24"/>
          <w:szCs w:val="24"/>
        </w:rPr>
        <w:t xml:space="preserve"> to examine a causal relationship between regulatory subjugation and abnormal stock market returns. RDD is an econometric technique used </w:t>
      </w:r>
      <w:r w:rsidRPr="00006974">
        <w:rPr>
          <w:rFonts w:ascii="Times New Roman" w:hAnsi="Times New Roman" w:cs="Times New Roman"/>
          <w:sz w:val="24"/>
          <w:szCs w:val="24"/>
        </w:rPr>
        <w:lastRenderedPageBreak/>
        <w:t>to make causal inferences (</w:t>
      </w:r>
      <w:proofErr w:type="spellStart"/>
      <w:r w:rsidR="00EB4ABF" w:rsidRPr="00EE232B">
        <w:rPr>
          <w:rFonts w:ascii="Times New Roman" w:hAnsi="Times New Roman" w:cs="Times New Roman"/>
          <w:sz w:val="24"/>
          <w:szCs w:val="24"/>
        </w:rPr>
        <w:t>Cuñat</w:t>
      </w:r>
      <w:proofErr w:type="spellEnd"/>
      <w:r w:rsidRPr="00006974">
        <w:rPr>
          <w:rFonts w:ascii="Times New Roman" w:hAnsi="Times New Roman" w:cs="Times New Roman"/>
          <w:sz w:val="24"/>
          <w:szCs w:val="24"/>
        </w:rPr>
        <w:t xml:space="preserve"> et al., 2012). RDD allows drawing causal inferences about the effect of a treatment by comparing outcomes barely above and barely below a predefined cutoff or a discontinuous threshold (</w:t>
      </w:r>
      <w:proofErr w:type="spellStart"/>
      <w:r w:rsidRPr="00006974">
        <w:rPr>
          <w:rFonts w:ascii="Times New Roman" w:hAnsi="Times New Roman" w:cs="Times New Roman"/>
          <w:sz w:val="24"/>
          <w:szCs w:val="24"/>
        </w:rPr>
        <w:t>Calonico</w:t>
      </w:r>
      <w:proofErr w:type="spellEnd"/>
      <w:r w:rsidRPr="00006974">
        <w:rPr>
          <w:rFonts w:ascii="Times New Roman" w:hAnsi="Times New Roman" w:cs="Times New Roman"/>
          <w:sz w:val="24"/>
          <w:szCs w:val="24"/>
        </w:rPr>
        <w:t xml:space="preserve"> et al., 2014). In our study, the discontinuity arises because a minor difference in PAT around the INR 50 million threshold (or cut-off) gives rise to a discrete change (or a discontinuity): a firm with a PAT of INR 50 million will be subjugated to the CSR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whereas a firm even marginally below this threshold (e.g., PAT of INR 49.99 million) will not be subjected to </w:t>
      </w:r>
      <w:r w:rsidR="00F85AE8" w:rsidRPr="00006974">
        <w:rPr>
          <w:rFonts w:ascii="Times New Roman" w:hAnsi="Times New Roman" w:cs="Times New Roman"/>
          <w:sz w:val="24"/>
          <w:szCs w:val="24"/>
        </w:rPr>
        <w:t>it</w:t>
      </w:r>
      <w:r w:rsidRPr="00006974">
        <w:rPr>
          <w:rFonts w:ascii="Times New Roman" w:hAnsi="Times New Roman" w:cs="Times New Roman"/>
          <w:sz w:val="24"/>
          <w:szCs w:val="24"/>
        </w:rPr>
        <w:t>. These close call firms – whose PAT is barely above or below the 50 million cut-off – offer a source of random and exogenously determined variation (</w:t>
      </w:r>
      <w:proofErr w:type="spellStart"/>
      <w:r w:rsidRPr="00006974">
        <w:rPr>
          <w:rFonts w:ascii="Times New Roman" w:hAnsi="Times New Roman" w:cs="Times New Roman"/>
          <w:sz w:val="24"/>
          <w:szCs w:val="24"/>
        </w:rPr>
        <w:t>Calonico</w:t>
      </w:r>
      <w:proofErr w:type="spellEnd"/>
      <w:r w:rsidRPr="00006974">
        <w:rPr>
          <w:rFonts w:ascii="Times New Roman" w:hAnsi="Times New Roman" w:cs="Times New Roman"/>
          <w:sz w:val="24"/>
          <w:szCs w:val="24"/>
        </w:rPr>
        <w:t xml:space="preserve"> et al., 2014) in treatment (i.e., whether a firm is subjugated to the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or not). This random variation can allow us to estimate the causal effect of subjugation to the CSR mandate on a firm’s stock market returns. Abnormal stock return (denoted as </w:t>
      </w:r>
      <w:proofErr w:type="spellStart"/>
      <w:r w:rsidRPr="00006974">
        <w:rPr>
          <w:rFonts w:ascii="Times New Roman" w:hAnsi="Times New Roman" w:cs="Times New Roman"/>
          <w:sz w:val="24"/>
          <w:szCs w:val="24"/>
        </w:rPr>
        <w:t>AR</w:t>
      </w:r>
      <w:r w:rsidRPr="00006974">
        <w:rPr>
          <w:rFonts w:ascii="Times New Roman" w:hAnsi="Times New Roman" w:cs="Times New Roman"/>
          <w:sz w:val="24"/>
          <w:szCs w:val="24"/>
          <w:vertAlign w:val="subscript"/>
        </w:rPr>
        <w:t>it</w:t>
      </w:r>
      <w:proofErr w:type="spellEnd"/>
      <w:r w:rsidRPr="00006974">
        <w:rPr>
          <w:rFonts w:ascii="Times New Roman" w:hAnsi="Times New Roman" w:cs="Times New Roman"/>
          <w:sz w:val="24"/>
          <w:szCs w:val="24"/>
        </w:rPr>
        <w:t xml:space="preserve">) for firm </w:t>
      </w:r>
      <w:proofErr w:type="spellStart"/>
      <w:r w:rsidRPr="00006974">
        <w:rPr>
          <w:rFonts w:ascii="Times New Roman" w:hAnsi="Times New Roman" w:cs="Times New Roman"/>
          <w:sz w:val="24"/>
          <w:szCs w:val="24"/>
        </w:rPr>
        <w:t>i</w:t>
      </w:r>
      <w:proofErr w:type="spellEnd"/>
      <w:r w:rsidRPr="00006974">
        <w:rPr>
          <w:rFonts w:ascii="Times New Roman" w:hAnsi="Times New Roman" w:cs="Times New Roman"/>
          <w:sz w:val="24"/>
          <w:szCs w:val="24"/>
        </w:rPr>
        <w:t xml:space="preserve"> within an event time-window t can be expressed as a function of its subjugation to the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(denoted as </w:t>
      </w:r>
      <w:proofErr w:type="spellStart"/>
      <w:r w:rsidRPr="00006974">
        <w:rPr>
          <w:rFonts w:ascii="Times New Roman" w:hAnsi="Times New Roman" w:cs="Times New Roman"/>
          <w:sz w:val="24"/>
          <w:szCs w:val="24"/>
        </w:rPr>
        <w:t>Subji</w:t>
      </w:r>
      <w:proofErr w:type="spellEnd"/>
      <w:r w:rsidRPr="00006974">
        <w:rPr>
          <w:rFonts w:ascii="Times New Roman" w:hAnsi="Times New Roman" w:cs="Times New Roman"/>
          <w:sz w:val="24"/>
          <w:szCs w:val="24"/>
        </w:rPr>
        <w:t xml:space="preserve">) and a set of control variables such that: </w:t>
      </w:r>
    </w:p>
    <w:p w14:paraId="382ECC5C" w14:textId="77777777" w:rsidR="004D451D" w:rsidRPr="00006974" w:rsidRDefault="002F4C4D" w:rsidP="005979A7">
      <w:pPr>
        <w:spacing w:before="200"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Subj</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k</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ki</m:t>
                </m:r>
              </m:sub>
            </m:sSub>
          </m:e>
        </m:nary>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it</m:t>
            </m:r>
          </m:sub>
        </m:sSub>
      </m:oMath>
      <w:r w:rsidR="004D451D" w:rsidRPr="00006974">
        <w:rPr>
          <w:rFonts w:ascii="Times New Roman" w:hAnsi="Times New Roman" w:cs="Times New Roman"/>
          <w:sz w:val="24"/>
          <w:szCs w:val="24"/>
        </w:rPr>
        <w:tab/>
        <w:t xml:space="preserve">………. (1) </w:t>
      </w:r>
    </w:p>
    <w:p w14:paraId="558FF0B5" w14:textId="77777777" w:rsidR="00F85AE8" w:rsidRPr="00006974" w:rsidRDefault="00F85AE8" w:rsidP="005979A7">
      <w:pPr>
        <w:spacing w:after="0" w:line="480" w:lineRule="auto"/>
        <w:jc w:val="both"/>
        <w:rPr>
          <w:rFonts w:ascii="Times New Roman" w:hAnsi="Times New Roman" w:cs="Times New Roman"/>
          <w:sz w:val="24"/>
          <w:szCs w:val="24"/>
        </w:rPr>
      </w:pPr>
    </w:p>
    <w:p w14:paraId="7662A555" w14:textId="10C411F1" w:rsidR="004D451D" w:rsidRPr="00006974" w:rsidRDefault="004D451D" w:rsidP="005979A7">
      <w:pPr>
        <w:spacing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 xml:space="preserve">While the above expression of RDD gives a precise estimate, it comes at the expense of non-close call firms that are not in the neighborhood of </w:t>
      </w:r>
      <w:proofErr w:type="spellStart"/>
      <w:r w:rsidRPr="00006974">
        <w:rPr>
          <w:rFonts w:ascii="Times New Roman" w:hAnsi="Times New Roman" w:cs="Times New Roman"/>
          <w:sz w:val="24"/>
          <w:szCs w:val="24"/>
        </w:rPr>
        <w:t>PAT</w:t>
      </w:r>
      <w:r w:rsidRPr="00006974">
        <w:rPr>
          <w:rFonts w:ascii="Times New Roman" w:hAnsi="Times New Roman" w:cs="Times New Roman"/>
          <w:sz w:val="24"/>
          <w:szCs w:val="24"/>
          <w:vertAlign w:val="subscript"/>
        </w:rPr>
        <w:t>it</w:t>
      </w:r>
      <w:proofErr w:type="spellEnd"/>
      <w:r w:rsidRPr="00006974">
        <w:rPr>
          <w:rFonts w:ascii="Times New Roman" w:hAnsi="Times New Roman" w:cs="Times New Roman"/>
          <w:sz w:val="24"/>
          <w:szCs w:val="24"/>
        </w:rPr>
        <w:t xml:space="preserve">=INR 50 million, but are still subjugated to the proposed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To overcome this limitation and to include in our RDD all firms subjugated to the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we approximate the continuous relationship between </w:t>
      </w:r>
      <w:proofErr w:type="spellStart"/>
      <w:r w:rsidRPr="00006974">
        <w:rPr>
          <w:rFonts w:ascii="Times New Roman" w:hAnsi="Times New Roman" w:cs="Times New Roman"/>
          <w:sz w:val="24"/>
          <w:szCs w:val="24"/>
        </w:rPr>
        <w:t>AR</w:t>
      </w:r>
      <w:r w:rsidRPr="00006974">
        <w:rPr>
          <w:rFonts w:ascii="Times New Roman" w:hAnsi="Times New Roman" w:cs="Times New Roman"/>
          <w:sz w:val="24"/>
          <w:szCs w:val="24"/>
          <w:vertAlign w:val="subscript"/>
        </w:rPr>
        <w:t>it</w:t>
      </w:r>
      <w:proofErr w:type="spellEnd"/>
      <w:r w:rsidRPr="00006974">
        <w:rPr>
          <w:rFonts w:ascii="Times New Roman" w:hAnsi="Times New Roman" w:cs="Times New Roman"/>
          <w:sz w:val="24"/>
          <w:szCs w:val="24"/>
        </w:rPr>
        <w:t xml:space="preserve"> and </w:t>
      </w:r>
      <w:proofErr w:type="spellStart"/>
      <w:r w:rsidRPr="00006974">
        <w:rPr>
          <w:rFonts w:ascii="Times New Roman" w:hAnsi="Times New Roman" w:cs="Times New Roman"/>
          <w:sz w:val="24"/>
          <w:szCs w:val="24"/>
        </w:rPr>
        <w:t>PAT</w:t>
      </w:r>
      <w:r w:rsidRPr="00006974">
        <w:rPr>
          <w:rFonts w:ascii="Times New Roman" w:hAnsi="Times New Roman" w:cs="Times New Roman"/>
          <w:sz w:val="24"/>
          <w:szCs w:val="24"/>
          <w:vertAlign w:val="subscript"/>
        </w:rPr>
        <w:t>it</w:t>
      </w:r>
      <w:proofErr w:type="spellEnd"/>
      <w:r w:rsidRPr="00006974">
        <w:rPr>
          <w:rFonts w:ascii="Times New Roman" w:hAnsi="Times New Roman" w:cs="Times New Roman"/>
          <w:sz w:val="24"/>
          <w:szCs w:val="24"/>
        </w:rPr>
        <w:t xml:space="preserve"> with a polynomial in </w:t>
      </w:r>
      <w:proofErr w:type="spellStart"/>
      <w:r w:rsidRPr="00006974">
        <w:rPr>
          <w:rFonts w:ascii="Times New Roman" w:hAnsi="Times New Roman" w:cs="Times New Roman"/>
          <w:sz w:val="24"/>
          <w:szCs w:val="24"/>
        </w:rPr>
        <w:t>PAT</w:t>
      </w:r>
      <w:r w:rsidRPr="00006974">
        <w:rPr>
          <w:rFonts w:ascii="Times New Roman" w:hAnsi="Times New Roman" w:cs="Times New Roman"/>
          <w:sz w:val="24"/>
          <w:szCs w:val="24"/>
          <w:vertAlign w:val="subscript"/>
        </w:rPr>
        <w:t>it</w:t>
      </w:r>
      <w:proofErr w:type="spellEnd"/>
      <w:r w:rsidRPr="00006974">
        <w:rPr>
          <w:rFonts w:ascii="Times New Roman" w:hAnsi="Times New Roman" w:cs="Times New Roman"/>
          <w:sz w:val="24"/>
          <w:szCs w:val="24"/>
        </w:rPr>
        <w:t xml:space="preserve"> and allow different polynomials for observations on the left-hand side of the threshold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l</m:t>
            </m:r>
          </m:sub>
        </m:sSub>
      </m:oMath>
      <w:r w:rsidRPr="00006974">
        <w:rPr>
          <w:rFonts w:ascii="Times New Roman" w:hAnsi="Times New Roman" w:cs="Times New Roman"/>
          <w:sz w:val="24"/>
          <w:szCs w:val="24"/>
        </w:rPr>
        <w:t>(PAT</w:t>
      </w:r>
      <w:r w:rsidRPr="00006974">
        <w:rPr>
          <w:rFonts w:ascii="Times New Roman" w:hAnsi="Times New Roman" w:cs="Times New Roman"/>
          <w:sz w:val="24"/>
          <w:szCs w:val="24"/>
          <w:vertAlign w:val="subscript"/>
        </w:rPr>
        <w:t>it</w:t>
      </w:r>
      <w:r w:rsidRPr="00006974">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γ</m:t>
            </m:r>
          </m:e>
          <m:sub>
            <m:r>
              <m:rPr>
                <m:sty m:val="p"/>
              </m:rPr>
              <w:rPr>
                <w:rFonts w:ascii="Cambria Math" w:hAnsi="Cambria Math" w:cs="Times New Roman"/>
                <w:sz w:val="24"/>
                <w:szCs w:val="24"/>
              </w:rPr>
              <m:t xml:space="preserve">l) </m:t>
            </m:r>
          </m:sub>
        </m:sSub>
      </m:oMath>
      <w:r w:rsidRPr="00006974">
        <w:rPr>
          <w:rFonts w:ascii="Times New Roman" w:hAnsi="Times New Roman" w:cs="Times New Roman"/>
          <w:sz w:val="24"/>
          <w:szCs w:val="24"/>
        </w:rPr>
        <w:t xml:space="preserve">and on the right-hand side of the threshold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PAT</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γ</m:t>
                </m:r>
              </m:e>
              <m:sub>
                <m:r>
                  <m:rPr>
                    <m:sty m:val="p"/>
                  </m:rPr>
                  <w:rPr>
                    <w:rFonts w:ascii="Cambria Math" w:hAnsi="Cambria Math" w:cs="Times New Roman"/>
                    <w:sz w:val="24"/>
                    <w:szCs w:val="24"/>
                  </w:rPr>
                  <m:t>r</m:t>
                </m:r>
              </m:sub>
            </m:sSub>
          </m:e>
        </m:d>
      </m:oMath>
      <w:r w:rsidRPr="00006974">
        <w:rPr>
          <w:rFonts w:ascii="Times New Roman" w:hAnsi="Times New Roman" w:cs="Times New Roman"/>
          <w:sz w:val="24"/>
          <w:szCs w:val="24"/>
        </w:rPr>
        <w:t xml:space="preserve">. Our RDD specification in this case is expressed as follows: </w:t>
      </w:r>
    </w:p>
    <w:p w14:paraId="416DABC2" w14:textId="77777777" w:rsidR="004D451D" w:rsidRPr="00006974" w:rsidRDefault="002F4C4D" w:rsidP="005979A7">
      <w:pPr>
        <w:spacing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Subj</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l</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PAT</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γ</m:t>
                </m:r>
              </m:e>
              <m:sub>
                <m:r>
                  <m:rPr>
                    <m:sty m:val="p"/>
                  </m:rPr>
                  <w:rPr>
                    <w:rFonts w:ascii="Cambria Math" w:hAnsi="Cambria Math" w:cs="Times New Roman"/>
                    <w:sz w:val="24"/>
                    <w:szCs w:val="24"/>
                  </w:rPr>
                  <m:t>l</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r</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PAT</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γ</m:t>
                </m:r>
              </m:e>
              <m:sub>
                <m:r>
                  <m:rPr>
                    <m:sty m:val="p"/>
                  </m:rPr>
                  <w:rPr>
                    <w:rFonts w:ascii="Cambria Math" w:hAnsi="Cambria Math" w:cs="Times New Roman"/>
                    <w:sz w:val="24"/>
                    <w:szCs w:val="24"/>
                  </w:rPr>
                  <m:t>r</m:t>
                </m:r>
              </m:sub>
            </m:sSub>
          </m:e>
        </m:d>
        <m:r>
          <m:rPr>
            <m:sty m:val="p"/>
          </m:rPr>
          <w:rPr>
            <w:rFonts w:ascii="Cambria Math" w:hAnsi="Cambria Math" w:cs="Times New Roman"/>
            <w:sz w:val="24"/>
            <w:szCs w:val="24"/>
          </w:rPr>
          <m:t>+</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k</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ki</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u</m:t>
            </m:r>
          </m:e>
          <m:sub>
            <m:r>
              <m:rPr>
                <m:sty m:val="p"/>
              </m:rPr>
              <w:rPr>
                <w:rFonts w:ascii="Cambria Math" w:hAnsi="Cambria Math" w:cs="Times New Roman"/>
                <w:sz w:val="24"/>
                <w:szCs w:val="24"/>
              </w:rPr>
              <m:t>it</m:t>
            </m:r>
          </m:sub>
        </m:sSub>
      </m:oMath>
      <w:r w:rsidR="004D451D" w:rsidRPr="00006974">
        <w:rPr>
          <w:rFonts w:ascii="Times New Roman" w:hAnsi="Times New Roman" w:cs="Times New Roman"/>
          <w:sz w:val="24"/>
          <w:szCs w:val="24"/>
        </w:rPr>
        <w:tab/>
        <w:t>…….. (2)</w:t>
      </w:r>
    </w:p>
    <w:p w14:paraId="1E9BE9C1" w14:textId="77777777" w:rsidR="004D451D" w:rsidRPr="00006974" w:rsidRDefault="004D451D" w:rsidP="005979A7">
      <w:pPr>
        <w:spacing w:after="0" w:line="480" w:lineRule="auto"/>
        <w:jc w:val="both"/>
        <w:rPr>
          <w:rFonts w:ascii="Times New Roman" w:hAnsi="Times New Roman" w:cs="Times New Roman"/>
          <w:i/>
          <w:sz w:val="24"/>
          <w:szCs w:val="24"/>
        </w:rPr>
      </w:pPr>
      <w:r w:rsidRPr="00006974">
        <w:rPr>
          <w:rFonts w:ascii="Times New Roman" w:hAnsi="Times New Roman" w:cs="Times New Roman"/>
          <w:i/>
          <w:sz w:val="24"/>
          <w:szCs w:val="24"/>
        </w:rPr>
        <w:lastRenderedPageBreak/>
        <w:t>Variable definitions</w:t>
      </w:r>
    </w:p>
    <w:p w14:paraId="5E6353B9" w14:textId="6D37AD32" w:rsidR="004D451D" w:rsidRPr="00006974" w:rsidRDefault="004D451D" w:rsidP="00006974">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We estimated the expected – and subsequently – abnormal stock returns using the four-factor model (Carhart, 1997). The four factors were the market return, the size factor, the book to market factor and the momentum factor.  The coefficients of the four-factor model were estimated by OLS regression using an estimation period of 250 days (including a 20-day period prior to the event date). In addition, we included the three year</w:t>
      </w:r>
      <w:r w:rsidR="0072268A" w:rsidRPr="00006974">
        <w:rPr>
          <w:rFonts w:ascii="Times New Roman" w:hAnsi="Times New Roman" w:cs="Times New Roman"/>
          <w:sz w:val="24"/>
          <w:szCs w:val="24"/>
          <w:vertAlign w:val="superscript"/>
        </w:rPr>
        <w:t>4</w:t>
      </w:r>
      <w:r w:rsidRPr="00006974">
        <w:rPr>
          <w:rFonts w:ascii="Times New Roman" w:hAnsi="Times New Roman" w:cs="Times New Roman"/>
          <w:sz w:val="24"/>
          <w:szCs w:val="24"/>
        </w:rPr>
        <w:t xml:space="preserve"> average of the following </w:t>
      </w:r>
      <w:r w:rsidR="003E0C79">
        <w:rPr>
          <w:rFonts w:ascii="Times New Roman" w:hAnsi="Times New Roman" w:cs="Times New Roman"/>
          <w:sz w:val="24"/>
          <w:szCs w:val="24"/>
        </w:rPr>
        <w:t xml:space="preserve">as </w:t>
      </w:r>
      <w:r w:rsidRPr="00006974">
        <w:rPr>
          <w:rFonts w:ascii="Times New Roman" w:hAnsi="Times New Roman" w:cs="Times New Roman"/>
          <w:sz w:val="24"/>
          <w:szCs w:val="24"/>
        </w:rPr>
        <w:t>control variables: profits after tax, sales, total assets</w:t>
      </w:r>
      <w:r w:rsidR="0072268A" w:rsidRPr="00006974">
        <w:rPr>
          <w:rFonts w:ascii="Times New Roman" w:hAnsi="Times New Roman" w:cs="Times New Roman"/>
          <w:sz w:val="24"/>
          <w:szCs w:val="24"/>
          <w:vertAlign w:val="superscript"/>
        </w:rPr>
        <w:t>5</w:t>
      </w:r>
      <w:r w:rsidRPr="00006974">
        <w:rPr>
          <w:rFonts w:ascii="Times New Roman" w:hAnsi="Times New Roman" w:cs="Times New Roman"/>
          <w:sz w:val="24"/>
          <w:szCs w:val="24"/>
        </w:rPr>
        <w:t>, net worth</w:t>
      </w:r>
      <w:r w:rsidR="0072268A" w:rsidRPr="00006974">
        <w:rPr>
          <w:rFonts w:ascii="Times New Roman" w:hAnsi="Times New Roman" w:cs="Times New Roman"/>
          <w:sz w:val="24"/>
          <w:szCs w:val="24"/>
          <w:vertAlign w:val="superscript"/>
        </w:rPr>
        <w:t>6</w:t>
      </w:r>
      <w:r w:rsidRPr="00006974">
        <w:rPr>
          <w:rFonts w:ascii="Times New Roman" w:hAnsi="Times New Roman" w:cs="Times New Roman"/>
          <w:sz w:val="24"/>
          <w:szCs w:val="24"/>
        </w:rPr>
        <w:t xml:space="preserve">, advertising expenses, marketing expenses, R&amp;D expenses, and previous CSR expenses. </w:t>
      </w:r>
    </w:p>
    <w:p w14:paraId="725FD381" w14:textId="2E868FFD" w:rsidR="004D451D" w:rsidRPr="00006974" w:rsidRDefault="004D451D" w:rsidP="005979A7">
      <w:pPr>
        <w:spacing w:before="200" w:after="0" w:line="480" w:lineRule="auto"/>
        <w:jc w:val="both"/>
        <w:rPr>
          <w:rFonts w:ascii="Times New Roman" w:hAnsi="Times New Roman" w:cs="Times New Roman"/>
          <w:i/>
          <w:sz w:val="24"/>
          <w:szCs w:val="24"/>
        </w:rPr>
      </w:pPr>
      <w:r w:rsidRPr="00006974">
        <w:rPr>
          <w:rFonts w:ascii="Times New Roman" w:hAnsi="Times New Roman" w:cs="Times New Roman"/>
          <w:i/>
          <w:sz w:val="24"/>
          <w:szCs w:val="24"/>
        </w:rPr>
        <w:t xml:space="preserve">Testing RDD assumption – can a firm’s subjugation to </w:t>
      </w:r>
      <w:r w:rsidR="00F85AE8" w:rsidRPr="00006974">
        <w:rPr>
          <w:rFonts w:ascii="Times New Roman" w:hAnsi="Times New Roman" w:cs="Times New Roman"/>
          <w:i/>
          <w:sz w:val="24"/>
          <w:szCs w:val="24"/>
        </w:rPr>
        <w:t xml:space="preserve">India’s CSR mandate </w:t>
      </w:r>
      <w:r w:rsidRPr="00006974">
        <w:rPr>
          <w:rFonts w:ascii="Times New Roman" w:hAnsi="Times New Roman" w:cs="Times New Roman"/>
          <w:i/>
          <w:sz w:val="24"/>
          <w:szCs w:val="24"/>
        </w:rPr>
        <w:t xml:space="preserve">be considered randomized? </w:t>
      </w:r>
    </w:p>
    <w:p w14:paraId="6141FF83" w14:textId="1FEFF32A" w:rsidR="004D451D" w:rsidRPr="00006974" w:rsidRDefault="004D451D" w:rsidP="00006974">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 xml:space="preserve">In order to establish causality, it is critical to rigorously test whether a firm’s subjugation to the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w:t>
      </w:r>
      <w:r w:rsidR="00F85AE8" w:rsidRPr="00006974">
        <w:rPr>
          <w:rFonts w:ascii="Times New Roman" w:hAnsi="Times New Roman" w:cs="Times New Roman"/>
          <w:sz w:val="24"/>
          <w:szCs w:val="24"/>
        </w:rPr>
        <w:t>wa</w:t>
      </w:r>
      <w:r w:rsidRPr="00006974">
        <w:rPr>
          <w:rFonts w:ascii="Times New Roman" w:hAnsi="Times New Roman" w:cs="Times New Roman"/>
          <w:sz w:val="24"/>
          <w:szCs w:val="24"/>
        </w:rPr>
        <w:t xml:space="preserve">s as good as a random treatment around the threshold (PAT&gt;= 50 million INRs). </w:t>
      </w:r>
      <w:r w:rsidR="00181B94" w:rsidRPr="00006974">
        <w:rPr>
          <w:rFonts w:ascii="Times New Roman" w:hAnsi="Times New Roman" w:cs="Times New Roman"/>
          <w:sz w:val="24"/>
          <w:szCs w:val="24"/>
        </w:rPr>
        <w:t>In this vein, w</w:t>
      </w:r>
      <w:r w:rsidRPr="00006974">
        <w:rPr>
          <w:rFonts w:ascii="Times New Roman" w:hAnsi="Times New Roman" w:cs="Times New Roman"/>
          <w:sz w:val="24"/>
          <w:szCs w:val="24"/>
        </w:rPr>
        <w:t xml:space="preserve">e conducted two separate tests of randomness. First, we conducted a McCrary (2008) test for assessing continuity and smoothness in PAT around the eligibility threshold. Figure 1 shows graphically the results of the McCrary test. We found no evidence of discontinuity as the null hypothesis of no discontinuity was not rejected (p-value=0.791). </w:t>
      </w:r>
    </w:p>
    <w:p w14:paraId="3BF423F9" w14:textId="77777777" w:rsidR="004D451D" w:rsidRPr="00006974" w:rsidRDefault="004D451D" w:rsidP="005979A7">
      <w:pPr>
        <w:spacing w:before="200" w:after="0" w:line="480" w:lineRule="auto"/>
        <w:jc w:val="center"/>
        <w:rPr>
          <w:rFonts w:ascii="Times New Roman" w:hAnsi="Times New Roman" w:cs="Times New Roman"/>
          <w:sz w:val="24"/>
          <w:szCs w:val="24"/>
        </w:rPr>
      </w:pPr>
      <w:r w:rsidRPr="00006974">
        <w:rPr>
          <w:rFonts w:ascii="Times New Roman" w:hAnsi="Times New Roman" w:cs="Times New Roman"/>
          <w:sz w:val="24"/>
          <w:szCs w:val="24"/>
        </w:rPr>
        <w:t>----Insert Figure 1 about Here-----</w:t>
      </w:r>
    </w:p>
    <w:p w14:paraId="2014EA11" w14:textId="0E8B01F7"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Second, we tested for orthogonality in firm characteristics to examine if there were any preexisting systematic differences among firms before the regulatory announcement. We included dependent variable and all control variables in this analysis and found no systematic differences between any variables for firms that were subjugated to the CSR regulation and those that were not. The McCrary test and the orthogonality test together </w:t>
      </w:r>
      <w:r w:rsidR="00D558A8">
        <w:rPr>
          <w:rFonts w:ascii="Times New Roman" w:hAnsi="Times New Roman" w:cs="Times New Roman"/>
          <w:sz w:val="24"/>
          <w:szCs w:val="24"/>
        </w:rPr>
        <w:t xml:space="preserve">provide </w:t>
      </w:r>
      <w:r w:rsidRPr="00006974">
        <w:rPr>
          <w:rFonts w:ascii="Times New Roman" w:hAnsi="Times New Roman" w:cs="Times New Roman"/>
          <w:sz w:val="24"/>
          <w:szCs w:val="24"/>
        </w:rPr>
        <w:t xml:space="preserve">strong evidence that firms’ </w:t>
      </w:r>
      <w:r w:rsidRPr="00006974">
        <w:rPr>
          <w:rFonts w:ascii="Times New Roman" w:hAnsi="Times New Roman" w:cs="Times New Roman"/>
          <w:sz w:val="24"/>
          <w:szCs w:val="24"/>
        </w:rPr>
        <w:lastRenderedPageBreak/>
        <w:t xml:space="preserve">subjugation to the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can be considered to be exogenously determined, satisfying RDD assumptions. </w:t>
      </w:r>
    </w:p>
    <w:p w14:paraId="5D644326" w14:textId="08A56F28" w:rsidR="004D451D" w:rsidRPr="00006974" w:rsidRDefault="004D451D" w:rsidP="005979A7">
      <w:pPr>
        <w:spacing w:before="200" w:after="0" w:line="480" w:lineRule="auto"/>
        <w:jc w:val="both"/>
        <w:rPr>
          <w:rFonts w:ascii="Times New Roman" w:hAnsi="Times New Roman" w:cs="Times New Roman"/>
          <w:b/>
          <w:sz w:val="24"/>
          <w:szCs w:val="24"/>
        </w:rPr>
      </w:pPr>
      <w:r w:rsidRPr="00006974">
        <w:rPr>
          <w:rFonts w:ascii="Times New Roman" w:hAnsi="Times New Roman" w:cs="Times New Roman"/>
          <w:b/>
          <w:sz w:val="24"/>
          <w:szCs w:val="24"/>
        </w:rPr>
        <w:t>Results</w:t>
      </w:r>
    </w:p>
    <w:p w14:paraId="6A70F2C0" w14:textId="77777777" w:rsidR="004D451D" w:rsidRPr="00006974" w:rsidRDefault="004D451D" w:rsidP="00006974">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We tested our first hypothesis (H1) using a regression and a graphical analysis. For the regression analysis, we used non-parametric and parametric specifications to estimate abnormal stock market returns around: (</w:t>
      </w:r>
      <w:proofErr w:type="spellStart"/>
      <w:r w:rsidRPr="00006974">
        <w:rPr>
          <w:rFonts w:ascii="Times New Roman" w:hAnsi="Times New Roman" w:cs="Times New Roman"/>
          <w:sz w:val="24"/>
          <w:szCs w:val="24"/>
        </w:rPr>
        <w:t>i</w:t>
      </w:r>
      <w:proofErr w:type="spellEnd"/>
      <w:r w:rsidRPr="00006974">
        <w:rPr>
          <w:rFonts w:ascii="Times New Roman" w:hAnsi="Times New Roman" w:cs="Times New Roman"/>
          <w:sz w:val="24"/>
          <w:szCs w:val="24"/>
        </w:rPr>
        <w:t xml:space="preserve">) the threshold of PAT=50 million, and (ii) for the full sample, respectively (Table 1).  </w:t>
      </w:r>
    </w:p>
    <w:p w14:paraId="0A1DA9D0" w14:textId="77777777" w:rsidR="004D451D" w:rsidRPr="00006974" w:rsidRDefault="004D451D" w:rsidP="005979A7">
      <w:pPr>
        <w:spacing w:before="200" w:after="0" w:line="480" w:lineRule="auto"/>
        <w:jc w:val="center"/>
        <w:rPr>
          <w:rFonts w:ascii="Times New Roman" w:hAnsi="Times New Roman" w:cs="Times New Roman"/>
          <w:sz w:val="24"/>
          <w:szCs w:val="24"/>
        </w:rPr>
      </w:pPr>
      <w:r w:rsidRPr="00006974">
        <w:rPr>
          <w:rFonts w:ascii="Times New Roman" w:hAnsi="Times New Roman" w:cs="Times New Roman"/>
          <w:sz w:val="24"/>
          <w:szCs w:val="24"/>
        </w:rPr>
        <w:t>------Insert Table 1 about here------</w:t>
      </w:r>
    </w:p>
    <w:p w14:paraId="2F083FEB" w14:textId="30A60D16"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For non-parametric estimates (i.e., local linear effects), we report two models using two different bandwidths. For model (1), we deployed the IK bandwidth developed by </w:t>
      </w:r>
      <w:proofErr w:type="spellStart"/>
      <w:r w:rsidRPr="00006974">
        <w:rPr>
          <w:rFonts w:ascii="Times New Roman" w:hAnsi="Times New Roman" w:cs="Times New Roman"/>
          <w:sz w:val="24"/>
          <w:szCs w:val="24"/>
        </w:rPr>
        <w:t>Imbens</w:t>
      </w:r>
      <w:proofErr w:type="spellEnd"/>
      <w:r w:rsidRPr="00006974">
        <w:rPr>
          <w:rFonts w:ascii="Times New Roman" w:hAnsi="Times New Roman" w:cs="Times New Roman"/>
          <w:sz w:val="24"/>
          <w:szCs w:val="24"/>
        </w:rPr>
        <w:t xml:space="preserve"> and </w:t>
      </w:r>
      <w:proofErr w:type="spellStart"/>
      <w:r w:rsidRPr="00006974">
        <w:rPr>
          <w:rFonts w:ascii="Times New Roman" w:hAnsi="Times New Roman" w:cs="Times New Roman"/>
          <w:sz w:val="24"/>
          <w:szCs w:val="24"/>
        </w:rPr>
        <w:t>Kalyanraman</w:t>
      </w:r>
      <w:proofErr w:type="spellEnd"/>
      <w:r w:rsidRPr="00006974">
        <w:rPr>
          <w:rFonts w:ascii="Times New Roman" w:hAnsi="Times New Roman" w:cs="Times New Roman"/>
          <w:sz w:val="24"/>
          <w:szCs w:val="24"/>
        </w:rPr>
        <w:t xml:space="preserve"> (2012) which yielded a bandwidth of ±12.5 million around the PAT=50 million threshold and a sample of 185 firms. For model (2), we deployed the CCT bandwidth developed by </w:t>
      </w:r>
      <w:proofErr w:type="spellStart"/>
      <w:r w:rsidRPr="00006974">
        <w:rPr>
          <w:rFonts w:ascii="Times New Roman" w:hAnsi="Times New Roman" w:cs="Times New Roman"/>
          <w:sz w:val="24"/>
          <w:szCs w:val="24"/>
        </w:rPr>
        <w:t>Calonico</w:t>
      </w:r>
      <w:proofErr w:type="spellEnd"/>
      <w:r w:rsidRPr="00006974">
        <w:rPr>
          <w:rFonts w:ascii="Times New Roman" w:hAnsi="Times New Roman" w:cs="Times New Roman"/>
          <w:sz w:val="24"/>
          <w:szCs w:val="24"/>
        </w:rPr>
        <w:t xml:space="preserve"> et al. (2014) which yielded a bandwidth of ±13.8 million around the PAT=50 million threshold and a sample of 198 firms</w:t>
      </w:r>
      <w:r w:rsidR="0072268A" w:rsidRPr="00006974">
        <w:rPr>
          <w:rFonts w:ascii="Times New Roman" w:hAnsi="Times New Roman" w:cs="Times New Roman"/>
          <w:sz w:val="24"/>
          <w:szCs w:val="24"/>
          <w:vertAlign w:val="superscript"/>
        </w:rPr>
        <w:t>7</w:t>
      </w:r>
      <w:r w:rsidRPr="00006974">
        <w:rPr>
          <w:rFonts w:ascii="Times New Roman" w:hAnsi="Times New Roman" w:cs="Times New Roman"/>
          <w:sz w:val="24"/>
          <w:szCs w:val="24"/>
        </w:rPr>
        <w:t>. The IK method provides an asymptotically optimal bandwidth using a data-dependent method. The CCT method relies on constructing confidence intervals based on bias-corrected local polynomial estimator</w:t>
      </w:r>
      <w:r w:rsidR="00B6240A" w:rsidRPr="00006974">
        <w:rPr>
          <w:rFonts w:ascii="Times New Roman" w:hAnsi="Times New Roman" w:cs="Times New Roman"/>
          <w:sz w:val="24"/>
          <w:szCs w:val="24"/>
        </w:rPr>
        <w:t>s</w:t>
      </w:r>
      <w:r w:rsidRPr="00006974">
        <w:rPr>
          <w:rFonts w:ascii="Times New Roman" w:hAnsi="Times New Roman" w:cs="Times New Roman"/>
          <w:sz w:val="24"/>
          <w:szCs w:val="24"/>
        </w:rPr>
        <w:t xml:space="preserve">. Combining the two methods yields more optimal estimations than a single method (Baskaran &amp; </w:t>
      </w:r>
      <w:proofErr w:type="spellStart"/>
      <w:r w:rsidRPr="00006974">
        <w:rPr>
          <w:rFonts w:ascii="Times New Roman" w:hAnsi="Times New Roman" w:cs="Times New Roman"/>
          <w:sz w:val="24"/>
          <w:szCs w:val="24"/>
        </w:rPr>
        <w:t>Hessami</w:t>
      </w:r>
      <w:proofErr w:type="spellEnd"/>
      <w:r w:rsidRPr="00006974">
        <w:rPr>
          <w:rFonts w:ascii="Times New Roman" w:hAnsi="Times New Roman" w:cs="Times New Roman"/>
          <w:sz w:val="24"/>
          <w:szCs w:val="24"/>
        </w:rPr>
        <w:t>, 2018) or using an alternative method such as standard plug-in and cross-validation (</w:t>
      </w:r>
      <w:proofErr w:type="spellStart"/>
      <w:r w:rsidRPr="00006974">
        <w:rPr>
          <w:rFonts w:ascii="Times New Roman" w:hAnsi="Times New Roman" w:cs="Times New Roman"/>
          <w:sz w:val="24"/>
          <w:szCs w:val="24"/>
        </w:rPr>
        <w:t>Calonico</w:t>
      </w:r>
      <w:proofErr w:type="spellEnd"/>
      <w:r w:rsidRPr="00006974">
        <w:rPr>
          <w:rFonts w:ascii="Times New Roman" w:hAnsi="Times New Roman" w:cs="Times New Roman"/>
          <w:sz w:val="24"/>
          <w:szCs w:val="24"/>
        </w:rPr>
        <w:t xml:space="preserve"> et al., 2014). </w:t>
      </w:r>
    </w:p>
    <w:p w14:paraId="21E29ABE" w14:textId="7A579966"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Results (Table 1) show that the difference in abnormal returns is 2.22 percent and 1.96 percent for the IK and the CCT bandwidths, respectively. Both results are statistically significant at 1 percent. Thus, we can infer that firms in the neighborhood of PAT=50 million threshold that would be bound by the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received higher abnormal returns as compared to firms that </w:t>
      </w:r>
      <w:r w:rsidRPr="00006974">
        <w:rPr>
          <w:rFonts w:ascii="Times New Roman" w:hAnsi="Times New Roman" w:cs="Times New Roman"/>
          <w:sz w:val="24"/>
          <w:szCs w:val="24"/>
        </w:rPr>
        <w:lastRenderedPageBreak/>
        <w:t xml:space="preserve">would not be bound by </w:t>
      </w:r>
      <w:r w:rsidR="00F85AE8" w:rsidRPr="00006974">
        <w:rPr>
          <w:rFonts w:ascii="Times New Roman" w:hAnsi="Times New Roman" w:cs="Times New Roman"/>
          <w:sz w:val="24"/>
          <w:szCs w:val="24"/>
        </w:rPr>
        <w:t>it.</w:t>
      </w:r>
      <w:r w:rsidRPr="00006974">
        <w:rPr>
          <w:rFonts w:ascii="Times New Roman" w:hAnsi="Times New Roman" w:cs="Times New Roman"/>
          <w:sz w:val="24"/>
          <w:szCs w:val="24"/>
        </w:rPr>
        <w:t xml:space="preserve"> For parametric estimates (i.e., full-sample effects), we first estimated abnormal returns expressed by the econometric specification given in equation 2 while controlling for polynomials of order two on the left side and order four on the right side of the PAT=50 million threshold. Column 4 estimates the difference in abnormal returns between firms that would be bound by the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and firms that would not be bound by </w:t>
      </w:r>
      <w:r w:rsidR="00F85AE8" w:rsidRPr="00006974">
        <w:rPr>
          <w:rFonts w:ascii="Times New Roman" w:hAnsi="Times New Roman" w:cs="Times New Roman"/>
          <w:sz w:val="24"/>
          <w:szCs w:val="24"/>
        </w:rPr>
        <w:t xml:space="preserve">it. </w:t>
      </w:r>
      <w:r w:rsidRPr="00006974">
        <w:rPr>
          <w:rFonts w:ascii="Times New Roman" w:hAnsi="Times New Roman" w:cs="Times New Roman"/>
          <w:sz w:val="24"/>
          <w:szCs w:val="24"/>
        </w:rPr>
        <w:t xml:space="preserve">The difference is 1.30 percent (at 5% level of significance). Based on these results, we conclude that subjugation of firms to the </w:t>
      </w:r>
      <w:r w:rsidR="00F85AE8" w:rsidRPr="00006974">
        <w:rPr>
          <w:rFonts w:ascii="Times New Roman" w:hAnsi="Times New Roman" w:cs="Times New Roman"/>
          <w:sz w:val="24"/>
          <w:szCs w:val="24"/>
        </w:rPr>
        <w:t xml:space="preserve">CSR mandate </w:t>
      </w:r>
      <w:r w:rsidRPr="00006974">
        <w:rPr>
          <w:rFonts w:ascii="Times New Roman" w:hAnsi="Times New Roman" w:cs="Times New Roman"/>
          <w:sz w:val="24"/>
          <w:szCs w:val="24"/>
        </w:rPr>
        <w:t xml:space="preserve">resulted in higher stock market returns. Not only is the difference in abnormal returns statistically significant between subjugated and non-subjugated in both bandwidths near the cut-off threshold (2.22% and 1.96%), but it is also significant for the entire sample in the presence and absence of other controls (1.29% and 1.30%, respectively). </w:t>
      </w:r>
      <w:r w:rsidR="001056E1">
        <w:rPr>
          <w:rFonts w:ascii="Times New Roman" w:hAnsi="Times New Roman" w:cs="Times New Roman"/>
          <w:sz w:val="24"/>
          <w:szCs w:val="24"/>
        </w:rPr>
        <w:t>T</w:t>
      </w:r>
      <w:r w:rsidRPr="00006974">
        <w:rPr>
          <w:rFonts w:ascii="Times New Roman" w:hAnsi="Times New Roman" w:cs="Times New Roman"/>
          <w:sz w:val="24"/>
          <w:szCs w:val="24"/>
        </w:rPr>
        <w:t xml:space="preserve">hese results </w:t>
      </w:r>
      <w:r w:rsidR="001056E1">
        <w:rPr>
          <w:rFonts w:ascii="Times New Roman" w:hAnsi="Times New Roman" w:cs="Times New Roman"/>
          <w:sz w:val="24"/>
          <w:szCs w:val="24"/>
        </w:rPr>
        <w:t xml:space="preserve">are graphically presented </w:t>
      </w:r>
      <w:r w:rsidRPr="00006974">
        <w:rPr>
          <w:rFonts w:ascii="Times New Roman" w:hAnsi="Times New Roman" w:cs="Times New Roman"/>
          <w:sz w:val="24"/>
          <w:szCs w:val="24"/>
        </w:rPr>
        <w:t xml:space="preserve">in Figure 2. </w:t>
      </w:r>
    </w:p>
    <w:p w14:paraId="0D5724A6" w14:textId="77777777" w:rsidR="004D451D" w:rsidRPr="00006974" w:rsidRDefault="004D451D" w:rsidP="005979A7">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 xml:space="preserve">                                                     ----Insert Fig 2 about here---- </w:t>
      </w:r>
    </w:p>
    <w:p w14:paraId="63259B91" w14:textId="643BFE58"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In order to check the robustness of these results, we repeated non-parametric and parametric regressions for a three and a five-day event window to estimate cumulative abnormal returns, CAR (-1, +1), and CAR (-2, +2), respectively (Table 2). Similar to the results obtained for the event date, abnormal stock returns were higher for firms that would be bound by the </w:t>
      </w:r>
      <w:r w:rsidR="00F85AE8" w:rsidRPr="00006974">
        <w:rPr>
          <w:rFonts w:ascii="Times New Roman" w:hAnsi="Times New Roman" w:cs="Times New Roman"/>
          <w:sz w:val="24"/>
          <w:szCs w:val="24"/>
        </w:rPr>
        <w:t>CSR mandate</w:t>
      </w:r>
      <w:r w:rsidRPr="00006974">
        <w:rPr>
          <w:rFonts w:ascii="Times New Roman" w:hAnsi="Times New Roman" w:cs="Times New Roman"/>
          <w:sz w:val="24"/>
          <w:szCs w:val="24"/>
        </w:rPr>
        <w:t xml:space="preserve"> for alternative event windows. These results are intact for local linear and full sample estimations. </w:t>
      </w:r>
    </w:p>
    <w:p w14:paraId="34CDEA69" w14:textId="77777777" w:rsidR="004D451D" w:rsidRPr="00006974" w:rsidRDefault="004D451D" w:rsidP="005979A7">
      <w:pPr>
        <w:spacing w:before="200" w:after="0" w:line="480" w:lineRule="auto"/>
        <w:jc w:val="center"/>
        <w:rPr>
          <w:rFonts w:ascii="Times New Roman" w:hAnsi="Times New Roman" w:cs="Times New Roman"/>
          <w:sz w:val="24"/>
          <w:szCs w:val="24"/>
        </w:rPr>
      </w:pPr>
      <w:r w:rsidRPr="00006974">
        <w:rPr>
          <w:rFonts w:ascii="Times New Roman" w:hAnsi="Times New Roman" w:cs="Times New Roman"/>
          <w:sz w:val="24"/>
          <w:szCs w:val="24"/>
        </w:rPr>
        <w:t>------Insert Table 2 about here-----</w:t>
      </w:r>
    </w:p>
    <w:p w14:paraId="5AA684BA" w14:textId="33978D43"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Combining results from regression tests involving non-parametric and parametric coefficients (with and without control variables), the graphical test, and robustness checks involving alternative event windows, we find convincing support for the first hypothesis (H1) </w:t>
      </w:r>
      <w:r w:rsidRPr="00006974">
        <w:rPr>
          <w:rFonts w:ascii="Times New Roman" w:hAnsi="Times New Roman" w:cs="Times New Roman"/>
          <w:sz w:val="24"/>
          <w:szCs w:val="24"/>
        </w:rPr>
        <w:lastRenderedPageBreak/>
        <w:t>suggesting that firms that w</w:t>
      </w:r>
      <w:r w:rsidR="00181B94" w:rsidRPr="00006974">
        <w:rPr>
          <w:rFonts w:ascii="Times New Roman" w:hAnsi="Times New Roman" w:cs="Times New Roman"/>
          <w:sz w:val="24"/>
          <w:szCs w:val="24"/>
        </w:rPr>
        <w:t xml:space="preserve">ere to </w:t>
      </w:r>
      <w:r w:rsidRPr="00006974">
        <w:rPr>
          <w:rFonts w:ascii="Times New Roman" w:hAnsi="Times New Roman" w:cs="Times New Roman"/>
          <w:sz w:val="24"/>
          <w:szCs w:val="24"/>
        </w:rPr>
        <w:t xml:space="preserve">be bound by </w:t>
      </w:r>
      <w:r w:rsidR="00F85AE8" w:rsidRPr="00006974">
        <w:rPr>
          <w:rFonts w:ascii="Times New Roman" w:hAnsi="Times New Roman" w:cs="Times New Roman"/>
          <w:sz w:val="24"/>
          <w:szCs w:val="24"/>
        </w:rPr>
        <w:t xml:space="preserve">India’s CSR mandate </w:t>
      </w:r>
      <w:r w:rsidRPr="00006974">
        <w:rPr>
          <w:rFonts w:ascii="Times New Roman" w:hAnsi="Times New Roman" w:cs="Times New Roman"/>
          <w:sz w:val="24"/>
          <w:szCs w:val="24"/>
        </w:rPr>
        <w:t>had higher abnormal returns compared to firms that w</w:t>
      </w:r>
      <w:r w:rsidR="00181B94" w:rsidRPr="00006974">
        <w:rPr>
          <w:rFonts w:ascii="Times New Roman" w:hAnsi="Times New Roman" w:cs="Times New Roman"/>
          <w:sz w:val="24"/>
          <w:szCs w:val="24"/>
        </w:rPr>
        <w:t xml:space="preserve">ere </w:t>
      </w:r>
      <w:r w:rsidRPr="00006974">
        <w:rPr>
          <w:rFonts w:ascii="Times New Roman" w:hAnsi="Times New Roman" w:cs="Times New Roman"/>
          <w:sz w:val="24"/>
          <w:szCs w:val="24"/>
        </w:rPr>
        <w:t xml:space="preserve">not </w:t>
      </w:r>
      <w:r w:rsidR="00181B94" w:rsidRPr="00006974">
        <w:rPr>
          <w:rFonts w:ascii="Times New Roman" w:hAnsi="Times New Roman" w:cs="Times New Roman"/>
          <w:sz w:val="24"/>
          <w:szCs w:val="24"/>
        </w:rPr>
        <w:t xml:space="preserve">to </w:t>
      </w:r>
      <w:r w:rsidRPr="00006974">
        <w:rPr>
          <w:rFonts w:ascii="Times New Roman" w:hAnsi="Times New Roman" w:cs="Times New Roman"/>
          <w:sz w:val="24"/>
          <w:szCs w:val="24"/>
        </w:rPr>
        <w:t xml:space="preserve">be bound by </w:t>
      </w:r>
      <w:r w:rsidR="00F85AE8" w:rsidRPr="00006974">
        <w:rPr>
          <w:rFonts w:ascii="Times New Roman" w:hAnsi="Times New Roman" w:cs="Times New Roman"/>
          <w:sz w:val="24"/>
          <w:szCs w:val="24"/>
        </w:rPr>
        <w:t xml:space="preserve">it. </w:t>
      </w:r>
      <w:r w:rsidRPr="00006974">
        <w:rPr>
          <w:rFonts w:ascii="Times New Roman" w:hAnsi="Times New Roman" w:cs="Times New Roman"/>
          <w:sz w:val="24"/>
          <w:szCs w:val="24"/>
        </w:rPr>
        <w:t xml:space="preserve"> </w:t>
      </w:r>
    </w:p>
    <w:p w14:paraId="413EB175" w14:textId="77777777"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To test hypotheses 2, and 3, i.e., to examine whether the effect of the regulatory announcement varied for foreign versus domestic firms, and for firms in controversial versus non-controversial sectors, we analyzed cross-sectional heterogeneity in our data through the following RDD and D-I-D specification: </w:t>
      </w:r>
    </w:p>
    <w:p w14:paraId="1D2A9FD6" w14:textId="77777777" w:rsidR="004D451D" w:rsidRPr="00006974" w:rsidRDefault="002F4C4D" w:rsidP="005979A7">
      <w:pPr>
        <w:spacing w:before="200" w:after="0" w:line="480" w:lineRule="auto"/>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AR</m:t>
            </m:r>
          </m:e>
          <m:sub>
            <m:r>
              <m:rPr>
                <m:sty m:val="p"/>
              </m:rPr>
              <w:rPr>
                <w:rFonts w:ascii="Cambria Math" w:hAnsi="Cambria Math" w:cs="Times New Roman"/>
                <w:sz w:val="24"/>
                <w:szCs w:val="24"/>
              </w:rPr>
              <m:t>it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Subj</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Foreign</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3</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Controversial</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Subj*Foreign</m:t>
            </m:r>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 xml:space="preserve">2 </m:t>
            </m:r>
          </m:sub>
        </m:sSub>
        <m:d>
          <m:dPr>
            <m:ctrlPr>
              <w:rPr>
                <w:rFonts w:ascii="Cambria Math" w:hAnsi="Cambria Math" w:cs="Times New Roman"/>
                <w:sz w:val="24"/>
                <w:szCs w:val="24"/>
              </w:rPr>
            </m:ctrlPr>
          </m:dPr>
          <m:e>
            <m:r>
              <m:rPr>
                <m:sty m:val="p"/>
              </m:rPr>
              <w:rPr>
                <w:rFonts w:ascii="Cambria Math" w:hAnsi="Cambria Math" w:cs="Times New Roman"/>
                <w:sz w:val="24"/>
                <w:szCs w:val="24"/>
              </w:rPr>
              <m:t>Subj*Controversial</m:t>
            </m:r>
          </m:e>
        </m:d>
        <m:r>
          <m:rPr>
            <m:sty m:val="p"/>
          </m:rPr>
          <w:rPr>
            <w:rFonts w:ascii="Cambria Math" w:hAnsi="Cambria Math" w:cs="Times New Roman"/>
            <w:sz w:val="24"/>
            <w:szCs w:val="24"/>
          </w:rPr>
          <m:t xml:space="preserve">+ </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k=1</m:t>
            </m:r>
          </m:sub>
          <m:sup>
            <m:r>
              <m:rPr>
                <m:sty m:val="p"/>
              </m:rPr>
              <w:rPr>
                <w:rFonts w:ascii="Cambria Math" w:hAnsi="Cambria Math" w:cs="Times New Roman"/>
                <w:sz w:val="24"/>
                <w:szCs w:val="24"/>
              </w:rPr>
              <m:t>K</m:t>
            </m:r>
          </m:sup>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k</m:t>
                </m:r>
              </m:sub>
            </m:sSub>
          </m:e>
        </m:nary>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ik</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ϵ</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 xml:space="preserve">     </m:t>
        </m:r>
      </m:oMath>
      <w:r w:rsidR="004D451D" w:rsidRPr="00006974">
        <w:rPr>
          <w:rFonts w:ascii="Times New Roman" w:hAnsi="Times New Roman" w:cs="Times New Roman"/>
          <w:sz w:val="24"/>
          <w:szCs w:val="24"/>
        </w:rPr>
        <w:tab/>
        <w:t>…..(3)</w:t>
      </w:r>
    </w:p>
    <w:p w14:paraId="07428F6A" w14:textId="77777777" w:rsidR="004D451D" w:rsidRPr="00006974" w:rsidRDefault="004D451D" w:rsidP="005979A7">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where Foreign is a dummy variable which takes the value 1 if the firm has more than 50% foreign ownership and 0 otherwise; Controversial is a binary variable that takes the value 1 if a firm belongs to an environmentally high impact sector identified using three-digit National Industrial Classification (NIC). The coefficients in the row vector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β</m:t>
            </m:r>
          </m:e>
          <m:sub>
            <m:r>
              <m:rPr>
                <m:sty m:val="p"/>
              </m:rPr>
              <w:rPr>
                <w:rFonts w:ascii="Cambria Math" w:hAnsi="Cambria Math" w:cs="Times New Roman"/>
                <w:sz w:val="24"/>
                <w:szCs w:val="24"/>
              </w:rPr>
              <m:t>k</m:t>
            </m:r>
          </m:sub>
        </m:sSub>
      </m:oMath>
      <w:r w:rsidRPr="00006974">
        <w:rPr>
          <w:rFonts w:ascii="Times New Roman" w:hAnsi="Times New Roman" w:cs="Times New Roman"/>
          <w:sz w:val="24"/>
          <w:szCs w:val="24"/>
        </w:rPr>
        <w:t xml:space="preserve">) control for firm-level characteristics. </w:t>
      </w:r>
    </w:p>
    <w:p w14:paraId="1F84919A" w14:textId="60B5DB6B"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We estimated difference-in-differences (D-I-D) class of estimates for the two interaction terms in the RDD specification above. For the first interaction term (Subj x Foreign), we estimated the difference in abnormal returns between the following two groups of firms: (a) </w:t>
      </w:r>
      <w:r w:rsidR="00F85AE8" w:rsidRPr="00006974">
        <w:rPr>
          <w:rFonts w:ascii="Times New Roman" w:hAnsi="Times New Roman" w:cs="Times New Roman"/>
          <w:sz w:val="24"/>
          <w:szCs w:val="24"/>
        </w:rPr>
        <w:t xml:space="preserve">foreign firms subjugated to CSR mandate </w:t>
      </w:r>
      <w:r w:rsidRPr="00006974">
        <w:rPr>
          <w:rFonts w:ascii="Times New Roman" w:hAnsi="Times New Roman" w:cs="Times New Roman"/>
          <w:sz w:val="24"/>
          <w:szCs w:val="24"/>
        </w:rPr>
        <w:t xml:space="preserve">versus </w:t>
      </w:r>
      <w:r w:rsidR="00F85AE8" w:rsidRPr="00006974">
        <w:rPr>
          <w:rFonts w:ascii="Times New Roman" w:hAnsi="Times New Roman" w:cs="Times New Roman"/>
          <w:sz w:val="24"/>
          <w:szCs w:val="24"/>
        </w:rPr>
        <w:t xml:space="preserve">foreign firms </w:t>
      </w:r>
      <w:r w:rsidRPr="00006974">
        <w:rPr>
          <w:rFonts w:ascii="Times New Roman" w:hAnsi="Times New Roman" w:cs="Times New Roman"/>
          <w:sz w:val="24"/>
          <w:szCs w:val="24"/>
        </w:rPr>
        <w:t>no</w:t>
      </w:r>
      <w:r w:rsidR="00F85AE8" w:rsidRPr="00006974">
        <w:rPr>
          <w:rFonts w:ascii="Times New Roman" w:hAnsi="Times New Roman" w:cs="Times New Roman"/>
          <w:sz w:val="24"/>
          <w:szCs w:val="24"/>
        </w:rPr>
        <w:t xml:space="preserve">t </w:t>
      </w:r>
      <w:r w:rsidRPr="00006974">
        <w:rPr>
          <w:rFonts w:ascii="Times New Roman" w:hAnsi="Times New Roman" w:cs="Times New Roman"/>
          <w:sz w:val="24"/>
          <w:szCs w:val="24"/>
        </w:rPr>
        <w:t>subjugated</w:t>
      </w:r>
      <w:r w:rsidR="00F85AE8" w:rsidRPr="00006974">
        <w:rPr>
          <w:rFonts w:ascii="Times New Roman" w:hAnsi="Times New Roman" w:cs="Times New Roman"/>
          <w:sz w:val="24"/>
          <w:szCs w:val="24"/>
        </w:rPr>
        <w:t xml:space="preserve"> to it</w:t>
      </w:r>
      <w:r w:rsidRPr="00006974">
        <w:rPr>
          <w:rFonts w:ascii="Times New Roman" w:hAnsi="Times New Roman" w:cs="Times New Roman"/>
          <w:sz w:val="24"/>
          <w:szCs w:val="24"/>
        </w:rPr>
        <w:t xml:space="preserve">, and (b) </w:t>
      </w:r>
      <w:r w:rsidR="00F85AE8" w:rsidRPr="00006974">
        <w:rPr>
          <w:rFonts w:ascii="Times New Roman" w:hAnsi="Times New Roman" w:cs="Times New Roman"/>
          <w:sz w:val="24"/>
          <w:szCs w:val="24"/>
        </w:rPr>
        <w:t xml:space="preserve">domestic firms subjugated to the CSR mandate </w:t>
      </w:r>
      <w:r w:rsidRPr="00006974">
        <w:rPr>
          <w:rFonts w:ascii="Times New Roman" w:hAnsi="Times New Roman" w:cs="Times New Roman"/>
          <w:sz w:val="24"/>
          <w:szCs w:val="24"/>
        </w:rPr>
        <w:t xml:space="preserve">versus </w:t>
      </w:r>
      <w:r w:rsidR="00F85AE8" w:rsidRPr="00006974">
        <w:rPr>
          <w:rFonts w:ascii="Times New Roman" w:hAnsi="Times New Roman" w:cs="Times New Roman"/>
          <w:sz w:val="24"/>
          <w:szCs w:val="24"/>
        </w:rPr>
        <w:t xml:space="preserve">domestic firms </w:t>
      </w:r>
      <w:r w:rsidRPr="00006974">
        <w:rPr>
          <w:rFonts w:ascii="Times New Roman" w:hAnsi="Times New Roman" w:cs="Times New Roman"/>
          <w:sz w:val="24"/>
          <w:szCs w:val="24"/>
        </w:rPr>
        <w:t>no</w:t>
      </w:r>
      <w:r w:rsidR="00F85AE8" w:rsidRPr="00006974">
        <w:rPr>
          <w:rFonts w:ascii="Times New Roman" w:hAnsi="Times New Roman" w:cs="Times New Roman"/>
          <w:sz w:val="24"/>
          <w:szCs w:val="24"/>
        </w:rPr>
        <w:t xml:space="preserve">t </w:t>
      </w:r>
      <w:r w:rsidRPr="00006974">
        <w:rPr>
          <w:rFonts w:ascii="Times New Roman" w:hAnsi="Times New Roman" w:cs="Times New Roman"/>
          <w:sz w:val="24"/>
          <w:szCs w:val="24"/>
        </w:rPr>
        <w:t>subjugated</w:t>
      </w:r>
      <w:r w:rsidR="00F85AE8" w:rsidRPr="00006974">
        <w:rPr>
          <w:rFonts w:ascii="Times New Roman" w:hAnsi="Times New Roman" w:cs="Times New Roman"/>
          <w:sz w:val="24"/>
          <w:szCs w:val="24"/>
        </w:rPr>
        <w:t xml:space="preserve"> to it</w:t>
      </w:r>
      <w:r w:rsidRPr="00006974">
        <w:rPr>
          <w:rFonts w:ascii="Times New Roman" w:hAnsi="Times New Roman" w:cs="Times New Roman"/>
          <w:sz w:val="24"/>
          <w:szCs w:val="24"/>
        </w:rPr>
        <w:t xml:space="preserve">. Thus, the D-I-D estimator measures the extent of difference in the effect of </w:t>
      </w:r>
      <w:r w:rsidR="00B6240A" w:rsidRPr="00006974">
        <w:rPr>
          <w:rFonts w:ascii="Times New Roman" w:hAnsi="Times New Roman" w:cs="Times New Roman"/>
          <w:sz w:val="24"/>
          <w:szCs w:val="24"/>
        </w:rPr>
        <w:t xml:space="preserve">the </w:t>
      </w:r>
      <w:r w:rsidR="00F85AE8" w:rsidRPr="00006974">
        <w:rPr>
          <w:rFonts w:ascii="Times New Roman" w:hAnsi="Times New Roman" w:cs="Times New Roman"/>
          <w:sz w:val="24"/>
          <w:szCs w:val="24"/>
        </w:rPr>
        <w:t>CSR mandate</w:t>
      </w:r>
      <w:r w:rsidRPr="00006974">
        <w:rPr>
          <w:rFonts w:ascii="Times New Roman" w:hAnsi="Times New Roman" w:cs="Times New Roman"/>
          <w:sz w:val="24"/>
          <w:szCs w:val="24"/>
        </w:rPr>
        <w:t xml:space="preserve"> on abnormal returns between foreign firms and domestic firms. </w:t>
      </w:r>
    </w:p>
    <w:p w14:paraId="3BD28E59" w14:textId="77777777"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The mathematical equation below presents the computation of D-I-D estimator:</w:t>
      </w:r>
    </w:p>
    <w:p w14:paraId="17ABB82A" w14:textId="77777777"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lastRenderedPageBreak/>
        <w:t>D-I-D</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AR</m:t>
                    </m:r>
                    <m:d>
                      <m:dPr>
                        <m:ctrlPr>
                          <w:rPr>
                            <w:rFonts w:ascii="Cambria Math" w:hAnsi="Cambria Math" w:cs="Times New Roman"/>
                            <w:sz w:val="24"/>
                            <w:szCs w:val="24"/>
                          </w:rPr>
                        </m:ctrlPr>
                      </m:dPr>
                      <m:e>
                        <m:r>
                          <m:rPr>
                            <m:sty m:val="p"/>
                          </m:rPr>
                          <w:rPr>
                            <w:rFonts w:ascii="Cambria Math" w:hAnsi="Cambria Math" w:cs="Times New Roman"/>
                            <w:sz w:val="24"/>
                            <w:szCs w:val="24"/>
                          </w:rPr>
                          <m:t>0</m:t>
                        </m:r>
                      </m:e>
                    </m:d>
                  </m:e>
                  <m:sub>
                    <m:r>
                      <m:rPr>
                        <m:sty m:val="p"/>
                      </m:rPr>
                      <w:rPr>
                        <w:rFonts w:ascii="Cambria Math" w:hAnsi="Cambria Math" w:cs="Times New Roman"/>
                        <w:sz w:val="24"/>
                        <w:szCs w:val="24"/>
                      </w:rPr>
                      <m:t>Subj=1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AR</m:t>
                    </m:r>
                    <m:d>
                      <m:dPr>
                        <m:ctrlPr>
                          <w:rPr>
                            <w:rFonts w:ascii="Cambria Math" w:hAnsi="Cambria Math" w:cs="Times New Roman"/>
                            <w:sz w:val="24"/>
                            <w:szCs w:val="24"/>
                          </w:rPr>
                        </m:ctrlPr>
                      </m:dPr>
                      <m:e>
                        <m:r>
                          <m:rPr>
                            <m:sty m:val="p"/>
                          </m:rPr>
                          <w:rPr>
                            <w:rFonts w:ascii="Cambria Math" w:hAnsi="Cambria Math" w:cs="Times New Roman"/>
                            <w:sz w:val="24"/>
                            <w:szCs w:val="24"/>
                          </w:rPr>
                          <m:t>0</m:t>
                        </m:r>
                      </m:e>
                    </m:d>
                  </m:e>
                  <m:sub>
                    <m:r>
                      <m:rPr>
                        <m:sty m:val="p"/>
                      </m:rPr>
                      <w:rPr>
                        <w:rFonts w:ascii="Cambria Math" w:hAnsi="Cambria Math" w:cs="Times New Roman"/>
                        <w:sz w:val="24"/>
                        <w:szCs w:val="24"/>
                      </w:rPr>
                      <m:t>Subj=0</m:t>
                    </m:r>
                  </m:sub>
                </m:sSub>
              </m:e>
            </m:d>
          </m:e>
          <m:sub>
            <m:r>
              <m:rPr>
                <m:sty m:val="p"/>
              </m:rPr>
              <w:rPr>
                <w:rFonts w:ascii="Cambria Math" w:hAnsi="Cambria Math" w:cs="Times New Roman"/>
                <w:sz w:val="24"/>
                <w:szCs w:val="24"/>
              </w:rPr>
              <m:t>Foreign=1</m:t>
            </m:r>
          </m:sub>
        </m:sSub>
        <m:r>
          <m:rPr>
            <m:sty m:val="p"/>
          </m:rPr>
          <w:rPr>
            <w:rFonts w:ascii="Cambria Math" w:hAnsi="Cambria Math" w:cs="Times New Roman"/>
            <w:sz w:val="24"/>
            <w:szCs w:val="24"/>
          </w:rPr>
          <m:t>]</m:t>
        </m:r>
      </m:oMath>
      <w:r w:rsidRPr="00006974">
        <w:rPr>
          <w:rFonts w:ascii="Times New Roman" w:hAnsi="Times New Roman" w:cs="Times New Roman"/>
          <w:sz w:val="24"/>
          <w:szCs w:val="24"/>
        </w:rPr>
        <w:t>-</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AR(0)</m:t>
                </m:r>
              </m:e>
              <m:sub>
                <m:r>
                  <m:rPr>
                    <m:sty m:val="p"/>
                  </m:rPr>
                  <w:rPr>
                    <w:rFonts w:ascii="Cambria Math" w:hAnsi="Cambria Math" w:cs="Times New Roman"/>
                    <w:sz w:val="24"/>
                    <w:szCs w:val="24"/>
                  </w:rPr>
                  <m:t>Subj=1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AR(0)</m:t>
                </m:r>
              </m:e>
              <m:sub>
                <m:r>
                  <m:rPr>
                    <m:sty m:val="p"/>
                  </m:rPr>
                  <w:rPr>
                    <w:rFonts w:ascii="Cambria Math" w:hAnsi="Cambria Math" w:cs="Times New Roman"/>
                    <w:sz w:val="24"/>
                    <w:szCs w:val="24"/>
                  </w:rPr>
                  <m:t>Subj=0</m:t>
                </m:r>
              </m:sub>
            </m:sSub>
            <m:r>
              <m:rPr>
                <m:sty m:val="p"/>
              </m:rPr>
              <w:rPr>
                <w:rFonts w:ascii="Cambria Math" w:hAnsi="Cambria Math" w:cs="Times New Roman"/>
                <w:sz w:val="24"/>
                <w:szCs w:val="24"/>
              </w:rPr>
              <m:t>)</m:t>
            </m:r>
          </m:e>
          <m:sub>
            <m:r>
              <m:rPr>
                <m:sty m:val="p"/>
              </m:rPr>
              <w:rPr>
                <w:rFonts w:ascii="Cambria Math" w:hAnsi="Cambria Math" w:cs="Times New Roman"/>
                <w:sz w:val="24"/>
                <w:szCs w:val="24"/>
              </w:rPr>
              <m:t>Foreign=0</m:t>
            </m:r>
          </m:sub>
        </m:sSub>
        <m:r>
          <m:rPr>
            <m:sty m:val="p"/>
          </m:rPr>
          <w:rPr>
            <w:rFonts w:ascii="Cambria Math" w:hAnsi="Cambria Math" w:cs="Times New Roman"/>
            <w:sz w:val="24"/>
            <w:szCs w:val="24"/>
          </w:rPr>
          <m:t>]</m:t>
        </m:r>
      </m:oMath>
      <w:r w:rsidRPr="00006974">
        <w:rPr>
          <w:rFonts w:ascii="Times New Roman" w:hAnsi="Times New Roman" w:cs="Times New Roman"/>
          <w:sz w:val="24"/>
          <w:szCs w:val="24"/>
        </w:rPr>
        <w:t>- …………(4)</w:t>
      </w:r>
    </w:p>
    <w:p w14:paraId="31C4CFD7" w14:textId="77777777"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D-I-D</w:t>
      </w:r>
      <m:oMath>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2</m:t>
                    </m:r>
                  </m:sub>
                </m:sSub>
              </m:e>
            </m:d>
          </m:e>
        </m:d>
        <m:r>
          <m:rPr>
            <m:sty m:val="p"/>
          </m:rPr>
          <w:rPr>
            <w:rFonts w:ascii="Cambria Math" w:hAnsi="Cambria Math" w:cs="Times New Roman"/>
            <w:sz w:val="24"/>
            <w:szCs w:val="24"/>
          </w:rPr>
          <m:t>-</m:t>
        </m:r>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1</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α</m:t>
                </m:r>
              </m:e>
              <m:sub>
                <m:r>
                  <m:rPr>
                    <m:sty m:val="p"/>
                  </m:rPr>
                  <w:rPr>
                    <w:rFonts w:ascii="Cambria Math" w:hAnsi="Cambria Math" w:cs="Times New Roman"/>
                    <w:sz w:val="24"/>
                    <w:szCs w:val="24"/>
                  </w:rPr>
                  <m:t>0</m:t>
                </m:r>
              </m:sub>
            </m:sSub>
          </m:e>
        </m:d>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oMath>
    </w:p>
    <w:p w14:paraId="666647DD" w14:textId="6D50D011"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Therefore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oMath>
      <w:r w:rsidRPr="00006974">
        <w:rPr>
          <w:rFonts w:ascii="Times New Roman" w:hAnsi="Times New Roman" w:cs="Times New Roman"/>
          <w:sz w:val="24"/>
          <w:szCs w:val="24"/>
        </w:rPr>
        <w:t xml:space="preserve"> is the D-I-D estimator that is used to test for H2. The test for H3 is similarly conducted by estimating the difference in abnormal returns between the following two groups of firms: (a)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subjugated firms in controversial sectors (i.e., environmentally high impact industries) versus no</w:t>
      </w:r>
      <w:r w:rsidR="00F85AE8" w:rsidRPr="00006974">
        <w:rPr>
          <w:rFonts w:ascii="Times New Roman" w:hAnsi="Times New Roman" w:cs="Times New Roman"/>
          <w:sz w:val="24"/>
          <w:szCs w:val="24"/>
        </w:rPr>
        <w:t xml:space="preserve">n- </w:t>
      </w:r>
      <w:r w:rsidRPr="00006974">
        <w:rPr>
          <w:rFonts w:ascii="Times New Roman" w:hAnsi="Times New Roman" w:cs="Times New Roman"/>
          <w:sz w:val="24"/>
          <w:szCs w:val="24"/>
        </w:rPr>
        <w:t xml:space="preserve">subjugated firms in controversial sectors, and (b)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subjugated firms in noncontroversial sectors (i.e., environmentally benign industries) versus non-subjugated firms in noncontroversial sectors. In this case, the D-I-D estimator is denoted by</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m:rPr>
                <m:sty m:val="p"/>
              </m:rPr>
              <w:rPr>
                <w:rFonts w:ascii="Cambria Math" w:hAnsi="Cambria Math" w:cs="Times New Roman"/>
                <w:sz w:val="24"/>
                <w:szCs w:val="24"/>
              </w:rPr>
              <m:t>2</m:t>
            </m:r>
          </m:sub>
        </m:sSub>
      </m:oMath>
      <w:r w:rsidRPr="00006974">
        <w:rPr>
          <w:rFonts w:ascii="Times New Roman" w:hAnsi="Times New Roman" w:cs="Times New Roman"/>
          <w:sz w:val="24"/>
          <w:szCs w:val="24"/>
        </w:rPr>
        <w:t xml:space="preserve">   </w:t>
      </w:r>
    </w:p>
    <w:p w14:paraId="7CDFE48A" w14:textId="77777777" w:rsidR="004D451D" w:rsidRPr="00006974" w:rsidRDefault="004D451D" w:rsidP="005979A7">
      <w:pPr>
        <w:spacing w:before="200" w:after="0" w:line="480" w:lineRule="auto"/>
        <w:jc w:val="center"/>
        <w:rPr>
          <w:rFonts w:ascii="Times New Roman" w:hAnsi="Times New Roman" w:cs="Times New Roman"/>
          <w:sz w:val="24"/>
          <w:szCs w:val="24"/>
        </w:rPr>
      </w:pPr>
      <w:r w:rsidRPr="00006974">
        <w:rPr>
          <w:rFonts w:ascii="Times New Roman" w:hAnsi="Times New Roman" w:cs="Times New Roman"/>
          <w:sz w:val="24"/>
          <w:szCs w:val="24"/>
        </w:rPr>
        <w:t>-----Insert Table 3 about here------</w:t>
      </w:r>
    </w:p>
    <w:p w14:paraId="344F7A9E" w14:textId="76DFDE0D" w:rsidR="004D451D" w:rsidRPr="00006974" w:rsidRDefault="004D451D"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The results from equation (3) are given in Table 3. Columns (1) and (2) present non-parametric estimates of D-I-D for the following variables: (a) Subj x Foreign</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oMath>
      <w:r w:rsidRPr="00006974">
        <w:rPr>
          <w:rFonts w:ascii="Times New Roman" w:hAnsi="Times New Roman" w:cs="Times New Roman"/>
          <w:sz w:val="24"/>
          <w:szCs w:val="24"/>
        </w:rPr>
        <w:t>; and (c) Subj x Controversial</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2</m:t>
            </m:r>
          </m:sub>
        </m:sSub>
        <m:r>
          <m:rPr>
            <m:sty m:val="p"/>
          </m:rPr>
          <w:rPr>
            <w:rFonts w:ascii="Cambria Math" w:hAnsi="Cambria Math" w:cs="Times New Roman"/>
            <w:sz w:val="24"/>
            <w:szCs w:val="24"/>
          </w:rPr>
          <m:t>)</m:t>
        </m:r>
      </m:oMath>
      <w:r w:rsidRPr="00006974">
        <w:rPr>
          <w:rFonts w:ascii="Times New Roman" w:hAnsi="Times New Roman" w:cs="Times New Roman"/>
          <w:sz w:val="24"/>
          <w:szCs w:val="24"/>
        </w:rPr>
        <w:t xml:space="preserve">. Estimates of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1</m:t>
            </m:r>
          </m:sub>
        </m:sSub>
      </m:oMath>
      <w:r w:rsidRPr="00006974">
        <w:rPr>
          <w:rFonts w:ascii="Times New Roman" w:hAnsi="Times New Roman" w:cs="Times New Roman"/>
          <w:sz w:val="24"/>
          <w:szCs w:val="24"/>
        </w:rPr>
        <w:t xml:space="preserve"> for IK and CCT bandwidths in columns (1) and (2) are both positive and significant (i.e., 2.72 percent and 2.82 percent respectively). The size of parametric estimates (columns (3) and (4)) are also positive and significant (1.66 percent for both, without and with controls). These results suggest that the increase in abnormal returns due to subjugation to the </w:t>
      </w:r>
      <w:r w:rsidR="00F85AE8" w:rsidRPr="00006974">
        <w:rPr>
          <w:rFonts w:ascii="Times New Roman" w:hAnsi="Times New Roman" w:cs="Times New Roman"/>
          <w:sz w:val="24"/>
          <w:szCs w:val="24"/>
        </w:rPr>
        <w:t xml:space="preserve">CSR mandate </w:t>
      </w:r>
      <w:r w:rsidRPr="00006974">
        <w:rPr>
          <w:rFonts w:ascii="Times New Roman" w:hAnsi="Times New Roman" w:cs="Times New Roman"/>
          <w:sz w:val="24"/>
          <w:szCs w:val="24"/>
        </w:rPr>
        <w:t xml:space="preserve">was higher for foreign firms than for domestic firms. Thus, we find support for H2. In testing for H3, where we examine the effect of the proposed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 xml:space="preserve">on firms in controversial (i.e., environmentally high impact) industries, we found that estimates for Subj x Controversial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t>
            </m:r>
            <m:r>
              <m:rPr>
                <m:sty m:val="p"/>
              </m:rPr>
              <w:rPr>
                <w:rFonts w:ascii="Cambria Math" w:hAnsi="Cambria Math" w:cs="Times New Roman" w:hint="eastAsia"/>
                <w:sz w:val="24"/>
                <w:szCs w:val="24"/>
              </w:rPr>
              <m:t>δ</m:t>
            </m:r>
          </m:e>
          <m:sub>
            <m:r>
              <m:rPr>
                <m:sty m:val="p"/>
              </m:rPr>
              <w:rPr>
                <w:rFonts w:ascii="Cambria Math" w:hAnsi="Cambria Math" w:cs="Times New Roman"/>
                <w:sz w:val="24"/>
                <w:szCs w:val="24"/>
              </w:rPr>
              <m:t xml:space="preserve">2 </m:t>
            </m:r>
          </m:sub>
        </m:sSub>
        <m:r>
          <m:rPr>
            <m:sty m:val="p"/>
          </m:rPr>
          <w:rPr>
            <w:rFonts w:ascii="Cambria Math" w:hAnsi="Cambria Math" w:cs="Times New Roman"/>
            <w:sz w:val="24"/>
            <w:szCs w:val="24"/>
          </w:rPr>
          <m:t>)</m:t>
        </m:r>
      </m:oMath>
      <w:r w:rsidRPr="00006974">
        <w:rPr>
          <w:rFonts w:ascii="Times New Roman" w:hAnsi="Times New Roman" w:cs="Times New Roman"/>
          <w:sz w:val="24"/>
          <w:szCs w:val="24"/>
        </w:rPr>
        <w:t xml:space="preserve"> for IK and CCT bandwidths were -2.88 percent and -3.08 percent. These estimates suggest that the increase in abnormal return for CSR </w:t>
      </w:r>
      <w:r w:rsidR="00F85AE8" w:rsidRPr="00006974">
        <w:rPr>
          <w:rFonts w:ascii="Times New Roman" w:hAnsi="Times New Roman" w:cs="Times New Roman"/>
          <w:sz w:val="24"/>
          <w:szCs w:val="24"/>
        </w:rPr>
        <w:t xml:space="preserve">mandate </w:t>
      </w:r>
      <w:r w:rsidRPr="00006974">
        <w:rPr>
          <w:rFonts w:ascii="Times New Roman" w:hAnsi="Times New Roman" w:cs="Times New Roman"/>
          <w:sz w:val="24"/>
          <w:szCs w:val="24"/>
        </w:rPr>
        <w:t>subjugated firms in controversial (</w:t>
      </w:r>
      <w:r w:rsidR="00BE0DB4" w:rsidRPr="00006974">
        <w:rPr>
          <w:rFonts w:ascii="Times New Roman" w:hAnsi="Times New Roman" w:cs="Times New Roman"/>
          <w:sz w:val="24"/>
          <w:szCs w:val="24"/>
        </w:rPr>
        <w:t>i.e.,</w:t>
      </w:r>
      <w:r w:rsidRPr="00006974">
        <w:rPr>
          <w:rFonts w:ascii="Times New Roman" w:hAnsi="Times New Roman" w:cs="Times New Roman"/>
          <w:sz w:val="24"/>
          <w:szCs w:val="24"/>
        </w:rPr>
        <w:t xml:space="preserve"> environmentally high impact) sectors was lower than for </w:t>
      </w:r>
      <w:r w:rsidR="00F85AE8" w:rsidRPr="00006974">
        <w:rPr>
          <w:rFonts w:ascii="Times New Roman" w:hAnsi="Times New Roman" w:cs="Times New Roman"/>
          <w:sz w:val="24"/>
          <w:szCs w:val="24"/>
        </w:rPr>
        <w:t>mandate</w:t>
      </w:r>
      <w:r w:rsidRPr="00006974">
        <w:rPr>
          <w:rFonts w:ascii="Times New Roman" w:hAnsi="Times New Roman" w:cs="Times New Roman"/>
          <w:sz w:val="24"/>
          <w:szCs w:val="24"/>
        </w:rPr>
        <w:t xml:space="preserve"> subjugated </w:t>
      </w:r>
      <w:r w:rsidRPr="00006974">
        <w:rPr>
          <w:rFonts w:ascii="Times New Roman" w:hAnsi="Times New Roman" w:cs="Times New Roman"/>
          <w:sz w:val="24"/>
          <w:szCs w:val="24"/>
        </w:rPr>
        <w:lastRenderedPageBreak/>
        <w:t>firms in non-controversial (i.e., relatively benign) sectors. Parametric estimates (columns 3 and 4 in Table 3) were also negative and statistically significant (-0.94 percent without controls; and -0.92 percent with control). Therefore, H3 was not supported. Graphically, results for H2 and H3 are plotted in Figures 3a and 3b using the IK bandwidth of ±12.5 million.</w:t>
      </w:r>
    </w:p>
    <w:p w14:paraId="681FDC3C" w14:textId="77777777" w:rsidR="004D451D" w:rsidRPr="00006974" w:rsidRDefault="004D451D" w:rsidP="00D02FD5">
      <w:pPr>
        <w:spacing w:before="200" w:after="0" w:line="480" w:lineRule="auto"/>
        <w:ind w:firstLine="720"/>
        <w:jc w:val="center"/>
        <w:rPr>
          <w:rFonts w:ascii="Times New Roman" w:hAnsi="Times New Roman" w:cs="Times New Roman"/>
          <w:sz w:val="24"/>
          <w:szCs w:val="24"/>
        </w:rPr>
      </w:pPr>
      <w:r w:rsidRPr="00006974">
        <w:rPr>
          <w:rFonts w:ascii="Times New Roman" w:hAnsi="Times New Roman" w:cs="Times New Roman"/>
          <w:sz w:val="24"/>
          <w:szCs w:val="24"/>
        </w:rPr>
        <w:t>----Insert Figures 3a and 3b about here----</w:t>
      </w:r>
    </w:p>
    <w:p w14:paraId="278CAF16" w14:textId="476B0EFD" w:rsidR="003E6723" w:rsidRPr="00D02FD5" w:rsidRDefault="006B3922" w:rsidP="005979A7">
      <w:pPr>
        <w:spacing w:after="120" w:line="480" w:lineRule="auto"/>
        <w:jc w:val="both"/>
        <w:rPr>
          <w:rFonts w:ascii="Times New Roman" w:hAnsi="Times New Roman" w:cs="Times New Roman"/>
          <w:b/>
          <w:sz w:val="24"/>
          <w:szCs w:val="24"/>
        </w:rPr>
      </w:pPr>
      <w:r w:rsidRPr="00D02FD5">
        <w:rPr>
          <w:rFonts w:ascii="Times New Roman" w:hAnsi="Times New Roman" w:cs="Times New Roman"/>
          <w:b/>
          <w:sz w:val="24"/>
          <w:szCs w:val="24"/>
        </w:rPr>
        <w:t>Discussion</w:t>
      </w:r>
    </w:p>
    <w:p w14:paraId="0ECB4233" w14:textId="49DA24E3" w:rsidR="004C48FB" w:rsidRDefault="00AD4356" w:rsidP="000D124D">
      <w:pPr>
        <w:spacing w:before="200" w:after="0" w:line="480" w:lineRule="auto"/>
        <w:jc w:val="both"/>
        <w:rPr>
          <w:rFonts w:ascii="Times New Roman" w:hAnsi="Times New Roman" w:cs="Times New Roman"/>
          <w:sz w:val="24"/>
          <w:szCs w:val="24"/>
        </w:rPr>
      </w:pPr>
      <w:r w:rsidRPr="00006974">
        <w:rPr>
          <w:rFonts w:ascii="Times New Roman" w:hAnsi="Times New Roman" w:cs="Times New Roman"/>
          <w:sz w:val="24"/>
          <w:szCs w:val="24"/>
        </w:rPr>
        <w:t xml:space="preserve">We </w:t>
      </w:r>
      <w:r w:rsidR="00181B94" w:rsidRPr="00006974">
        <w:rPr>
          <w:rFonts w:ascii="Times New Roman" w:hAnsi="Times New Roman" w:cs="Times New Roman"/>
          <w:sz w:val="24"/>
          <w:szCs w:val="24"/>
        </w:rPr>
        <w:t xml:space="preserve">launched </w:t>
      </w:r>
      <w:r w:rsidRPr="00006974">
        <w:rPr>
          <w:rFonts w:ascii="Times New Roman" w:hAnsi="Times New Roman" w:cs="Times New Roman"/>
          <w:sz w:val="24"/>
          <w:szCs w:val="24"/>
        </w:rPr>
        <w:t>this study to understand the effect of India’s CSR mandate on firm value.  Our econometric analys</w:t>
      </w:r>
      <w:r w:rsidR="00181B94" w:rsidRPr="00006974">
        <w:rPr>
          <w:rFonts w:ascii="Times New Roman" w:hAnsi="Times New Roman" w:cs="Times New Roman"/>
          <w:sz w:val="24"/>
          <w:szCs w:val="24"/>
        </w:rPr>
        <w:t>e</w:t>
      </w:r>
      <w:r w:rsidRPr="00006974">
        <w:rPr>
          <w:rFonts w:ascii="Times New Roman" w:hAnsi="Times New Roman" w:cs="Times New Roman"/>
          <w:sz w:val="24"/>
          <w:szCs w:val="24"/>
        </w:rPr>
        <w:t xml:space="preserve">s provide conclusive evidence that all firms </w:t>
      </w:r>
      <w:r w:rsidR="0008438D" w:rsidRPr="00006974">
        <w:rPr>
          <w:rFonts w:ascii="Times New Roman" w:hAnsi="Times New Roman" w:cs="Times New Roman"/>
          <w:sz w:val="24"/>
          <w:szCs w:val="24"/>
        </w:rPr>
        <w:t xml:space="preserve">bound with </w:t>
      </w:r>
      <w:r w:rsidRPr="00006974">
        <w:rPr>
          <w:rFonts w:ascii="Times New Roman" w:hAnsi="Times New Roman" w:cs="Times New Roman"/>
          <w:sz w:val="24"/>
          <w:szCs w:val="24"/>
        </w:rPr>
        <w:t>this mandate achieve</w:t>
      </w:r>
      <w:r w:rsidR="0008438D" w:rsidRPr="00006974">
        <w:rPr>
          <w:rFonts w:ascii="Times New Roman" w:hAnsi="Times New Roman" w:cs="Times New Roman"/>
          <w:sz w:val="24"/>
          <w:szCs w:val="24"/>
        </w:rPr>
        <w:t>d</w:t>
      </w:r>
      <w:r w:rsidRPr="00006974">
        <w:rPr>
          <w:rFonts w:ascii="Times New Roman" w:hAnsi="Times New Roman" w:cs="Times New Roman"/>
          <w:sz w:val="24"/>
          <w:szCs w:val="24"/>
        </w:rPr>
        <w:t xml:space="preserve"> higher value than firms that were not </w:t>
      </w:r>
      <w:r w:rsidR="0008438D" w:rsidRPr="00006974">
        <w:rPr>
          <w:rFonts w:ascii="Times New Roman" w:hAnsi="Times New Roman" w:cs="Times New Roman"/>
          <w:sz w:val="24"/>
          <w:szCs w:val="24"/>
        </w:rPr>
        <w:t>bound with the mandate</w:t>
      </w:r>
      <w:r w:rsidR="0087687B" w:rsidRPr="00006974">
        <w:rPr>
          <w:rFonts w:ascii="Times New Roman" w:hAnsi="Times New Roman" w:cs="Times New Roman"/>
          <w:sz w:val="24"/>
          <w:szCs w:val="24"/>
        </w:rPr>
        <w:t xml:space="preserve"> (H1)</w:t>
      </w:r>
      <w:r w:rsidR="0008438D" w:rsidRPr="00006974">
        <w:rPr>
          <w:rFonts w:ascii="Times New Roman" w:hAnsi="Times New Roman" w:cs="Times New Roman"/>
          <w:sz w:val="24"/>
          <w:szCs w:val="24"/>
        </w:rPr>
        <w:t xml:space="preserve">. </w:t>
      </w:r>
      <w:r w:rsidR="0087687B" w:rsidRPr="00006974">
        <w:rPr>
          <w:rFonts w:ascii="Times New Roman" w:hAnsi="Times New Roman" w:cs="Times New Roman"/>
          <w:sz w:val="24"/>
          <w:szCs w:val="24"/>
        </w:rPr>
        <w:t>In and of itself, this result is</w:t>
      </w:r>
      <w:r w:rsidR="00E32893" w:rsidRPr="00006974">
        <w:rPr>
          <w:rFonts w:ascii="Times New Roman" w:hAnsi="Times New Roman" w:cs="Times New Roman"/>
          <w:sz w:val="24"/>
          <w:szCs w:val="24"/>
        </w:rPr>
        <w:t xml:space="preserve"> intriguing because </w:t>
      </w:r>
      <w:r w:rsidR="00161075">
        <w:rPr>
          <w:rFonts w:ascii="Times New Roman" w:hAnsi="Times New Roman" w:cs="Times New Roman"/>
          <w:sz w:val="24"/>
          <w:szCs w:val="24"/>
        </w:rPr>
        <w:t xml:space="preserve">it contravenes </w:t>
      </w:r>
      <w:r w:rsidR="004C48FB">
        <w:rPr>
          <w:rFonts w:ascii="Times New Roman" w:hAnsi="Times New Roman" w:cs="Times New Roman"/>
          <w:sz w:val="24"/>
          <w:szCs w:val="24"/>
        </w:rPr>
        <w:t xml:space="preserve">the prevailing assumption in neoliberal </w:t>
      </w:r>
      <w:r w:rsidR="00BE0DB4">
        <w:rPr>
          <w:rFonts w:ascii="Times New Roman" w:hAnsi="Times New Roman" w:cs="Times New Roman"/>
          <w:sz w:val="24"/>
          <w:szCs w:val="24"/>
        </w:rPr>
        <w:t>view of</w:t>
      </w:r>
      <w:r w:rsidR="004C48FB">
        <w:rPr>
          <w:rFonts w:ascii="Times New Roman" w:hAnsi="Times New Roman" w:cs="Times New Roman"/>
          <w:sz w:val="24"/>
          <w:szCs w:val="24"/>
        </w:rPr>
        <w:t xml:space="preserve"> CSR </w:t>
      </w:r>
      <w:r w:rsidR="00161075">
        <w:rPr>
          <w:rFonts w:ascii="Times New Roman" w:hAnsi="Times New Roman" w:cs="Times New Roman"/>
          <w:sz w:val="24"/>
          <w:szCs w:val="24"/>
        </w:rPr>
        <w:t xml:space="preserve">that </w:t>
      </w:r>
      <w:r w:rsidR="00E32893" w:rsidRPr="00006974">
        <w:rPr>
          <w:rFonts w:ascii="Times New Roman" w:hAnsi="Times New Roman" w:cs="Times New Roman"/>
          <w:sz w:val="24"/>
          <w:szCs w:val="24"/>
        </w:rPr>
        <w:t xml:space="preserve">investors </w:t>
      </w:r>
      <w:r w:rsidR="00DE7454" w:rsidRPr="00006974">
        <w:rPr>
          <w:rFonts w:ascii="Times New Roman" w:hAnsi="Times New Roman" w:cs="Times New Roman"/>
          <w:sz w:val="24"/>
          <w:szCs w:val="24"/>
        </w:rPr>
        <w:t xml:space="preserve">should </w:t>
      </w:r>
      <w:r w:rsidR="00E32893" w:rsidRPr="00006974">
        <w:rPr>
          <w:rFonts w:ascii="Times New Roman" w:hAnsi="Times New Roman" w:cs="Times New Roman"/>
          <w:sz w:val="24"/>
          <w:szCs w:val="24"/>
        </w:rPr>
        <w:t xml:space="preserve">view </w:t>
      </w:r>
      <w:r w:rsidR="00161075">
        <w:rPr>
          <w:rFonts w:ascii="Times New Roman" w:hAnsi="Times New Roman" w:cs="Times New Roman"/>
          <w:sz w:val="24"/>
          <w:szCs w:val="24"/>
        </w:rPr>
        <w:t xml:space="preserve">a regulatory intervention </w:t>
      </w:r>
      <w:r w:rsidR="00E32893" w:rsidRPr="00006974">
        <w:rPr>
          <w:rFonts w:ascii="Times New Roman" w:hAnsi="Times New Roman" w:cs="Times New Roman"/>
          <w:sz w:val="24"/>
          <w:szCs w:val="24"/>
        </w:rPr>
        <w:t xml:space="preserve">negatively. </w:t>
      </w:r>
    </w:p>
    <w:p w14:paraId="53C0434A" w14:textId="71A2969E" w:rsidR="004C48FB" w:rsidRDefault="004C48FB" w:rsidP="00BE0DB4">
      <w:pPr>
        <w:spacing w:before="20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E32893" w:rsidRPr="00006974">
        <w:rPr>
          <w:rFonts w:ascii="Times New Roman" w:hAnsi="Times New Roman" w:cs="Times New Roman"/>
          <w:sz w:val="24"/>
          <w:szCs w:val="24"/>
        </w:rPr>
        <w:t xml:space="preserve">hat benefits might </w:t>
      </w:r>
      <w:r w:rsidR="00DE7454" w:rsidRPr="00006974">
        <w:rPr>
          <w:rFonts w:ascii="Times New Roman" w:hAnsi="Times New Roman" w:cs="Times New Roman"/>
          <w:sz w:val="24"/>
          <w:szCs w:val="24"/>
        </w:rPr>
        <w:t xml:space="preserve">investors </w:t>
      </w:r>
      <w:r w:rsidR="00073B08" w:rsidRPr="00006974">
        <w:rPr>
          <w:rFonts w:ascii="Times New Roman" w:hAnsi="Times New Roman" w:cs="Times New Roman"/>
          <w:sz w:val="24"/>
          <w:szCs w:val="24"/>
        </w:rPr>
        <w:t>expect</w:t>
      </w:r>
      <w:r w:rsidR="00E32893" w:rsidRPr="00006974">
        <w:rPr>
          <w:rFonts w:ascii="Times New Roman" w:hAnsi="Times New Roman" w:cs="Times New Roman"/>
          <w:sz w:val="24"/>
          <w:szCs w:val="24"/>
        </w:rPr>
        <w:t xml:space="preserve"> </w:t>
      </w:r>
      <w:r w:rsidR="00DE7454" w:rsidRPr="00006974">
        <w:rPr>
          <w:rFonts w:ascii="Times New Roman" w:hAnsi="Times New Roman" w:cs="Times New Roman"/>
          <w:sz w:val="24"/>
          <w:szCs w:val="24"/>
        </w:rPr>
        <w:t xml:space="preserve">for firms </w:t>
      </w:r>
      <w:r w:rsidR="00E32893" w:rsidRPr="00006974">
        <w:rPr>
          <w:rFonts w:ascii="Times New Roman" w:hAnsi="Times New Roman" w:cs="Times New Roman"/>
          <w:sz w:val="24"/>
          <w:szCs w:val="24"/>
        </w:rPr>
        <w:t xml:space="preserve">from this regulation? </w:t>
      </w:r>
      <w:r w:rsidR="00EC4014">
        <w:rPr>
          <w:rFonts w:ascii="Times New Roman" w:hAnsi="Times New Roman" w:cs="Times New Roman"/>
          <w:sz w:val="24"/>
          <w:szCs w:val="24"/>
        </w:rPr>
        <w:t>Unfortunately,</w:t>
      </w:r>
      <w:r>
        <w:rPr>
          <w:rFonts w:ascii="Times New Roman" w:hAnsi="Times New Roman" w:cs="Times New Roman"/>
          <w:sz w:val="24"/>
          <w:szCs w:val="24"/>
        </w:rPr>
        <w:t xml:space="preserve"> o</w:t>
      </w:r>
      <w:r w:rsidR="00E32893" w:rsidRPr="00006974">
        <w:rPr>
          <w:rFonts w:ascii="Times New Roman" w:hAnsi="Times New Roman" w:cs="Times New Roman"/>
          <w:sz w:val="24"/>
          <w:szCs w:val="24"/>
        </w:rPr>
        <w:t xml:space="preserve">ur dataset does not </w:t>
      </w:r>
      <w:r w:rsidR="00DE7454" w:rsidRPr="00006974">
        <w:rPr>
          <w:rFonts w:ascii="Times New Roman" w:hAnsi="Times New Roman" w:cs="Times New Roman"/>
          <w:sz w:val="24"/>
          <w:szCs w:val="24"/>
        </w:rPr>
        <w:t xml:space="preserve">offer a definitive </w:t>
      </w:r>
      <w:r w:rsidR="00E32893" w:rsidRPr="00006974">
        <w:rPr>
          <w:rFonts w:ascii="Times New Roman" w:hAnsi="Times New Roman" w:cs="Times New Roman"/>
          <w:sz w:val="24"/>
          <w:szCs w:val="24"/>
        </w:rPr>
        <w:t xml:space="preserve">answer </w:t>
      </w:r>
      <w:r w:rsidR="00DE7454" w:rsidRPr="00006974">
        <w:rPr>
          <w:rFonts w:ascii="Times New Roman" w:hAnsi="Times New Roman" w:cs="Times New Roman"/>
          <w:sz w:val="24"/>
          <w:szCs w:val="24"/>
        </w:rPr>
        <w:t xml:space="preserve">to </w:t>
      </w:r>
      <w:r w:rsidR="00E32893" w:rsidRPr="00006974">
        <w:rPr>
          <w:rFonts w:ascii="Times New Roman" w:hAnsi="Times New Roman" w:cs="Times New Roman"/>
          <w:sz w:val="24"/>
          <w:szCs w:val="24"/>
        </w:rPr>
        <w:t>this question</w:t>
      </w:r>
      <w:r>
        <w:rPr>
          <w:rFonts w:ascii="Times New Roman" w:hAnsi="Times New Roman" w:cs="Times New Roman"/>
          <w:sz w:val="24"/>
          <w:szCs w:val="24"/>
        </w:rPr>
        <w:t>.</w:t>
      </w:r>
      <w:r w:rsidR="00E32893" w:rsidRPr="00006974">
        <w:rPr>
          <w:rFonts w:ascii="Times New Roman" w:hAnsi="Times New Roman" w:cs="Times New Roman"/>
          <w:sz w:val="24"/>
          <w:szCs w:val="24"/>
        </w:rPr>
        <w:t xml:space="preserve"> </w:t>
      </w:r>
      <w:r>
        <w:rPr>
          <w:rFonts w:ascii="Times New Roman" w:hAnsi="Times New Roman" w:cs="Times New Roman"/>
          <w:sz w:val="24"/>
          <w:szCs w:val="24"/>
        </w:rPr>
        <w:t xml:space="preserve"> However, </w:t>
      </w:r>
      <w:r w:rsidR="00E32893" w:rsidRPr="00006974">
        <w:rPr>
          <w:rFonts w:ascii="Times New Roman" w:hAnsi="Times New Roman" w:cs="Times New Roman"/>
          <w:sz w:val="24"/>
          <w:szCs w:val="24"/>
        </w:rPr>
        <w:t xml:space="preserve">based on prior theory we speculate at least two possible </w:t>
      </w:r>
      <w:r w:rsidR="00073B08" w:rsidRPr="00006974">
        <w:rPr>
          <w:rFonts w:ascii="Times New Roman" w:hAnsi="Times New Roman" w:cs="Times New Roman"/>
          <w:sz w:val="24"/>
          <w:szCs w:val="24"/>
        </w:rPr>
        <w:t xml:space="preserve">underlying benefits. The first is </w:t>
      </w:r>
      <w:r w:rsidR="00DE7454" w:rsidRPr="00006974">
        <w:rPr>
          <w:rFonts w:ascii="Times New Roman" w:hAnsi="Times New Roman" w:cs="Times New Roman"/>
          <w:sz w:val="24"/>
          <w:szCs w:val="24"/>
        </w:rPr>
        <w:t xml:space="preserve">the </w:t>
      </w:r>
      <w:r w:rsidR="00073B08" w:rsidRPr="00006974">
        <w:rPr>
          <w:rFonts w:ascii="Times New Roman" w:hAnsi="Times New Roman" w:cs="Times New Roman"/>
          <w:sz w:val="24"/>
          <w:szCs w:val="24"/>
        </w:rPr>
        <w:t>reduction in ambiguity</w:t>
      </w:r>
      <w:r>
        <w:rPr>
          <w:rFonts w:ascii="Times New Roman" w:hAnsi="Times New Roman" w:cs="Times New Roman"/>
          <w:sz w:val="24"/>
          <w:szCs w:val="24"/>
        </w:rPr>
        <w:t>. Markets prefer stability and may accept regulations that impose short-term costs if they reduce uncertainty (Keohane, 1982).</w:t>
      </w:r>
      <w:r w:rsidR="00073B08" w:rsidRPr="00006974">
        <w:rPr>
          <w:rFonts w:ascii="Times New Roman" w:hAnsi="Times New Roman" w:cs="Times New Roman"/>
          <w:sz w:val="24"/>
          <w:szCs w:val="24"/>
        </w:rPr>
        <w:t xml:space="preserve"> </w:t>
      </w:r>
      <w:r>
        <w:rPr>
          <w:rFonts w:ascii="Times New Roman" w:hAnsi="Times New Roman" w:cs="Times New Roman"/>
          <w:sz w:val="24"/>
          <w:szCs w:val="24"/>
        </w:rPr>
        <w:t>D</w:t>
      </w:r>
      <w:r w:rsidR="00DE7454" w:rsidRPr="00006974">
        <w:rPr>
          <w:rFonts w:ascii="Times New Roman" w:hAnsi="Times New Roman" w:cs="Times New Roman"/>
          <w:sz w:val="24"/>
          <w:szCs w:val="24"/>
        </w:rPr>
        <w:t xml:space="preserve">espite </w:t>
      </w:r>
      <w:r w:rsidR="00904C6F" w:rsidRPr="00006974">
        <w:rPr>
          <w:rFonts w:ascii="Times New Roman" w:hAnsi="Times New Roman" w:cs="Times New Roman"/>
          <w:sz w:val="24"/>
          <w:szCs w:val="24"/>
        </w:rPr>
        <w:t xml:space="preserve">a long tradition of philanthropy by a few </w:t>
      </w:r>
      <w:r>
        <w:rPr>
          <w:rFonts w:ascii="Times New Roman" w:hAnsi="Times New Roman" w:cs="Times New Roman"/>
          <w:sz w:val="24"/>
          <w:szCs w:val="24"/>
        </w:rPr>
        <w:t xml:space="preserve">Indian </w:t>
      </w:r>
      <w:r w:rsidR="00904C6F" w:rsidRPr="00006974">
        <w:rPr>
          <w:rFonts w:ascii="Times New Roman" w:hAnsi="Times New Roman" w:cs="Times New Roman"/>
          <w:sz w:val="24"/>
          <w:szCs w:val="24"/>
        </w:rPr>
        <w:t>business groups (</w:t>
      </w:r>
      <w:r w:rsidR="00262A7E" w:rsidRPr="00006974">
        <w:rPr>
          <w:rFonts w:ascii="Times New Roman" w:hAnsi="Times New Roman" w:cs="Times New Roman"/>
          <w:sz w:val="24"/>
          <w:szCs w:val="24"/>
        </w:rPr>
        <w:t xml:space="preserve">Dhanesh, 2015; </w:t>
      </w:r>
      <w:r w:rsidR="00904C6F" w:rsidRPr="00006974">
        <w:rPr>
          <w:rFonts w:ascii="Times New Roman" w:hAnsi="Times New Roman" w:cs="Times New Roman"/>
          <w:sz w:val="24"/>
          <w:szCs w:val="24"/>
        </w:rPr>
        <w:t>Sundar</w:t>
      </w:r>
      <w:r w:rsidR="00262A7E" w:rsidRPr="00006974">
        <w:rPr>
          <w:rFonts w:ascii="Times New Roman" w:hAnsi="Times New Roman" w:cs="Times New Roman"/>
          <w:sz w:val="24"/>
          <w:szCs w:val="24"/>
        </w:rPr>
        <w:t>, 2000)</w:t>
      </w:r>
      <w:r w:rsidR="00904C6F" w:rsidRPr="00006974">
        <w:rPr>
          <w:rFonts w:ascii="Times New Roman" w:hAnsi="Times New Roman" w:cs="Times New Roman"/>
          <w:sz w:val="24"/>
          <w:szCs w:val="24"/>
        </w:rPr>
        <w:t xml:space="preserve">, CSR as a </w:t>
      </w:r>
      <w:r w:rsidR="00262A7E" w:rsidRPr="00006974">
        <w:rPr>
          <w:rFonts w:ascii="Times New Roman" w:hAnsi="Times New Roman" w:cs="Times New Roman"/>
          <w:sz w:val="24"/>
          <w:szCs w:val="24"/>
        </w:rPr>
        <w:t>formalized practice was in a nascent stage when the CSR mandate was introduced</w:t>
      </w:r>
      <w:r w:rsidR="00181B94" w:rsidRPr="00006974">
        <w:rPr>
          <w:rFonts w:ascii="Times New Roman" w:hAnsi="Times New Roman" w:cs="Times New Roman"/>
          <w:sz w:val="24"/>
          <w:szCs w:val="24"/>
        </w:rPr>
        <w:t xml:space="preserve"> in 2014</w:t>
      </w:r>
      <w:r w:rsidR="00DE7454" w:rsidRPr="00006974">
        <w:rPr>
          <w:rFonts w:ascii="Times New Roman" w:hAnsi="Times New Roman" w:cs="Times New Roman"/>
          <w:sz w:val="24"/>
          <w:szCs w:val="24"/>
        </w:rPr>
        <w:t xml:space="preserve">. </w:t>
      </w:r>
      <w:r w:rsidR="00262A7E" w:rsidRPr="00006974">
        <w:rPr>
          <w:rFonts w:ascii="Times New Roman" w:hAnsi="Times New Roman" w:cs="Times New Roman"/>
          <w:sz w:val="24"/>
          <w:szCs w:val="24"/>
        </w:rPr>
        <w:t xml:space="preserve">Thus, it is plausible that investors’ support was essentially for </w:t>
      </w:r>
      <w:r w:rsidR="00EC4014" w:rsidRPr="00006974">
        <w:rPr>
          <w:rFonts w:ascii="Times New Roman" w:hAnsi="Times New Roman" w:cs="Times New Roman"/>
          <w:sz w:val="24"/>
          <w:szCs w:val="24"/>
        </w:rPr>
        <w:t xml:space="preserve">structuration of CSR through a regulatory edict reducing the ambiguity about what comprises CSR. </w:t>
      </w:r>
      <w:r w:rsidR="00EC4014">
        <w:rPr>
          <w:rFonts w:ascii="Times New Roman" w:hAnsi="Times New Roman" w:cs="Times New Roman"/>
          <w:sz w:val="24"/>
          <w:szCs w:val="24"/>
        </w:rPr>
        <w:t xml:space="preserve">However, this support could also be due to </w:t>
      </w:r>
      <w:r w:rsidR="00181B94" w:rsidRPr="00006974">
        <w:rPr>
          <w:rFonts w:ascii="Times New Roman" w:hAnsi="Times New Roman" w:cs="Times New Roman"/>
          <w:sz w:val="24"/>
          <w:szCs w:val="24"/>
        </w:rPr>
        <w:t xml:space="preserve">an </w:t>
      </w:r>
      <w:r w:rsidR="003C1281" w:rsidRPr="00006974">
        <w:rPr>
          <w:rFonts w:ascii="Times New Roman" w:hAnsi="Times New Roman" w:cs="Times New Roman"/>
          <w:sz w:val="24"/>
          <w:szCs w:val="24"/>
        </w:rPr>
        <w:t xml:space="preserve">affirmation – a clarity – </w:t>
      </w:r>
      <w:r w:rsidR="00B6240A" w:rsidRPr="00006974">
        <w:rPr>
          <w:rFonts w:ascii="Times New Roman" w:hAnsi="Times New Roman" w:cs="Times New Roman"/>
          <w:sz w:val="24"/>
          <w:szCs w:val="24"/>
        </w:rPr>
        <w:t>that societal</w:t>
      </w:r>
      <w:r w:rsidR="00B67D3D" w:rsidRPr="00006974">
        <w:rPr>
          <w:rFonts w:ascii="Times New Roman" w:hAnsi="Times New Roman" w:cs="Times New Roman"/>
          <w:sz w:val="24"/>
          <w:szCs w:val="24"/>
        </w:rPr>
        <w:t xml:space="preserve"> expectations of corporations adopting formal CSR practices </w:t>
      </w:r>
      <w:r w:rsidR="00B6240A" w:rsidRPr="00006974">
        <w:rPr>
          <w:rFonts w:ascii="Times New Roman" w:hAnsi="Times New Roman" w:cs="Times New Roman"/>
          <w:sz w:val="24"/>
          <w:szCs w:val="24"/>
        </w:rPr>
        <w:t xml:space="preserve">were </w:t>
      </w:r>
      <w:r w:rsidR="00B67D3D" w:rsidRPr="00006974">
        <w:rPr>
          <w:rFonts w:ascii="Times New Roman" w:hAnsi="Times New Roman" w:cs="Times New Roman"/>
          <w:sz w:val="24"/>
          <w:szCs w:val="24"/>
        </w:rPr>
        <w:t xml:space="preserve">rising. Sarkar et al. (2021) find </w:t>
      </w:r>
      <w:r w:rsidR="00B67D3D" w:rsidRPr="00006974">
        <w:rPr>
          <w:rFonts w:ascii="Times New Roman" w:hAnsi="Times New Roman" w:cs="Times New Roman"/>
          <w:sz w:val="24"/>
          <w:szCs w:val="24"/>
        </w:rPr>
        <w:lastRenderedPageBreak/>
        <w:t>that societal expectations of CSR ha</w:t>
      </w:r>
      <w:r w:rsidR="003C1281" w:rsidRPr="00006974">
        <w:rPr>
          <w:rFonts w:ascii="Times New Roman" w:hAnsi="Times New Roman" w:cs="Times New Roman"/>
          <w:sz w:val="24"/>
          <w:szCs w:val="24"/>
        </w:rPr>
        <w:t>ve</w:t>
      </w:r>
      <w:r w:rsidR="00B67D3D" w:rsidRPr="00006974">
        <w:rPr>
          <w:rFonts w:ascii="Times New Roman" w:hAnsi="Times New Roman" w:cs="Times New Roman"/>
          <w:sz w:val="24"/>
          <w:szCs w:val="24"/>
        </w:rPr>
        <w:t xml:space="preserve"> indeed been rising in India and </w:t>
      </w:r>
      <w:r w:rsidR="00DC406B" w:rsidRPr="00006974">
        <w:rPr>
          <w:rFonts w:ascii="Times New Roman" w:hAnsi="Times New Roman" w:cs="Times New Roman"/>
          <w:sz w:val="24"/>
          <w:szCs w:val="24"/>
        </w:rPr>
        <w:t xml:space="preserve">CSR performance </w:t>
      </w:r>
      <w:r w:rsidR="00B67D3D" w:rsidRPr="00006974">
        <w:rPr>
          <w:rFonts w:ascii="Times New Roman" w:hAnsi="Times New Roman" w:cs="Times New Roman"/>
          <w:sz w:val="24"/>
          <w:szCs w:val="24"/>
        </w:rPr>
        <w:t xml:space="preserve">has </w:t>
      </w:r>
      <w:r w:rsidR="003C1281" w:rsidRPr="00006974">
        <w:rPr>
          <w:rFonts w:ascii="Times New Roman" w:hAnsi="Times New Roman" w:cs="Times New Roman"/>
          <w:sz w:val="24"/>
          <w:szCs w:val="24"/>
        </w:rPr>
        <w:t>over</w:t>
      </w:r>
      <w:r w:rsidR="00B6240A" w:rsidRPr="00006974">
        <w:rPr>
          <w:rFonts w:ascii="Times New Roman" w:hAnsi="Times New Roman" w:cs="Times New Roman"/>
          <w:sz w:val="24"/>
          <w:szCs w:val="24"/>
        </w:rPr>
        <w:t xml:space="preserve"> </w:t>
      </w:r>
      <w:r w:rsidR="003C1281" w:rsidRPr="00006974">
        <w:rPr>
          <w:rFonts w:ascii="Times New Roman" w:hAnsi="Times New Roman" w:cs="Times New Roman"/>
          <w:sz w:val="24"/>
          <w:szCs w:val="24"/>
        </w:rPr>
        <w:t xml:space="preserve">time </w:t>
      </w:r>
      <w:r w:rsidR="00B67D3D" w:rsidRPr="00006974">
        <w:rPr>
          <w:rFonts w:ascii="Times New Roman" w:hAnsi="Times New Roman" w:cs="Times New Roman"/>
          <w:sz w:val="24"/>
          <w:szCs w:val="24"/>
        </w:rPr>
        <w:t xml:space="preserve">emerged as an important determinant of brand reputation. </w:t>
      </w:r>
    </w:p>
    <w:p w14:paraId="67262BC8" w14:textId="7EBC6B51" w:rsidR="005A3227" w:rsidRPr="00006974" w:rsidRDefault="008E62A6" w:rsidP="00BE0DB4">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That said, while ambiguity reduction may have led to a favorable stock market reaction, t</w:t>
      </w:r>
      <w:r w:rsidR="00DC406B" w:rsidRPr="00006974">
        <w:rPr>
          <w:rFonts w:ascii="Times New Roman" w:hAnsi="Times New Roman" w:cs="Times New Roman"/>
          <w:sz w:val="24"/>
          <w:szCs w:val="24"/>
        </w:rPr>
        <w:t xml:space="preserve">he fact that the CSR mandate left at firms’ discretion how they </w:t>
      </w:r>
      <w:r w:rsidR="00233B4C" w:rsidRPr="00006974">
        <w:rPr>
          <w:rFonts w:ascii="Times New Roman" w:hAnsi="Times New Roman" w:cs="Times New Roman"/>
          <w:sz w:val="24"/>
          <w:szCs w:val="24"/>
        </w:rPr>
        <w:t xml:space="preserve">will </w:t>
      </w:r>
      <w:r w:rsidR="00DC406B" w:rsidRPr="00006974">
        <w:rPr>
          <w:rFonts w:ascii="Times New Roman" w:hAnsi="Times New Roman" w:cs="Times New Roman"/>
          <w:sz w:val="24"/>
          <w:szCs w:val="24"/>
        </w:rPr>
        <w:t>cho</w:t>
      </w:r>
      <w:r w:rsidR="00233B4C" w:rsidRPr="00006974">
        <w:rPr>
          <w:rFonts w:ascii="Times New Roman" w:hAnsi="Times New Roman" w:cs="Times New Roman"/>
          <w:sz w:val="24"/>
          <w:szCs w:val="24"/>
        </w:rPr>
        <w:t>o</w:t>
      </w:r>
      <w:r w:rsidR="00DC406B" w:rsidRPr="00006974">
        <w:rPr>
          <w:rFonts w:ascii="Times New Roman" w:hAnsi="Times New Roman" w:cs="Times New Roman"/>
          <w:sz w:val="24"/>
          <w:szCs w:val="24"/>
        </w:rPr>
        <w:t xml:space="preserve">se to spend the stipulated money could have </w:t>
      </w:r>
      <w:r w:rsidRPr="00006974">
        <w:rPr>
          <w:rFonts w:ascii="Times New Roman" w:hAnsi="Times New Roman" w:cs="Times New Roman"/>
          <w:sz w:val="24"/>
          <w:szCs w:val="24"/>
        </w:rPr>
        <w:t xml:space="preserve">been the underlying reason for a </w:t>
      </w:r>
      <w:r w:rsidR="00233B4C" w:rsidRPr="00006974">
        <w:rPr>
          <w:rFonts w:ascii="Times New Roman" w:hAnsi="Times New Roman" w:cs="Times New Roman"/>
          <w:sz w:val="24"/>
          <w:szCs w:val="24"/>
        </w:rPr>
        <w:t xml:space="preserve">favorable </w:t>
      </w:r>
      <w:r w:rsidR="00DC406B" w:rsidRPr="00006974">
        <w:rPr>
          <w:rFonts w:ascii="Times New Roman" w:hAnsi="Times New Roman" w:cs="Times New Roman"/>
          <w:sz w:val="24"/>
          <w:szCs w:val="24"/>
        </w:rPr>
        <w:t xml:space="preserve">stock market reaction. </w:t>
      </w:r>
      <w:r w:rsidRPr="00006974">
        <w:rPr>
          <w:rFonts w:ascii="Times New Roman" w:hAnsi="Times New Roman" w:cs="Times New Roman"/>
          <w:sz w:val="24"/>
          <w:szCs w:val="24"/>
        </w:rPr>
        <w:t xml:space="preserve"> Firms </w:t>
      </w:r>
      <w:r w:rsidR="001368F1" w:rsidRPr="00006974">
        <w:rPr>
          <w:rFonts w:ascii="Times New Roman" w:hAnsi="Times New Roman" w:cs="Times New Roman"/>
          <w:sz w:val="24"/>
          <w:szCs w:val="24"/>
        </w:rPr>
        <w:t xml:space="preserve">could improve their social and environmental performance or </w:t>
      </w:r>
      <w:r w:rsidRPr="00006974">
        <w:rPr>
          <w:rFonts w:ascii="Times New Roman" w:hAnsi="Times New Roman" w:cs="Times New Roman"/>
          <w:sz w:val="24"/>
          <w:szCs w:val="24"/>
        </w:rPr>
        <w:t xml:space="preserve">simply </w:t>
      </w:r>
      <w:r w:rsidR="001368F1" w:rsidRPr="00006974">
        <w:rPr>
          <w:rFonts w:ascii="Times New Roman" w:hAnsi="Times New Roman" w:cs="Times New Roman"/>
          <w:sz w:val="24"/>
          <w:szCs w:val="24"/>
        </w:rPr>
        <w:t xml:space="preserve">continue business-as-usual </w:t>
      </w:r>
      <w:r w:rsidRPr="00006974">
        <w:rPr>
          <w:rFonts w:ascii="Times New Roman" w:hAnsi="Times New Roman" w:cs="Times New Roman"/>
          <w:sz w:val="24"/>
          <w:szCs w:val="24"/>
        </w:rPr>
        <w:t xml:space="preserve">while </w:t>
      </w:r>
      <w:r w:rsidR="001368F1" w:rsidRPr="00006974">
        <w:rPr>
          <w:rFonts w:ascii="Times New Roman" w:hAnsi="Times New Roman" w:cs="Times New Roman"/>
          <w:sz w:val="24"/>
          <w:szCs w:val="24"/>
        </w:rPr>
        <w:t>donat</w:t>
      </w:r>
      <w:r w:rsidRPr="00006974">
        <w:rPr>
          <w:rFonts w:ascii="Times New Roman" w:hAnsi="Times New Roman" w:cs="Times New Roman"/>
          <w:sz w:val="24"/>
          <w:szCs w:val="24"/>
        </w:rPr>
        <w:t xml:space="preserve">ing </w:t>
      </w:r>
      <w:r w:rsidR="001368F1" w:rsidRPr="00006974">
        <w:rPr>
          <w:rFonts w:ascii="Times New Roman" w:hAnsi="Times New Roman" w:cs="Times New Roman"/>
          <w:sz w:val="24"/>
          <w:szCs w:val="24"/>
        </w:rPr>
        <w:t>the money</w:t>
      </w:r>
      <w:r w:rsidR="00233B4C" w:rsidRPr="00006974">
        <w:rPr>
          <w:rFonts w:ascii="Times New Roman" w:hAnsi="Times New Roman" w:cs="Times New Roman"/>
          <w:sz w:val="24"/>
          <w:szCs w:val="24"/>
        </w:rPr>
        <w:t xml:space="preserve"> to an external agency</w:t>
      </w:r>
      <w:r w:rsidR="001368F1" w:rsidRPr="00006974">
        <w:rPr>
          <w:rFonts w:ascii="Times New Roman" w:hAnsi="Times New Roman" w:cs="Times New Roman"/>
          <w:sz w:val="24"/>
          <w:szCs w:val="24"/>
        </w:rPr>
        <w:t xml:space="preserve">. The latter is </w:t>
      </w:r>
      <w:r w:rsidR="00233B4C" w:rsidRPr="00006974">
        <w:rPr>
          <w:rFonts w:ascii="Times New Roman" w:hAnsi="Times New Roman" w:cs="Times New Roman"/>
          <w:sz w:val="24"/>
          <w:szCs w:val="24"/>
        </w:rPr>
        <w:t xml:space="preserve">not </w:t>
      </w:r>
      <w:r w:rsidR="005A3227" w:rsidRPr="00006974">
        <w:rPr>
          <w:rFonts w:ascii="Times New Roman" w:hAnsi="Times New Roman" w:cs="Times New Roman"/>
          <w:sz w:val="24"/>
          <w:szCs w:val="24"/>
        </w:rPr>
        <w:t>so</w:t>
      </w:r>
      <w:r w:rsidR="00233B4C" w:rsidRPr="00006974">
        <w:rPr>
          <w:rFonts w:ascii="Times New Roman" w:hAnsi="Times New Roman" w:cs="Times New Roman"/>
          <w:sz w:val="24"/>
          <w:szCs w:val="24"/>
        </w:rPr>
        <w:t xml:space="preserve"> encouraging </w:t>
      </w:r>
      <w:r w:rsidR="001368F1" w:rsidRPr="00006974">
        <w:rPr>
          <w:rFonts w:ascii="Times New Roman" w:hAnsi="Times New Roman" w:cs="Times New Roman"/>
          <w:sz w:val="24"/>
          <w:szCs w:val="24"/>
        </w:rPr>
        <w:t>from a societal impact perspective, but this could well have been a reason for</w:t>
      </w:r>
      <w:r w:rsidR="005A3227" w:rsidRPr="00006974">
        <w:rPr>
          <w:rFonts w:ascii="Times New Roman" w:hAnsi="Times New Roman" w:cs="Times New Roman"/>
          <w:sz w:val="24"/>
          <w:szCs w:val="24"/>
        </w:rPr>
        <w:t xml:space="preserve"> </w:t>
      </w:r>
      <w:r w:rsidR="001368F1" w:rsidRPr="00006974">
        <w:rPr>
          <w:rFonts w:ascii="Times New Roman" w:hAnsi="Times New Roman" w:cs="Times New Roman"/>
          <w:sz w:val="24"/>
          <w:szCs w:val="24"/>
        </w:rPr>
        <w:t>investors</w:t>
      </w:r>
      <w:r w:rsidR="004C48FB">
        <w:rPr>
          <w:rFonts w:ascii="Times New Roman" w:hAnsi="Times New Roman" w:cs="Times New Roman"/>
          <w:sz w:val="24"/>
          <w:szCs w:val="24"/>
        </w:rPr>
        <w:t>’ favorable</w:t>
      </w:r>
      <w:r w:rsidR="001368F1" w:rsidRPr="00006974">
        <w:rPr>
          <w:rFonts w:ascii="Times New Roman" w:hAnsi="Times New Roman" w:cs="Times New Roman"/>
          <w:sz w:val="24"/>
          <w:szCs w:val="24"/>
        </w:rPr>
        <w:t xml:space="preserve"> reactions</w:t>
      </w:r>
      <w:r w:rsidR="004C48FB">
        <w:rPr>
          <w:rFonts w:ascii="Times New Roman" w:hAnsi="Times New Roman" w:cs="Times New Roman"/>
          <w:sz w:val="24"/>
          <w:szCs w:val="24"/>
        </w:rPr>
        <w:t>;</w:t>
      </w:r>
      <w:r w:rsidR="001368F1" w:rsidRPr="00006974">
        <w:rPr>
          <w:rFonts w:ascii="Times New Roman" w:hAnsi="Times New Roman" w:cs="Times New Roman"/>
          <w:sz w:val="24"/>
          <w:szCs w:val="24"/>
        </w:rPr>
        <w:t xml:space="preserve"> a 2% expenditure would </w:t>
      </w:r>
      <w:r w:rsidR="006C4A44" w:rsidRPr="00006974">
        <w:rPr>
          <w:rFonts w:ascii="Times New Roman" w:hAnsi="Times New Roman" w:cs="Times New Roman"/>
          <w:sz w:val="24"/>
          <w:szCs w:val="24"/>
        </w:rPr>
        <w:t xml:space="preserve">essentially </w:t>
      </w:r>
      <w:r w:rsidR="001368F1" w:rsidRPr="00006974">
        <w:rPr>
          <w:rFonts w:ascii="Times New Roman" w:hAnsi="Times New Roman" w:cs="Times New Roman"/>
          <w:sz w:val="24"/>
          <w:szCs w:val="24"/>
        </w:rPr>
        <w:t xml:space="preserve">“buy” firms a favorable image without </w:t>
      </w:r>
      <w:r w:rsidR="00233B4C" w:rsidRPr="00006974">
        <w:rPr>
          <w:rFonts w:ascii="Times New Roman" w:hAnsi="Times New Roman" w:cs="Times New Roman"/>
          <w:sz w:val="24"/>
          <w:szCs w:val="24"/>
        </w:rPr>
        <w:t xml:space="preserve">having to </w:t>
      </w:r>
      <w:r w:rsidR="005A3227" w:rsidRPr="00006974">
        <w:rPr>
          <w:rFonts w:ascii="Times New Roman" w:hAnsi="Times New Roman" w:cs="Times New Roman"/>
          <w:sz w:val="24"/>
          <w:szCs w:val="24"/>
        </w:rPr>
        <w:t>transform business practices.</w:t>
      </w:r>
    </w:p>
    <w:p w14:paraId="38CDBBDF" w14:textId="53A23619" w:rsidR="002E72DA" w:rsidRPr="00006974" w:rsidRDefault="005A3227"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The second </w:t>
      </w:r>
      <w:r w:rsidR="004C48FB">
        <w:rPr>
          <w:rFonts w:ascii="Times New Roman" w:hAnsi="Times New Roman" w:cs="Times New Roman"/>
          <w:sz w:val="24"/>
          <w:szCs w:val="24"/>
        </w:rPr>
        <w:t>explanation</w:t>
      </w:r>
      <w:r w:rsidRPr="00006974">
        <w:rPr>
          <w:rFonts w:ascii="Times New Roman" w:hAnsi="Times New Roman" w:cs="Times New Roman"/>
          <w:sz w:val="24"/>
          <w:szCs w:val="24"/>
        </w:rPr>
        <w:t xml:space="preserve"> for favorable stock reactions</w:t>
      </w:r>
      <w:r w:rsidR="004C48FB">
        <w:rPr>
          <w:rFonts w:ascii="Times New Roman" w:hAnsi="Times New Roman" w:cs="Times New Roman"/>
          <w:sz w:val="24"/>
          <w:szCs w:val="24"/>
        </w:rPr>
        <w:t xml:space="preserve"> to the CSR mandate is the potential</w:t>
      </w:r>
      <w:r w:rsidR="006C4A44" w:rsidRPr="00006974">
        <w:rPr>
          <w:rFonts w:ascii="Times New Roman" w:hAnsi="Times New Roman" w:cs="Times New Roman"/>
          <w:sz w:val="24"/>
          <w:szCs w:val="24"/>
        </w:rPr>
        <w:t xml:space="preserve"> legitimacy gain that a regulatory cover could provide to </w:t>
      </w:r>
      <w:r w:rsidR="00087821" w:rsidRPr="00006974">
        <w:rPr>
          <w:rFonts w:ascii="Times New Roman" w:hAnsi="Times New Roman" w:cs="Times New Roman"/>
          <w:sz w:val="24"/>
          <w:szCs w:val="24"/>
        </w:rPr>
        <w:t xml:space="preserve">a practice that </w:t>
      </w:r>
      <w:r w:rsidR="00A75245" w:rsidRPr="00006974">
        <w:rPr>
          <w:rFonts w:ascii="Times New Roman" w:hAnsi="Times New Roman" w:cs="Times New Roman"/>
          <w:sz w:val="24"/>
          <w:szCs w:val="24"/>
        </w:rPr>
        <w:t>is otherwise met with skepticism. Given India’s historical embrace of a Soviet style mixed-economy model, private companies have not been viewed as genuine champions of social welfare. Societal and environmental protection has been the responsibility of the state and the neoliberal, market-driven approaches have not gained the valence they have in some countries such as the United States (Panwar et al., 2018). Rampant private sector corruption in India (</w:t>
      </w:r>
      <w:proofErr w:type="spellStart"/>
      <w:r w:rsidR="006A2C49" w:rsidRPr="00006974">
        <w:rPr>
          <w:rFonts w:ascii="Times New Roman" w:hAnsi="Times New Roman" w:cs="Times New Roman"/>
          <w:sz w:val="24"/>
          <w:szCs w:val="24"/>
        </w:rPr>
        <w:t>Battacharyya</w:t>
      </w:r>
      <w:proofErr w:type="spellEnd"/>
      <w:r w:rsidR="006A2C49" w:rsidRPr="00006974">
        <w:rPr>
          <w:rFonts w:ascii="Times New Roman" w:hAnsi="Times New Roman" w:cs="Times New Roman"/>
          <w:sz w:val="24"/>
          <w:szCs w:val="24"/>
        </w:rPr>
        <w:t xml:space="preserve"> &amp; Ghose, 1998; </w:t>
      </w:r>
      <w:proofErr w:type="spellStart"/>
      <w:r w:rsidR="006A2C49" w:rsidRPr="00006974">
        <w:rPr>
          <w:rFonts w:ascii="Times New Roman" w:hAnsi="Times New Roman" w:cs="Times New Roman"/>
          <w:sz w:val="24"/>
          <w:szCs w:val="24"/>
        </w:rPr>
        <w:t>Vittal</w:t>
      </w:r>
      <w:proofErr w:type="spellEnd"/>
      <w:r w:rsidR="006A2C49" w:rsidRPr="00006974">
        <w:rPr>
          <w:rFonts w:ascii="Times New Roman" w:hAnsi="Times New Roman" w:cs="Times New Roman"/>
          <w:sz w:val="24"/>
          <w:szCs w:val="24"/>
        </w:rPr>
        <w:t>, 2003</w:t>
      </w:r>
      <w:r w:rsidR="00A75245" w:rsidRPr="00006974">
        <w:rPr>
          <w:rFonts w:ascii="Times New Roman" w:hAnsi="Times New Roman" w:cs="Times New Roman"/>
          <w:sz w:val="24"/>
          <w:szCs w:val="24"/>
        </w:rPr>
        <w:t xml:space="preserve">) may have further reinforced a generalized skepticism of CSR. A </w:t>
      </w:r>
      <w:r w:rsidR="00BD0F36">
        <w:rPr>
          <w:rFonts w:ascii="Times New Roman" w:hAnsi="Times New Roman" w:cs="Times New Roman"/>
          <w:sz w:val="24"/>
          <w:szCs w:val="24"/>
        </w:rPr>
        <w:t>CSR mandate, however,</w:t>
      </w:r>
      <w:r w:rsidR="00A75245" w:rsidRPr="00006974">
        <w:rPr>
          <w:rFonts w:ascii="Times New Roman" w:hAnsi="Times New Roman" w:cs="Times New Roman"/>
          <w:sz w:val="24"/>
          <w:szCs w:val="24"/>
        </w:rPr>
        <w:t xml:space="preserve"> </w:t>
      </w:r>
      <w:r w:rsidR="00BD0F36">
        <w:rPr>
          <w:rFonts w:ascii="Times New Roman" w:hAnsi="Times New Roman" w:cs="Times New Roman"/>
          <w:sz w:val="24"/>
          <w:szCs w:val="24"/>
        </w:rPr>
        <w:t>may offer the veneer of</w:t>
      </w:r>
      <w:r w:rsidR="00A75245" w:rsidRPr="00006974">
        <w:rPr>
          <w:rFonts w:ascii="Times New Roman" w:hAnsi="Times New Roman" w:cs="Times New Roman"/>
          <w:sz w:val="24"/>
          <w:szCs w:val="24"/>
        </w:rPr>
        <w:t xml:space="preserve"> regulative legitimacy (</w:t>
      </w:r>
      <w:proofErr w:type="spellStart"/>
      <w:r w:rsidR="00A75245" w:rsidRPr="00006974">
        <w:rPr>
          <w:rFonts w:ascii="Times New Roman" w:hAnsi="Times New Roman" w:cs="Times New Roman"/>
          <w:sz w:val="24"/>
          <w:szCs w:val="24"/>
        </w:rPr>
        <w:t>Deephouse</w:t>
      </w:r>
      <w:proofErr w:type="spellEnd"/>
      <w:r w:rsidR="00A75245" w:rsidRPr="00006974">
        <w:rPr>
          <w:rFonts w:ascii="Times New Roman" w:hAnsi="Times New Roman" w:cs="Times New Roman"/>
          <w:sz w:val="24"/>
          <w:szCs w:val="24"/>
        </w:rPr>
        <w:t xml:space="preserve"> &amp; </w:t>
      </w:r>
      <w:proofErr w:type="spellStart"/>
      <w:r w:rsidR="00A75245" w:rsidRPr="00006974">
        <w:rPr>
          <w:rFonts w:ascii="Times New Roman" w:hAnsi="Times New Roman" w:cs="Times New Roman"/>
          <w:sz w:val="24"/>
          <w:szCs w:val="24"/>
        </w:rPr>
        <w:t>Suchman</w:t>
      </w:r>
      <w:proofErr w:type="spellEnd"/>
      <w:r w:rsidR="00A75245" w:rsidRPr="00006974">
        <w:rPr>
          <w:rFonts w:ascii="Times New Roman" w:hAnsi="Times New Roman" w:cs="Times New Roman"/>
          <w:sz w:val="24"/>
          <w:szCs w:val="24"/>
        </w:rPr>
        <w:t xml:space="preserve">, 2008) </w:t>
      </w:r>
      <w:r w:rsidR="00BD0F36">
        <w:rPr>
          <w:rFonts w:ascii="Times New Roman" w:hAnsi="Times New Roman" w:cs="Times New Roman"/>
          <w:sz w:val="24"/>
          <w:szCs w:val="24"/>
        </w:rPr>
        <w:t>in a context in which CSR adoption, historically, lacked both moral or cognitive legitimacy (</w:t>
      </w:r>
      <w:proofErr w:type="spellStart"/>
      <w:r w:rsidR="00BD0F36">
        <w:rPr>
          <w:rFonts w:ascii="Times New Roman" w:hAnsi="Times New Roman" w:cs="Times New Roman"/>
          <w:sz w:val="24"/>
          <w:szCs w:val="24"/>
        </w:rPr>
        <w:t>Suchman</w:t>
      </w:r>
      <w:proofErr w:type="spellEnd"/>
      <w:r w:rsidR="00BD0F36">
        <w:rPr>
          <w:rFonts w:ascii="Times New Roman" w:hAnsi="Times New Roman" w:cs="Times New Roman"/>
          <w:sz w:val="24"/>
          <w:szCs w:val="24"/>
        </w:rPr>
        <w:t>, 1995)</w:t>
      </w:r>
      <w:r w:rsidR="002E72DA" w:rsidRPr="00006974">
        <w:rPr>
          <w:rFonts w:ascii="Times New Roman" w:hAnsi="Times New Roman" w:cs="Times New Roman"/>
          <w:sz w:val="24"/>
          <w:szCs w:val="24"/>
        </w:rPr>
        <w:t xml:space="preserve">. Since, many large Indian corporations, especially those involved with overseas markets or investors, would have already been engaged in some form of CSR due to institutional pressure, </w:t>
      </w:r>
      <w:r w:rsidR="002E72DA" w:rsidRPr="00006974">
        <w:rPr>
          <w:rFonts w:ascii="Times New Roman" w:hAnsi="Times New Roman" w:cs="Times New Roman"/>
          <w:sz w:val="24"/>
          <w:szCs w:val="24"/>
        </w:rPr>
        <w:lastRenderedPageBreak/>
        <w:t xml:space="preserve">legitimization of their CSR efforts through a mandate would enthuse their investors. The support for H2 bolsters this speculation. </w:t>
      </w:r>
    </w:p>
    <w:p w14:paraId="76424445" w14:textId="0233DDB5" w:rsidR="00146CDB" w:rsidRPr="00006974" w:rsidRDefault="003E20BB" w:rsidP="005979A7">
      <w:pPr>
        <w:spacing w:before="200"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The lack of empirical support for </w:t>
      </w:r>
      <w:r w:rsidR="002E72DA" w:rsidRPr="00006974">
        <w:rPr>
          <w:rFonts w:ascii="Times New Roman" w:hAnsi="Times New Roman" w:cs="Times New Roman"/>
          <w:sz w:val="24"/>
          <w:szCs w:val="24"/>
        </w:rPr>
        <w:t>hypothesis 3 is striking</w:t>
      </w:r>
      <w:r w:rsidRPr="00006974">
        <w:rPr>
          <w:rFonts w:ascii="Times New Roman" w:hAnsi="Times New Roman" w:cs="Times New Roman"/>
          <w:sz w:val="24"/>
          <w:szCs w:val="24"/>
        </w:rPr>
        <w:t xml:space="preserve">. A regulatory edict of CSR assurance does not appear to alleviate the hypocritical perceptions of CSR efforts of controversial sector firms that investors may be wary of. This finding aligns with the recent work by Suddaby and colleagues (2017) that legitimation is a matter of comparative assessments and that there are thresholds that must be crossed before a practice becomes legitimate. In light of this argument, we speculate that controversial sector firms are so deeply mired in societal skepticism of CSR efforts that even </w:t>
      </w:r>
      <w:r w:rsidR="00775412" w:rsidRPr="00006974">
        <w:rPr>
          <w:rFonts w:ascii="Times New Roman" w:hAnsi="Times New Roman" w:cs="Times New Roman"/>
          <w:sz w:val="24"/>
          <w:szCs w:val="24"/>
        </w:rPr>
        <w:t>compl</w:t>
      </w:r>
      <w:r w:rsidR="0024162D" w:rsidRPr="00006974">
        <w:rPr>
          <w:rFonts w:ascii="Times New Roman" w:hAnsi="Times New Roman" w:cs="Times New Roman"/>
          <w:sz w:val="24"/>
          <w:szCs w:val="24"/>
        </w:rPr>
        <w:t xml:space="preserve">iance </w:t>
      </w:r>
      <w:r w:rsidR="00775412" w:rsidRPr="00006974">
        <w:rPr>
          <w:rFonts w:ascii="Times New Roman" w:hAnsi="Times New Roman" w:cs="Times New Roman"/>
          <w:sz w:val="24"/>
          <w:szCs w:val="24"/>
        </w:rPr>
        <w:t xml:space="preserve">with </w:t>
      </w:r>
      <w:r w:rsidR="0024162D" w:rsidRPr="00006974">
        <w:rPr>
          <w:rFonts w:ascii="Times New Roman" w:hAnsi="Times New Roman" w:cs="Times New Roman"/>
          <w:sz w:val="24"/>
          <w:szCs w:val="24"/>
        </w:rPr>
        <w:t xml:space="preserve">regulatory edicts would be viewed with </w:t>
      </w:r>
      <w:r w:rsidR="00146CDB" w:rsidRPr="00006974">
        <w:rPr>
          <w:rFonts w:ascii="Times New Roman" w:hAnsi="Times New Roman" w:cs="Times New Roman"/>
          <w:sz w:val="24"/>
          <w:szCs w:val="24"/>
        </w:rPr>
        <w:t xml:space="preserve">skepticism. </w:t>
      </w:r>
    </w:p>
    <w:p w14:paraId="3877D128" w14:textId="67BC8E74" w:rsidR="00AD4356" w:rsidRPr="00006974" w:rsidRDefault="0024162D" w:rsidP="00006974">
      <w:pPr>
        <w:spacing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Beyond the specifics of the results of our empirical analyses, t</w:t>
      </w:r>
      <w:r w:rsidR="00AD4356" w:rsidRPr="00006974">
        <w:rPr>
          <w:rFonts w:ascii="Times New Roman" w:hAnsi="Times New Roman" w:cs="Times New Roman"/>
          <w:sz w:val="24"/>
          <w:szCs w:val="24"/>
        </w:rPr>
        <w:t xml:space="preserve">he </w:t>
      </w:r>
      <w:r w:rsidRPr="00006974">
        <w:rPr>
          <w:rFonts w:ascii="Times New Roman" w:hAnsi="Times New Roman" w:cs="Times New Roman"/>
          <w:sz w:val="24"/>
          <w:szCs w:val="24"/>
        </w:rPr>
        <w:t xml:space="preserve">enactment of </w:t>
      </w:r>
      <w:r w:rsidR="008053CC" w:rsidRPr="00006974">
        <w:rPr>
          <w:rFonts w:ascii="Times New Roman" w:hAnsi="Times New Roman" w:cs="Times New Roman"/>
          <w:sz w:val="24"/>
          <w:szCs w:val="24"/>
        </w:rPr>
        <w:t xml:space="preserve">the </w:t>
      </w:r>
      <w:r w:rsidR="00AD4356" w:rsidRPr="00006974">
        <w:rPr>
          <w:rFonts w:ascii="Times New Roman" w:hAnsi="Times New Roman" w:cs="Times New Roman"/>
          <w:sz w:val="24"/>
          <w:szCs w:val="24"/>
        </w:rPr>
        <w:t xml:space="preserve">Indian </w:t>
      </w:r>
      <w:r w:rsidRPr="00006974">
        <w:rPr>
          <w:rFonts w:ascii="Times New Roman" w:hAnsi="Times New Roman" w:cs="Times New Roman"/>
          <w:sz w:val="24"/>
          <w:szCs w:val="24"/>
        </w:rPr>
        <w:t xml:space="preserve">CSR mandate – and the emergence of soft CSR regulations generally – may signify a broader phenomenon. </w:t>
      </w:r>
      <w:r w:rsidR="00AD4356" w:rsidRPr="00006974">
        <w:rPr>
          <w:rFonts w:ascii="Times New Roman" w:hAnsi="Times New Roman" w:cs="Times New Roman"/>
          <w:sz w:val="24"/>
          <w:szCs w:val="24"/>
        </w:rPr>
        <w:t xml:space="preserve">CSR is a normative practice that emerged out of a growing tension between large multinational corporations (MNCs) and civil society organizations (social movements, environmental activists, consumer interest groups) devoted to resisting and constraining the growing hegemonic power of MNCs as they expanded beyond the regulatory authority of the nation state. However, MNCs quickly adopted CSR and adapted its original intent to serve as a useful extension of forms of private regulation between corporate actors that, at the transnational level, has grown to challenge the regulatory power of the nation state (Bartley, 2007). CSR has quickly become integrated into the core managerial practices of global corporate actors that use their scope and scale to impose transnational normative practices on local actors (Vogel, 2005). Not only have MNCs, thus, become powerful legitimating agents for CSR (Brammer et al., 2012), in the process of diffusing CSR practices globally, they have transformed CSR “from being associated mainly with displays of good “corporate citizenship” to a scientifically validated form </w:t>
      </w:r>
      <w:r w:rsidR="00AD4356" w:rsidRPr="00006974">
        <w:rPr>
          <w:rFonts w:ascii="Times New Roman" w:hAnsi="Times New Roman" w:cs="Times New Roman"/>
          <w:sz w:val="24"/>
          <w:szCs w:val="24"/>
        </w:rPr>
        <w:lastRenderedPageBreak/>
        <w:t>of corporate risk management and, more generally, into a perceived commercial asset” (Shamir, 2011, pp. 314).</w:t>
      </w:r>
    </w:p>
    <w:p w14:paraId="679FBB8D" w14:textId="57480CED" w:rsidR="00AD4356" w:rsidRPr="00006974" w:rsidRDefault="00146CDB" w:rsidP="00006974">
      <w:pPr>
        <w:spacing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Soft C</w:t>
      </w:r>
      <w:r w:rsidR="00AD4356" w:rsidRPr="00006974">
        <w:rPr>
          <w:rFonts w:ascii="Times New Roman" w:hAnsi="Times New Roman" w:cs="Times New Roman"/>
          <w:sz w:val="24"/>
          <w:szCs w:val="24"/>
        </w:rPr>
        <w:t>SR regulation</w:t>
      </w:r>
      <w:r w:rsidRPr="00006974">
        <w:rPr>
          <w:rFonts w:ascii="Times New Roman" w:hAnsi="Times New Roman" w:cs="Times New Roman"/>
          <w:sz w:val="24"/>
          <w:szCs w:val="24"/>
        </w:rPr>
        <w:t>s</w:t>
      </w:r>
      <w:r w:rsidR="00AD4356" w:rsidRPr="00006974">
        <w:rPr>
          <w:rFonts w:ascii="Times New Roman" w:hAnsi="Times New Roman" w:cs="Times New Roman"/>
          <w:sz w:val="24"/>
          <w:szCs w:val="24"/>
        </w:rPr>
        <w:t xml:space="preserve">, thus, </w:t>
      </w:r>
      <w:r w:rsidR="00264908">
        <w:rPr>
          <w:rFonts w:ascii="Times New Roman" w:hAnsi="Times New Roman" w:cs="Times New Roman"/>
          <w:sz w:val="24"/>
          <w:szCs w:val="24"/>
        </w:rPr>
        <w:t xml:space="preserve">may </w:t>
      </w:r>
      <w:r w:rsidR="00AD4356" w:rsidRPr="00006974">
        <w:rPr>
          <w:rFonts w:ascii="Times New Roman" w:hAnsi="Times New Roman" w:cs="Times New Roman"/>
          <w:sz w:val="24"/>
          <w:szCs w:val="24"/>
        </w:rPr>
        <w:t xml:space="preserve">reflect a practical compromise between the diminishing coercive authority of the nation state and the growing normative authority of the MNC. It provides a broad legal framework that establishes the intent and parameters of CSR, imposed by the state, but grants considerable agency and discretion as to how the intent might be manifested by the corporation. Corporate actors are granted considerable license to interpret and translate the intent of the regulator. </w:t>
      </w:r>
      <w:r w:rsidR="00A45146" w:rsidRPr="00006974">
        <w:rPr>
          <w:rFonts w:ascii="Times New Roman" w:hAnsi="Times New Roman" w:cs="Times New Roman"/>
          <w:sz w:val="24"/>
          <w:szCs w:val="24"/>
        </w:rPr>
        <w:t xml:space="preserve">Thus, soft </w:t>
      </w:r>
      <w:r w:rsidR="00AD4356" w:rsidRPr="00006974">
        <w:rPr>
          <w:rFonts w:ascii="Times New Roman" w:hAnsi="Times New Roman" w:cs="Times New Roman"/>
          <w:sz w:val="24"/>
          <w:szCs w:val="24"/>
        </w:rPr>
        <w:t>CSR regulation</w:t>
      </w:r>
      <w:r w:rsidR="00F50F6C" w:rsidRPr="00006974">
        <w:rPr>
          <w:rFonts w:ascii="Times New Roman" w:hAnsi="Times New Roman" w:cs="Times New Roman"/>
          <w:sz w:val="24"/>
          <w:szCs w:val="24"/>
        </w:rPr>
        <w:t>s</w:t>
      </w:r>
      <w:r w:rsidR="00AD4356" w:rsidRPr="00006974">
        <w:rPr>
          <w:rFonts w:ascii="Times New Roman" w:hAnsi="Times New Roman" w:cs="Times New Roman"/>
          <w:sz w:val="24"/>
          <w:szCs w:val="24"/>
        </w:rPr>
        <w:t xml:space="preserve"> occur in the context of an uneasy truce between the nation state, with coercive authority over the MNC in terms of its activities within the jurisdiction of government, and a growing transnational regulatory framework, controlled by private corporate actors and informed by a somewhat paradoxical mix of morality and capitalism that has come to define global neoliberalism (</w:t>
      </w:r>
      <w:proofErr w:type="spellStart"/>
      <w:r w:rsidR="00AD4356" w:rsidRPr="00006974">
        <w:rPr>
          <w:rFonts w:ascii="Times New Roman" w:hAnsi="Times New Roman" w:cs="Times New Roman"/>
          <w:sz w:val="24"/>
          <w:szCs w:val="24"/>
        </w:rPr>
        <w:t>Djelic</w:t>
      </w:r>
      <w:proofErr w:type="spellEnd"/>
      <w:r w:rsidR="00AD4356" w:rsidRPr="00006974">
        <w:rPr>
          <w:rFonts w:ascii="Times New Roman" w:hAnsi="Times New Roman" w:cs="Times New Roman"/>
          <w:sz w:val="24"/>
          <w:szCs w:val="24"/>
        </w:rPr>
        <w:t xml:space="preserve"> &amp; </w:t>
      </w:r>
      <w:proofErr w:type="spellStart"/>
      <w:r w:rsidR="00AD4356" w:rsidRPr="00006974">
        <w:rPr>
          <w:rFonts w:ascii="Times New Roman" w:hAnsi="Times New Roman" w:cs="Times New Roman"/>
          <w:sz w:val="24"/>
          <w:szCs w:val="24"/>
        </w:rPr>
        <w:t>Etchanchu</w:t>
      </w:r>
      <w:proofErr w:type="spellEnd"/>
      <w:r w:rsidR="00AD4356" w:rsidRPr="00006974">
        <w:rPr>
          <w:rFonts w:ascii="Times New Roman" w:hAnsi="Times New Roman" w:cs="Times New Roman"/>
          <w:sz w:val="24"/>
          <w:szCs w:val="24"/>
        </w:rPr>
        <w:t>, 2017).</w:t>
      </w:r>
      <w:r w:rsidR="00F50F6C" w:rsidRPr="00006974">
        <w:rPr>
          <w:rFonts w:ascii="Times New Roman" w:hAnsi="Times New Roman" w:cs="Times New Roman"/>
          <w:sz w:val="24"/>
          <w:szCs w:val="24"/>
        </w:rPr>
        <w:t xml:space="preserve"> Given the ultimate benefits that firms are likely to derive from such </w:t>
      </w:r>
      <w:r w:rsidR="00DB740E" w:rsidRPr="00006974">
        <w:rPr>
          <w:rFonts w:ascii="Times New Roman" w:hAnsi="Times New Roman" w:cs="Times New Roman"/>
          <w:sz w:val="24"/>
          <w:szCs w:val="24"/>
        </w:rPr>
        <w:t>arrangements, it</w:t>
      </w:r>
      <w:r w:rsidR="00F50F6C" w:rsidRPr="00006974">
        <w:rPr>
          <w:rFonts w:ascii="Times New Roman" w:hAnsi="Times New Roman" w:cs="Times New Roman"/>
          <w:sz w:val="24"/>
          <w:szCs w:val="24"/>
        </w:rPr>
        <w:t xml:space="preserve"> is unsurprising that investors supported India’s CSR mandate even when, prima facie, it is a regulatory burden with significant associated expenditures for firms. </w:t>
      </w:r>
    </w:p>
    <w:p w14:paraId="75EB101F" w14:textId="504B1C87" w:rsidR="00AD4356" w:rsidRPr="00006974" w:rsidRDefault="00AD4356" w:rsidP="00006974">
      <w:pPr>
        <w:spacing w:after="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What are the future prospects of this uneasy truce between MNC’ and nation states in the context of CSR? </w:t>
      </w:r>
      <w:proofErr w:type="spellStart"/>
      <w:r w:rsidRPr="00006974">
        <w:rPr>
          <w:rFonts w:ascii="Times New Roman" w:hAnsi="Times New Roman" w:cs="Times New Roman"/>
          <w:sz w:val="24"/>
          <w:szCs w:val="24"/>
        </w:rPr>
        <w:t>Trubek</w:t>
      </w:r>
      <w:proofErr w:type="spellEnd"/>
      <w:r w:rsidRPr="00006974">
        <w:rPr>
          <w:rFonts w:ascii="Times New Roman" w:hAnsi="Times New Roman" w:cs="Times New Roman"/>
          <w:sz w:val="24"/>
          <w:szCs w:val="24"/>
        </w:rPr>
        <w:t xml:space="preserve"> et al. (2005) argue that soft regulations may represent a first step on the path to more coercive forms of hard law. This hypothesis is supported by our empirical context. After six years of successful experimentation with a comply-or-explain form of soft CSR regulation, the Government of India amended the law in 2019 to include the following penalty clause</w:t>
      </w:r>
      <w:r w:rsidR="0072268A" w:rsidRPr="00006974">
        <w:rPr>
          <w:rFonts w:ascii="Times New Roman" w:hAnsi="Times New Roman" w:cs="Times New Roman"/>
          <w:sz w:val="24"/>
          <w:szCs w:val="24"/>
          <w:vertAlign w:val="superscript"/>
        </w:rPr>
        <w:t>8</w:t>
      </w:r>
      <w:r w:rsidRPr="00006974">
        <w:rPr>
          <w:rFonts w:ascii="Times New Roman" w:hAnsi="Times New Roman" w:cs="Times New Roman"/>
          <w:sz w:val="24"/>
          <w:szCs w:val="24"/>
        </w:rPr>
        <w:t>:</w:t>
      </w:r>
    </w:p>
    <w:p w14:paraId="55D677C9" w14:textId="77777777" w:rsidR="00AD4356" w:rsidRPr="00006974" w:rsidRDefault="00AD4356" w:rsidP="00006974">
      <w:pPr>
        <w:spacing w:after="120" w:line="480" w:lineRule="auto"/>
        <w:ind w:left="360"/>
        <w:jc w:val="both"/>
        <w:rPr>
          <w:rFonts w:ascii="Times New Roman" w:hAnsi="Times New Roman" w:cs="Times New Roman"/>
          <w:sz w:val="24"/>
          <w:szCs w:val="24"/>
        </w:rPr>
      </w:pPr>
      <w:r w:rsidRPr="00006974">
        <w:rPr>
          <w:rFonts w:ascii="Times New Roman" w:hAnsi="Times New Roman" w:cs="Times New Roman"/>
          <w:sz w:val="24"/>
          <w:szCs w:val="24"/>
        </w:rPr>
        <w:t xml:space="preserve">“The Companies (Amendment) Act replaces the sub-section concerning penalties under Section 135 of the Companies Act, which was inserted by the Companies (Amendment) Act </w:t>
      </w:r>
      <w:r w:rsidRPr="00006974">
        <w:rPr>
          <w:rFonts w:ascii="Times New Roman" w:hAnsi="Times New Roman" w:cs="Times New Roman"/>
          <w:sz w:val="24"/>
          <w:szCs w:val="24"/>
        </w:rPr>
        <w:lastRenderedPageBreak/>
        <w:t>2019. The new sub-section provides that if companies default in complying with Sub-sections 5 (concerning CSR expenditure amounts) or 6 (concerning the transfer of unspent CSR expenditure amounts) of Section 135 of the Companies Act:</w:t>
      </w:r>
    </w:p>
    <w:p w14:paraId="1FBE440C" w14:textId="77777777" w:rsidR="00AD4356" w:rsidRPr="00006974" w:rsidRDefault="00AD4356" w:rsidP="00006974">
      <w:pPr>
        <w:spacing w:after="0" w:line="480" w:lineRule="auto"/>
        <w:ind w:firstLine="720"/>
        <w:jc w:val="both"/>
        <w:rPr>
          <w:rFonts w:ascii="Times New Roman" w:hAnsi="Times New Roman" w:cs="Times New Roman"/>
          <w:sz w:val="24"/>
          <w:szCs w:val="24"/>
        </w:rPr>
      </w:pPr>
    </w:p>
    <w:p w14:paraId="614534A8" w14:textId="15892CA2" w:rsidR="00AD4356" w:rsidRPr="00006974" w:rsidRDefault="00AD4356" w:rsidP="005979A7">
      <w:pPr>
        <w:numPr>
          <w:ilvl w:val="0"/>
          <w:numId w:val="1"/>
        </w:numPr>
        <w:tabs>
          <w:tab w:val="num" w:pos="1080"/>
        </w:tabs>
        <w:spacing w:after="0" w:line="480" w:lineRule="auto"/>
        <w:ind w:left="1080"/>
        <w:jc w:val="both"/>
        <w:rPr>
          <w:rFonts w:ascii="Times New Roman" w:hAnsi="Times New Roman" w:cs="Times New Roman"/>
          <w:sz w:val="24"/>
          <w:szCs w:val="24"/>
        </w:rPr>
      </w:pPr>
      <w:r w:rsidRPr="00006974">
        <w:rPr>
          <w:rFonts w:ascii="Times New Roman" w:hAnsi="Times New Roman" w:cs="Times New Roman"/>
          <w:sz w:val="24"/>
          <w:szCs w:val="24"/>
        </w:rPr>
        <w:t>they will be liable to a penalty of twice the amount required to be transferred to the fund specified in Schedule VII of the Companies Act or the unspent CSR account, as the case may be, or Rs</w:t>
      </w:r>
      <w:r w:rsidR="00741CC0">
        <w:rPr>
          <w:rFonts w:ascii="Times New Roman" w:hAnsi="Times New Roman" w:cs="Times New Roman"/>
          <w:sz w:val="24"/>
          <w:szCs w:val="24"/>
        </w:rPr>
        <w:t xml:space="preserve">. </w:t>
      </w:r>
      <w:r w:rsidRPr="00006974">
        <w:rPr>
          <w:rFonts w:ascii="Times New Roman" w:hAnsi="Times New Roman" w:cs="Times New Roman"/>
          <w:sz w:val="24"/>
          <w:szCs w:val="24"/>
        </w:rPr>
        <w:t>10 million, whichever is less; and</w:t>
      </w:r>
    </w:p>
    <w:p w14:paraId="370208FE" w14:textId="2D55C765" w:rsidR="00AD4356" w:rsidRPr="00006974" w:rsidRDefault="00AD4356" w:rsidP="005979A7">
      <w:pPr>
        <w:numPr>
          <w:ilvl w:val="0"/>
          <w:numId w:val="1"/>
        </w:numPr>
        <w:tabs>
          <w:tab w:val="num" w:pos="1080"/>
        </w:tabs>
        <w:spacing w:after="0" w:line="480" w:lineRule="auto"/>
        <w:ind w:left="1080"/>
        <w:jc w:val="both"/>
        <w:rPr>
          <w:rFonts w:ascii="Times New Roman" w:hAnsi="Times New Roman" w:cs="Times New Roman"/>
          <w:sz w:val="24"/>
          <w:szCs w:val="24"/>
        </w:rPr>
      </w:pPr>
      <w:r w:rsidRPr="00006974">
        <w:rPr>
          <w:rFonts w:ascii="Times New Roman" w:hAnsi="Times New Roman" w:cs="Times New Roman"/>
          <w:sz w:val="24"/>
          <w:szCs w:val="24"/>
        </w:rPr>
        <w:t>every officer of the company who is in default will be liable to a penalty of one-tenth of the amount required to be transferred by the company to such fund as specified in Schedule VII or the unspent CSR account, as the case may be, or Rs</w:t>
      </w:r>
      <w:r w:rsidR="00F50F6C" w:rsidRPr="00006974">
        <w:rPr>
          <w:rFonts w:ascii="Times New Roman" w:hAnsi="Times New Roman" w:cs="Times New Roman"/>
          <w:sz w:val="24"/>
          <w:szCs w:val="24"/>
        </w:rPr>
        <w:t xml:space="preserve"> </w:t>
      </w:r>
      <w:r w:rsidRPr="00006974">
        <w:rPr>
          <w:rFonts w:ascii="Times New Roman" w:hAnsi="Times New Roman" w:cs="Times New Roman"/>
          <w:sz w:val="24"/>
          <w:szCs w:val="24"/>
        </w:rPr>
        <w:t>200,000, whichever is less.”</w:t>
      </w:r>
    </w:p>
    <w:p w14:paraId="641FCAB1" w14:textId="1E9FBAC9" w:rsidR="00AD4356" w:rsidRPr="00006974" w:rsidRDefault="00C1239F" w:rsidP="000069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Notably</w:t>
      </w:r>
      <w:r w:rsidR="008E1572" w:rsidRPr="00006974">
        <w:rPr>
          <w:rFonts w:ascii="Times New Roman" w:hAnsi="Times New Roman" w:cs="Times New Roman"/>
          <w:sz w:val="24"/>
          <w:szCs w:val="24"/>
        </w:rPr>
        <w:t xml:space="preserve"> the vast majority of Indian firms bound by the CSR mandate were compliant. </w:t>
      </w:r>
      <w:r>
        <w:rPr>
          <w:rFonts w:ascii="Times New Roman" w:hAnsi="Times New Roman" w:cs="Times New Roman"/>
          <w:sz w:val="24"/>
          <w:szCs w:val="24"/>
        </w:rPr>
        <w:t>The recent i</w:t>
      </w:r>
      <w:r w:rsidR="008E1572" w:rsidRPr="00006974">
        <w:rPr>
          <w:rFonts w:ascii="Times New Roman" w:hAnsi="Times New Roman" w:cs="Times New Roman"/>
          <w:sz w:val="24"/>
          <w:szCs w:val="24"/>
        </w:rPr>
        <w:t xml:space="preserve">ntroduction of the punitive clause </w:t>
      </w:r>
      <w:r>
        <w:rPr>
          <w:rFonts w:ascii="Times New Roman" w:hAnsi="Times New Roman" w:cs="Times New Roman"/>
          <w:sz w:val="24"/>
          <w:szCs w:val="24"/>
        </w:rPr>
        <w:t xml:space="preserve">therefore </w:t>
      </w:r>
      <w:r w:rsidR="008E1572" w:rsidRPr="00006974">
        <w:rPr>
          <w:rFonts w:ascii="Times New Roman" w:hAnsi="Times New Roman" w:cs="Times New Roman"/>
          <w:sz w:val="24"/>
          <w:szCs w:val="24"/>
        </w:rPr>
        <w:t xml:space="preserve">is </w:t>
      </w:r>
      <w:r>
        <w:rPr>
          <w:rFonts w:ascii="Times New Roman" w:hAnsi="Times New Roman" w:cs="Times New Roman"/>
          <w:sz w:val="24"/>
          <w:szCs w:val="24"/>
        </w:rPr>
        <w:t xml:space="preserve">not an indication of inaction but perhaps a signal of nation state’s reassertion of its authority. It is then understandable that </w:t>
      </w:r>
      <w:proofErr w:type="spellStart"/>
      <w:r>
        <w:rPr>
          <w:rFonts w:ascii="Times New Roman" w:hAnsi="Times New Roman" w:cs="Times New Roman"/>
          <w:sz w:val="24"/>
          <w:szCs w:val="24"/>
        </w:rPr>
        <w:t>Gatti</w:t>
      </w:r>
      <w:proofErr w:type="spellEnd"/>
      <w:r>
        <w:rPr>
          <w:rFonts w:ascii="Times New Roman" w:hAnsi="Times New Roman" w:cs="Times New Roman"/>
          <w:sz w:val="24"/>
          <w:szCs w:val="24"/>
        </w:rPr>
        <w:t xml:space="preserve"> et al. (2019) ask if we are </w:t>
      </w:r>
      <w:r w:rsidRPr="00EB1E2E">
        <w:rPr>
          <w:rFonts w:ascii="Times New Roman" w:hAnsi="Times New Roman" w:cs="Times New Roman"/>
          <w:sz w:val="24"/>
          <w:szCs w:val="24"/>
        </w:rPr>
        <w:t>moving beyond voluntary CSR</w:t>
      </w:r>
      <w:r>
        <w:rPr>
          <w:rFonts w:ascii="Times New Roman" w:hAnsi="Times New Roman" w:cs="Times New Roman"/>
          <w:sz w:val="24"/>
          <w:szCs w:val="24"/>
        </w:rPr>
        <w:t xml:space="preserve"> and will see more and more stringent involvement of the nation state in guiding </w:t>
      </w:r>
      <w:r w:rsidR="00CF0B4A">
        <w:rPr>
          <w:rFonts w:ascii="Times New Roman" w:hAnsi="Times New Roman" w:cs="Times New Roman"/>
          <w:sz w:val="24"/>
          <w:szCs w:val="24"/>
        </w:rPr>
        <w:t xml:space="preserve">CSR practices. </w:t>
      </w:r>
    </w:p>
    <w:p w14:paraId="32AFE103" w14:textId="5C116675" w:rsidR="00AD4356" w:rsidRPr="00006974" w:rsidRDefault="00AD4356" w:rsidP="005979A7">
      <w:pPr>
        <w:spacing w:after="120" w:line="480" w:lineRule="auto"/>
        <w:ind w:firstLine="720"/>
        <w:jc w:val="both"/>
        <w:rPr>
          <w:rFonts w:ascii="Times New Roman" w:hAnsi="Times New Roman" w:cs="Times New Roman"/>
          <w:sz w:val="24"/>
          <w:szCs w:val="24"/>
        </w:rPr>
      </w:pPr>
      <w:r w:rsidRPr="00006974">
        <w:rPr>
          <w:rFonts w:ascii="Times New Roman" w:hAnsi="Times New Roman" w:cs="Times New Roman"/>
          <w:sz w:val="24"/>
          <w:szCs w:val="24"/>
        </w:rPr>
        <w:t xml:space="preserve">Our results also have strong policy implications. Enacting </w:t>
      </w:r>
      <w:r w:rsidR="00146CDB" w:rsidRPr="00006974">
        <w:rPr>
          <w:rFonts w:ascii="Times New Roman" w:hAnsi="Times New Roman" w:cs="Times New Roman"/>
          <w:sz w:val="24"/>
          <w:szCs w:val="24"/>
        </w:rPr>
        <w:t>soft</w:t>
      </w:r>
      <w:r w:rsidRPr="00006974">
        <w:rPr>
          <w:rFonts w:ascii="Times New Roman" w:hAnsi="Times New Roman" w:cs="Times New Roman"/>
          <w:sz w:val="24"/>
          <w:szCs w:val="24"/>
        </w:rPr>
        <w:t xml:space="preserve"> CSR regulation can be an effective approach in those societies where, due to historical or institutional factors, CSR remains a niche activity in which only a handful of firms participate. </w:t>
      </w:r>
      <w:r w:rsidR="00146CDB" w:rsidRPr="00006974">
        <w:rPr>
          <w:rFonts w:ascii="Times New Roman" w:hAnsi="Times New Roman" w:cs="Times New Roman"/>
          <w:sz w:val="24"/>
          <w:szCs w:val="24"/>
        </w:rPr>
        <w:t>Soft</w:t>
      </w:r>
      <w:r w:rsidRPr="00006974">
        <w:rPr>
          <w:rFonts w:ascii="Times New Roman" w:hAnsi="Times New Roman" w:cs="Times New Roman"/>
          <w:sz w:val="24"/>
          <w:szCs w:val="24"/>
        </w:rPr>
        <w:t xml:space="preserve"> CSR regulations can make the soil sufficiently fertile for markets to support widespread uptake of CSR. This raises a critical question though: why bother with CSR</w:t>
      </w:r>
      <w:r w:rsidR="008E1572" w:rsidRPr="00006974">
        <w:rPr>
          <w:rFonts w:ascii="Times New Roman" w:hAnsi="Times New Roman" w:cs="Times New Roman"/>
          <w:sz w:val="24"/>
          <w:szCs w:val="24"/>
        </w:rPr>
        <w:t xml:space="preserve">: </w:t>
      </w:r>
      <w:r w:rsidRPr="00006974">
        <w:rPr>
          <w:rFonts w:ascii="Times New Roman" w:hAnsi="Times New Roman" w:cs="Times New Roman"/>
          <w:sz w:val="24"/>
          <w:szCs w:val="24"/>
        </w:rPr>
        <w:t xml:space="preserve">why not simply tax firms and divert the revenue collected for social </w:t>
      </w:r>
      <w:r w:rsidR="008053CC" w:rsidRPr="00006974">
        <w:rPr>
          <w:rFonts w:ascii="Times New Roman" w:hAnsi="Times New Roman" w:cs="Times New Roman"/>
          <w:sz w:val="24"/>
          <w:szCs w:val="24"/>
        </w:rPr>
        <w:t xml:space="preserve">development </w:t>
      </w:r>
      <w:r w:rsidRPr="00006974">
        <w:rPr>
          <w:rFonts w:ascii="Times New Roman" w:hAnsi="Times New Roman" w:cs="Times New Roman"/>
          <w:sz w:val="24"/>
          <w:szCs w:val="24"/>
        </w:rPr>
        <w:t>purpose</w:t>
      </w:r>
      <w:r w:rsidR="008053CC" w:rsidRPr="00006974">
        <w:rPr>
          <w:rFonts w:ascii="Times New Roman" w:hAnsi="Times New Roman" w:cs="Times New Roman"/>
          <w:sz w:val="24"/>
          <w:szCs w:val="24"/>
        </w:rPr>
        <w:t>s</w:t>
      </w:r>
      <w:r w:rsidRPr="00006974">
        <w:rPr>
          <w:rFonts w:ascii="Times New Roman" w:hAnsi="Times New Roman" w:cs="Times New Roman"/>
          <w:sz w:val="24"/>
          <w:szCs w:val="24"/>
        </w:rPr>
        <w:t xml:space="preserve">? </w:t>
      </w:r>
      <w:r w:rsidR="00146CDB" w:rsidRPr="00006974">
        <w:rPr>
          <w:rFonts w:ascii="Times New Roman" w:hAnsi="Times New Roman" w:cs="Times New Roman"/>
          <w:sz w:val="24"/>
          <w:szCs w:val="24"/>
        </w:rPr>
        <w:t>T</w:t>
      </w:r>
      <w:r w:rsidRPr="00006974">
        <w:rPr>
          <w:rFonts w:ascii="Times New Roman" w:hAnsi="Times New Roman" w:cs="Times New Roman"/>
          <w:sz w:val="24"/>
          <w:szCs w:val="24"/>
        </w:rPr>
        <w:t xml:space="preserve">his may </w:t>
      </w:r>
      <w:r w:rsidR="00146CDB" w:rsidRPr="00006974">
        <w:rPr>
          <w:rFonts w:ascii="Times New Roman" w:hAnsi="Times New Roman" w:cs="Times New Roman"/>
          <w:sz w:val="24"/>
          <w:szCs w:val="24"/>
        </w:rPr>
        <w:t xml:space="preserve">indeed </w:t>
      </w:r>
      <w:r w:rsidRPr="00006974">
        <w:rPr>
          <w:rFonts w:ascii="Times New Roman" w:hAnsi="Times New Roman" w:cs="Times New Roman"/>
          <w:sz w:val="24"/>
          <w:szCs w:val="24"/>
        </w:rPr>
        <w:t>be an intuitively convenient arrangement</w:t>
      </w:r>
      <w:r w:rsidR="008E1572" w:rsidRPr="00006974">
        <w:rPr>
          <w:rFonts w:ascii="Times New Roman" w:hAnsi="Times New Roman" w:cs="Times New Roman"/>
          <w:sz w:val="24"/>
          <w:szCs w:val="24"/>
        </w:rPr>
        <w:t xml:space="preserve"> but </w:t>
      </w:r>
      <w:r w:rsidRPr="00006974">
        <w:rPr>
          <w:rFonts w:ascii="Times New Roman" w:hAnsi="Times New Roman" w:cs="Times New Roman"/>
          <w:sz w:val="24"/>
          <w:szCs w:val="24"/>
        </w:rPr>
        <w:t xml:space="preserve">it </w:t>
      </w:r>
      <w:r w:rsidR="00CF0B4A">
        <w:rPr>
          <w:rFonts w:ascii="Times New Roman" w:hAnsi="Times New Roman" w:cs="Times New Roman"/>
          <w:sz w:val="24"/>
          <w:szCs w:val="24"/>
        </w:rPr>
        <w:t xml:space="preserve">could deter </w:t>
      </w:r>
      <w:r w:rsidRPr="00006974">
        <w:rPr>
          <w:rFonts w:ascii="Times New Roman" w:hAnsi="Times New Roman" w:cs="Times New Roman"/>
          <w:sz w:val="24"/>
          <w:szCs w:val="24"/>
        </w:rPr>
        <w:t>foreign investment</w:t>
      </w:r>
      <w:r w:rsidR="008E1572" w:rsidRPr="00006974">
        <w:rPr>
          <w:rFonts w:ascii="Times New Roman" w:hAnsi="Times New Roman" w:cs="Times New Roman"/>
          <w:sz w:val="24"/>
          <w:szCs w:val="24"/>
        </w:rPr>
        <w:t xml:space="preserve"> because </w:t>
      </w:r>
      <w:r w:rsidRPr="00006974">
        <w:rPr>
          <w:rFonts w:ascii="Times New Roman" w:hAnsi="Times New Roman" w:cs="Times New Roman"/>
          <w:sz w:val="24"/>
          <w:szCs w:val="24"/>
        </w:rPr>
        <w:t xml:space="preserve">many developing countries are already rated poorly on </w:t>
      </w:r>
      <w:r w:rsidRPr="00006974">
        <w:rPr>
          <w:rFonts w:ascii="Times New Roman" w:hAnsi="Times New Roman" w:cs="Times New Roman"/>
          <w:sz w:val="24"/>
          <w:szCs w:val="24"/>
        </w:rPr>
        <w:lastRenderedPageBreak/>
        <w:t>the regulatory ease of doing business</w:t>
      </w:r>
      <w:r w:rsidR="008E1572" w:rsidRPr="00006974">
        <w:rPr>
          <w:rFonts w:ascii="Times New Roman" w:hAnsi="Times New Roman" w:cs="Times New Roman"/>
          <w:sz w:val="24"/>
          <w:szCs w:val="24"/>
        </w:rPr>
        <w:t xml:space="preserve">; </w:t>
      </w:r>
      <w:r w:rsidRPr="00006974">
        <w:rPr>
          <w:rFonts w:ascii="Times New Roman" w:hAnsi="Times New Roman" w:cs="Times New Roman"/>
          <w:sz w:val="24"/>
          <w:szCs w:val="24"/>
        </w:rPr>
        <w:t xml:space="preserve">adding another tax would </w:t>
      </w:r>
      <w:r w:rsidR="0022768E" w:rsidRPr="00006974">
        <w:rPr>
          <w:rFonts w:ascii="Times New Roman" w:hAnsi="Times New Roman" w:cs="Times New Roman"/>
          <w:sz w:val="24"/>
          <w:szCs w:val="24"/>
        </w:rPr>
        <w:t>worsen</w:t>
      </w:r>
      <w:r w:rsidR="008E1572" w:rsidRPr="00006974">
        <w:rPr>
          <w:rFonts w:ascii="Times New Roman" w:hAnsi="Times New Roman" w:cs="Times New Roman"/>
          <w:sz w:val="24"/>
          <w:szCs w:val="24"/>
        </w:rPr>
        <w:t xml:space="preserve"> those </w:t>
      </w:r>
      <w:r w:rsidR="00CF0B4A">
        <w:rPr>
          <w:rFonts w:ascii="Times New Roman" w:hAnsi="Times New Roman" w:cs="Times New Roman"/>
          <w:sz w:val="24"/>
          <w:szCs w:val="24"/>
        </w:rPr>
        <w:t xml:space="preserve">perceptions. </w:t>
      </w:r>
      <w:r w:rsidR="0022768E" w:rsidRPr="00006974">
        <w:rPr>
          <w:rFonts w:ascii="Times New Roman" w:hAnsi="Times New Roman" w:cs="Times New Roman"/>
          <w:sz w:val="24"/>
          <w:szCs w:val="24"/>
        </w:rPr>
        <w:t xml:space="preserve">In contrast, </w:t>
      </w:r>
      <w:r w:rsidRPr="00006974">
        <w:rPr>
          <w:rFonts w:ascii="Times New Roman" w:hAnsi="Times New Roman" w:cs="Times New Roman"/>
          <w:sz w:val="24"/>
          <w:szCs w:val="24"/>
        </w:rPr>
        <w:t>CSR expenses</w:t>
      </w:r>
      <w:r w:rsidR="0022768E" w:rsidRPr="00006974">
        <w:rPr>
          <w:rFonts w:ascii="Times New Roman" w:hAnsi="Times New Roman" w:cs="Times New Roman"/>
          <w:sz w:val="24"/>
          <w:szCs w:val="24"/>
        </w:rPr>
        <w:t xml:space="preserve">, even when legally mandated, </w:t>
      </w:r>
      <w:r w:rsidRPr="00006974">
        <w:rPr>
          <w:rFonts w:ascii="Times New Roman" w:hAnsi="Times New Roman" w:cs="Times New Roman"/>
          <w:sz w:val="24"/>
          <w:szCs w:val="24"/>
        </w:rPr>
        <w:t xml:space="preserve">would </w:t>
      </w:r>
      <w:r w:rsidR="0022768E" w:rsidRPr="00006974">
        <w:rPr>
          <w:rFonts w:ascii="Times New Roman" w:hAnsi="Times New Roman" w:cs="Times New Roman"/>
          <w:sz w:val="24"/>
          <w:szCs w:val="24"/>
        </w:rPr>
        <w:t xml:space="preserve">align with </w:t>
      </w:r>
      <w:r w:rsidR="00CF0B4A">
        <w:rPr>
          <w:rFonts w:ascii="Times New Roman" w:hAnsi="Times New Roman" w:cs="Times New Roman"/>
          <w:sz w:val="24"/>
          <w:szCs w:val="24"/>
        </w:rPr>
        <w:t xml:space="preserve">ethos of most </w:t>
      </w:r>
      <w:r w:rsidR="0022768E" w:rsidRPr="00006974">
        <w:rPr>
          <w:rFonts w:ascii="Times New Roman" w:hAnsi="Times New Roman" w:cs="Times New Roman"/>
          <w:sz w:val="24"/>
          <w:szCs w:val="24"/>
        </w:rPr>
        <w:t>MNCs</w:t>
      </w:r>
      <w:r w:rsidR="00CF0B4A">
        <w:rPr>
          <w:rFonts w:ascii="Times New Roman" w:hAnsi="Times New Roman" w:cs="Times New Roman"/>
          <w:sz w:val="24"/>
          <w:szCs w:val="24"/>
        </w:rPr>
        <w:t>.  S</w:t>
      </w:r>
      <w:r w:rsidR="0022768E" w:rsidRPr="00006974">
        <w:rPr>
          <w:rFonts w:ascii="Times New Roman" w:hAnsi="Times New Roman" w:cs="Times New Roman"/>
          <w:sz w:val="24"/>
          <w:szCs w:val="24"/>
        </w:rPr>
        <w:t xml:space="preserve">oft </w:t>
      </w:r>
      <w:r w:rsidRPr="00006974">
        <w:rPr>
          <w:rFonts w:ascii="Times New Roman" w:hAnsi="Times New Roman" w:cs="Times New Roman"/>
          <w:sz w:val="24"/>
          <w:szCs w:val="24"/>
        </w:rPr>
        <w:t>CSR regulations</w:t>
      </w:r>
      <w:r w:rsidR="0022768E" w:rsidRPr="00006974">
        <w:rPr>
          <w:rFonts w:ascii="Times New Roman" w:hAnsi="Times New Roman" w:cs="Times New Roman"/>
          <w:sz w:val="24"/>
          <w:szCs w:val="24"/>
        </w:rPr>
        <w:t xml:space="preserve"> – as opposed to a social development tax – would help domestic companies too</w:t>
      </w:r>
      <w:r w:rsidR="00CF0B4A">
        <w:rPr>
          <w:rFonts w:ascii="Times New Roman" w:hAnsi="Times New Roman" w:cs="Times New Roman"/>
          <w:sz w:val="24"/>
          <w:szCs w:val="24"/>
        </w:rPr>
        <w:t xml:space="preserve">. These requirements will </w:t>
      </w:r>
      <w:r w:rsidR="00515A6D">
        <w:rPr>
          <w:rFonts w:ascii="Times New Roman" w:hAnsi="Times New Roman" w:cs="Times New Roman"/>
          <w:sz w:val="24"/>
          <w:szCs w:val="24"/>
        </w:rPr>
        <w:t xml:space="preserve">enhance CSR capabilities of domestic companies that, in turn, </w:t>
      </w:r>
      <w:r w:rsidR="0022768E" w:rsidRPr="00006974">
        <w:rPr>
          <w:rFonts w:ascii="Times New Roman" w:hAnsi="Times New Roman" w:cs="Times New Roman"/>
          <w:sz w:val="24"/>
          <w:szCs w:val="24"/>
        </w:rPr>
        <w:t xml:space="preserve"> can aid in future internationalization efforts</w:t>
      </w:r>
      <w:r w:rsidR="00515A6D">
        <w:rPr>
          <w:rFonts w:ascii="Times New Roman" w:hAnsi="Times New Roman" w:cs="Times New Roman"/>
          <w:sz w:val="24"/>
          <w:szCs w:val="24"/>
        </w:rPr>
        <w:t xml:space="preserve"> of domestic companies</w:t>
      </w:r>
      <w:r w:rsidR="0022768E" w:rsidRPr="00006974">
        <w:rPr>
          <w:rFonts w:ascii="Times New Roman" w:hAnsi="Times New Roman" w:cs="Times New Roman"/>
          <w:sz w:val="24"/>
          <w:szCs w:val="24"/>
        </w:rPr>
        <w:t xml:space="preserve">. </w:t>
      </w:r>
      <w:proofErr w:type="spellStart"/>
      <w:r w:rsidRPr="00006974">
        <w:rPr>
          <w:rFonts w:ascii="Times New Roman" w:hAnsi="Times New Roman" w:cs="Times New Roman"/>
          <w:sz w:val="24"/>
          <w:szCs w:val="24"/>
        </w:rPr>
        <w:t>Marano</w:t>
      </w:r>
      <w:proofErr w:type="spellEnd"/>
      <w:r w:rsidRPr="00006974">
        <w:rPr>
          <w:rFonts w:ascii="Times New Roman" w:hAnsi="Times New Roman" w:cs="Times New Roman"/>
          <w:sz w:val="24"/>
          <w:szCs w:val="24"/>
        </w:rPr>
        <w:t xml:space="preserve"> and colleagues (2017) show that prior CSR experience can help domestic companies in overcoming liability of origins when they enter foreign markets because of their improved ability to connect with global audiences. Thus, a soft CSR regulation is a more strategic approach than a social development tax both to attract foreign investment and to enable domestic companies to enter </w:t>
      </w:r>
      <w:r w:rsidR="00146CDB" w:rsidRPr="00006974">
        <w:rPr>
          <w:rFonts w:ascii="Times New Roman" w:hAnsi="Times New Roman" w:cs="Times New Roman"/>
          <w:sz w:val="24"/>
          <w:szCs w:val="24"/>
        </w:rPr>
        <w:t xml:space="preserve">and compete in </w:t>
      </w:r>
      <w:r w:rsidRPr="00006974">
        <w:rPr>
          <w:rFonts w:ascii="Times New Roman" w:hAnsi="Times New Roman" w:cs="Times New Roman"/>
          <w:sz w:val="24"/>
          <w:szCs w:val="24"/>
        </w:rPr>
        <w:t xml:space="preserve">foreign markets. </w:t>
      </w:r>
    </w:p>
    <w:p w14:paraId="5A71E2A8" w14:textId="6C9246B9" w:rsidR="00146CDB" w:rsidRPr="00006974" w:rsidRDefault="00146CDB" w:rsidP="005979A7">
      <w:pPr>
        <w:spacing w:after="120" w:line="480" w:lineRule="auto"/>
        <w:jc w:val="both"/>
        <w:rPr>
          <w:rFonts w:ascii="Times New Roman" w:hAnsi="Times New Roman" w:cs="Times New Roman"/>
          <w:sz w:val="24"/>
          <w:szCs w:val="24"/>
        </w:rPr>
      </w:pPr>
      <w:r w:rsidRPr="00D02FD5">
        <w:rPr>
          <w:rFonts w:ascii="Times New Roman" w:hAnsi="Times New Roman" w:cs="Times New Roman"/>
          <w:b/>
          <w:sz w:val="24"/>
          <w:szCs w:val="24"/>
        </w:rPr>
        <w:t>Limitations and future research</w:t>
      </w:r>
      <w:r w:rsidRPr="00006974">
        <w:rPr>
          <w:rFonts w:ascii="Times New Roman" w:hAnsi="Times New Roman" w:cs="Times New Roman"/>
          <w:sz w:val="24"/>
          <w:szCs w:val="24"/>
        </w:rPr>
        <w:t xml:space="preserve"> </w:t>
      </w:r>
    </w:p>
    <w:p w14:paraId="5E1133E7" w14:textId="49DB9C89" w:rsidR="00146CDB" w:rsidRPr="00146CDB" w:rsidRDefault="00146CDB" w:rsidP="000D124D">
      <w:pPr>
        <w:spacing w:after="120" w:line="480" w:lineRule="auto"/>
        <w:jc w:val="both"/>
        <w:rPr>
          <w:rFonts w:ascii="Times New Roman" w:hAnsi="Times New Roman" w:cs="Times New Roman"/>
          <w:sz w:val="24"/>
          <w:szCs w:val="24"/>
        </w:rPr>
      </w:pPr>
      <w:r w:rsidRPr="00146CDB">
        <w:rPr>
          <w:rFonts w:ascii="Times New Roman" w:hAnsi="Times New Roman" w:cs="Times New Roman"/>
          <w:sz w:val="24"/>
          <w:szCs w:val="24"/>
        </w:rPr>
        <w:t>Notwithstanding the novelty of our findings and their implications for CSR research and practice, the study suffers from several limitations. Firstly, even though we offer conclusive evidence in support of our results, these are based on a unique quasi-natural experiment specific to India. India’s context is unique due to its colonial history, several decades of Soviet style economic framework followed by a massive wave of privatization that led to an explosive yet maldistributed economic growth, rampant private sector corruption, huge influx of foreign companies, and a visible deterioration in social and environmental systems. Thus, despite the promise of generalizability through information-rich critical case</w:t>
      </w:r>
      <w:r w:rsidR="008053CC">
        <w:rPr>
          <w:rFonts w:ascii="Times New Roman" w:hAnsi="Times New Roman" w:cs="Times New Roman"/>
          <w:sz w:val="24"/>
          <w:szCs w:val="24"/>
        </w:rPr>
        <w:t>s</w:t>
      </w:r>
      <w:r w:rsidRPr="00146CDB">
        <w:rPr>
          <w:rFonts w:ascii="Times New Roman" w:hAnsi="Times New Roman" w:cs="Times New Roman"/>
          <w:sz w:val="24"/>
          <w:szCs w:val="24"/>
        </w:rPr>
        <w:t xml:space="preserve"> (</w:t>
      </w:r>
      <w:proofErr w:type="spellStart"/>
      <w:r w:rsidRPr="00146CDB">
        <w:rPr>
          <w:rFonts w:ascii="Times New Roman" w:hAnsi="Times New Roman" w:cs="Times New Roman"/>
          <w:sz w:val="24"/>
          <w:szCs w:val="24"/>
        </w:rPr>
        <w:t>Flyvbjerg</w:t>
      </w:r>
      <w:proofErr w:type="spellEnd"/>
      <w:r w:rsidRPr="00146CDB">
        <w:rPr>
          <w:rFonts w:ascii="Times New Roman" w:hAnsi="Times New Roman" w:cs="Times New Roman"/>
          <w:sz w:val="24"/>
          <w:szCs w:val="24"/>
        </w:rPr>
        <w:t xml:space="preserve">, 2001), we resist the temptation to say that our findings are generalizable beyond the unique Indian context. Future studies can replicate this design in other contexts and conduct comparative analysis to understand whether </w:t>
      </w:r>
      <w:r>
        <w:rPr>
          <w:rFonts w:ascii="Times New Roman" w:hAnsi="Times New Roman" w:cs="Times New Roman"/>
          <w:sz w:val="24"/>
          <w:szCs w:val="24"/>
        </w:rPr>
        <w:t>a similar CSR mandate would produce similar effects</w:t>
      </w:r>
      <w:r w:rsidR="00B034CC">
        <w:rPr>
          <w:rFonts w:ascii="Times New Roman" w:hAnsi="Times New Roman" w:cs="Times New Roman"/>
          <w:sz w:val="24"/>
          <w:szCs w:val="24"/>
        </w:rPr>
        <w:t xml:space="preserve"> on firm value</w:t>
      </w:r>
      <w:r>
        <w:rPr>
          <w:rFonts w:ascii="Times New Roman" w:hAnsi="Times New Roman" w:cs="Times New Roman"/>
          <w:sz w:val="24"/>
          <w:szCs w:val="24"/>
        </w:rPr>
        <w:t xml:space="preserve"> in other contexts. Indeed, future studies should also consider the effect of other forms of soft CSR regulations on firm value. </w:t>
      </w:r>
    </w:p>
    <w:p w14:paraId="5500FBD5" w14:textId="09EEC133" w:rsidR="00146CDB" w:rsidRPr="00146CDB" w:rsidRDefault="00146CDB" w:rsidP="00006974">
      <w:pPr>
        <w:spacing w:after="120" w:line="480" w:lineRule="auto"/>
        <w:ind w:firstLine="720"/>
        <w:jc w:val="both"/>
        <w:rPr>
          <w:rFonts w:ascii="Times New Roman" w:hAnsi="Times New Roman" w:cs="Times New Roman"/>
          <w:sz w:val="24"/>
          <w:szCs w:val="24"/>
        </w:rPr>
      </w:pPr>
      <w:r w:rsidRPr="00146CDB">
        <w:rPr>
          <w:rFonts w:ascii="Times New Roman" w:hAnsi="Times New Roman" w:cs="Times New Roman"/>
          <w:sz w:val="24"/>
          <w:szCs w:val="24"/>
        </w:rPr>
        <w:lastRenderedPageBreak/>
        <w:t xml:space="preserve">From </w:t>
      </w:r>
      <w:r w:rsidR="008053CC">
        <w:rPr>
          <w:rFonts w:ascii="Times New Roman" w:hAnsi="Times New Roman" w:cs="Times New Roman"/>
          <w:sz w:val="24"/>
          <w:szCs w:val="24"/>
        </w:rPr>
        <w:t xml:space="preserve">a </w:t>
      </w:r>
      <w:r w:rsidRPr="00146CDB">
        <w:rPr>
          <w:rFonts w:ascii="Times New Roman" w:hAnsi="Times New Roman" w:cs="Times New Roman"/>
          <w:sz w:val="24"/>
          <w:szCs w:val="24"/>
        </w:rPr>
        <w:t xml:space="preserve">methodological perspective, it is critically important to note that event studies are inherently problematic in the context of a legislative evolution. Because legislative processes go through </w:t>
      </w:r>
      <w:r w:rsidR="008053CC">
        <w:rPr>
          <w:rFonts w:ascii="Times New Roman" w:hAnsi="Times New Roman" w:cs="Times New Roman"/>
          <w:sz w:val="24"/>
          <w:szCs w:val="24"/>
        </w:rPr>
        <w:t xml:space="preserve">an </w:t>
      </w:r>
      <w:r w:rsidRPr="00146CDB">
        <w:rPr>
          <w:rFonts w:ascii="Times New Roman" w:hAnsi="Times New Roman" w:cs="Times New Roman"/>
          <w:sz w:val="24"/>
          <w:szCs w:val="24"/>
        </w:rPr>
        <w:t>iterative process of multi</w:t>
      </w:r>
      <w:r w:rsidR="008053CC">
        <w:rPr>
          <w:rFonts w:ascii="Times New Roman" w:hAnsi="Times New Roman" w:cs="Times New Roman"/>
          <w:sz w:val="24"/>
          <w:szCs w:val="24"/>
        </w:rPr>
        <w:t>-</w:t>
      </w:r>
      <w:r w:rsidRPr="00146CDB">
        <w:rPr>
          <w:rFonts w:ascii="Times New Roman" w:hAnsi="Times New Roman" w:cs="Times New Roman"/>
          <w:sz w:val="24"/>
          <w:szCs w:val="24"/>
        </w:rPr>
        <w:t xml:space="preserve">stakeholder negotiations, precise determination of an event date that produces an exogenous shock is tenuous. We followed “best practice” prescriptions of conducting an event study and we are confident that the </w:t>
      </w:r>
      <w:r w:rsidR="00DB740E">
        <w:rPr>
          <w:rFonts w:ascii="Times New Roman" w:hAnsi="Times New Roman" w:cs="Times New Roman"/>
          <w:sz w:val="24"/>
          <w:szCs w:val="24"/>
        </w:rPr>
        <w:t>soft</w:t>
      </w:r>
      <w:r w:rsidR="00DB740E" w:rsidRPr="00146CDB">
        <w:rPr>
          <w:rFonts w:ascii="Times New Roman" w:hAnsi="Times New Roman" w:cs="Times New Roman"/>
          <w:sz w:val="24"/>
          <w:szCs w:val="24"/>
        </w:rPr>
        <w:t xml:space="preserve"> </w:t>
      </w:r>
      <w:r w:rsidRPr="00146CDB">
        <w:rPr>
          <w:rFonts w:ascii="Times New Roman" w:hAnsi="Times New Roman" w:cs="Times New Roman"/>
          <w:sz w:val="24"/>
          <w:szCs w:val="24"/>
        </w:rPr>
        <w:t xml:space="preserve">nature of India’s CSR regulation became clear on our chosen event date but we cannot assert that firms and investors did not have an inkling of what was coming. </w:t>
      </w:r>
      <w:r w:rsidR="00B034CC">
        <w:rPr>
          <w:rFonts w:ascii="Times New Roman" w:hAnsi="Times New Roman" w:cs="Times New Roman"/>
          <w:sz w:val="24"/>
          <w:szCs w:val="24"/>
        </w:rPr>
        <w:t xml:space="preserve">Still, </w:t>
      </w:r>
      <w:r w:rsidRPr="00146CDB">
        <w:rPr>
          <w:rFonts w:ascii="Times New Roman" w:hAnsi="Times New Roman" w:cs="Times New Roman"/>
          <w:sz w:val="24"/>
          <w:szCs w:val="24"/>
        </w:rPr>
        <w:t xml:space="preserve">the fact that stocks movement is econometrically distinct for </w:t>
      </w:r>
      <w:r w:rsidR="00B034CC">
        <w:rPr>
          <w:rFonts w:ascii="Times New Roman" w:hAnsi="Times New Roman" w:cs="Times New Roman"/>
          <w:sz w:val="24"/>
          <w:szCs w:val="24"/>
        </w:rPr>
        <w:t xml:space="preserve">CSR mandate </w:t>
      </w:r>
      <w:r w:rsidRPr="00146CDB">
        <w:rPr>
          <w:rFonts w:ascii="Times New Roman" w:hAnsi="Times New Roman" w:cs="Times New Roman"/>
          <w:sz w:val="24"/>
          <w:szCs w:val="24"/>
        </w:rPr>
        <w:t xml:space="preserve">subjugated and non-subjugated firms shows that investors, regardless of whether they may have expected it or not, reacted to the finalization of the regulation in a </w:t>
      </w:r>
      <w:r w:rsidR="00B034CC">
        <w:rPr>
          <w:rFonts w:ascii="Times New Roman" w:hAnsi="Times New Roman" w:cs="Times New Roman"/>
          <w:sz w:val="24"/>
          <w:szCs w:val="24"/>
        </w:rPr>
        <w:t xml:space="preserve">soft </w:t>
      </w:r>
      <w:r w:rsidRPr="00146CDB">
        <w:rPr>
          <w:rFonts w:ascii="Times New Roman" w:hAnsi="Times New Roman" w:cs="Times New Roman"/>
          <w:sz w:val="24"/>
          <w:szCs w:val="24"/>
        </w:rPr>
        <w:t xml:space="preserve">form. </w:t>
      </w:r>
      <w:r w:rsidR="00B034CC">
        <w:rPr>
          <w:rFonts w:ascii="Times New Roman" w:hAnsi="Times New Roman" w:cs="Times New Roman"/>
          <w:sz w:val="24"/>
          <w:szCs w:val="24"/>
        </w:rPr>
        <w:t xml:space="preserve">That said, </w:t>
      </w:r>
      <w:r w:rsidRPr="00146CDB">
        <w:rPr>
          <w:rFonts w:ascii="Times New Roman" w:hAnsi="Times New Roman" w:cs="Times New Roman"/>
          <w:sz w:val="24"/>
          <w:szCs w:val="24"/>
        </w:rPr>
        <w:t>our study results should be interpreted in light of persistent unsettled debates about methodological concerns in event studies (</w:t>
      </w:r>
      <w:proofErr w:type="spellStart"/>
      <w:r w:rsidRPr="00146CDB">
        <w:rPr>
          <w:rFonts w:ascii="Times New Roman" w:hAnsi="Times New Roman" w:cs="Times New Roman"/>
          <w:sz w:val="24"/>
          <w:szCs w:val="24"/>
        </w:rPr>
        <w:t>Meznar</w:t>
      </w:r>
      <w:proofErr w:type="spellEnd"/>
      <w:r w:rsidRPr="00146CDB">
        <w:rPr>
          <w:rFonts w:ascii="Times New Roman" w:hAnsi="Times New Roman" w:cs="Times New Roman"/>
          <w:sz w:val="24"/>
          <w:szCs w:val="24"/>
        </w:rPr>
        <w:t xml:space="preserve"> et al., 1998). The choice of a different event date leads to completely different results. It is then not surprising that </w:t>
      </w:r>
      <w:proofErr w:type="spellStart"/>
      <w:r w:rsidRPr="00146CDB">
        <w:rPr>
          <w:rFonts w:ascii="Times New Roman" w:hAnsi="Times New Roman" w:cs="Times New Roman"/>
          <w:sz w:val="24"/>
          <w:szCs w:val="24"/>
        </w:rPr>
        <w:t>Manchiraju</w:t>
      </w:r>
      <w:proofErr w:type="spellEnd"/>
      <w:r w:rsidRPr="00146CDB">
        <w:rPr>
          <w:rFonts w:ascii="Times New Roman" w:hAnsi="Times New Roman" w:cs="Times New Roman"/>
          <w:sz w:val="24"/>
          <w:szCs w:val="24"/>
        </w:rPr>
        <w:t xml:space="preserve"> and </w:t>
      </w:r>
      <w:proofErr w:type="spellStart"/>
      <w:r w:rsidRPr="00146CDB">
        <w:rPr>
          <w:rFonts w:ascii="Times New Roman" w:hAnsi="Times New Roman" w:cs="Times New Roman"/>
          <w:sz w:val="24"/>
          <w:szCs w:val="24"/>
        </w:rPr>
        <w:t>Rajgopal</w:t>
      </w:r>
      <w:proofErr w:type="spellEnd"/>
      <w:r w:rsidRPr="00146CDB">
        <w:rPr>
          <w:rFonts w:ascii="Times New Roman" w:hAnsi="Times New Roman" w:cs="Times New Roman"/>
          <w:sz w:val="24"/>
          <w:szCs w:val="24"/>
        </w:rPr>
        <w:t xml:space="preserve"> (2017) study, which chose </w:t>
      </w:r>
      <w:r w:rsidR="00B034CC">
        <w:rPr>
          <w:rFonts w:ascii="Times New Roman" w:hAnsi="Times New Roman" w:cs="Times New Roman"/>
          <w:sz w:val="24"/>
          <w:szCs w:val="24"/>
        </w:rPr>
        <w:t xml:space="preserve">different </w:t>
      </w:r>
      <w:r w:rsidRPr="00146CDB">
        <w:rPr>
          <w:rFonts w:ascii="Times New Roman" w:hAnsi="Times New Roman" w:cs="Times New Roman"/>
          <w:sz w:val="24"/>
          <w:szCs w:val="24"/>
        </w:rPr>
        <w:t>event date</w:t>
      </w:r>
      <w:r w:rsidR="008053CC">
        <w:rPr>
          <w:rFonts w:ascii="Times New Roman" w:hAnsi="Times New Roman" w:cs="Times New Roman"/>
          <w:sz w:val="24"/>
          <w:szCs w:val="24"/>
        </w:rPr>
        <w:t>s</w:t>
      </w:r>
      <w:r w:rsidR="00B034CC">
        <w:rPr>
          <w:rFonts w:ascii="Times New Roman" w:hAnsi="Times New Roman" w:cs="Times New Roman"/>
          <w:sz w:val="24"/>
          <w:szCs w:val="24"/>
        </w:rPr>
        <w:t xml:space="preserve"> than ours</w:t>
      </w:r>
      <w:r w:rsidR="008053CC">
        <w:rPr>
          <w:rFonts w:ascii="Times New Roman" w:hAnsi="Times New Roman" w:cs="Times New Roman"/>
          <w:sz w:val="24"/>
          <w:szCs w:val="24"/>
        </w:rPr>
        <w:t>,</w:t>
      </w:r>
      <w:r w:rsidR="00B034CC">
        <w:rPr>
          <w:rFonts w:ascii="Times New Roman" w:hAnsi="Times New Roman" w:cs="Times New Roman"/>
          <w:sz w:val="24"/>
          <w:szCs w:val="24"/>
        </w:rPr>
        <w:t xml:space="preserve"> </w:t>
      </w:r>
      <w:r w:rsidRPr="00146CDB">
        <w:rPr>
          <w:rFonts w:ascii="Times New Roman" w:hAnsi="Times New Roman" w:cs="Times New Roman"/>
          <w:sz w:val="24"/>
          <w:szCs w:val="24"/>
        </w:rPr>
        <w:t xml:space="preserve">found </w:t>
      </w:r>
      <w:r w:rsidR="008053CC">
        <w:rPr>
          <w:rFonts w:ascii="Times New Roman" w:hAnsi="Times New Roman" w:cs="Times New Roman"/>
          <w:sz w:val="24"/>
          <w:szCs w:val="24"/>
        </w:rPr>
        <w:t xml:space="preserve">opposite </w:t>
      </w:r>
      <w:r w:rsidRPr="00146CDB">
        <w:rPr>
          <w:rFonts w:ascii="Times New Roman" w:hAnsi="Times New Roman" w:cs="Times New Roman"/>
          <w:sz w:val="24"/>
          <w:szCs w:val="24"/>
        </w:rPr>
        <w:t>effects on firm value</w:t>
      </w:r>
      <w:r w:rsidR="00B034CC">
        <w:rPr>
          <w:rFonts w:ascii="Times New Roman" w:hAnsi="Times New Roman" w:cs="Times New Roman"/>
          <w:sz w:val="24"/>
          <w:szCs w:val="24"/>
        </w:rPr>
        <w:t>. They found that India’s CSR mandate diminished firm value</w:t>
      </w:r>
      <w:r w:rsidR="008053CC">
        <w:rPr>
          <w:rFonts w:ascii="Times New Roman" w:hAnsi="Times New Roman" w:cs="Times New Roman"/>
          <w:sz w:val="24"/>
          <w:szCs w:val="24"/>
        </w:rPr>
        <w:t xml:space="preserve">; </w:t>
      </w:r>
      <w:r w:rsidR="00B034CC">
        <w:rPr>
          <w:rFonts w:ascii="Times New Roman" w:hAnsi="Times New Roman" w:cs="Times New Roman"/>
          <w:sz w:val="24"/>
          <w:szCs w:val="24"/>
        </w:rPr>
        <w:t xml:space="preserve">we find that it enhanced firm value. </w:t>
      </w:r>
    </w:p>
    <w:p w14:paraId="21CA0F32" w14:textId="77777777" w:rsidR="00146CDB" w:rsidRPr="00D02FD5" w:rsidRDefault="00146CDB" w:rsidP="005979A7">
      <w:pPr>
        <w:spacing w:after="120" w:line="480" w:lineRule="auto"/>
        <w:jc w:val="both"/>
        <w:rPr>
          <w:rFonts w:ascii="Times New Roman" w:hAnsi="Times New Roman" w:cs="Times New Roman"/>
          <w:b/>
          <w:sz w:val="24"/>
          <w:szCs w:val="24"/>
        </w:rPr>
      </w:pPr>
      <w:r w:rsidRPr="00D02FD5">
        <w:rPr>
          <w:rFonts w:ascii="Times New Roman" w:hAnsi="Times New Roman" w:cs="Times New Roman"/>
          <w:b/>
          <w:sz w:val="24"/>
          <w:szCs w:val="24"/>
        </w:rPr>
        <w:t xml:space="preserve">Conclusion  </w:t>
      </w:r>
    </w:p>
    <w:p w14:paraId="21B27018" w14:textId="3C21E371" w:rsidR="00F1413A" w:rsidRDefault="00146CDB" w:rsidP="000D124D">
      <w:pPr>
        <w:spacing w:after="120" w:line="480" w:lineRule="auto"/>
        <w:jc w:val="both"/>
        <w:rPr>
          <w:rFonts w:ascii="Times New Roman" w:hAnsi="Times New Roman" w:cs="Times New Roman"/>
          <w:sz w:val="24"/>
          <w:szCs w:val="24"/>
        </w:rPr>
      </w:pPr>
      <w:r w:rsidRPr="00146CDB">
        <w:rPr>
          <w:rFonts w:ascii="Times New Roman" w:hAnsi="Times New Roman" w:cs="Times New Roman"/>
          <w:sz w:val="24"/>
          <w:szCs w:val="24"/>
        </w:rPr>
        <w:t xml:space="preserve">Governments routinely </w:t>
      </w:r>
      <w:r w:rsidR="00B034CC">
        <w:rPr>
          <w:rFonts w:ascii="Times New Roman" w:hAnsi="Times New Roman" w:cs="Times New Roman"/>
          <w:sz w:val="24"/>
          <w:szCs w:val="24"/>
        </w:rPr>
        <w:t xml:space="preserve">influence CSR practices through regulatory edicts </w:t>
      </w:r>
      <w:r w:rsidRPr="00146CDB">
        <w:rPr>
          <w:rFonts w:ascii="Times New Roman" w:hAnsi="Times New Roman" w:cs="Times New Roman"/>
          <w:sz w:val="24"/>
          <w:szCs w:val="24"/>
        </w:rPr>
        <w:t xml:space="preserve">but the literature predominantly views CSR as a purely discretionary activity that firms pursue above and beyond legal requirements. </w:t>
      </w:r>
      <w:r w:rsidR="00515A6D">
        <w:rPr>
          <w:rFonts w:ascii="Times New Roman" w:hAnsi="Times New Roman" w:cs="Times New Roman"/>
          <w:sz w:val="24"/>
          <w:szCs w:val="24"/>
        </w:rPr>
        <w:t>T</w:t>
      </w:r>
      <w:r w:rsidRPr="00146CDB">
        <w:rPr>
          <w:rFonts w:ascii="Times New Roman" w:hAnsi="Times New Roman" w:cs="Times New Roman"/>
          <w:sz w:val="24"/>
          <w:szCs w:val="24"/>
        </w:rPr>
        <w:t xml:space="preserve">his </w:t>
      </w:r>
      <w:r w:rsidR="00515A6D">
        <w:rPr>
          <w:rFonts w:ascii="Times New Roman" w:hAnsi="Times New Roman" w:cs="Times New Roman"/>
          <w:sz w:val="24"/>
          <w:szCs w:val="24"/>
        </w:rPr>
        <w:t xml:space="preserve">sharp distinction is born out of an </w:t>
      </w:r>
      <w:r w:rsidRPr="00146CDB">
        <w:rPr>
          <w:rFonts w:ascii="Times New Roman" w:hAnsi="Times New Roman" w:cs="Times New Roman"/>
          <w:sz w:val="24"/>
          <w:szCs w:val="24"/>
        </w:rPr>
        <w:t>America-centric</w:t>
      </w:r>
      <w:r w:rsidR="00515A6D">
        <w:rPr>
          <w:rFonts w:ascii="Times New Roman" w:hAnsi="Times New Roman" w:cs="Times New Roman"/>
          <w:sz w:val="24"/>
          <w:szCs w:val="24"/>
        </w:rPr>
        <w:t>, neoliberal</w:t>
      </w:r>
      <w:r w:rsidRPr="00146CDB">
        <w:rPr>
          <w:rFonts w:ascii="Times New Roman" w:hAnsi="Times New Roman" w:cs="Times New Roman"/>
          <w:sz w:val="24"/>
          <w:szCs w:val="24"/>
        </w:rPr>
        <w:t xml:space="preserve"> view of CSR</w:t>
      </w:r>
      <w:r w:rsidR="00515A6D">
        <w:rPr>
          <w:rFonts w:ascii="Times New Roman" w:hAnsi="Times New Roman" w:cs="Times New Roman"/>
          <w:sz w:val="24"/>
          <w:szCs w:val="24"/>
        </w:rPr>
        <w:t xml:space="preserve">. However, </w:t>
      </w:r>
      <w:r w:rsidRPr="00146CDB">
        <w:rPr>
          <w:rFonts w:ascii="Times New Roman" w:hAnsi="Times New Roman" w:cs="Times New Roman"/>
          <w:sz w:val="24"/>
          <w:szCs w:val="24"/>
        </w:rPr>
        <w:t xml:space="preserve">it overlooks a plethora of regulatory interventions that </w:t>
      </w:r>
      <w:r w:rsidR="006F6B5A">
        <w:rPr>
          <w:rFonts w:ascii="Times New Roman" w:hAnsi="Times New Roman" w:cs="Times New Roman"/>
          <w:sz w:val="24"/>
          <w:szCs w:val="24"/>
        </w:rPr>
        <w:t>make</w:t>
      </w:r>
      <w:r w:rsidR="00515A6D">
        <w:rPr>
          <w:rFonts w:ascii="Times New Roman" w:hAnsi="Times New Roman" w:cs="Times New Roman"/>
          <w:sz w:val="24"/>
          <w:szCs w:val="24"/>
        </w:rPr>
        <w:t xml:space="preserve"> </w:t>
      </w:r>
      <w:r w:rsidRPr="00146CDB">
        <w:rPr>
          <w:rFonts w:ascii="Times New Roman" w:hAnsi="Times New Roman" w:cs="Times New Roman"/>
          <w:sz w:val="24"/>
          <w:szCs w:val="24"/>
        </w:rPr>
        <w:t>CSR</w:t>
      </w:r>
      <w:r w:rsidR="00515A6D">
        <w:rPr>
          <w:rFonts w:ascii="Times New Roman" w:hAnsi="Times New Roman" w:cs="Times New Roman"/>
          <w:sz w:val="24"/>
          <w:szCs w:val="24"/>
        </w:rPr>
        <w:t xml:space="preserve"> practices </w:t>
      </w:r>
      <w:r w:rsidR="009657C8">
        <w:rPr>
          <w:rFonts w:ascii="Times New Roman" w:hAnsi="Times New Roman" w:cs="Times New Roman"/>
          <w:sz w:val="24"/>
          <w:szCs w:val="24"/>
        </w:rPr>
        <w:t xml:space="preserve">partially regulated and partially self-regulated. </w:t>
      </w:r>
      <w:r w:rsidR="004E115C">
        <w:rPr>
          <w:rFonts w:ascii="Times New Roman" w:hAnsi="Times New Roman" w:cs="Times New Roman"/>
          <w:sz w:val="24"/>
          <w:szCs w:val="24"/>
        </w:rPr>
        <w:t xml:space="preserve">As </w:t>
      </w:r>
      <w:r w:rsidR="009657C8">
        <w:rPr>
          <w:rFonts w:ascii="Times New Roman" w:hAnsi="Times New Roman" w:cs="Times New Roman"/>
          <w:sz w:val="24"/>
          <w:szCs w:val="24"/>
        </w:rPr>
        <w:t>the</w:t>
      </w:r>
      <w:r w:rsidR="004E115C">
        <w:rPr>
          <w:rFonts w:ascii="Times New Roman" w:hAnsi="Times New Roman" w:cs="Times New Roman"/>
          <w:sz w:val="24"/>
          <w:szCs w:val="24"/>
        </w:rPr>
        <w:t xml:space="preserve"> </w:t>
      </w:r>
      <w:r w:rsidRPr="00146CDB">
        <w:rPr>
          <w:rFonts w:ascii="Times New Roman" w:hAnsi="Times New Roman" w:cs="Times New Roman"/>
          <w:sz w:val="24"/>
          <w:szCs w:val="24"/>
        </w:rPr>
        <w:t xml:space="preserve">dichotomy between regulation and private-regulation as distinct governance choices is </w:t>
      </w:r>
      <w:r w:rsidR="009676C1">
        <w:rPr>
          <w:rFonts w:ascii="Times New Roman" w:hAnsi="Times New Roman" w:cs="Times New Roman"/>
          <w:sz w:val="24"/>
          <w:szCs w:val="24"/>
        </w:rPr>
        <w:t>blurring</w:t>
      </w:r>
      <w:r w:rsidR="009657C8">
        <w:rPr>
          <w:rFonts w:ascii="Times New Roman" w:hAnsi="Times New Roman" w:cs="Times New Roman"/>
          <w:sz w:val="24"/>
          <w:szCs w:val="24"/>
        </w:rPr>
        <w:t>, o</w:t>
      </w:r>
      <w:r w:rsidR="0024294C">
        <w:rPr>
          <w:rFonts w:ascii="Times New Roman" w:hAnsi="Times New Roman" w:cs="Times New Roman"/>
          <w:sz w:val="24"/>
          <w:szCs w:val="24"/>
        </w:rPr>
        <w:t xml:space="preserve">ur finding that a regulatory mandate to guide CSR practices improves firm value </w:t>
      </w:r>
      <w:r w:rsidR="0046538C">
        <w:rPr>
          <w:rFonts w:ascii="Times New Roman" w:hAnsi="Times New Roman" w:cs="Times New Roman"/>
          <w:sz w:val="24"/>
          <w:szCs w:val="24"/>
        </w:rPr>
        <w:t>is a testament to</w:t>
      </w:r>
      <w:r w:rsidR="009657C8">
        <w:rPr>
          <w:rFonts w:ascii="Times New Roman" w:hAnsi="Times New Roman" w:cs="Times New Roman"/>
          <w:sz w:val="24"/>
          <w:szCs w:val="24"/>
        </w:rPr>
        <w:t xml:space="preserve"> a future wherein </w:t>
      </w:r>
      <w:r w:rsidR="0046538C">
        <w:rPr>
          <w:rFonts w:ascii="Times New Roman" w:hAnsi="Times New Roman" w:cs="Times New Roman"/>
          <w:sz w:val="24"/>
          <w:szCs w:val="24"/>
        </w:rPr>
        <w:t xml:space="preserve">the role of state in guiding </w:t>
      </w:r>
      <w:r w:rsidR="0024294C">
        <w:rPr>
          <w:rFonts w:ascii="Times New Roman" w:hAnsi="Times New Roman" w:cs="Times New Roman"/>
          <w:sz w:val="24"/>
          <w:szCs w:val="24"/>
        </w:rPr>
        <w:t xml:space="preserve">CSR </w:t>
      </w:r>
      <w:r w:rsidR="0046538C">
        <w:rPr>
          <w:rFonts w:ascii="Times New Roman" w:hAnsi="Times New Roman" w:cs="Times New Roman"/>
          <w:sz w:val="24"/>
          <w:szCs w:val="24"/>
        </w:rPr>
        <w:t xml:space="preserve">practices </w:t>
      </w:r>
      <w:r w:rsidR="006F6B5A">
        <w:rPr>
          <w:rFonts w:ascii="Times New Roman" w:hAnsi="Times New Roman" w:cs="Times New Roman"/>
          <w:sz w:val="24"/>
          <w:szCs w:val="24"/>
        </w:rPr>
        <w:t xml:space="preserve">will become </w:t>
      </w:r>
      <w:r w:rsidR="0046538C">
        <w:rPr>
          <w:rFonts w:ascii="Times New Roman" w:hAnsi="Times New Roman" w:cs="Times New Roman"/>
          <w:sz w:val="24"/>
          <w:szCs w:val="24"/>
        </w:rPr>
        <w:t xml:space="preserve">more salient. </w:t>
      </w:r>
    </w:p>
    <w:p w14:paraId="089ED4F9" w14:textId="4B842498" w:rsidR="00C70AF8" w:rsidRPr="00320933" w:rsidRDefault="00B5223C" w:rsidP="005979A7">
      <w:pPr>
        <w:spacing w:after="120" w:line="480" w:lineRule="auto"/>
        <w:jc w:val="both"/>
        <w:rPr>
          <w:rFonts w:ascii="Times New Roman" w:hAnsi="Times New Roman" w:cs="Times New Roman"/>
          <w:sz w:val="24"/>
          <w:szCs w:val="24"/>
        </w:rPr>
      </w:pPr>
      <w:r w:rsidRPr="00B5223C">
        <w:rPr>
          <w:rFonts w:ascii="Times New Roman" w:hAnsi="Times New Roman" w:cs="Times New Roman"/>
          <w:b/>
          <w:bCs/>
          <w:sz w:val="24"/>
          <w:szCs w:val="24"/>
        </w:rPr>
        <w:lastRenderedPageBreak/>
        <w:t>Acknowledgements</w:t>
      </w:r>
      <w:r w:rsidR="003A7DB1" w:rsidRPr="00B5223C">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We sincerely thank Shweta </w:t>
      </w:r>
      <w:proofErr w:type="spellStart"/>
      <w:r>
        <w:rPr>
          <w:rFonts w:ascii="Times New Roman" w:hAnsi="Times New Roman" w:cs="Times New Roman"/>
          <w:sz w:val="24"/>
          <w:szCs w:val="24"/>
        </w:rPr>
        <w:t>Nawani</w:t>
      </w:r>
      <w:proofErr w:type="spellEnd"/>
      <w:r>
        <w:rPr>
          <w:rFonts w:ascii="Times New Roman" w:hAnsi="Times New Roman" w:cs="Times New Roman"/>
          <w:sz w:val="24"/>
          <w:szCs w:val="24"/>
        </w:rPr>
        <w:t xml:space="preserve"> for her assistance with organizing the data for this study. Thanks to Michael Barnett, David </w:t>
      </w:r>
      <w:proofErr w:type="spellStart"/>
      <w:r>
        <w:rPr>
          <w:rFonts w:ascii="Times New Roman" w:hAnsi="Times New Roman" w:cs="Times New Roman"/>
          <w:sz w:val="24"/>
          <w:szCs w:val="24"/>
        </w:rPr>
        <w:t>Deephouse</w:t>
      </w:r>
      <w:proofErr w:type="spellEnd"/>
      <w:r>
        <w:rPr>
          <w:rFonts w:ascii="Times New Roman" w:hAnsi="Times New Roman" w:cs="Times New Roman"/>
          <w:sz w:val="24"/>
          <w:szCs w:val="24"/>
        </w:rPr>
        <w:t xml:space="preserve">, Tanusree Jain, </w:t>
      </w:r>
      <w:r w:rsidR="00177040">
        <w:rPr>
          <w:rFonts w:ascii="Times New Roman" w:hAnsi="Times New Roman" w:cs="Times New Roman"/>
          <w:sz w:val="24"/>
          <w:szCs w:val="24"/>
        </w:rPr>
        <w:t xml:space="preserve">Eric Hansen, Bryan Husted, </w:t>
      </w:r>
      <w:r>
        <w:rPr>
          <w:rFonts w:ascii="Times New Roman" w:hAnsi="Times New Roman" w:cs="Times New Roman"/>
          <w:sz w:val="24"/>
          <w:szCs w:val="24"/>
        </w:rPr>
        <w:t xml:space="preserve">Duane Windsor, </w:t>
      </w:r>
      <w:r w:rsidR="00177040">
        <w:rPr>
          <w:rFonts w:ascii="Times New Roman" w:hAnsi="Times New Roman" w:cs="Times New Roman"/>
          <w:sz w:val="24"/>
          <w:szCs w:val="24"/>
        </w:rPr>
        <w:t xml:space="preserve">and </w:t>
      </w:r>
      <w:r>
        <w:rPr>
          <w:rFonts w:ascii="Times New Roman" w:hAnsi="Times New Roman" w:cs="Times New Roman"/>
          <w:sz w:val="24"/>
          <w:szCs w:val="24"/>
        </w:rPr>
        <w:t xml:space="preserve">Ambika </w:t>
      </w:r>
      <w:proofErr w:type="spellStart"/>
      <w:r>
        <w:rPr>
          <w:rFonts w:ascii="Times New Roman" w:hAnsi="Times New Roman" w:cs="Times New Roman"/>
          <w:sz w:val="24"/>
          <w:szCs w:val="24"/>
        </w:rPr>
        <w:t>Zutshi</w:t>
      </w:r>
      <w:proofErr w:type="spellEnd"/>
      <w:r w:rsidR="00177040">
        <w:rPr>
          <w:rFonts w:ascii="Times New Roman" w:hAnsi="Times New Roman" w:cs="Times New Roman"/>
          <w:sz w:val="24"/>
          <w:szCs w:val="24"/>
        </w:rPr>
        <w:t xml:space="preserve"> for their valuable feedback at various forums. We deeply appreciate the precise guidance from </w:t>
      </w:r>
      <w:r w:rsidR="00320933">
        <w:rPr>
          <w:rFonts w:ascii="Times New Roman" w:hAnsi="Times New Roman" w:cs="Times New Roman"/>
          <w:sz w:val="24"/>
          <w:szCs w:val="24"/>
        </w:rPr>
        <w:t xml:space="preserve">the editor, </w:t>
      </w:r>
      <w:r w:rsidR="00177040">
        <w:rPr>
          <w:rFonts w:ascii="Times New Roman" w:hAnsi="Times New Roman" w:cs="Times New Roman"/>
          <w:sz w:val="24"/>
          <w:szCs w:val="24"/>
        </w:rPr>
        <w:t>Colin Higgins</w:t>
      </w:r>
      <w:r w:rsidR="00320933">
        <w:rPr>
          <w:rFonts w:ascii="Times New Roman" w:hAnsi="Times New Roman" w:cs="Times New Roman"/>
          <w:sz w:val="24"/>
          <w:szCs w:val="24"/>
        </w:rPr>
        <w:t xml:space="preserve">. </w:t>
      </w:r>
      <w:r w:rsidR="0017704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11D87E" w14:textId="16AB11D3" w:rsidR="00C70AF8" w:rsidRDefault="00C70AF8" w:rsidP="005979A7">
      <w:pPr>
        <w:spacing w:after="120" w:line="480" w:lineRule="auto"/>
        <w:jc w:val="both"/>
        <w:rPr>
          <w:rFonts w:ascii="Times New Roman" w:hAnsi="Times New Roman" w:cs="Times New Roman"/>
          <w:sz w:val="24"/>
          <w:szCs w:val="24"/>
        </w:rPr>
      </w:pPr>
    </w:p>
    <w:p w14:paraId="4BC8665C" w14:textId="77777777" w:rsidR="00C70AF8" w:rsidRPr="000139CD" w:rsidRDefault="00C70AF8" w:rsidP="005979A7">
      <w:pPr>
        <w:spacing w:after="120" w:line="480" w:lineRule="auto"/>
        <w:jc w:val="both"/>
        <w:rPr>
          <w:rFonts w:ascii="Times New Roman" w:hAnsi="Times New Roman" w:cs="Times New Roman"/>
          <w:b/>
          <w:bCs/>
          <w:sz w:val="24"/>
          <w:szCs w:val="24"/>
        </w:rPr>
      </w:pPr>
      <w:r w:rsidRPr="000139CD">
        <w:rPr>
          <w:rFonts w:ascii="Times New Roman" w:hAnsi="Times New Roman" w:cs="Times New Roman"/>
          <w:b/>
          <w:bCs/>
          <w:sz w:val="24"/>
          <w:szCs w:val="24"/>
        </w:rPr>
        <w:t>References</w:t>
      </w:r>
    </w:p>
    <w:p w14:paraId="620BC591"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Abbott, K. W., &amp; Snidal, D. (2000). Hard and soft law in international governance. </w:t>
      </w:r>
      <w:r w:rsidRPr="00006974">
        <w:rPr>
          <w:rFonts w:ascii="Times New Roman" w:hAnsi="Times New Roman" w:cs="Times New Roman"/>
          <w:i/>
          <w:iCs/>
          <w:sz w:val="24"/>
          <w:szCs w:val="24"/>
        </w:rPr>
        <w:t>International Organization</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54</w:t>
      </w:r>
      <w:r w:rsidRPr="00006974">
        <w:rPr>
          <w:rFonts w:ascii="Times New Roman" w:hAnsi="Times New Roman" w:cs="Times New Roman"/>
          <w:sz w:val="24"/>
          <w:szCs w:val="24"/>
        </w:rPr>
        <w:t>(3), 421-456.</w:t>
      </w:r>
    </w:p>
    <w:p w14:paraId="78A725F6"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Ackerman, R. W., &amp; Bauer, R. A. (1976). </w:t>
      </w:r>
      <w:r w:rsidRPr="00EB1E2E">
        <w:rPr>
          <w:rFonts w:ascii="Times New Roman" w:hAnsi="Times New Roman" w:cs="Times New Roman"/>
          <w:i/>
          <w:iCs/>
          <w:sz w:val="24"/>
          <w:szCs w:val="24"/>
        </w:rPr>
        <w:t>Corporate Social Responsiveness: The Modern Dilemma</w:t>
      </w:r>
      <w:r w:rsidRPr="00EE5822">
        <w:rPr>
          <w:rFonts w:ascii="Times New Roman" w:hAnsi="Times New Roman" w:cs="Times New Roman"/>
          <w:sz w:val="24"/>
          <w:szCs w:val="24"/>
        </w:rPr>
        <w:t>. Reston, VA: Reston Publishing.</w:t>
      </w:r>
    </w:p>
    <w:p w14:paraId="3F6849D9" w14:textId="65EB3D14"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006974">
        <w:rPr>
          <w:rFonts w:ascii="Times New Roman" w:hAnsi="Times New Roman" w:cs="Times New Roman"/>
          <w:sz w:val="24"/>
          <w:szCs w:val="24"/>
        </w:rPr>
        <w:t>Albareda</w:t>
      </w:r>
      <w:proofErr w:type="spellEnd"/>
      <w:r w:rsidRPr="00006974">
        <w:rPr>
          <w:rFonts w:ascii="Times New Roman" w:hAnsi="Times New Roman" w:cs="Times New Roman"/>
          <w:sz w:val="24"/>
          <w:szCs w:val="24"/>
        </w:rPr>
        <w:t xml:space="preserve">, L., Lozano, J. M., &amp; </w:t>
      </w:r>
      <w:proofErr w:type="spellStart"/>
      <w:r w:rsidRPr="00006974">
        <w:rPr>
          <w:rFonts w:ascii="Times New Roman" w:hAnsi="Times New Roman" w:cs="Times New Roman"/>
          <w:sz w:val="24"/>
          <w:szCs w:val="24"/>
        </w:rPr>
        <w:t>Ysa</w:t>
      </w:r>
      <w:proofErr w:type="spellEnd"/>
      <w:r w:rsidRPr="00006974">
        <w:rPr>
          <w:rFonts w:ascii="Times New Roman" w:hAnsi="Times New Roman" w:cs="Times New Roman"/>
          <w:sz w:val="24"/>
          <w:szCs w:val="24"/>
        </w:rPr>
        <w:t xml:space="preserve">, T. (2007). Public policies on corporate social responsibility: The role of governments in Europe. </w:t>
      </w:r>
      <w:r w:rsidRPr="00006974">
        <w:rPr>
          <w:rFonts w:ascii="Times New Roman" w:hAnsi="Times New Roman" w:cs="Times New Roman"/>
          <w:i/>
          <w:iCs/>
          <w:sz w:val="24"/>
          <w:szCs w:val="24"/>
        </w:rPr>
        <w:t>Journal of Business Ethics</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74</w:t>
      </w:r>
      <w:r w:rsidR="00FF0FDD" w:rsidRPr="00006974">
        <w:rPr>
          <w:rFonts w:ascii="Times New Roman" w:hAnsi="Times New Roman" w:cs="Times New Roman"/>
          <w:sz w:val="24"/>
          <w:szCs w:val="24"/>
        </w:rPr>
        <w:t>(4)</w:t>
      </w:r>
      <w:r w:rsidRPr="00006974">
        <w:rPr>
          <w:rFonts w:ascii="Times New Roman" w:hAnsi="Times New Roman" w:cs="Times New Roman"/>
          <w:sz w:val="24"/>
          <w:szCs w:val="24"/>
        </w:rPr>
        <w:t>, 391-407.</w:t>
      </w:r>
    </w:p>
    <w:p w14:paraId="1EE5F0DC" w14:textId="62CC900F"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006974">
        <w:rPr>
          <w:rFonts w:ascii="Times New Roman" w:hAnsi="Times New Roman" w:cs="Times New Roman"/>
          <w:sz w:val="24"/>
          <w:szCs w:val="24"/>
        </w:rPr>
        <w:t>Aqueveque</w:t>
      </w:r>
      <w:proofErr w:type="spellEnd"/>
      <w:r w:rsidRPr="00006974">
        <w:rPr>
          <w:rFonts w:ascii="Times New Roman" w:hAnsi="Times New Roman" w:cs="Times New Roman"/>
          <w:sz w:val="24"/>
          <w:szCs w:val="24"/>
        </w:rPr>
        <w:t xml:space="preserve">, C., Rodrigo, P., &amp; Duran, I. (2018). Be bad but (still) look good: Can controversial industries enhance corporate reputation through CSR initiatives? </w:t>
      </w:r>
      <w:r w:rsidRPr="00006974">
        <w:rPr>
          <w:rFonts w:ascii="Times New Roman" w:hAnsi="Times New Roman" w:cs="Times New Roman"/>
          <w:i/>
          <w:iCs/>
          <w:sz w:val="24"/>
          <w:szCs w:val="24"/>
        </w:rPr>
        <w:t>Business Ethics: A European Review</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27</w:t>
      </w:r>
      <w:r w:rsidR="00FF0FDD" w:rsidRPr="00006974">
        <w:rPr>
          <w:rFonts w:ascii="Times New Roman" w:hAnsi="Times New Roman" w:cs="Times New Roman"/>
          <w:sz w:val="24"/>
          <w:szCs w:val="24"/>
        </w:rPr>
        <w:t>(3)</w:t>
      </w:r>
      <w:r w:rsidRPr="00006974">
        <w:rPr>
          <w:rFonts w:ascii="Times New Roman" w:hAnsi="Times New Roman" w:cs="Times New Roman"/>
          <w:sz w:val="24"/>
          <w:szCs w:val="24"/>
        </w:rPr>
        <w:t>, 222-237.</w:t>
      </w:r>
      <w:r w:rsidRPr="00EE5822">
        <w:rPr>
          <w:rFonts w:ascii="Times New Roman" w:hAnsi="Times New Roman" w:cs="Times New Roman"/>
          <w:sz w:val="24"/>
          <w:szCs w:val="24"/>
        </w:rPr>
        <w:t xml:space="preserve"> </w:t>
      </w:r>
    </w:p>
    <w:p w14:paraId="7655F864" w14:textId="0BA571BD"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Arenas, D., Lozano, J.</w:t>
      </w:r>
      <w:r w:rsidR="008279CE" w:rsidRPr="00006974">
        <w:rPr>
          <w:rFonts w:ascii="Times New Roman" w:hAnsi="Times New Roman" w:cs="Times New Roman"/>
          <w:sz w:val="24"/>
          <w:szCs w:val="24"/>
        </w:rPr>
        <w:t xml:space="preserve"> </w:t>
      </w:r>
      <w:r w:rsidRPr="00006974">
        <w:rPr>
          <w:rFonts w:ascii="Times New Roman" w:hAnsi="Times New Roman" w:cs="Times New Roman"/>
          <w:sz w:val="24"/>
          <w:szCs w:val="24"/>
        </w:rPr>
        <w:t xml:space="preserve">M., &amp; </w:t>
      </w:r>
      <w:proofErr w:type="spellStart"/>
      <w:r w:rsidRPr="00006974">
        <w:rPr>
          <w:rFonts w:ascii="Times New Roman" w:hAnsi="Times New Roman" w:cs="Times New Roman"/>
          <w:sz w:val="24"/>
          <w:szCs w:val="24"/>
        </w:rPr>
        <w:t>Albareda</w:t>
      </w:r>
      <w:proofErr w:type="spellEnd"/>
      <w:r w:rsidRPr="00006974">
        <w:rPr>
          <w:rFonts w:ascii="Times New Roman" w:hAnsi="Times New Roman" w:cs="Times New Roman"/>
          <w:sz w:val="24"/>
          <w:szCs w:val="24"/>
        </w:rPr>
        <w:t xml:space="preserve">, L. (2009). The role of NGOs in CSR: Mutual perceptions among stakeholders. </w:t>
      </w:r>
      <w:r w:rsidRPr="00006974">
        <w:rPr>
          <w:rFonts w:ascii="Times New Roman" w:hAnsi="Times New Roman" w:cs="Times New Roman"/>
          <w:i/>
          <w:iCs/>
          <w:sz w:val="24"/>
          <w:szCs w:val="24"/>
        </w:rPr>
        <w:t>Journal of Business Ethics</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88</w:t>
      </w:r>
      <w:r w:rsidR="00FF0FDD" w:rsidRPr="00006974">
        <w:rPr>
          <w:rFonts w:ascii="Times New Roman" w:hAnsi="Times New Roman" w:cs="Times New Roman"/>
          <w:sz w:val="24"/>
          <w:szCs w:val="24"/>
        </w:rPr>
        <w:t>(1)</w:t>
      </w:r>
      <w:r w:rsidRPr="00006974">
        <w:rPr>
          <w:rFonts w:ascii="Times New Roman" w:hAnsi="Times New Roman" w:cs="Times New Roman"/>
          <w:sz w:val="24"/>
          <w:szCs w:val="24"/>
        </w:rPr>
        <w:t>, 175-197.</w:t>
      </w:r>
    </w:p>
    <w:p w14:paraId="5B2717AD" w14:textId="1560A157"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006974">
        <w:rPr>
          <w:rFonts w:ascii="Times New Roman" w:hAnsi="Times New Roman" w:cs="Times New Roman"/>
          <w:sz w:val="24"/>
          <w:szCs w:val="24"/>
        </w:rPr>
        <w:t>Ashforth</w:t>
      </w:r>
      <w:proofErr w:type="spellEnd"/>
      <w:r w:rsidRPr="00006974">
        <w:rPr>
          <w:rFonts w:ascii="Times New Roman" w:hAnsi="Times New Roman" w:cs="Times New Roman"/>
          <w:sz w:val="24"/>
          <w:szCs w:val="24"/>
        </w:rPr>
        <w:t xml:space="preserve">, B. E., &amp; Gibbs, B. W. (1990). The double-edge of organizational legitimation. </w:t>
      </w:r>
      <w:r w:rsidRPr="00006974">
        <w:rPr>
          <w:rFonts w:ascii="Times New Roman" w:hAnsi="Times New Roman" w:cs="Times New Roman"/>
          <w:i/>
          <w:iCs/>
          <w:sz w:val="24"/>
          <w:szCs w:val="24"/>
        </w:rPr>
        <w:t>Organization Science</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w:t>
      </w:r>
      <w:r w:rsidRPr="00006974">
        <w:rPr>
          <w:rFonts w:ascii="Times New Roman" w:hAnsi="Times New Roman" w:cs="Times New Roman"/>
          <w:sz w:val="24"/>
          <w:szCs w:val="24"/>
        </w:rPr>
        <w:t>(2), 177-194.</w:t>
      </w:r>
    </w:p>
    <w:p w14:paraId="371A440C" w14:textId="17DD8FA8" w:rsidR="007902FC" w:rsidRPr="00EE5822" w:rsidRDefault="007902FC"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7902FC">
        <w:rPr>
          <w:rFonts w:ascii="Times New Roman" w:hAnsi="Times New Roman" w:cs="Times New Roman"/>
          <w:sz w:val="24"/>
          <w:szCs w:val="24"/>
        </w:rPr>
        <w:t>Aswani</w:t>
      </w:r>
      <w:proofErr w:type="spellEnd"/>
      <w:r w:rsidRPr="007902FC">
        <w:rPr>
          <w:rFonts w:ascii="Times New Roman" w:hAnsi="Times New Roman" w:cs="Times New Roman"/>
          <w:sz w:val="24"/>
          <w:szCs w:val="24"/>
        </w:rPr>
        <w:t xml:space="preserve">, J., </w:t>
      </w:r>
      <w:proofErr w:type="spellStart"/>
      <w:r w:rsidRPr="007902FC">
        <w:rPr>
          <w:rFonts w:ascii="Times New Roman" w:hAnsi="Times New Roman" w:cs="Times New Roman"/>
          <w:sz w:val="24"/>
          <w:szCs w:val="24"/>
        </w:rPr>
        <w:t>Chidambaran</w:t>
      </w:r>
      <w:proofErr w:type="spellEnd"/>
      <w:r w:rsidRPr="007902FC">
        <w:rPr>
          <w:rFonts w:ascii="Times New Roman" w:hAnsi="Times New Roman" w:cs="Times New Roman"/>
          <w:sz w:val="24"/>
          <w:szCs w:val="24"/>
        </w:rPr>
        <w:t xml:space="preserve">, N. K., &amp; Hasan, I. (2021). Who benefits from mandatory CSR? Evidence from the Indian Companies Act 2013. </w:t>
      </w:r>
      <w:r w:rsidRPr="007902FC">
        <w:rPr>
          <w:rFonts w:ascii="Times New Roman" w:hAnsi="Times New Roman" w:cs="Times New Roman"/>
          <w:i/>
          <w:iCs/>
          <w:sz w:val="24"/>
          <w:szCs w:val="24"/>
        </w:rPr>
        <w:t>Emerging Markets Review</w:t>
      </w:r>
      <w:r w:rsidRPr="007902FC">
        <w:rPr>
          <w:rFonts w:ascii="Times New Roman" w:hAnsi="Times New Roman" w:cs="Times New Roman"/>
          <w:sz w:val="24"/>
          <w:szCs w:val="24"/>
        </w:rPr>
        <w:t>, 46, 100753.</w:t>
      </w:r>
    </w:p>
    <w:p w14:paraId="05C431BA"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lastRenderedPageBreak/>
        <w:t xml:space="preserve">Baumgartner, R. J. (2014). Managing corporate sustainability and CSR: A conceptual framework combining values, strategies and instruments contributing to sustainable development. </w:t>
      </w:r>
      <w:r w:rsidRPr="00006974">
        <w:rPr>
          <w:rFonts w:ascii="Times New Roman" w:hAnsi="Times New Roman" w:cs="Times New Roman"/>
          <w:i/>
          <w:iCs/>
          <w:sz w:val="24"/>
          <w:szCs w:val="24"/>
        </w:rPr>
        <w:t>Corporate Social Responsibility and Environmental Management</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21</w:t>
      </w:r>
      <w:r w:rsidRPr="00006974">
        <w:rPr>
          <w:rFonts w:ascii="Times New Roman" w:hAnsi="Times New Roman" w:cs="Times New Roman"/>
          <w:sz w:val="24"/>
          <w:szCs w:val="24"/>
        </w:rPr>
        <w:t>(5), 258-271.</w:t>
      </w:r>
    </w:p>
    <w:p w14:paraId="52B452EF"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Bartley, T. (2007). Institutional emergence in an era of globalization: The rise of transnational private regulation of labor and environmental conditions. </w:t>
      </w:r>
      <w:r w:rsidRPr="00006974">
        <w:rPr>
          <w:rFonts w:ascii="Times New Roman" w:hAnsi="Times New Roman" w:cs="Times New Roman"/>
          <w:i/>
          <w:iCs/>
          <w:sz w:val="24"/>
          <w:szCs w:val="24"/>
        </w:rPr>
        <w:t>American Journal of Sociology</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113</w:t>
      </w:r>
      <w:r w:rsidRPr="00006974">
        <w:rPr>
          <w:rFonts w:ascii="Times New Roman" w:hAnsi="Times New Roman" w:cs="Times New Roman"/>
          <w:sz w:val="24"/>
          <w:szCs w:val="24"/>
        </w:rPr>
        <w:t>(2), 297-351.</w:t>
      </w:r>
    </w:p>
    <w:p w14:paraId="6ADE74A9"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Baskaran T., &amp; </w:t>
      </w:r>
      <w:proofErr w:type="spellStart"/>
      <w:r w:rsidRPr="00006974">
        <w:rPr>
          <w:rFonts w:ascii="Times New Roman" w:hAnsi="Times New Roman" w:cs="Times New Roman"/>
          <w:sz w:val="24"/>
          <w:szCs w:val="24"/>
        </w:rPr>
        <w:t>Hessami</w:t>
      </w:r>
      <w:proofErr w:type="spellEnd"/>
      <w:r w:rsidRPr="00006974">
        <w:rPr>
          <w:rFonts w:ascii="Times New Roman" w:hAnsi="Times New Roman" w:cs="Times New Roman"/>
          <w:sz w:val="24"/>
          <w:szCs w:val="24"/>
        </w:rPr>
        <w:t xml:space="preserve">, Z. (2018). Does the election of a female leader clear the way for more women in politics? </w:t>
      </w:r>
      <w:r w:rsidRPr="00006974">
        <w:rPr>
          <w:rFonts w:ascii="Times New Roman" w:hAnsi="Times New Roman" w:cs="Times New Roman"/>
          <w:i/>
          <w:iCs/>
          <w:sz w:val="24"/>
          <w:szCs w:val="24"/>
        </w:rPr>
        <w:t>American Economic Journal: Economic Policy</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10</w:t>
      </w:r>
      <w:r w:rsidRPr="00006974">
        <w:rPr>
          <w:rFonts w:ascii="Times New Roman" w:hAnsi="Times New Roman" w:cs="Times New Roman"/>
          <w:sz w:val="24"/>
          <w:szCs w:val="24"/>
        </w:rPr>
        <w:t>(3), 95-121.</w:t>
      </w:r>
    </w:p>
    <w:p w14:paraId="732E6F6D"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Bell, R. G., Filatotchev, I., &amp; Aguilera, R. V. (2014). Corporate governance and inventors’ perceptions of foreign IPO value: An institutional perspective. </w:t>
      </w:r>
      <w:r w:rsidRPr="00006974">
        <w:rPr>
          <w:rFonts w:ascii="Times New Roman" w:hAnsi="Times New Roman" w:cs="Times New Roman"/>
          <w:i/>
          <w:iCs/>
          <w:sz w:val="24"/>
          <w:szCs w:val="24"/>
        </w:rPr>
        <w:t>Academy of Management Journal</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57</w:t>
      </w:r>
      <w:r w:rsidRPr="00006974">
        <w:rPr>
          <w:rFonts w:ascii="Times New Roman" w:hAnsi="Times New Roman" w:cs="Times New Roman"/>
          <w:sz w:val="24"/>
          <w:szCs w:val="24"/>
        </w:rPr>
        <w:t>(1), 301-320.</w:t>
      </w:r>
    </w:p>
    <w:p w14:paraId="5775A880" w14:textId="57655B1E"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Bhattacharya, A., &amp; Rahman, M. L. (2019). Mandatory CSR expenditure and firm performance. </w:t>
      </w:r>
      <w:r w:rsidRPr="00006974">
        <w:rPr>
          <w:rFonts w:ascii="Times New Roman" w:hAnsi="Times New Roman" w:cs="Times New Roman"/>
          <w:i/>
          <w:iCs/>
          <w:sz w:val="24"/>
          <w:szCs w:val="24"/>
        </w:rPr>
        <w:t>Journal of Contemporary Accounting &amp; Economics</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15</w:t>
      </w:r>
      <w:r w:rsidRPr="00006974">
        <w:rPr>
          <w:rFonts w:ascii="Times New Roman" w:hAnsi="Times New Roman" w:cs="Times New Roman"/>
          <w:sz w:val="24"/>
          <w:szCs w:val="24"/>
        </w:rPr>
        <w:t>(3), 100-163.</w:t>
      </w:r>
    </w:p>
    <w:p w14:paraId="66657F1D" w14:textId="7B87A2DD" w:rsidR="007820AD" w:rsidRPr="00006974" w:rsidRDefault="007820AD"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Bhattacharyya, D. K., &amp; Ghose, S. (1998). Corruption in India and the hidden economy. </w:t>
      </w:r>
      <w:r w:rsidRPr="00006974">
        <w:rPr>
          <w:rFonts w:ascii="Times New Roman" w:hAnsi="Times New Roman" w:cs="Times New Roman"/>
          <w:i/>
          <w:sz w:val="24"/>
          <w:szCs w:val="24"/>
        </w:rPr>
        <w:t>Economic and Political Weekly</w:t>
      </w:r>
      <w:r w:rsidRPr="00006974">
        <w:rPr>
          <w:rFonts w:ascii="Times New Roman" w:hAnsi="Times New Roman" w:cs="Times New Roman"/>
          <w:sz w:val="24"/>
          <w:szCs w:val="24"/>
        </w:rPr>
        <w:t>,</w:t>
      </w:r>
      <w:r w:rsidR="008279CE" w:rsidRPr="00006974">
        <w:rPr>
          <w:rFonts w:ascii="Times New Roman" w:hAnsi="Times New Roman" w:cs="Times New Roman"/>
          <w:sz w:val="24"/>
          <w:szCs w:val="24"/>
        </w:rPr>
        <w:t xml:space="preserve"> </w:t>
      </w:r>
      <w:r w:rsidR="008279CE" w:rsidRPr="00006974">
        <w:rPr>
          <w:rFonts w:ascii="Times New Roman" w:hAnsi="Times New Roman" w:cs="Times New Roman"/>
          <w:i/>
          <w:iCs/>
          <w:sz w:val="24"/>
          <w:szCs w:val="24"/>
        </w:rPr>
        <w:t>33</w:t>
      </w:r>
      <w:r w:rsidR="008279CE" w:rsidRPr="00006974">
        <w:rPr>
          <w:rFonts w:ascii="Times New Roman" w:hAnsi="Times New Roman" w:cs="Times New Roman"/>
          <w:sz w:val="24"/>
          <w:szCs w:val="24"/>
        </w:rPr>
        <w:t>(44),</w:t>
      </w:r>
      <w:r w:rsidRPr="00006974">
        <w:rPr>
          <w:rFonts w:ascii="Times New Roman" w:hAnsi="Times New Roman" w:cs="Times New Roman"/>
          <w:sz w:val="24"/>
          <w:szCs w:val="24"/>
        </w:rPr>
        <w:t xml:space="preserve"> 2795-2799.</w:t>
      </w:r>
    </w:p>
    <w:p w14:paraId="57CE12BC"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Brammer, S., Jackson, G., &amp; Matten, D. (2012). Corporate social responsibility and institutional theory: New perspectives on private governance. </w:t>
      </w:r>
      <w:r w:rsidRPr="00006974">
        <w:rPr>
          <w:rFonts w:ascii="Times New Roman" w:hAnsi="Times New Roman" w:cs="Times New Roman"/>
          <w:i/>
          <w:iCs/>
          <w:sz w:val="24"/>
          <w:szCs w:val="24"/>
        </w:rPr>
        <w:t>Socio-Economic Review</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10</w:t>
      </w:r>
      <w:r w:rsidRPr="00006974">
        <w:rPr>
          <w:rFonts w:ascii="Times New Roman" w:hAnsi="Times New Roman" w:cs="Times New Roman"/>
          <w:sz w:val="24"/>
          <w:szCs w:val="24"/>
        </w:rPr>
        <w:t>(1), 3-28.</w:t>
      </w:r>
    </w:p>
    <w:p w14:paraId="17B1A724"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Brammer, S., &amp; Walker, H. (2011). Sustainable procurement in the public sector: An international comparative study. </w:t>
      </w:r>
      <w:r w:rsidRPr="00006974">
        <w:rPr>
          <w:rFonts w:ascii="Times New Roman" w:hAnsi="Times New Roman" w:cs="Times New Roman"/>
          <w:i/>
          <w:iCs/>
          <w:sz w:val="24"/>
          <w:szCs w:val="24"/>
        </w:rPr>
        <w:t>International Journal of Operations &amp; Production Management</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31</w:t>
      </w:r>
      <w:r w:rsidRPr="00006974">
        <w:rPr>
          <w:rFonts w:ascii="Times New Roman" w:hAnsi="Times New Roman" w:cs="Times New Roman"/>
          <w:sz w:val="24"/>
          <w:szCs w:val="24"/>
        </w:rPr>
        <w:t>(4), 452-476.</w:t>
      </w:r>
    </w:p>
    <w:p w14:paraId="1565D8B0"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Business Today (2007, July 1). Are Indian CEOs Overpaid?  Retrieved August 11, 2020, from </w:t>
      </w:r>
      <w:hyperlink r:id="rId8" w:history="1">
        <w:r w:rsidRPr="00EE5822">
          <w:rPr>
            <w:rStyle w:val="Hyperlink"/>
            <w:rFonts w:ascii="Times New Roman" w:hAnsi="Times New Roman" w:cs="Times New Roman"/>
            <w:sz w:val="24"/>
            <w:szCs w:val="24"/>
          </w:rPr>
          <w:t>https://www.businesstoday.in/magazine/cover-story/are-indian-ceos-overpaid/story/399.html</w:t>
        </w:r>
      </w:hyperlink>
    </w:p>
    <w:p w14:paraId="7F368BC9" w14:textId="31D66B24"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lang w:val="pt-BR"/>
        </w:rPr>
        <w:lastRenderedPageBreak/>
        <w:t xml:space="preserve">Cai, Y., Jo, H., &amp; Pan, C. (2012). </w:t>
      </w:r>
      <w:r w:rsidRPr="00006974">
        <w:rPr>
          <w:rFonts w:ascii="Times New Roman" w:hAnsi="Times New Roman" w:cs="Times New Roman"/>
          <w:sz w:val="24"/>
          <w:szCs w:val="24"/>
        </w:rPr>
        <w:t xml:space="preserve">Doing well while doing bad? CSR in controversial industry sectors. </w:t>
      </w:r>
      <w:r w:rsidRPr="00006974">
        <w:rPr>
          <w:rFonts w:ascii="Times New Roman" w:hAnsi="Times New Roman" w:cs="Times New Roman"/>
          <w:i/>
          <w:iCs/>
          <w:sz w:val="24"/>
          <w:szCs w:val="24"/>
        </w:rPr>
        <w:t>Journal of Business Ethics</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108</w:t>
      </w:r>
      <w:r w:rsidR="00FF0FDD" w:rsidRPr="00006974">
        <w:rPr>
          <w:rFonts w:ascii="Times New Roman" w:hAnsi="Times New Roman" w:cs="Times New Roman"/>
          <w:sz w:val="24"/>
          <w:szCs w:val="24"/>
        </w:rPr>
        <w:t>(4)</w:t>
      </w:r>
      <w:r w:rsidRPr="00006974">
        <w:rPr>
          <w:rFonts w:ascii="Times New Roman" w:hAnsi="Times New Roman" w:cs="Times New Roman"/>
          <w:sz w:val="24"/>
          <w:szCs w:val="24"/>
        </w:rPr>
        <w:t>, 467-480.</w:t>
      </w:r>
    </w:p>
    <w:p w14:paraId="6A9D9288"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006974">
        <w:rPr>
          <w:rFonts w:ascii="Times New Roman" w:hAnsi="Times New Roman" w:cs="Times New Roman"/>
          <w:sz w:val="24"/>
          <w:szCs w:val="24"/>
        </w:rPr>
        <w:t>Calonico</w:t>
      </w:r>
      <w:proofErr w:type="spellEnd"/>
      <w:r w:rsidRPr="00006974">
        <w:rPr>
          <w:rFonts w:ascii="Times New Roman" w:hAnsi="Times New Roman" w:cs="Times New Roman"/>
          <w:sz w:val="24"/>
          <w:szCs w:val="24"/>
        </w:rPr>
        <w:t xml:space="preserve">, S., </w:t>
      </w:r>
      <w:proofErr w:type="spellStart"/>
      <w:r w:rsidRPr="00006974">
        <w:rPr>
          <w:rFonts w:ascii="Times New Roman" w:hAnsi="Times New Roman" w:cs="Times New Roman"/>
          <w:sz w:val="24"/>
          <w:szCs w:val="24"/>
        </w:rPr>
        <w:t>Cattaneo</w:t>
      </w:r>
      <w:proofErr w:type="spellEnd"/>
      <w:r w:rsidRPr="00006974">
        <w:rPr>
          <w:rFonts w:ascii="Times New Roman" w:hAnsi="Times New Roman" w:cs="Times New Roman"/>
          <w:sz w:val="24"/>
          <w:szCs w:val="24"/>
        </w:rPr>
        <w:t xml:space="preserve">, M. D., &amp; </w:t>
      </w:r>
      <w:proofErr w:type="spellStart"/>
      <w:r w:rsidRPr="00006974">
        <w:rPr>
          <w:rFonts w:ascii="Times New Roman" w:hAnsi="Times New Roman" w:cs="Times New Roman"/>
          <w:sz w:val="24"/>
          <w:szCs w:val="24"/>
        </w:rPr>
        <w:t>Titiunik</w:t>
      </w:r>
      <w:proofErr w:type="spellEnd"/>
      <w:r w:rsidRPr="00006974">
        <w:rPr>
          <w:rFonts w:ascii="Times New Roman" w:hAnsi="Times New Roman" w:cs="Times New Roman"/>
          <w:sz w:val="24"/>
          <w:szCs w:val="24"/>
        </w:rPr>
        <w:t xml:space="preserve">, R. (2014). Robust nonparametric confidence intervals for regression-discontinuity designs. </w:t>
      </w:r>
      <w:r w:rsidRPr="00006974">
        <w:rPr>
          <w:rFonts w:ascii="Times New Roman" w:hAnsi="Times New Roman" w:cs="Times New Roman"/>
          <w:i/>
          <w:iCs/>
          <w:sz w:val="24"/>
          <w:szCs w:val="24"/>
        </w:rPr>
        <w:t>Econometrics</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82</w:t>
      </w:r>
      <w:r w:rsidRPr="00006974">
        <w:rPr>
          <w:rFonts w:ascii="Times New Roman" w:hAnsi="Times New Roman" w:cs="Times New Roman"/>
          <w:sz w:val="24"/>
          <w:szCs w:val="24"/>
        </w:rPr>
        <w:t>(6), 2295-2326.</w:t>
      </w:r>
    </w:p>
    <w:p w14:paraId="3A0B56A1"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Carhart, M. M. (1997). On persistence in mutual fund performance. </w:t>
      </w:r>
      <w:r w:rsidRPr="00006974">
        <w:rPr>
          <w:rFonts w:ascii="Times New Roman" w:hAnsi="Times New Roman" w:cs="Times New Roman"/>
          <w:i/>
          <w:iCs/>
          <w:sz w:val="24"/>
          <w:szCs w:val="24"/>
        </w:rPr>
        <w:t>The Journal of Finance</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52</w:t>
      </w:r>
      <w:r w:rsidRPr="00006974">
        <w:rPr>
          <w:rFonts w:ascii="Times New Roman" w:hAnsi="Times New Roman" w:cs="Times New Roman"/>
          <w:sz w:val="24"/>
          <w:szCs w:val="24"/>
        </w:rPr>
        <w:t>(1), 57-82.</w:t>
      </w:r>
    </w:p>
    <w:p w14:paraId="6007358E" w14:textId="42B025B0"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Chancel, L., &amp; Piketty, T. (2017)</w:t>
      </w:r>
      <w:r w:rsidRPr="00EB1E2E">
        <w:rPr>
          <w:rFonts w:ascii="Times New Roman" w:hAnsi="Times New Roman" w:cs="Times New Roman"/>
          <w:i/>
          <w:iCs/>
          <w:sz w:val="24"/>
          <w:szCs w:val="24"/>
        </w:rPr>
        <w:t xml:space="preserve">. </w:t>
      </w:r>
      <w:r w:rsidRPr="00006974">
        <w:rPr>
          <w:rFonts w:ascii="Times New Roman" w:hAnsi="Times New Roman" w:cs="Times New Roman"/>
          <w:iCs/>
          <w:sz w:val="24"/>
          <w:szCs w:val="24"/>
        </w:rPr>
        <w:t>Indian Income Inequality, 1922-2014: From British Raj to Billionaire Raj?</w:t>
      </w:r>
      <w:r w:rsidRPr="00EE5822">
        <w:rPr>
          <w:rFonts w:ascii="Times New Roman" w:hAnsi="Times New Roman" w:cs="Times New Roman"/>
          <w:i/>
          <w:iCs/>
          <w:sz w:val="24"/>
          <w:szCs w:val="24"/>
        </w:rPr>
        <w:t xml:space="preserve"> </w:t>
      </w:r>
      <w:r w:rsidR="005024B9" w:rsidRPr="00EB1E2E">
        <w:rPr>
          <w:rFonts w:ascii="Times New Roman" w:hAnsi="Times New Roman" w:cs="Times New Roman"/>
          <w:sz w:val="24"/>
          <w:szCs w:val="24"/>
        </w:rPr>
        <w:t>(</w:t>
      </w:r>
      <w:r w:rsidRPr="00EB1E2E">
        <w:rPr>
          <w:rFonts w:ascii="Times New Roman" w:hAnsi="Times New Roman" w:cs="Times New Roman"/>
          <w:sz w:val="24"/>
          <w:szCs w:val="24"/>
        </w:rPr>
        <w:t>Discussion Paper No. 12409</w:t>
      </w:r>
      <w:r w:rsidR="005024B9" w:rsidRPr="0030354B">
        <w:rPr>
          <w:rFonts w:ascii="Times New Roman" w:hAnsi="Times New Roman" w:cs="Times New Roman"/>
          <w:sz w:val="24"/>
          <w:szCs w:val="24"/>
        </w:rPr>
        <w:t>)</w:t>
      </w:r>
      <w:r w:rsidRPr="0030354B">
        <w:rPr>
          <w:rFonts w:ascii="Times New Roman" w:hAnsi="Times New Roman" w:cs="Times New Roman"/>
          <w:sz w:val="24"/>
          <w:szCs w:val="24"/>
        </w:rPr>
        <w:t>.</w:t>
      </w:r>
      <w:r w:rsidR="005024B9" w:rsidRPr="00203FA4">
        <w:rPr>
          <w:rFonts w:ascii="Times New Roman" w:hAnsi="Times New Roman" w:cs="Times New Roman"/>
          <w:sz w:val="24"/>
          <w:szCs w:val="24"/>
        </w:rPr>
        <w:t xml:space="preserve"> </w:t>
      </w:r>
      <w:r w:rsidR="005024B9" w:rsidRPr="00EE5822">
        <w:rPr>
          <w:rFonts w:ascii="Times New Roman" w:hAnsi="Times New Roman" w:cs="Times New Roman"/>
          <w:sz w:val="24"/>
          <w:szCs w:val="24"/>
        </w:rPr>
        <w:t>Centre for Economic Policy Research</w:t>
      </w:r>
    </w:p>
    <w:p w14:paraId="0F9E64FA"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Clement, R. W. (2006). Just how unethical is American business? </w:t>
      </w:r>
      <w:r w:rsidRPr="00EE5822">
        <w:rPr>
          <w:rFonts w:ascii="Times New Roman" w:hAnsi="Times New Roman" w:cs="Times New Roman"/>
          <w:i/>
          <w:iCs/>
          <w:sz w:val="24"/>
          <w:szCs w:val="24"/>
        </w:rPr>
        <w:t>Business Horizons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49</w:t>
      </w:r>
      <w:r w:rsidRPr="00EE5822">
        <w:rPr>
          <w:rFonts w:ascii="Times New Roman" w:hAnsi="Times New Roman" w:cs="Times New Roman"/>
          <w:sz w:val="24"/>
          <w:szCs w:val="24"/>
        </w:rPr>
        <w:t>(4), 313</w:t>
      </w:r>
      <w:r w:rsidRPr="00EB1E2E">
        <w:rPr>
          <w:rFonts w:ascii="Times New Roman" w:hAnsi="Times New Roman" w:cs="Times New Roman"/>
          <w:sz w:val="24"/>
          <w:szCs w:val="24"/>
        </w:rPr>
        <w:t>-327.</w:t>
      </w:r>
    </w:p>
    <w:p w14:paraId="4A947CDF" w14:textId="34CF897A"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Connors, S., Anderson-MacDonald, S., &amp; Thomson, M. (2017). Overcoming the ‘window dressing’ effect: Mitigating the negative effects of inherent skepticism towards corporate social responsibility. </w:t>
      </w:r>
      <w:r w:rsidRPr="0030354B">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145</w:t>
      </w:r>
      <w:r w:rsidR="00B65365" w:rsidRPr="00006974">
        <w:rPr>
          <w:rFonts w:ascii="Times New Roman" w:hAnsi="Times New Roman" w:cs="Times New Roman"/>
          <w:sz w:val="24"/>
          <w:szCs w:val="24"/>
        </w:rPr>
        <w:t>(3)</w:t>
      </w:r>
      <w:r w:rsidRPr="00EE5822">
        <w:rPr>
          <w:rFonts w:ascii="Times New Roman" w:hAnsi="Times New Roman" w:cs="Times New Roman"/>
          <w:sz w:val="24"/>
          <w:szCs w:val="24"/>
        </w:rPr>
        <w:t>, 599-621.</w:t>
      </w:r>
    </w:p>
    <w:p w14:paraId="3D875DBD"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i/>
          <w:iCs/>
          <w:sz w:val="24"/>
          <w:szCs w:val="24"/>
        </w:rPr>
      </w:pPr>
      <w:r w:rsidRPr="00EB1E2E">
        <w:rPr>
          <w:rFonts w:ascii="Times New Roman" w:hAnsi="Times New Roman" w:cs="Times New Roman"/>
          <w:sz w:val="24"/>
          <w:szCs w:val="24"/>
        </w:rPr>
        <w:t xml:space="preserve">Crane, A., Henriques, I., Husted, B. W., &amp; Matten, D. (2017). Measuring corporate social responsibility and impact: Enhancing quantitative research design and methods in business and society research. </w:t>
      </w:r>
      <w:r w:rsidRPr="00EB1E2E">
        <w:rPr>
          <w:rFonts w:ascii="Times New Roman" w:hAnsi="Times New Roman" w:cs="Times New Roman"/>
          <w:i/>
          <w:iCs/>
          <w:sz w:val="24"/>
          <w:szCs w:val="24"/>
        </w:rPr>
        <w:t>Business &amp; Society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56</w:t>
      </w:r>
      <w:r w:rsidRPr="00EE5822">
        <w:rPr>
          <w:rFonts w:ascii="Times New Roman" w:hAnsi="Times New Roman" w:cs="Times New Roman"/>
          <w:sz w:val="24"/>
          <w:szCs w:val="24"/>
        </w:rPr>
        <w:t>(6), 787-795.</w:t>
      </w:r>
    </w:p>
    <w:p w14:paraId="0D23F6A0" w14:textId="2E30F598" w:rsidR="00C70AF8" w:rsidRPr="00EB1E2E" w:rsidRDefault="00EB4ABF"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Cuñat</w:t>
      </w:r>
      <w:proofErr w:type="spellEnd"/>
      <w:r w:rsidR="00C70AF8" w:rsidRPr="00EB1E2E">
        <w:rPr>
          <w:rFonts w:ascii="Times New Roman" w:hAnsi="Times New Roman" w:cs="Times New Roman"/>
          <w:sz w:val="24"/>
          <w:szCs w:val="24"/>
        </w:rPr>
        <w:t xml:space="preserve">, V., </w:t>
      </w:r>
      <w:proofErr w:type="spellStart"/>
      <w:r w:rsidR="00C70AF8" w:rsidRPr="00EB1E2E">
        <w:rPr>
          <w:rFonts w:ascii="Times New Roman" w:hAnsi="Times New Roman" w:cs="Times New Roman"/>
          <w:sz w:val="24"/>
          <w:szCs w:val="24"/>
        </w:rPr>
        <w:t>Gine</w:t>
      </w:r>
      <w:proofErr w:type="spellEnd"/>
      <w:r w:rsidR="00C70AF8" w:rsidRPr="00EB1E2E">
        <w:rPr>
          <w:rFonts w:ascii="Times New Roman" w:hAnsi="Times New Roman" w:cs="Times New Roman"/>
          <w:sz w:val="24"/>
          <w:szCs w:val="24"/>
        </w:rPr>
        <w:t>, M.</w:t>
      </w:r>
      <w:r w:rsidR="00C70AF8" w:rsidRPr="0030354B">
        <w:rPr>
          <w:rFonts w:ascii="Times New Roman" w:hAnsi="Times New Roman" w:cs="Times New Roman"/>
          <w:sz w:val="24"/>
          <w:szCs w:val="24"/>
        </w:rPr>
        <w:t xml:space="preserve">, &amp; Guadalupe, M. (2012). The vote is cast: The effect of corporate governance on shareholder value. </w:t>
      </w:r>
      <w:r w:rsidR="00C70AF8" w:rsidRPr="0030354B">
        <w:rPr>
          <w:rFonts w:ascii="Times New Roman" w:hAnsi="Times New Roman" w:cs="Times New Roman"/>
          <w:i/>
          <w:iCs/>
          <w:sz w:val="24"/>
          <w:szCs w:val="24"/>
        </w:rPr>
        <w:t>Journal of Finance</w:t>
      </w:r>
      <w:r w:rsidR="00C70AF8" w:rsidRPr="00203FA4">
        <w:rPr>
          <w:rFonts w:ascii="Times New Roman" w:hAnsi="Times New Roman" w:cs="Times New Roman"/>
          <w:sz w:val="24"/>
          <w:szCs w:val="24"/>
        </w:rPr>
        <w:t xml:space="preserve">, </w:t>
      </w:r>
      <w:r w:rsidR="00C70AF8" w:rsidRPr="00006974">
        <w:rPr>
          <w:rFonts w:ascii="Times New Roman" w:hAnsi="Times New Roman" w:cs="Times New Roman"/>
          <w:i/>
          <w:iCs/>
          <w:sz w:val="24"/>
          <w:szCs w:val="24"/>
        </w:rPr>
        <w:t>67</w:t>
      </w:r>
      <w:r w:rsidR="00C70AF8" w:rsidRPr="00EE5822">
        <w:rPr>
          <w:rFonts w:ascii="Times New Roman" w:hAnsi="Times New Roman" w:cs="Times New Roman"/>
          <w:sz w:val="24"/>
          <w:szCs w:val="24"/>
        </w:rPr>
        <w:t>(5), 1943-1977.</w:t>
      </w:r>
    </w:p>
    <w:p w14:paraId="37B91F3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de Cabo, R. M., </w:t>
      </w:r>
      <w:proofErr w:type="spellStart"/>
      <w:r w:rsidRPr="00EB1E2E">
        <w:rPr>
          <w:rFonts w:ascii="Times New Roman" w:hAnsi="Times New Roman" w:cs="Times New Roman"/>
          <w:sz w:val="24"/>
          <w:szCs w:val="24"/>
        </w:rPr>
        <w:t>Terjesen</w:t>
      </w:r>
      <w:proofErr w:type="spellEnd"/>
      <w:r w:rsidRPr="00EB1E2E">
        <w:rPr>
          <w:rFonts w:ascii="Times New Roman" w:hAnsi="Times New Roman" w:cs="Times New Roman"/>
          <w:sz w:val="24"/>
          <w:szCs w:val="24"/>
        </w:rPr>
        <w:t xml:space="preserve">, S., </w:t>
      </w:r>
      <w:proofErr w:type="spellStart"/>
      <w:r w:rsidRPr="00EB1E2E">
        <w:rPr>
          <w:rFonts w:ascii="Times New Roman" w:hAnsi="Times New Roman" w:cs="Times New Roman"/>
          <w:sz w:val="24"/>
          <w:szCs w:val="24"/>
        </w:rPr>
        <w:t>Escot</w:t>
      </w:r>
      <w:proofErr w:type="spellEnd"/>
      <w:r w:rsidRPr="00EB1E2E">
        <w:rPr>
          <w:rFonts w:ascii="Times New Roman" w:hAnsi="Times New Roman" w:cs="Times New Roman"/>
          <w:sz w:val="24"/>
          <w:szCs w:val="24"/>
        </w:rPr>
        <w:t xml:space="preserve">, L., &amp; </w:t>
      </w:r>
      <w:proofErr w:type="spellStart"/>
      <w:r w:rsidRPr="00EB1E2E">
        <w:rPr>
          <w:rFonts w:ascii="Times New Roman" w:hAnsi="Times New Roman" w:cs="Times New Roman"/>
          <w:sz w:val="24"/>
          <w:szCs w:val="24"/>
        </w:rPr>
        <w:t>Gimeno</w:t>
      </w:r>
      <w:proofErr w:type="spellEnd"/>
      <w:r w:rsidRPr="00EB1E2E">
        <w:rPr>
          <w:rFonts w:ascii="Times New Roman" w:hAnsi="Times New Roman" w:cs="Times New Roman"/>
          <w:sz w:val="24"/>
          <w:szCs w:val="24"/>
        </w:rPr>
        <w:t xml:space="preserve">, R. (2019). Do ‘soft law’ board gender quotas work? Evidence from a natural experiment. </w:t>
      </w:r>
      <w:r w:rsidRPr="0030354B">
        <w:rPr>
          <w:rFonts w:ascii="Times New Roman" w:hAnsi="Times New Roman" w:cs="Times New Roman"/>
          <w:i/>
          <w:iCs/>
          <w:sz w:val="24"/>
          <w:szCs w:val="24"/>
        </w:rPr>
        <w:t>European Management Journal</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37</w:t>
      </w:r>
      <w:r w:rsidRPr="00EE5822">
        <w:rPr>
          <w:rFonts w:ascii="Times New Roman" w:hAnsi="Times New Roman" w:cs="Times New Roman"/>
          <w:sz w:val="24"/>
          <w:szCs w:val="24"/>
        </w:rPr>
        <w:t>(5), 611-624.</w:t>
      </w:r>
    </w:p>
    <w:p w14:paraId="53F002BC"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lastRenderedPageBreak/>
        <w:t>Deephouse</w:t>
      </w:r>
      <w:proofErr w:type="spellEnd"/>
      <w:r w:rsidRPr="00EB1E2E">
        <w:rPr>
          <w:rFonts w:ascii="Times New Roman" w:hAnsi="Times New Roman" w:cs="Times New Roman"/>
          <w:sz w:val="24"/>
          <w:szCs w:val="24"/>
        </w:rPr>
        <w:t xml:space="preserve">, D. L., &amp; </w:t>
      </w:r>
      <w:proofErr w:type="spellStart"/>
      <w:r w:rsidRPr="00EB1E2E">
        <w:rPr>
          <w:rFonts w:ascii="Times New Roman" w:hAnsi="Times New Roman" w:cs="Times New Roman"/>
          <w:sz w:val="24"/>
          <w:szCs w:val="24"/>
        </w:rPr>
        <w:t>Suchman</w:t>
      </w:r>
      <w:proofErr w:type="spellEnd"/>
      <w:r w:rsidRPr="00EB1E2E">
        <w:rPr>
          <w:rFonts w:ascii="Times New Roman" w:hAnsi="Times New Roman" w:cs="Times New Roman"/>
          <w:sz w:val="24"/>
          <w:szCs w:val="24"/>
        </w:rPr>
        <w:t xml:space="preserve">, M. (2008). Legitimacy in organizational institutionalism. In R. Greenwood, C. Oliver, K. </w:t>
      </w:r>
      <w:proofErr w:type="spellStart"/>
      <w:r w:rsidRPr="00EB1E2E">
        <w:rPr>
          <w:rFonts w:ascii="Times New Roman" w:hAnsi="Times New Roman" w:cs="Times New Roman"/>
          <w:sz w:val="24"/>
          <w:szCs w:val="24"/>
        </w:rPr>
        <w:t>Sahlin</w:t>
      </w:r>
      <w:proofErr w:type="spellEnd"/>
      <w:r w:rsidRPr="00EB1E2E">
        <w:rPr>
          <w:rFonts w:ascii="Times New Roman" w:hAnsi="Times New Roman" w:cs="Times New Roman"/>
          <w:sz w:val="24"/>
          <w:szCs w:val="24"/>
        </w:rPr>
        <w:t xml:space="preserve">, &amp; R. Suddaby (Eds.), </w:t>
      </w:r>
      <w:r w:rsidRPr="00EE5822">
        <w:rPr>
          <w:rFonts w:ascii="Times New Roman" w:hAnsi="Times New Roman" w:cs="Times New Roman"/>
          <w:i/>
          <w:iCs/>
          <w:sz w:val="24"/>
          <w:szCs w:val="24"/>
        </w:rPr>
        <w:t>The Sage Handbook of Organizational Institutionalism</w:t>
      </w:r>
      <w:r w:rsidRPr="00EE5822">
        <w:rPr>
          <w:rFonts w:ascii="Times New Roman" w:hAnsi="Times New Roman" w:cs="Times New Roman"/>
          <w:sz w:val="24"/>
          <w:szCs w:val="24"/>
        </w:rPr>
        <w:t xml:space="preserve"> (pp. 49-77). London: Sage Publications.</w:t>
      </w:r>
    </w:p>
    <w:p w14:paraId="39A5BA24" w14:textId="77777777" w:rsidR="00C70AF8" w:rsidRPr="00006974"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006974">
        <w:rPr>
          <w:rFonts w:ascii="Times New Roman" w:hAnsi="Times New Roman" w:cs="Times New Roman"/>
          <w:sz w:val="24"/>
          <w:szCs w:val="24"/>
        </w:rPr>
        <w:t>Dentchev</w:t>
      </w:r>
      <w:proofErr w:type="spellEnd"/>
      <w:r w:rsidRPr="00006974">
        <w:rPr>
          <w:rFonts w:ascii="Times New Roman" w:hAnsi="Times New Roman" w:cs="Times New Roman"/>
          <w:sz w:val="24"/>
          <w:szCs w:val="24"/>
        </w:rPr>
        <w:t xml:space="preserve">, N. A., van </w:t>
      </w:r>
      <w:proofErr w:type="spellStart"/>
      <w:r w:rsidRPr="00006974">
        <w:rPr>
          <w:rFonts w:ascii="Times New Roman" w:hAnsi="Times New Roman" w:cs="Times New Roman"/>
          <w:sz w:val="24"/>
          <w:szCs w:val="24"/>
        </w:rPr>
        <w:t>Balen</w:t>
      </w:r>
      <w:proofErr w:type="spellEnd"/>
      <w:r w:rsidRPr="00006974">
        <w:rPr>
          <w:rFonts w:ascii="Times New Roman" w:hAnsi="Times New Roman" w:cs="Times New Roman"/>
          <w:sz w:val="24"/>
          <w:szCs w:val="24"/>
        </w:rPr>
        <w:t xml:space="preserve">, M., &amp; </w:t>
      </w:r>
      <w:proofErr w:type="spellStart"/>
      <w:r w:rsidRPr="00006974">
        <w:rPr>
          <w:rFonts w:ascii="Times New Roman" w:hAnsi="Times New Roman" w:cs="Times New Roman"/>
          <w:sz w:val="24"/>
          <w:szCs w:val="24"/>
        </w:rPr>
        <w:t>Haezendonck</w:t>
      </w:r>
      <w:proofErr w:type="spellEnd"/>
      <w:r w:rsidRPr="00006974">
        <w:rPr>
          <w:rFonts w:ascii="Times New Roman" w:hAnsi="Times New Roman" w:cs="Times New Roman"/>
          <w:sz w:val="24"/>
          <w:szCs w:val="24"/>
        </w:rPr>
        <w:t xml:space="preserve">, E. (2015). On voluntarism and the role of governments in CSR: Towards a contingency approach. </w:t>
      </w:r>
      <w:r w:rsidRPr="00006974">
        <w:rPr>
          <w:rFonts w:ascii="Times New Roman" w:hAnsi="Times New Roman" w:cs="Times New Roman"/>
          <w:i/>
          <w:iCs/>
          <w:sz w:val="24"/>
          <w:szCs w:val="24"/>
        </w:rPr>
        <w:t>Business Ethics: A European Review</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24</w:t>
      </w:r>
      <w:r w:rsidRPr="00006974">
        <w:rPr>
          <w:rFonts w:ascii="Times New Roman" w:hAnsi="Times New Roman" w:cs="Times New Roman"/>
          <w:sz w:val="24"/>
          <w:szCs w:val="24"/>
        </w:rPr>
        <w:t>(4), 378-397.</w:t>
      </w:r>
    </w:p>
    <w:p w14:paraId="25E2DABC"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006974">
        <w:rPr>
          <w:rFonts w:ascii="Times New Roman" w:hAnsi="Times New Roman" w:cs="Times New Roman"/>
          <w:sz w:val="24"/>
          <w:szCs w:val="24"/>
        </w:rPr>
        <w:t xml:space="preserve">Dhanesh, G. S. (2015). Why corporate social responsibility? An analysis of drivers of CSR in India. </w:t>
      </w:r>
      <w:r w:rsidRPr="00006974">
        <w:rPr>
          <w:rFonts w:ascii="Times New Roman" w:hAnsi="Times New Roman" w:cs="Times New Roman"/>
          <w:i/>
          <w:iCs/>
          <w:sz w:val="24"/>
          <w:szCs w:val="24"/>
        </w:rPr>
        <w:t>Management Communication Quarterly</w:t>
      </w:r>
      <w:r w:rsidRPr="00006974">
        <w:rPr>
          <w:rFonts w:ascii="Times New Roman" w:hAnsi="Times New Roman" w:cs="Times New Roman"/>
          <w:sz w:val="24"/>
          <w:szCs w:val="24"/>
        </w:rPr>
        <w:t xml:space="preserve">, </w:t>
      </w:r>
      <w:r w:rsidRPr="00006974">
        <w:rPr>
          <w:rFonts w:ascii="Times New Roman" w:hAnsi="Times New Roman" w:cs="Times New Roman"/>
          <w:i/>
          <w:iCs/>
          <w:sz w:val="24"/>
          <w:szCs w:val="24"/>
        </w:rPr>
        <w:t>29</w:t>
      </w:r>
      <w:r w:rsidRPr="00006974">
        <w:rPr>
          <w:rFonts w:ascii="Times New Roman" w:hAnsi="Times New Roman" w:cs="Times New Roman"/>
          <w:sz w:val="24"/>
          <w:szCs w:val="24"/>
        </w:rPr>
        <w:t>(1), 114-129.</w:t>
      </w:r>
    </w:p>
    <w:p w14:paraId="0AEE281B"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Dharamapala</w:t>
      </w:r>
      <w:proofErr w:type="spellEnd"/>
      <w:r w:rsidRPr="00EB1E2E">
        <w:rPr>
          <w:rFonts w:ascii="Times New Roman" w:hAnsi="Times New Roman" w:cs="Times New Roman"/>
          <w:sz w:val="24"/>
          <w:szCs w:val="24"/>
        </w:rPr>
        <w:t xml:space="preserve">, D., &amp; Khanna, V. S. (2018). </w:t>
      </w:r>
      <w:r w:rsidRPr="00006974">
        <w:rPr>
          <w:rFonts w:ascii="Times New Roman" w:hAnsi="Times New Roman" w:cs="Times New Roman"/>
          <w:iCs/>
          <w:sz w:val="24"/>
          <w:szCs w:val="24"/>
        </w:rPr>
        <w:t>The Impact of Mandated Corporate Social Responsibility: Evidence from India’s Companies Act of 2013</w:t>
      </w:r>
      <w:r w:rsidRPr="00EE5822">
        <w:rPr>
          <w:rFonts w:ascii="Times New Roman" w:hAnsi="Times New Roman" w:cs="Times New Roman"/>
          <w:sz w:val="24"/>
          <w:szCs w:val="24"/>
        </w:rPr>
        <w:t xml:space="preserve"> (Working Paper No. 60). University of Chicago, Public Law.</w:t>
      </w:r>
      <w:r w:rsidRPr="00EB1E2E">
        <w:rPr>
          <w:rFonts w:ascii="Times New Roman" w:hAnsi="Times New Roman" w:cs="Times New Roman"/>
          <w:sz w:val="24"/>
          <w:szCs w:val="24"/>
        </w:rPr>
        <w:t xml:space="preserve"> </w:t>
      </w:r>
    </w:p>
    <w:p w14:paraId="6D85440F"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Djelic</w:t>
      </w:r>
      <w:proofErr w:type="spellEnd"/>
      <w:r w:rsidRPr="00EE5822">
        <w:rPr>
          <w:rFonts w:ascii="Times New Roman" w:hAnsi="Times New Roman" w:cs="Times New Roman"/>
          <w:sz w:val="24"/>
          <w:szCs w:val="24"/>
        </w:rPr>
        <w:t xml:space="preserve">, M. L., &amp; </w:t>
      </w:r>
      <w:proofErr w:type="spellStart"/>
      <w:r w:rsidRPr="00EE5822">
        <w:rPr>
          <w:rFonts w:ascii="Times New Roman" w:hAnsi="Times New Roman" w:cs="Times New Roman"/>
          <w:sz w:val="24"/>
          <w:szCs w:val="24"/>
        </w:rPr>
        <w:t>Etchanchu</w:t>
      </w:r>
      <w:proofErr w:type="spellEnd"/>
      <w:r w:rsidRPr="00EE5822">
        <w:rPr>
          <w:rFonts w:ascii="Times New Roman" w:hAnsi="Times New Roman" w:cs="Times New Roman"/>
          <w:sz w:val="24"/>
          <w:szCs w:val="24"/>
        </w:rPr>
        <w:t xml:space="preserve">, H. (2017). Contextualizing corporate political responsibilities: Neoliberal CSR in historical perspective. </w:t>
      </w:r>
      <w:r w:rsidRPr="00EE5822">
        <w:rPr>
          <w:rFonts w:ascii="Times New Roman" w:hAnsi="Times New Roman" w:cs="Times New Roman"/>
          <w:i/>
          <w:iCs/>
          <w:sz w:val="24"/>
          <w:szCs w:val="24"/>
        </w:rPr>
        <w:t>Journal of Business Ethics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142</w:t>
      </w:r>
      <w:r w:rsidRPr="00EE5822">
        <w:rPr>
          <w:rFonts w:ascii="Times New Roman" w:hAnsi="Times New Roman" w:cs="Times New Roman"/>
          <w:sz w:val="24"/>
          <w:szCs w:val="24"/>
        </w:rPr>
        <w:t>(4), 641-661.</w:t>
      </w:r>
    </w:p>
    <w:p w14:paraId="2C90F2C1" w14:textId="77777777" w:rsidR="00C70AF8" w:rsidRPr="0030354B"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Eberstadt</w:t>
      </w:r>
      <w:proofErr w:type="spellEnd"/>
      <w:r w:rsidRPr="00EB1E2E">
        <w:rPr>
          <w:rFonts w:ascii="Times New Roman" w:hAnsi="Times New Roman" w:cs="Times New Roman"/>
          <w:sz w:val="24"/>
          <w:szCs w:val="24"/>
        </w:rPr>
        <w:t xml:space="preserve">, N. (1977). What history tells us about corporate responsibilities. In A. B. Carroll (Ed.), </w:t>
      </w:r>
      <w:r w:rsidRPr="00EB1E2E">
        <w:rPr>
          <w:rFonts w:ascii="Times New Roman" w:hAnsi="Times New Roman" w:cs="Times New Roman"/>
          <w:i/>
          <w:iCs/>
          <w:sz w:val="24"/>
          <w:szCs w:val="24"/>
        </w:rPr>
        <w:t>Managing Corporate Responsibility</w:t>
      </w:r>
      <w:r w:rsidRPr="0030354B">
        <w:rPr>
          <w:rFonts w:ascii="Times New Roman" w:hAnsi="Times New Roman" w:cs="Times New Roman"/>
          <w:sz w:val="24"/>
          <w:szCs w:val="24"/>
        </w:rPr>
        <w:t xml:space="preserve"> (pp. 17-22). Boston: Little, Brown.</w:t>
      </w:r>
    </w:p>
    <w:p w14:paraId="4FBDA0F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203FA4">
        <w:rPr>
          <w:rFonts w:ascii="Times New Roman" w:hAnsi="Times New Roman" w:cs="Times New Roman"/>
          <w:sz w:val="24"/>
          <w:szCs w:val="24"/>
        </w:rPr>
        <w:t>Fama</w:t>
      </w:r>
      <w:proofErr w:type="spellEnd"/>
      <w:r w:rsidRPr="00203FA4">
        <w:rPr>
          <w:rFonts w:ascii="Times New Roman" w:hAnsi="Times New Roman" w:cs="Times New Roman"/>
          <w:sz w:val="24"/>
          <w:szCs w:val="24"/>
        </w:rPr>
        <w:t xml:space="preserve">, E.F. (1991). Efficient capital markets: II. </w:t>
      </w:r>
      <w:r w:rsidRPr="00EE5822">
        <w:rPr>
          <w:rFonts w:ascii="Times New Roman" w:hAnsi="Times New Roman" w:cs="Times New Roman"/>
          <w:i/>
          <w:iCs/>
          <w:sz w:val="24"/>
          <w:szCs w:val="24"/>
        </w:rPr>
        <w:t>Journal of Finance</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46</w:t>
      </w:r>
      <w:r w:rsidRPr="00EE5822">
        <w:rPr>
          <w:rFonts w:ascii="Times New Roman" w:hAnsi="Times New Roman" w:cs="Times New Roman"/>
          <w:sz w:val="24"/>
          <w:szCs w:val="24"/>
        </w:rPr>
        <w:t>(5), 1575-1617.</w:t>
      </w:r>
    </w:p>
    <w:p w14:paraId="38D50F2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Firstpost</w:t>
      </w:r>
      <w:proofErr w:type="spellEnd"/>
      <w:r w:rsidRPr="00EB1E2E">
        <w:rPr>
          <w:rFonts w:ascii="Times New Roman" w:hAnsi="Times New Roman" w:cs="Times New Roman"/>
          <w:sz w:val="24"/>
          <w:szCs w:val="24"/>
        </w:rPr>
        <w:t xml:space="preserve"> (2013, August 9). From </w:t>
      </w:r>
      <w:proofErr w:type="spellStart"/>
      <w:r w:rsidRPr="00EB1E2E">
        <w:rPr>
          <w:rFonts w:ascii="Times New Roman" w:hAnsi="Times New Roman" w:cs="Times New Roman"/>
          <w:sz w:val="24"/>
          <w:szCs w:val="24"/>
        </w:rPr>
        <w:t>Sachin</w:t>
      </w:r>
      <w:proofErr w:type="spellEnd"/>
      <w:r w:rsidRPr="00EB1E2E">
        <w:rPr>
          <w:rFonts w:ascii="Times New Roman" w:hAnsi="Times New Roman" w:cs="Times New Roman"/>
          <w:sz w:val="24"/>
          <w:szCs w:val="24"/>
        </w:rPr>
        <w:t xml:space="preserve"> Pilot to CII: Who said what on passage of Companies Bill [Business news]. </w:t>
      </w:r>
      <w:proofErr w:type="spellStart"/>
      <w:r w:rsidRPr="00EB1E2E">
        <w:rPr>
          <w:rFonts w:ascii="Times New Roman" w:hAnsi="Times New Roman" w:cs="Times New Roman"/>
          <w:sz w:val="24"/>
          <w:szCs w:val="24"/>
        </w:rPr>
        <w:t>Firstpost</w:t>
      </w:r>
      <w:proofErr w:type="spellEnd"/>
      <w:r w:rsidRPr="00EB1E2E">
        <w:rPr>
          <w:rFonts w:ascii="Times New Roman" w:hAnsi="Times New Roman" w:cs="Times New Roman"/>
          <w:sz w:val="24"/>
          <w:szCs w:val="24"/>
        </w:rPr>
        <w:t xml:space="preserve">. Retrieved May 16, 2021, from </w:t>
      </w:r>
      <w:hyperlink r:id="rId9" w:history="1">
        <w:r w:rsidRPr="00EB1E2E">
          <w:rPr>
            <w:rStyle w:val="Hyperlink"/>
            <w:rFonts w:ascii="Times New Roman" w:hAnsi="Times New Roman" w:cs="Times New Roman"/>
            <w:sz w:val="24"/>
            <w:szCs w:val="24"/>
          </w:rPr>
          <w:t>https://www.firstpost.com/business/from-sachin-pilot-to-cii-who-said-what-on-passage-of-companies-bill-1021507.html</w:t>
        </w:r>
      </w:hyperlink>
      <w:r w:rsidRPr="00EE5822">
        <w:rPr>
          <w:rFonts w:ascii="Times New Roman" w:hAnsi="Times New Roman" w:cs="Times New Roman"/>
          <w:sz w:val="24"/>
          <w:szCs w:val="24"/>
        </w:rPr>
        <w:t xml:space="preserve"> </w:t>
      </w:r>
    </w:p>
    <w:p w14:paraId="60B41D51"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Flammer, C. (2015). Does corporate social responsibility lead to superior financial performance? A regression discontinuity approach. </w:t>
      </w:r>
      <w:r w:rsidRPr="0030354B">
        <w:rPr>
          <w:rFonts w:ascii="Times New Roman" w:hAnsi="Times New Roman" w:cs="Times New Roman"/>
          <w:i/>
          <w:iCs/>
          <w:sz w:val="24"/>
          <w:szCs w:val="24"/>
        </w:rPr>
        <w:t>Management Science</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61</w:t>
      </w:r>
      <w:r w:rsidRPr="00EE5822">
        <w:rPr>
          <w:rFonts w:ascii="Times New Roman" w:hAnsi="Times New Roman" w:cs="Times New Roman"/>
          <w:sz w:val="24"/>
          <w:szCs w:val="24"/>
        </w:rPr>
        <w:t>(11), 2549-2568.</w:t>
      </w:r>
    </w:p>
    <w:p w14:paraId="78D5A2CF"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lastRenderedPageBreak/>
        <w:t>Flyvbjerg</w:t>
      </w:r>
      <w:proofErr w:type="spellEnd"/>
      <w:r w:rsidRPr="00EB1E2E">
        <w:rPr>
          <w:rFonts w:ascii="Times New Roman" w:hAnsi="Times New Roman" w:cs="Times New Roman"/>
          <w:sz w:val="24"/>
          <w:szCs w:val="24"/>
        </w:rPr>
        <w:t xml:space="preserve">, B. (2001). </w:t>
      </w:r>
      <w:r w:rsidRPr="00EB1E2E">
        <w:rPr>
          <w:rFonts w:ascii="Times New Roman" w:hAnsi="Times New Roman" w:cs="Times New Roman"/>
          <w:i/>
          <w:iCs/>
          <w:sz w:val="24"/>
          <w:szCs w:val="24"/>
        </w:rPr>
        <w:t>Making social science matter: Why social inquiry fails and how it can succeed again</w:t>
      </w:r>
      <w:r w:rsidRPr="00EE5822">
        <w:rPr>
          <w:rFonts w:ascii="Times New Roman" w:hAnsi="Times New Roman" w:cs="Times New Roman"/>
          <w:sz w:val="24"/>
          <w:szCs w:val="24"/>
        </w:rPr>
        <w:t>. Cambridge, England: Cambridge University Press.</w:t>
      </w:r>
    </w:p>
    <w:p w14:paraId="36D3DF1A"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Fox T., Ward H., &amp; Howard B. (2002). </w:t>
      </w:r>
      <w:r w:rsidRPr="00EE5822">
        <w:rPr>
          <w:rFonts w:ascii="Times New Roman" w:hAnsi="Times New Roman" w:cs="Times New Roman"/>
          <w:i/>
          <w:iCs/>
          <w:sz w:val="24"/>
          <w:szCs w:val="24"/>
        </w:rPr>
        <w:t>Public sector roles in strengthening corporate social responsibility: A baseline study</w:t>
      </w:r>
      <w:r w:rsidRPr="00EE5822">
        <w:rPr>
          <w:rFonts w:ascii="Times New Roman" w:hAnsi="Times New Roman" w:cs="Times New Roman"/>
          <w:sz w:val="24"/>
          <w:szCs w:val="24"/>
        </w:rPr>
        <w:t>. Washington, DC: World Bank.</w:t>
      </w:r>
    </w:p>
    <w:p w14:paraId="7922C4A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Gardberg</w:t>
      </w:r>
      <w:proofErr w:type="spellEnd"/>
      <w:r w:rsidRPr="00EE5822">
        <w:rPr>
          <w:rFonts w:ascii="Times New Roman" w:hAnsi="Times New Roman" w:cs="Times New Roman"/>
          <w:sz w:val="24"/>
          <w:szCs w:val="24"/>
        </w:rPr>
        <w:t xml:space="preserve">, N. A., &amp; </w:t>
      </w:r>
      <w:proofErr w:type="spellStart"/>
      <w:r w:rsidRPr="00EE5822">
        <w:rPr>
          <w:rFonts w:ascii="Times New Roman" w:hAnsi="Times New Roman" w:cs="Times New Roman"/>
          <w:sz w:val="24"/>
          <w:szCs w:val="24"/>
        </w:rPr>
        <w:t>Fombrum</w:t>
      </w:r>
      <w:proofErr w:type="spellEnd"/>
      <w:r w:rsidRPr="00EE5822">
        <w:rPr>
          <w:rFonts w:ascii="Times New Roman" w:hAnsi="Times New Roman" w:cs="Times New Roman"/>
          <w:sz w:val="24"/>
          <w:szCs w:val="24"/>
        </w:rPr>
        <w:t xml:space="preserve">, C. J. (2006). Corporate citizenship: Creating intangible assets across institutional environments. </w:t>
      </w:r>
      <w:r w:rsidRPr="00EE5822">
        <w:rPr>
          <w:rFonts w:ascii="Times New Roman" w:hAnsi="Times New Roman" w:cs="Times New Roman"/>
          <w:i/>
          <w:iCs/>
          <w:sz w:val="24"/>
          <w:szCs w:val="24"/>
        </w:rPr>
        <w:t>Academy of Management Review</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31</w:t>
      </w:r>
      <w:r w:rsidRPr="00EE5822">
        <w:rPr>
          <w:rFonts w:ascii="Times New Roman" w:hAnsi="Times New Roman" w:cs="Times New Roman"/>
          <w:sz w:val="24"/>
          <w:szCs w:val="24"/>
        </w:rPr>
        <w:t>(2), 239-346.</w:t>
      </w:r>
    </w:p>
    <w:p w14:paraId="45E0380E" w14:textId="66E3FE85"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Gatti</w:t>
      </w:r>
      <w:proofErr w:type="spellEnd"/>
      <w:r w:rsidRPr="00EB1E2E">
        <w:rPr>
          <w:rFonts w:ascii="Times New Roman" w:hAnsi="Times New Roman" w:cs="Times New Roman"/>
          <w:sz w:val="24"/>
          <w:szCs w:val="24"/>
        </w:rPr>
        <w:t xml:space="preserve">, L., Vishwanath, B., </w:t>
      </w:r>
      <w:proofErr w:type="spellStart"/>
      <w:r w:rsidRPr="00EB1E2E">
        <w:rPr>
          <w:rFonts w:ascii="Times New Roman" w:hAnsi="Times New Roman" w:cs="Times New Roman"/>
          <w:sz w:val="24"/>
          <w:szCs w:val="24"/>
        </w:rPr>
        <w:t>Seele</w:t>
      </w:r>
      <w:proofErr w:type="spellEnd"/>
      <w:r w:rsidRPr="00EB1E2E">
        <w:rPr>
          <w:rFonts w:ascii="Times New Roman" w:hAnsi="Times New Roman" w:cs="Times New Roman"/>
          <w:sz w:val="24"/>
          <w:szCs w:val="24"/>
        </w:rPr>
        <w:t xml:space="preserve">, P., &amp; Cottier, B. (2019). Are we moving beyond voluntary CSR? Exploring theoretical and managerial implications of mandatory CSR </w:t>
      </w:r>
      <w:r w:rsidR="00320933">
        <w:rPr>
          <w:rFonts w:ascii="Times New Roman" w:hAnsi="Times New Roman" w:cs="Times New Roman"/>
          <w:sz w:val="24"/>
          <w:szCs w:val="24"/>
        </w:rPr>
        <w:t>r</w:t>
      </w:r>
      <w:r w:rsidRPr="00EB1E2E">
        <w:rPr>
          <w:rFonts w:ascii="Times New Roman" w:hAnsi="Times New Roman" w:cs="Times New Roman"/>
          <w:sz w:val="24"/>
          <w:szCs w:val="24"/>
        </w:rPr>
        <w:t xml:space="preserve">esulting from the new Indian Companies Act. </w:t>
      </w:r>
      <w:r w:rsidRPr="0030354B">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160</w:t>
      </w:r>
      <w:r w:rsidR="00B65365" w:rsidRPr="00006974">
        <w:rPr>
          <w:rFonts w:ascii="Times New Roman" w:hAnsi="Times New Roman" w:cs="Times New Roman"/>
          <w:sz w:val="24"/>
          <w:szCs w:val="24"/>
        </w:rPr>
        <w:t>(4)</w:t>
      </w:r>
      <w:r w:rsidRPr="00EE5822">
        <w:rPr>
          <w:rFonts w:ascii="Times New Roman" w:hAnsi="Times New Roman" w:cs="Times New Roman"/>
          <w:sz w:val="24"/>
          <w:szCs w:val="24"/>
        </w:rPr>
        <w:t>, 961-972.</w:t>
      </w:r>
    </w:p>
    <w:p w14:paraId="45D339D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Glachant</w:t>
      </w:r>
      <w:proofErr w:type="spellEnd"/>
      <w:r w:rsidRPr="00EB1E2E">
        <w:rPr>
          <w:rFonts w:ascii="Times New Roman" w:hAnsi="Times New Roman" w:cs="Times New Roman"/>
          <w:sz w:val="24"/>
          <w:szCs w:val="24"/>
        </w:rPr>
        <w:t xml:space="preserve">, M., </w:t>
      </w:r>
      <w:proofErr w:type="spellStart"/>
      <w:r w:rsidRPr="00EB1E2E">
        <w:rPr>
          <w:rFonts w:ascii="Times New Roman" w:hAnsi="Times New Roman" w:cs="Times New Roman"/>
          <w:sz w:val="24"/>
          <w:szCs w:val="24"/>
        </w:rPr>
        <w:t>Schucht</w:t>
      </w:r>
      <w:proofErr w:type="spellEnd"/>
      <w:r w:rsidRPr="00EB1E2E">
        <w:rPr>
          <w:rFonts w:ascii="Times New Roman" w:hAnsi="Times New Roman" w:cs="Times New Roman"/>
          <w:sz w:val="24"/>
          <w:szCs w:val="24"/>
        </w:rPr>
        <w:t xml:space="preserve">, S., </w:t>
      </w:r>
      <w:proofErr w:type="spellStart"/>
      <w:r w:rsidRPr="00EB1E2E">
        <w:rPr>
          <w:rFonts w:ascii="Times New Roman" w:hAnsi="Times New Roman" w:cs="Times New Roman"/>
          <w:sz w:val="24"/>
          <w:szCs w:val="24"/>
        </w:rPr>
        <w:t>Bültmann</w:t>
      </w:r>
      <w:proofErr w:type="spellEnd"/>
      <w:r w:rsidRPr="00EB1E2E">
        <w:rPr>
          <w:rFonts w:ascii="Times New Roman" w:hAnsi="Times New Roman" w:cs="Times New Roman"/>
          <w:sz w:val="24"/>
          <w:szCs w:val="24"/>
        </w:rPr>
        <w:t xml:space="preserve">, A., &amp; </w:t>
      </w:r>
      <w:proofErr w:type="spellStart"/>
      <w:r w:rsidRPr="00EB1E2E">
        <w:rPr>
          <w:rFonts w:ascii="Times New Roman" w:hAnsi="Times New Roman" w:cs="Times New Roman"/>
          <w:sz w:val="24"/>
          <w:szCs w:val="24"/>
        </w:rPr>
        <w:t>Wätzold</w:t>
      </w:r>
      <w:proofErr w:type="spellEnd"/>
      <w:r w:rsidRPr="00EB1E2E">
        <w:rPr>
          <w:rFonts w:ascii="Times New Roman" w:hAnsi="Times New Roman" w:cs="Times New Roman"/>
          <w:sz w:val="24"/>
          <w:szCs w:val="24"/>
        </w:rPr>
        <w:t xml:space="preserve">, F. (2002). Companies participation in EMAS: the influence of the public regulator. </w:t>
      </w:r>
      <w:r w:rsidRPr="00EB1E2E">
        <w:rPr>
          <w:rFonts w:ascii="Times New Roman" w:hAnsi="Times New Roman" w:cs="Times New Roman"/>
          <w:i/>
          <w:iCs/>
          <w:sz w:val="24"/>
          <w:szCs w:val="24"/>
        </w:rPr>
        <w:t>Business Strategy &amp; the Environment</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11</w:t>
      </w:r>
      <w:r w:rsidRPr="00EE5822">
        <w:rPr>
          <w:rFonts w:ascii="Times New Roman" w:hAnsi="Times New Roman" w:cs="Times New Roman"/>
          <w:sz w:val="24"/>
          <w:szCs w:val="24"/>
        </w:rPr>
        <w:t>(4), 254-266.</w:t>
      </w:r>
    </w:p>
    <w:p w14:paraId="535ED541"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Godfrey, J., Branigan, E., &amp; Khan, S. (2017). Old and new forms of giving: Understanding corporate philanthropy in India. </w:t>
      </w:r>
      <w:r w:rsidRPr="00EE5822">
        <w:rPr>
          <w:rFonts w:ascii="Times New Roman" w:hAnsi="Times New Roman" w:cs="Times New Roman"/>
          <w:i/>
          <w:iCs/>
          <w:sz w:val="24"/>
          <w:szCs w:val="24"/>
        </w:rPr>
        <w:t>VOLUNTAS: International Journal of Voluntary and Nonprofit Organizations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28</w:t>
      </w:r>
      <w:r w:rsidRPr="00EE5822">
        <w:rPr>
          <w:rFonts w:ascii="Times New Roman" w:hAnsi="Times New Roman" w:cs="Times New Roman"/>
          <w:sz w:val="24"/>
          <w:szCs w:val="24"/>
        </w:rPr>
        <w:t>(2), 672-696.</w:t>
      </w:r>
    </w:p>
    <w:p w14:paraId="78280AE2"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Goenka</w:t>
      </w:r>
      <w:proofErr w:type="spellEnd"/>
      <w:r w:rsidRPr="00EB1E2E">
        <w:rPr>
          <w:rFonts w:ascii="Times New Roman" w:hAnsi="Times New Roman" w:cs="Times New Roman"/>
          <w:sz w:val="24"/>
          <w:szCs w:val="24"/>
        </w:rPr>
        <w:t xml:space="preserve">, H. (2012, September 1). Why it is a good idea to mandate corporate social responsibility [Opinion]. The Economic Times. Retrieved May 16, 2021, from </w:t>
      </w:r>
      <w:hyperlink r:id="rId10" w:history="1">
        <w:r w:rsidRPr="00EB1E2E">
          <w:rPr>
            <w:rStyle w:val="Hyperlink"/>
            <w:rFonts w:ascii="Times New Roman" w:hAnsi="Times New Roman" w:cs="Times New Roman"/>
            <w:sz w:val="24"/>
            <w:szCs w:val="24"/>
          </w:rPr>
          <w:t>https://economictimes.indiatimes.com/opinion/et-commentary/why-it-is-a-good-idea-to-mandate-corporate-social-responsibility/articleshow/16101647.cms</w:t>
        </w:r>
      </w:hyperlink>
      <w:r w:rsidRPr="00EE5822">
        <w:rPr>
          <w:rFonts w:ascii="Times New Roman" w:hAnsi="Times New Roman" w:cs="Times New Roman"/>
          <w:sz w:val="24"/>
          <w:szCs w:val="24"/>
        </w:rPr>
        <w:t xml:space="preserve"> </w:t>
      </w:r>
    </w:p>
    <w:p w14:paraId="33366C00"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Gond, J.P., Kang N., &amp; Moon, J. (2011). The government of self-regulation: On the comparative dynamics of corporate social responsibility. </w:t>
      </w:r>
      <w:r w:rsidRPr="0030354B">
        <w:rPr>
          <w:rFonts w:ascii="Times New Roman" w:hAnsi="Times New Roman" w:cs="Times New Roman"/>
          <w:i/>
          <w:iCs/>
          <w:sz w:val="24"/>
          <w:szCs w:val="24"/>
        </w:rPr>
        <w:t>Economy and Society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40</w:t>
      </w:r>
      <w:r w:rsidRPr="00EE5822">
        <w:rPr>
          <w:rFonts w:ascii="Times New Roman" w:hAnsi="Times New Roman" w:cs="Times New Roman"/>
          <w:sz w:val="24"/>
          <w:szCs w:val="24"/>
        </w:rPr>
        <w:t>(4), 640-71.</w:t>
      </w:r>
    </w:p>
    <w:p w14:paraId="49DA050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lastRenderedPageBreak/>
        <w:t>Idemudia</w:t>
      </w:r>
      <w:proofErr w:type="spellEnd"/>
      <w:r w:rsidRPr="00EB1E2E">
        <w:rPr>
          <w:rFonts w:ascii="Times New Roman" w:hAnsi="Times New Roman" w:cs="Times New Roman"/>
          <w:sz w:val="24"/>
          <w:szCs w:val="24"/>
        </w:rPr>
        <w:t xml:space="preserve">, U. (2010). Corporate Social Responsibility and the rentier Nigerian State: Rethinking the role of government and the possibility of corporate social development in the Niger Delta. </w:t>
      </w:r>
      <w:r w:rsidRPr="0030354B">
        <w:rPr>
          <w:rFonts w:ascii="Times New Roman" w:hAnsi="Times New Roman" w:cs="Times New Roman"/>
          <w:i/>
          <w:iCs/>
          <w:sz w:val="24"/>
          <w:szCs w:val="24"/>
        </w:rPr>
        <w:t>Canadian Journal of Development Studies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30</w:t>
      </w:r>
      <w:r w:rsidRPr="00EE5822">
        <w:rPr>
          <w:rFonts w:ascii="Times New Roman" w:hAnsi="Times New Roman" w:cs="Times New Roman"/>
          <w:sz w:val="24"/>
          <w:szCs w:val="24"/>
        </w:rPr>
        <w:t>(1-2), 131-153.</w:t>
      </w:r>
    </w:p>
    <w:p w14:paraId="4C00C7BF"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Imbens</w:t>
      </w:r>
      <w:proofErr w:type="spellEnd"/>
      <w:r w:rsidRPr="00EB1E2E">
        <w:rPr>
          <w:rFonts w:ascii="Times New Roman" w:hAnsi="Times New Roman" w:cs="Times New Roman"/>
          <w:sz w:val="24"/>
          <w:szCs w:val="24"/>
        </w:rPr>
        <w:t xml:space="preserve">, G., &amp; </w:t>
      </w:r>
      <w:proofErr w:type="spellStart"/>
      <w:r w:rsidRPr="00EB1E2E">
        <w:rPr>
          <w:rFonts w:ascii="Times New Roman" w:hAnsi="Times New Roman" w:cs="Times New Roman"/>
          <w:sz w:val="24"/>
          <w:szCs w:val="24"/>
        </w:rPr>
        <w:t>Kalyanraman</w:t>
      </w:r>
      <w:proofErr w:type="spellEnd"/>
      <w:r w:rsidRPr="00EB1E2E">
        <w:rPr>
          <w:rFonts w:ascii="Times New Roman" w:hAnsi="Times New Roman" w:cs="Times New Roman"/>
          <w:sz w:val="24"/>
          <w:szCs w:val="24"/>
        </w:rPr>
        <w:t xml:space="preserve">, K. (2012). Optimal bandwidth choice for the regression discontinuity estimator. </w:t>
      </w:r>
      <w:r w:rsidRPr="0030354B">
        <w:rPr>
          <w:rFonts w:ascii="Times New Roman" w:hAnsi="Times New Roman" w:cs="Times New Roman"/>
          <w:i/>
          <w:iCs/>
          <w:sz w:val="24"/>
          <w:szCs w:val="24"/>
        </w:rPr>
        <w:t>Review of Economic Studies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79</w:t>
      </w:r>
      <w:r w:rsidRPr="00EE5822">
        <w:rPr>
          <w:rFonts w:ascii="Times New Roman" w:hAnsi="Times New Roman" w:cs="Times New Roman"/>
          <w:sz w:val="24"/>
          <w:szCs w:val="24"/>
        </w:rPr>
        <w:t>(3), 933-959.</w:t>
      </w:r>
    </w:p>
    <w:p w14:paraId="54FBC62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Jain, A., </w:t>
      </w:r>
      <w:proofErr w:type="spellStart"/>
      <w:r w:rsidRPr="00EB1E2E">
        <w:rPr>
          <w:rFonts w:ascii="Times New Roman" w:hAnsi="Times New Roman" w:cs="Times New Roman"/>
          <w:sz w:val="24"/>
          <w:szCs w:val="24"/>
        </w:rPr>
        <w:t>Kansal</w:t>
      </w:r>
      <w:proofErr w:type="spellEnd"/>
      <w:r w:rsidRPr="00EB1E2E">
        <w:rPr>
          <w:rFonts w:ascii="Times New Roman" w:hAnsi="Times New Roman" w:cs="Times New Roman"/>
          <w:sz w:val="24"/>
          <w:szCs w:val="24"/>
        </w:rPr>
        <w:t xml:space="preserve">, M., &amp; Joshi, M. (2020). New development: Corporate philanthropy to mandatory corporate social responsibility (CSR)—a new law for India. </w:t>
      </w:r>
      <w:r w:rsidRPr="0030354B">
        <w:rPr>
          <w:rFonts w:ascii="Times New Roman" w:hAnsi="Times New Roman" w:cs="Times New Roman"/>
          <w:i/>
          <w:iCs/>
          <w:sz w:val="24"/>
          <w:szCs w:val="24"/>
        </w:rPr>
        <w:t>Public Money &amp; Management</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41</w:t>
      </w:r>
      <w:r w:rsidRPr="00EE5822">
        <w:rPr>
          <w:rFonts w:ascii="Times New Roman" w:hAnsi="Times New Roman" w:cs="Times New Roman"/>
          <w:sz w:val="24"/>
          <w:szCs w:val="24"/>
        </w:rPr>
        <w:t>(3), 1-3.</w:t>
      </w:r>
    </w:p>
    <w:p w14:paraId="59EE7361"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Jamali, D., &amp; Neville, B. (2011). Convergence versus divergence of CSR in developing countries: An embedded multi-layered institutional lens. </w:t>
      </w:r>
      <w:r w:rsidRPr="00EB1E2E">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102</w:t>
      </w:r>
      <w:r w:rsidRPr="00EE5822">
        <w:rPr>
          <w:rFonts w:ascii="Times New Roman" w:hAnsi="Times New Roman" w:cs="Times New Roman"/>
          <w:sz w:val="24"/>
          <w:szCs w:val="24"/>
        </w:rPr>
        <w:t>(4), 599-</w:t>
      </w:r>
      <w:r w:rsidRPr="00EB1E2E">
        <w:rPr>
          <w:rFonts w:ascii="Times New Roman" w:hAnsi="Times New Roman" w:cs="Times New Roman"/>
          <w:sz w:val="24"/>
          <w:szCs w:val="24"/>
        </w:rPr>
        <w:t>621.</w:t>
      </w:r>
    </w:p>
    <w:p w14:paraId="2BCD3192" w14:textId="42C8E37B"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Kaplan, R., &amp; </w:t>
      </w:r>
      <w:proofErr w:type="spellStart"/>
      <w:r w:rsidRPr="00EB1E2E">
        <w:rPr>
          <w:rFonts w:ascii="Times New Roman" w:hAnsi="Times New Roman" w:cs="Times New Roman"/>
          <w:sz w:val="24"/>
          <w:szCs w:val="24"/>
        </w:rPr>
        <w:t>Kinderman</w:t>
      </w:r>
      <w:proofErr w:type="spellEnd"/>
      <w:r w:rsidRPr="00EB1E2E">
        <w:rPr>
          <w:rFonts w:ascii="Times New Roman" w:hAnsi="Times New Roman" w:cs="Times New Roman"/>
          <w:sz w:val="24"/>
          <w:szCs w:val="24"/>
        </w:rPr>
        <w:t xml:space="preserve">, D. (2020). The business-led globalization of CSR: Channels of diffusion from the United States into Venezuela and Britain, 1962-1981. </w:t>
      </w:r>
      <w:r w:rsidRPr="00EE5822">
        <w:rPr>
          <w:rFonts w:ascii="Times New Roman" w:hAnsi="Times New Roman" w:cs="Times New Roman"/>
          <w:i/>
          <w:iCs/>
          <w:sz w:val="24"/>
          <w:szCs w:val="24"/>
        </w:rPr>
        <w:t>Business &amp; Society</w:t>
      </w:r>
      <w:r w:rsidRPr="00EE5822">
        <w:rPr>
          <w:rFonts w:ascii="Times New Roman" w:hAnsi="Times New Roman" w:cs="Times New Roman"/>
          <w:sz w:val="24"/>
          <w:szCs w:val="24"/>
        </w:rPr>
        <w:t xml:space="preserve">, </w:t>
      </w:r>
      <w:r w:rsidRPr="00006974">
        <w:rPr>
          <w:rFonts w:ascii="Times New Roman" w:hAnsi="Times New Roman" w:cs="Times New Roman"/>
          <w:i/>
          <w:sz w:val="24"/>
          <w:szCs w:val="24"/>
        </w:rPr>
        <w:t>59</w:t>
      </w:r>
      <w:r w:rsidRPr="00EE5822">
        <w:rPr>
          <w:rFonts w:ascii="Times New Roman" w:hAnsi="Times New Roman" w:cs="Times New Roman"/>
          <w:sz w:val="24"/>
          <w:szCs w:val="24"/>
        </w:rPr>
        <w:t>(3), 439-488.</w:t>
      </w:r>
    </w:p>
    <w:p w14:paraId="2FCBB45D" w14:textId="0884B012" w:rsidR="00BD0F36" w:rsidRPr="00EB1E2E" w:rsidRDefault="00BD0F36" w:rsidP="005979A7">
      <w:pPr>
        <w:adjustRightInd w:val="0"/>
        <w:snapToGrid w:val="0"/>
        <w:spacing w:after="0" w:line="480" w:lineRule="auto"/>
        <w:ind w:left="720" w:hanging="720"/>
        <w:jc w:val="both"/>
        <w:rPr>
          <w:rFonts w:ascii="Times New Roman" w:hAnsi="Times New Roman" w:cs="Times New Roman"/>
          <w:sz w:val="24"/>
          <w:szCs w:val="24"/>
        </w:rPr>
      </w:pPr>
      <w:r w:rsidRPr="00BD0F36">
        <w:rPr>
          <w:rFonts w:ascii="Times New Roman" w:hAnsi="Times New Roman" w:cs="Times New Roman"/>
          <w:sz w:val="24"/>
          <w:szCs w:val="24"/>
        </w:rPr>
        <w:t xml:space="preserve">Keohane, R. O. (1982). The demand for international regimes. </w:t>
      </w:r>
      <w:r w:rsidRPr="0094369A">
        <w:rPr>
          <w:rFonts w:ascii="Times New Roman" w:hAnsi="Times New Roman" w:cs="Times New Roman"/>
          <w:i/>
          <w:sz w:val="24"/>
          <w:szCs w:val="24"/>
        </w:rPr>
        <w:t>International organization</w:t>
      </w:r>
      <w:r w:rsidRPr="00BD0F36">
        <w:rPr>
          <w:rFonts w:ascii="Times New Roman" w:hAnsi="Times New Roman" w:cs="Times New Roman"/>
          <w:sz w:val="24"/>
          <w:szCs w:val="24"/>
        </w:rPr>
        <w:t>, 36(2), 325-355.</w:t>
      </w:r>
    </w:p>
    <w:p w14:paraId="79F38600"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King, A. A., &amp; Lenox, M. J. (2000). Industry self-regulation without sanctions: The chemical industry's responsible care program. </w:t>
      </w:r>
      <w:r w:rsidRPr="0030354B">
        <w:rPr>
          <w:rFonts w:ascii="Times New Roman" w:hAnsi="Times New Roman" w:cs="Times New Roman"/>
          <w:i/>
          <w:iCs/>
          <w:sz w:val="24"/>
          <w:szCs w:val="24"/>
        </w:rPr>
        <w:t>Academy of Management Journal</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43</w:t>
      </w:r>
      <w:r w:rsidRPr="00EE5822">
        <w:rPr>
          <w:rFonts w:ascii="Times New Roman" w:hAnsi="Times New Roman" w:cs="Times New Roman"/>
          <w:sz w:val="24"/>
          <w:szCs w:val="24"/>
        </w:rPr>
        <w:t>(4), 698-716.</w:t>
      </w:r>
    </w:p>
    <w:p w14:paraId="0E68B7A6"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Knudsen, J. S. (2018). Government regulations of international Corporate Social Responsibility in the US and UK: How domestic institutions shape mandatory and supportive initiatives. </w:t>
      </w:r>
      <w:r w:rsidRPr="0030354B">
        <w:rPr>
          <w:rFonts w:ascii="Times New Roman" w:hAnsi="Times New Roman" w:cs="Times New Roman"/>
          <w:i/>
          <w:iCs/>
          <w:sz w:val="24"/>
          <w:szCs w:val="24"/>
        </w:rPr>
        <w:t>British Journal of Industrial Relations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56</w:t>
      </w:r>
      <w:r w:rsidRPr="00EE5822">
        <w:rPr>
          <w:rFonts w:ascii="Times New Roman" w:hAnsi="Times New Roman" w:cs="Times New Roman"/>
          <w:sz w:val="24"/>
          <w:szCs w:val="24"/>
        </w:rPr>
        <w:t>(1), 164-188.</w:t>
      </w:r>
    </w:p>
    <w:p w14:paraId="625A025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Knudsen, J. S., Moon, J., &amp; </w:t>
      </w:r>
      <w:proofErr w:type="spellStart"/>
      <w:r w:rsidRPr="00EB1E2E">
        <w:rPr>
          <w:rFonts w:ascii="Times New Roman" w:hAnsi="Times New Roman" w:cs="Times New Roman"/>
          <w:sz w:val="24"/>
          <w:szCs w:val="24"/>
        </w:rPr>
        <w:t>Slager</w:t>
      </w:r>
      <w:proofErr w:type="spellEnd"/>
      <w:r w:rsidRPr="00EB1E2E">
        <w:rPr>
          <w:rFonts w:ascii="Times New Roman" w:hAnsi="Times New Roman" w:cs="Times New Roman"/>
          <w:sz w:val="24"/>
          <w:szCs w:val="24"/>
        </w:rPr>
        <w:t xml:space="preserve">, R. (2015). Government policies for corporate social responsibility: A comparative analysis of institutionalization. </w:t>
      </w:r>
      <w:r w:rsidRPr="0030354B">
        <w:rPr>
          <w:rFonts w:ascii="Times New Roman" w:hAnsi="Times New Roman" w:cs="Times New Roman"/>
          <w:i/>
          <w:iCs/>
          <w:sz w:val="24"/>
          <w:szCs w:val="24"/>
        </w:rPr>
        <w:t>Policy &amp; Politics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43</w:t>
      </w:r>
      <w:r w:rsidRPr="00EE5822">
        <w:rPr>
          <w:rFonts w:ascii="Times New Roman" w:hAnsi="Times New Roman" w:cs="Times New Roman"/>
          <w:sz w:val="24"/>
          <w:szCs w:val="24"/>
        </w:rPr>
        <w:t>(1), 81-89.</w:t>
      </w:r>
    </w:p>
    <w:p w14:paraId="3218B5C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lastRenderedPageBreak/>
        <w:t xml:space="preserve">Lane, V., &amp; Jacobson, R. (1995). Stock market reactions to brand extension announcements: The effects of brand attitude and familiarity. </w:t>
      </w:r>
      <w:r w:rsidRPr="0030354B">
        <w:rPr>
          <w:rFonts w:ascii="Times New Roman" w:hAnsi="Times New Roman" w:cs="Times New Roman"/>
          <w:i/>
          <w:iCs/>
          <w:sz w:val="24"/>
          <w:szCs w:val="24"/>
        </w:rPr>
        <w:t>Journal of Marketing</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59</w:t>
      </w:r>
      <w:r w:rsidRPr="00EE5822">
        <w:rPr>
          <w:rFonts w:ascii="Times New Roman" w:hAnsi="Times New Roman" w:cs="Times New Roman"/>
          <w:sz w:val="24"/>
          <w:szCs w:val="24"/>
        </w:rPr>
        <w:t>(1), 63-77.</w:t>
      </w:r>
    </w:p>
    <w:p w14:paraId="7903260D" w14:textId="73EEEEBD"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Lepoutre</w:t>
      </w:r>
      <w:proofErr w:type="spellEnd"/>
      <w:r w:rsidRPr="00EB1E2E">
        <w:rPr>
          <w:rFonts w:ascii="Times New Roman" w:hAnsi="Times New Roman" w:cs="Times New Roman"/>
          <w:sz w:val="24"/>
          <w:szCs w:val="24"/>
        </w:rPr>
        <w:t xml:space="preserve">, J., </w:t>
      </w:r>
      <w:proofErr w:type="spellStart"/>
      <w:r w:rsidRPr="00EB1E2E">
        <w:rPr>
          <w:rFonts w:ascii="Times New Roman" w:hAnsi="Times New Roman" w:cs="Times New Roman"/>
          <w:sz w:val="24"/>
          <w:szCs w:val="24"/>
        </w:rPr>
        <w:t>Dentchev</w:t>
      </w:r>
      <w:proofErr w:type="spellEnd"/>
      <w:r w:rsidRPr="00EB1E2E">
        <w:rPr>
          <w:rFonts w:ascii="Times New Roman" w:hAnsi="Times New Roman" w:cs="Times New Roman"/>
          <w:sz w:val="24"/>
          <w:szCs w:val="24"/>
        </w:rPr>
        <w:t xml:space="preserve">, N. A., &amp; Heene, A. (2007). Dealing with uncertainties when governing CSR policies. </w:t>
      </w:r>
      <w:r w:rsidRPr="0030354B">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73</w:t>
      </w:r>
      <w:r w:rsidR="00236372" w:rsidRPr="00006974">
        <w:rPr>
          <w:rFonts w:ascii="Times New Roman" w:hAnsi="Times New Roman" w:cs="Times New Roman"/>
          <w:iCs/>
          <w:sz w:val="24"/>
          <w:szCs w:val="24"/>
        </w:rPr>
        <w:t>(4)</w:t>
      </w:r>
      <w:r w:rsidRPr="00EE5822">
        <w:rPr>
          <w:rFonts w:ascii="Times New Roman" w:hAnsi="Times New Roman" w:cs="Times New Roman"/>
          <w:sz w:val="24"/>
          <w:szCs w:val="24"/>
        </w:rPr>
        <w:t>, 391-408.</w:t>
      </w:r>
    </w:p>
    <w:p w14:paraId="3049CC3C" w14:textId="4AE59BFE" w:rsidR="00841674" w:rsidRPr="00EB1E2E" w:rsidRDefault="00841674" w:rsidP="005979A7">
      <w:pPr>
        <w:adjustRightInd w:val="0"/>
        <w:snapToGrid w:val="0"/>
        <w:spacing w:after="0" w:line="480" w:lineRule="auto"/>
        <w:ind w:left="720" w:hanging="720"/>
        <w:jc w:val="both"/>
        <w:rPr>
          <w:rFonts w:ascii="Times New Roman" w:hAnsi="Times New Roman" w:cs="Times New Roman"/>
          <w:sz w:val="24"/>
          <w:szCs w:val="24"/>
        </w:rPr>
      </w:pPr>
      <w:r w:rsidRPr="00841674">
        <w:rPr>
          <w:rFonts w:ascii="Times New Roman" w:hAnsi="Times New Roman" w:cs="Times New Roman"/>
          <w:sz w:val="24"/>
          <w:szCs w:val="24"/>
        </w:rPr>
        <w:t>Lin, L. W. (202</w:t>
      </w:r>
      <w:r w:rsidR="003D6B6A">
        <w:rPr>
          <w:rFonts w:ascii="Times New Roman" w:hAnsi="Times New Roman" w:cs="Times New Roman"/>
          <w:sz w:val="24"/>
          <w:szCs w:val="24"/>
        </w:rPr>
        <w:t>1</w:t>
      </w:r>
      <w:r w:rsidRPr="00841674">
        <w:rPr>
          <w:rFonts w:ascii="Times New Roman" w:hAnsi="Times New Roman" w:cs="Times New Roman"/>
          <w:sz w:val="24"/>
          <w:szCs w:val="24"/>
        </w:rPr>
        <w:t xml:space="preserve">). Mandatory corporate social responsibility legislation around the world: Emergent varieties and national experiences. </w:t>
      </w:r>
      <w:r w:rsidRPr="00841674">
        <w:rPr>
          <w:rFonts w:ascii="Times New Roman" w:hAnsi="Times New Roman" w:cs="Times New Roman"/>
          <w:i/>
          <w:iCs/>
          <w:sz w:val="24"/>
          <w:szCs w:val="24"/>
        </w:rPr>
        <w:t>University of Pennsylvania Journal of Business Law</w:t>
      </w:r>
      <w:r>
        <w:rPr>
          <w:rFonts w:ascii="Times New Roman" w:hAnsi="Times New Roman" w:cs="Times New Roman"/>
          <w:sz w:val="24"/>
          <w:szCs w:val="24"/>
        </w:rPr>
        <w:t xml:space="preserve">, 23(2), </w:t>
      </w:r>
      <w:r w:rsidRPr="00841674">
        <w:rPr>
          <w:rFonts w:ascii="Times New Roman" w:hAnsi="Times New Roman" w:cs="Times New Roman"/>
          <w:sz w:val="24"/>
          <w:szCs w:val="24"/>
        </w:rPr>
        <w:t>429</w:t>
      </w:r>
      <w:r>
        <w:rPr>
          <w:rFonts w:ascii="Times New Roman" w:hAnsi="Times New Roman" w:cs="Times New Roman"/>
          <w:sz w:val="24"/>
          <w:szCs w:val="24"/>
        </w:rPr>
        <w:t>-469</w:t>
      </w:r>
      <w:r w:rsidRPr="00841674">
        <w:rPr>
          <w:rFonts w:ascii="Times New Roman" w:hAnsi="Times New Roman" w:cs="Times New Roman"/>
          <w:sz w:val="24"/>
          <w:szCs w:val="24"/>
        </w:rPr>
        <w:t>.</w:t>
      </w:r>
    </w:p>
    <w:p w14:paraId="08D7C3DA" w14:textId="1114885E"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Lindgreen</w:t>
      </w:r>
      <w:proofErr w:type="spellEnd"/>
      <w:r w:rsidRPr="00EB1E2E">
        <w:rPr>
          <w:rFonts w:ascii="Times New Roman" w:hAnsi="Times New Roman" w:cs="Times New Roman"/>
          <w:sz w:val="24"/>
          <w:szCs w:val="24"/>
        </w:rPr>
        <w:t xml:space="preserve">, A., </w:t>
      </w:r>
      <w:proofErr w:type="spellStart"/>
      <w:r w:rsidRPr="00EB1E2E">
        <w:rPr>
          <w:rFonts w:ascii="Times New Roman" w:hAnsi="Times New Roman" w:cs="Times New Roman"/>
          <w:sz w:val="24"/>
          <w:szCs w:val="24"/>
        </w:rPr>
        <w:t>Maon</w:t>
      </w:r>
      <w:proofErr w:type="spellEnd"/>
      <w:r w:rsidRPr="00EB1E2E">
        <w:rPr>
          <w:rFonts w:ascii="Times New Roman" w:hAnsi="Times New Roman" w:cs="Times New Roman"/>
          <w:sz w:val="24"/>
          <w:szCs w:val="24"/>
        </w:rPr>
        <w:t xml:space="preserve">, F., </w:t>
      </w:r>
      <w:proofErr w:type="spellStart"/>
      <w:r w:rsidRPr="00EB1E2E">
        <w:rPr>
          <w:rFonts w:ascii="Times New Roman" w:hAnsi="Times New Roman" w:cs="Times New Roman"/>
          <w:sz w:val="24"/>
          <w:szCs w:val="24"/>
        </w:rPr>
        <w:t>Reast</w:t>
      </w:r>
      <w:proofErr w:type="spellEnd"/>
      <w:r w:rsidRPr="00EB1E2E">
        <w:rPr>
          <w:rFonts w:ascii="Times New Roman" w:hAnsi="Times New Roman" w:cs="Times New Roman"/>
          <w:sz w:val="24"/>
          <w:szCs w:val="24"/>
        </w:rPr>
        <w:t xml:space="preserve">, J., </w:t>
      </w:r>
      <w:proofErr w:type="spellStart"/>
      <w:r w:rsidRPr="00EB1E2E">
        <w:rPr>
          <w:rFonts w:ascii="Times New Roman" w:hAnsi="Times New Roman" w:cs="Times New Roman"/>
          <w:sz w:val="24"/>
          <w:szCs w:val="24"/>
        </w:rPr>
        <w:t>Yani</w:t>
      </w:r>
      <w:proofErr w:type="spellEnd"/>
      <w:r w:rsidRPr="00EB1E2E">
        <w:rPr>
          <w:rFonts w:ascii="Times New Roman" w:hAnsi="Times New Roman" w:cs="Times New Roman"/>
          <w:sz w:val="24"/>
          <w:szCs w:val="24"/>
        </w:rPr>
        <w:t xml:space="preserve">-De-Soriano, M. (2012). Guest editorial: Corporate social responsibility in controversial industry sectors. </w:t>
      </w:r>
      <w:r w:rsidRPr="00EB1E2E">
        <w:rPr>
          <w:rFonts w:ascii="Times New Roman" w:hAnsi="Times New Roman" w:cs="Times New Roman"/>
          <w:i/>
          <w:iCs/>
          <w:sz w:val="24"/>
          <w:szCs w:val="24"/>
        </w:rPr>
        <w:t>Journal o</w:t>
      </w:r>
      <w:r w:rsidRPr="0030354B">
        <w:rPr>
          <w:rFonts w:ascii="Times New Roman" w:hAnsi="Times New Roman" w:cs="Times New Roman"/>
          <w:i/>
          <w:iCs/>
          <w:sz w:val="24"/>
          <w:szCs w:val="24"/>
        </w:rPr>
        <w:t>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110</w:t>
      </w:r>
      <w:r w:rsidR="00236372" w:rsidRPr="00006974">
        <w:rPr>
          <w:rFonts w:ascii="Times New Roman" w:hAnsi="Times New Roman" w:cs="Times New Roman"/>
          <w:iCs/>
          <w:sz w:val="24"/>
          <w:szCs w:val="24"/>
        </w:rPr>
        <w:t>(4)</w:t>
      </w:r>
      <w:r w:rsidRPr="00EE5822">
        <w:rPr>
          <w:rFonts w:ascii="Times New Roman" w:hAnsi="Times New Roman" w:cs="Times New Roman"/>
          <w:sz w:val="24"/>
          <w:szCs w:val="24"/>
        </w:rPr>
        <w:t>, 393-395.</w:t>
      </w:r>
    </w:p>
    <w:p w14:paraId="588130E0"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Manchiraju</w:t>
      </w:r>
      <w:proofErr w:type="spellEnd"/>
      <w:r w:rsidRPr="00EB1E2E">
        <w:rPr>
          <w:rFonts w:ascii="Times New Roman" w:hAnsi="Times New Roman" w:cs="Times New Roman"/>
          <w:sz w:val="24"/>
          <w:szCs w:val="24"/>
        </w:rPr>
        <w:t xml:space="preserve">, H., &amp; </w:t>
      </w:r>
      <w:proofErr w:type="spellStart"/>
      <w:r w:rsidRPr="00EB1E2E">
        <w:rPr>
          <w:rFonts w:ascii="Times New Roman" w:hAnsi="Times New Roman" w:cs="Times New Roman"/>
          <w:sz w:val="24"/>
          <w:szCs w:val="24"/>
        </w:rPr>
        <w:t>Rajgopal</w:t>
      </w:r>
      <w:proofErr w:type="spellEnd"/>
      <w:r w:rsidRPr="00EB1E2E">
        <w:rPr>
          <w:rFonts w:ascii="Times New Roman" w:hAnsi="Times New Roman" w:cs="Times New Roman"/>
          <w:sz w:val="24"/>
          <w:szCs w:val="24"/>
        </w:rPr>
        <w:t xml:space="preserve">, S. (2017). Does Corporate Social Responsibility (CSR) create shareholder value? Evidence from the Indian Companies Act 2013. </w:t>
      </w:r>
      <w:r w:rsidRPr="00EB1E2E">
        <w:rPr>
          <w:rFonts w:ascii="Times New Roman" w:hAnsi="Times New Roman" w:cs="Times New Roman"/>
          <w:i/>
          <w:iCs/>
          <w:sz w:val="24"/>
          <w:szCs w:val="24"/>
        </w:rPr>
        <w:t>Journal of Accounting Research</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55</w:t>
      </w:r>
      <w:r w:rsidRPr="00EE5822">
        <w:rPr>
          <w:rFonts w:ascii="Times New Roman" w:hAnsi="Times New Roman" w:cs="Times New Roman"/>
          <w:sz w:val="24"/>
          <w:szCs w:val="24"/>
        </w:rPr>
        <w:t>(5), 1257-1300.</w:t>
      </w:r>
    </w:p>
    <w:p w14:paraId="6F3CE16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lang w:val="pt-BR"/>
        </w:rPr>
        <w:t xml:space="preserve">Marano, V., Tashman, P., &amp; Kostova, T. (2017). </w:t>
      </w:r>
      <w:r w:rsidRPr="0030354B">
        <w:rPr>
          <w:rFonts w:ascii="Times New Roman" w:hAnsi="Times New Roman" w:cs="Times New Roman"/>
          <w:sz w:val="24"/>
          <w:szCs w:val="24"/>
        </w:rPr>
        <w:t xml:space="preserve">Escaping the iron cage: Liabilities of origin and CSR reporting of emerging market multinational enterprises. </w:t>
      </w:r>
      <w:r w:rsidRPr="00EE5822">
        <w:rPr>
          <w:rFonts w:ascii="Times New Roman" w:hAnsi="Times New Roman" w:cs="Times New Roman"/>
          <w:i/>
          <w:iCs/>
          <w:sz w:val="24"/>
          <w:szCs w:val="24"/>
        </w:rPr>
        <w:t>Journal of International Business Studies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48</w:t>
      </w:r>
      <w:r w:rsidRPr="00EE5822">
        <w:rPr>
          <w:rFonts w:ascii="Times New Roman" w:hAnsi="Times New Roman" w:cs="Times New Roman"/>
          <w:sz w:val="24"/>
          <w:szCs w:val="24"/>
        </w:rPr>
        <w:t>(3), 386-408.</w:t>
      </w:r>
    </w:p>
    <w:p w14:paraId="0DA133E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Matten, D. &amp; Moon, J. (2008). “Implicit” and “explicit” CSR: A conceptual framework for a comparative understanding of corporate social responsibility. </w:t>
      </w:r>
      <w:r w:rsidRPr="00EE5822">
        <w:rPr>
          <w:rFonts w:ascii="Times New Roman" w:hAnsi="Times New Roman" w:cs="Times New Roman"/>
          <w:i/>
          <w:iCs/>
          <w:sz w:val="24"/>
          <w:szCs w:val="24"/>
        </w:rPr>
        <w:t>Academy of Management Review</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33</w:t>
      </w:r>
      <w:r w:rsidRPr="00EE5822">
        <w:rPr>
          <w:rFonts w:ascii="Times New Roman" w:hAnsi="Times New Roman" w:cs="Times New Roman"/>
          <w:sz w:val="24"/>
          <w:szCs w:val="24"/>
        </w:rPr>
        <w:t>(2), 404-424.</w:t>
      </w:r>
    </w:p>
    <w:p w14:paraId="7C519B0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McCrary, J. (2008). Manipulation of the running variable in the regression discontinuity design: A density test. </w:t>
      </w:r>
      <w:r w:rsidRPr="0030354B">
        <w:rPr>
          <w:rFonts w:ascii="Times New Roman" w:hAnsi="Times New Roman" w:cs="Times New Roman"/>
          <w:i/>
          <w:iCs/>
          <w:sz w:val="24"/>
          <w:szCs w:val="24"/>
        </w:rPr>
        <w:t>Journal of Econometrics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142</w:t>
      </w:r>
      <w:r w:rsidRPr="00EE5822">
        <w:rPr>
          <w:rFonts w:ascii="Times New Roman" w:hAnsi="Times New Roman" w:cs="Times New Roman"/>
          <w:sz w:val="24"/>
          <w:szCs w:val="24"/>
        </w:rPr>
        <w:t>(2), 698-714.</w:t>
      </w:r>
    </w:p>
    <w:p w14:paraId="61B65C5F"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McWilliams, A., &amp; Siegel, D. (1997). Event studies in management research: Theoretical and empirical issues. </w:t>
      </w:r>
      <w:r w:rsidRPr="00EB1E2E">
        <w:rPr>
          <w:rFonts w:ascii="Times New Roman" w:hAnsi="Times New Roman" w:cs="Times New Roman"/>
          <w:i/>
          <w:iCs/>
          <w:sz w:val="24"/>
          <w:szCs w:val="24"/>
        </w:rPr>
        <w:t>Academy of Management Journal</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40</w:t>
      </w:r>
      <w:r w:rsidRPr="00EE5822">
        <w:rPr>
          <w:rFonts w:ascii="Times New Roman" w:hAnsi="Times New Roman" w:cs="Times New Roman"/>
          <w:sz w:val="24"/>
          <w:szCs w:val="24"/>
        </w:rPr>
        <w:t>(3), 626-657.</w:t>
      </w:r>
    </w:p>
    <w:p w14:paraId="2C02A51E"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lastRenderedPageBreak/>
        <w:t xml:space="preserve">McWilliams, A., Siegel, D., &amp; Wright, P. (2006). Corporate social responsibility: Strategic implications. </w:t>
      </w:r>
      <w:r w:rsidRPr="0030354B">
        <w:rPr>
          <w:rFonts w:ascii="Times New Roman" w:hAnsi="Times New Roman" w:cs="Times New Roman"/>
          <w:i/>
          <w:iCs/>
          <w:sz w:val="24"/>
          <w:szCs w:val="24"/>
        </w:rPr>
        <w:t>Journal of Management Studies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43</w:t>
      </w:r>
      <w:r w:rsidRPr="00EE5822">
        <w:rPr>
          <w:rFonts w:ascii="Times New Roman" w:hAnsi="Times New Roman" w:cs="Times New Roman"/>
          <w:sz w:val="24"/>
          <w:szCs w:val="24"/>
        </w:rPr>
        <w:t>(1), 1-18.</w:t>
      </w:r>
    </w:p>
    <w:p w14:paraId="7C854C5B"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Meyer, J. W., &amp; Scott, W. R. (1983). Centralization and the legitimacy problems of local government. In J. W. Meyer &amp; W. R. Scott (Eds.), </w:t>
      </w:r>
      <w:r w:rsidRPr="0030354B">
        <w:rPr>
          <w:rFonts w:ascii="Times New Roman" w:hAnsi="Times New Roman" w:cs="Times New Roman"/>
          <w:i/>
          <w:iCs/>
          <w:sz w:val="24"/>
          <w:szCs w:val="24"/>
        </w:rPr>
        <w:t>Organizational environments: Ritual and Rationality</w:t>
      </w:r>
      <w:r w:rsidRPr="00EE5822">
        <w:rPr>
          <w:rFonts w:ascii="Times New Roman" w:hAnsi="Times New Roman" w:cs="Times New Roman"/>
          <w:sz w:val="24"/>
          <w:szCs w:val="24"/>
        </w:rPr>
        <w:t xml:space="preserve"> (pp., 199-215). Beverly Hills, CA: Sage. </w:t>
      </w:r>
    </w:p>
    <w:p w14:paraId="20CF44CF"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Meznar</w:t>
      </w:r>
      <w:proofErr w:type="spellEnd"/>
      <w:r w:rsidRPr="00EE5822">
        <w:rPr>
          <w:rFonts w:ascii="Times New Roman" w:hAnsi="Times New Roman" w:cs="Times New Roman"/>
          <w:sz w:val="24"/>
          <w:szCs w:val="24"/>
        </w:rPr>
        <w:t xml:space="preserve">, M. B., Nigh, D., &amp; Kwok, C. C. Y. (1998). Announcements of withdrawal from South Africa revisited: Making sense of contradictory event study findings. </w:t>
      </w:r>
      <w:r w:rsidRPr="00EE5822">
        <w:rPr>
          <w:rFonts w:ascii="Times New Roman" w:hAnsi="Times New Roman" w:cs="Times New Roman"/>
          <w:i/>
          <w:iCs/>
          <w:sz w:val="24"/>
          <w:szCs w:val="24"/>
        </w:rPr>
        <w:t>Academy of Management Journal</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41</w:t>
      </w:r>
      <w:r w:rsidRPr="00EE5822">
        <w:rPr>
          <w:rFonts w:ascii="Times New Roman" w:hAnsi="Times New Roman" w:cs="Times New Roman"/>
          <w:sz w:val="24"/>
          <w:szCs w:val="24"/>
        </w:rPr>
        <w:t>(6), 715-730.</w:t>
      </w:r>
    </w:p>
    <w:p w14:paraId="4A8F7584"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Moon, J., &amp; Vogel, D. (2008). Corporate social responsibility, government, and civil society. In A. Crane, A. McWilliams, D. Matten, J. Moon, &amp; D. S. Siegel (Eds.), </w:t>
      </w:r>
      <w:r w:rsidRPr="00EB1E2E">
        <w:rPr>
          <w:rFonts w:ascii="Times New Roman" w:hAnsi="Times New Roman" w:cs="Times New Roman"/>
          <w:i/>
          <w:iCs/>
          <w:sz w:val="24"/>
          <w:szCs w:val="24"/>
        </w:rPr>
        <w:t xml:space="preserve">The Oxford Handbook of </w:t>
      </w:r>
      <w:r w:rsidRPr="00EE5822">
        <w:rPr>
          <w:rFonts w:ascii="Times New Roman" w:hAnsi="Times New Roman" w:cs="Times New Roman"/>
          <w:i/>
          <w:iCs/>
          <w:sz w:val="24"/>
          <w:szCs w:val="24"/>
        </w:rPr>
        <w:t>Corporate Social Responsibility</w:t>
      </w:r>
      <w:r w:rsidRPr="00EE5822">
        <w:rPr>
          <w:rFonts w:ascii="Times New Roman" w:hAnsi="Times New Roman" w:cs="Times New Roman"/>
          <w:sz w:val="24"/>
          <w:szCs w:val="24"/>
        </w:rPr>
        <w:t xml:space="preserve"> (pp. 303-326). Oxford University Press.</w:t>
      </w:r>
    </w:p>
    <w:p w14:paraId="7C9C2B41" w14:textId="7AA6DCA5"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Mukherjee, A., &amp; Bird, R. (2016). Analysis of mandatory CSR expenditure in India: A survey. </w:t>
      </w:r>
      <w:r w:rsidRPr="00EE5822">
        <w:rPr>
          <w:rFonts w:ascii="Times New Roman" w:hAnsi="Times New Roman" w:cs="Times New Roman"/>
          <w:i/>
          <w:iCs/>
          <w:sz w:val="24"/>
          <w:szCs w:val="24"/>
        </w:rPr>
        <w:t>International Journal of Corporate Governance</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7</w:t>
      </w:r>
      <w:r w:rsidRPr="00EE5822">
        <w:rPr>
          <w:rFonts w:ascii="Times New Roman" w:hAnsi="Times New Roman" w:cs="Times New Roman"/>
          <w:sz w:val="24"/>
          <w:szCs w:val="24"/>
        </w:rPr>
        <w:t>(1), 32-59.</w:t>
      </w:r>
    </w:p>
    <w:p w14:paraId="6E6BAA56" w14:textId="3D4A5E35" w:rsidR="001B31C8" w:rsidRPr="00EB1E2E" w:rsidRDefault="001B31C8" w:rsidP="005979A7">
      <w:pPr>
        <w:adjustRightInd w:val="0"/>
        <w:snapToGrid w:val="0"/>
        <w:spacing w:after="0" w:line="480" w:lineRule="auto"/>
        <w:ind w:left="720" w:hanging="720"/>
        <w:jc w:val="both"/>
        <w:rPr>
          <w:rFonts w:ascii="Times New Roman" w:hAnsi="Times New Roman" w:cs="Times New Roman"/>
          <w:sz w:val="24"/>
          <w:szCs w:val="24"/>
        </w:rPr>
      </w:pPr>
      <w:r w:rsidRPr="001B31C8">
        <w:rPr>
          <w:rFonts w:ascii="Times New Roman" w:hAnsi="Times New Roman" w:cs="Times New Roman"/>
          <w:sz w:val="24"/>
          <w:szCs w:val="24"/>
        </w:rPr>
        <w:t xml:space="preserve">Nair, A. K., &amp; Bhattacharyya, S. S. (2019). Mandatory corporate social responsibility in India and its effect on corporate financial performance: perspectives from institutional theory and resource‐based view. </w:t>
      </w:r>
      <w:r w:rsidRPr="001B31C8">
        <w:rPr>
          <w:rFonts w:ascii="Times New Roman" w:hAnsi="Times New Roman" w:cs="Times New Roman"/>
          <w:i/>
          <w:iCs/>
          <w:sz w:val="24"/>
          <w:szCs w:val="24"/>
        </w:rPr>
        <w:t>Business Strategy &amp; Development</w:t>
      </w:r>
      <w:r w:rsidRPr="001B31C8">
        <w:rPr>
          <w:rFonts w:ascii="Times New Roman" w:hAnsi="Times New Roman" w:cs="Times New Roman"/>
          <w:sz w:val="24"/>
          <w:szCs w:val="24"/>
        </w:rPr>
        <w:t>, 2(2), 106-116.</w:t>
      </w:r>
    </w:p>
    <w:p w14:paraId="5BD6B022" w14:textId="5350885B" w:rsidR="00C17887" w:rsidRPr="00EB1E2E" w:rsidRDefault="00C17887"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Orlitzky</w:t>
      </w:r>
      <w:proofErr w:type="spellEnd"/>
      <w:r w:rsidRPr="00EB1E2E">
        <w:rPr>
          <w:rFonts w:ascii="Times New Roman" w:hAnsi="Times New Roman" w:cs="Times New Roman"/>
          <w:sz w:val="24"/>
          <w:szCs w:val="24"/>
        </w:rPr>
        <w:t xml:space="preserve">, M., Schmidt, F.L., &amp; </w:t>
      </w:r>
      <w:proofErr w:type="spellStart"/>
      <w:r w:rsidRPr="00EB1E2E">
        <w:rPr>
          <w:rFonts w:ascii="Times New Roman" w:hAnsi="Times New Roman" w:cs="Times New Roman"/>
          <w:sz w:val="24"/>
          <w:szCs w:val="24"/>
        </w:rPr>
        <w:t>R</w:t>
      </w:r>
      <w:r w:rsidRPr="0030354B">
        <w:rPr>
          <w:rFonts w:ascii="Times New Roman" w:hAnsi="Times New Roman" w:cs="Times New Roman"/>
          <w:sz w:val="24"/>
          <w:szCs w:val="24"/>
        </w:rPr>
        <w:t>ynes</w:t>
      </w:r>
      <w:proofErr w:type="spellEnd"/>
      <w:r w:rsidRPr="0030354B">
        <w:rPr>
          <w:rFonts w:ascii="Times New Roman" w:hAnsi="Times New Roman" w:cs="Times New Roman"/>
          <w:sz w:val="24"/>
          <w:szCs w:val="24"/>
        </w:rPr>
        <w:t xml:space="preserve">, S.L. (2003). Corporate Social and Financial Performance: A Meta Analysis. </w:t>
      </w:r>
      <w:r w:rsidR="0005637E" w:rsidRPr="0030354B">
        <w:rPr>
          <w:rFonts w:ascii="Times New Roman" w:hAnsi="Times New Roman" w:cs="Times New Roman"/>
          <w:i/>
          <w:iCs/>
          <w:sz w:val="24"/>
          <w:szCs w:val="24"/>
        </w:rPr>
        <w:t xml:space="preserve">Organization Studies, </w:t>
      </w:r>
      <w:r w:rsidR="0005637E" w:rsidRPr="00006974">
        <w:rPr>
          <w:rFonts w:ascii="Times New Roman" w:hAnsi="Times New Roman" w:cs="Times New Roman"/>
          <w:i/>
          <w:iCs/>
          <w:sz w:val="24"/>
          <w:szCs w:val="24"/>
        </w:rPr>
        <w:t>24</w:t>
      </w:r>
      <w:r w:rsidR="0005637E" w:rsidRPr="00EE5822">
        <w:rPr>
          <w:rFonts w:ascii="Times New Roman" w:hAnsi="Times New Roman" w:cs="Times New Roman"/>
          <w:sz w:val="24"/>
          <w:szCs w:val="24"/>
        </w:rPr>
        <w:t>(3), 403-441.</w:t>
      </w:r>
    </w:p>
    <w:p w14:paraId="0BA57AF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Palazzo, G., &amp; Richter, U. (2005). CSR business as usual? The case of the tobacco industry. </w:t>
      </w:r>
      <w:r w:rsidRPr="00EB1E2E">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61</w:t>
      </w:r>
      <w:r w:rsidRPr="00EE5822">
        <w:rPr>
          <w:rFonts w:ascii="Times New Roman" w:hAnsi="Times New Roman" w:cs="Times New Roman"/>
          <w:sz w:val="24"/>
          <w:szCs w:val="24"/>
        </w:rPr>
        <w:t>(4), 387-401.</w:t>
      </w:r>
    </w:p>
    <w:p w14:paraId="03D332CE" w14:textId="69A35EA3" w:rsidR="00B951E8" w:rsidRDefault="00B951E8" w:rsidP="005979A7">
      <w:pPr>
        <w:adjustRightInd w:val="0"/>
        <w:snapToGrid w:val="0"/>
        <w:spacing w:after="0" w:line="480" w:lineRule="auto"/>
        <w:ind w:left="720" w:hanging="720"/>
        <w:jc w:val="both"/>
        <w:rPr>
          <w:rFonts w:ascii="Times New Roman" w:hAnsi="Times New Roman" w:cs="Times New Roman"/>
          <w:sz w:val="24"/>
          <w:szCs w:val="24"/>
        </w:rPr>
      </w:pPr>
      <w:r w:rsidRPr="00B951E8">
        <w:rPr>
          <w:rFonts w:ascii="Times New Roman" w:hAnsi="Times New Roman" w:cs="Times New Roman"/>
          <w:sz w:val="24"/>
          <w:szCs w:val="24"/>
        </w:rPr>
        <w:t xml:space="preserve">Panwar, R., Hansen, E., &amp; Kozak, R. (2014). Evaluating social and environmental issues by integrating the legitimacy gap with expectational gaps: An empirical assessment of the forest industry. </w:t>
      </w:r>
      <w:r w:rsidRPr="00B951E8">
        <w:rPr>
          <w:rFonts w:ascii="Times New Roman" w:hAnsi="Times New Roman" w:cs="Times New Roman"/>
          <w:i/>
          <w:iCs/>
          <w:sz w:val="24"/>
          <w:szCs w:val="24"/>
        </w:rPr>
        <w:t>Business &amp; Society</w:t>
      </w:r>
      <w:r w:rsidRPr="00B951E8">
        <w:rPr>
          <w:rFonts w:ascii="Times New Roman" w:hAnsi="Times New Roman" w:cs="Times New Roman"/>
          <w:sz w:val="24"/>
          <w:szCs w:val="24"/>
        </w:rPr>
        <w:t>, 53(6), 853-875.</w:t>
      </w:r>
    </w:p>
    <w:p w14:paraId="666BC859" w14:textId="2AF7E9DB"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lastRenderedPageBreak/>
        <w:t xml:space="preserve">Panwar, R., </w:t>
      </w:r>
      <w:proofErr w:type="spellStart"/>
      <w:r w:rsidRPr="00EB1E2E">
        <w:rPr>
          <w:rFonts w:ascii="Times New Roman" w:hAnsi="Times New Roman" w:cs="Times New Roman"/>
          <w:sz w:val="24"/>
          <w:szCs w:val="24"/>
        </w:rPr>
        <w:t>Nawani</w:t>
      </w:r>
      <w:proofErr w:type="spellEnd"/>
      <w:r w:rsidRPr="00EB1E2E">
        <w:rPr>
          <w:rFonts w:ascii="Times New Roman" w:hAnsi="Times New Roman" w:cs="Times New Roman"/>
          <w:sz w:val="24"/>
          <w:szCs w:val="24"/>
        </w:rPr>
        <w:t xml:space="preserve">, S., &amp; Pandey, V. (2018), Legislated CSR: A brief introduction. In D. M. </w:t>
      </w:r>
      <w:proofErr w:type="spellStart"/>
      <w:r w:rsidRPr="00EB1E2E">
        <w:rPr>
          <w:rFonts w:ascii="Times New Roman" w:hAnsi="Times New Roman" w:cs="Times New Roman"/>
          <w:sz w:val="24"/>
          <w:szCs w:val="24"/>
        </w:rPr>
        <w:t>Wasieleski</w:t>
      </w:r>
      <w:proofErr w:type="spellEnd"/>
      <w:r w:rsidRPr="00EB1E2E">
        <w:rPr>
          <w:rFonts w:ascii="Times New Roman" w:hAnsi="Times New Roman" w:cs="Times New Roman"/>
          <w:sz w:val="24"/>
          <w:szCs w:val="24"/>
        </w:rPr>
        <w:t xml:space="preserve"> &amp; J. Weber (Eds.), </w:t>
      </w:r>
      <w:r w:rsidRPr="00EB1E2E">
        <w:rPr>
          <w:rFonts w:ascii="Times New Roman" w:hAnsi="Times New Roman" w:cs="Times New Roman"/>
          <w:i/>
          <w:iCs/>
          <w:sz w:val="24"/>
          <w:szCs w:val="24"/>
        </w:rPr>
        <w:t>Corporate Social Responsibility</w:t>
      </w:r>
      <w:r w:rsidRPr="0030354B">
        <w:rPr>
          <w:rFonts w:ascii="Times New Roman" w:hAnsi="Times New Roman" w:cs="Times New Roman"/>
          <w:sz w:val="24"/>
          <w:szCs w:val="24"/>
        </w:rPr>
        <w:t xml:space="preserve"> (Business and Society 360, Vol. 2, pp. 133-146). Emerald Publishing Limited. </w:t>
      </w:r>
      <w:hyperlink r:id="rId11" w:history="1">
        <w:r w:rsidR="002E0738" w:rsidRPr="00320575">
          <w:rPr>
            <w:rStyle w:val="Hyperlink"/>
            <w:rFonts w:ascii="Times New Roman" w:hAnsi="Times New Roman" w:cs="Times New Roman"/>
            <w:sz w:val="24"/>
            <w:szCs w:val="24"/>
          </w:rPr>
          <w:t>https://doi.org/10.1108/S2514-175920180000002004</w:t>
        </w:r>
      </w:hyperlink>
    </w:p>
    <w:p w14:paraId="1667979C" w14:textId="77777777" w:rsidR="002E0738" w:rsidRPr="002E0738" w:rsidRDefault="002E0738" w:rsidP="002E0738">
      <w:pPr>
        <w:adjustRightInd w:val="0"/>
        <w:snapToGrid w:val="0"/>
        <w:spacing w:after="0" w:line="480" w:lineRule="auto"/>
        <w:jc w:val="both"/>
        <w:rPr>
          <w:rFonts w:ascii="Times New Roman" w:hAnsi="Times New Roman" w:cs="Times New Roman"/>
          <w:sz w:val="24"/>
          <w:szCs w:val="24"/>
        </w:rPr>
      </w:pPr>
      <w:r w:rsidRPr="002E0738">
        <w:rPr>
          <w:rFonts w:ascii="Times New Roman" w:hAnsi="Times New Roman" w:cs="Times New Roman"/>
          <w:sz w:val="24"/>
          <w:szCs w:val="24"/>
        </w:rPr>
        <w:t xml:space="preserve">Panwar, R., Rinne, T., Hansen, E., &amp; </w:t>
      </w:r>
      <w:proofErr w:type="spellStart"/>
      <w:r w:rsidRPr="002E0738">
        <w:rPr>
          <w:rFonts w:ascii="Times New Roman" w:hAnsi="Times New Roman" w:cs="Times New Roman"/>
          <w:sz w:val="24"/>
          <w:szCs w:val="24"/>
        </w:rPr>
        <w:t>Juslin</w:t>
      </w:r>
      <w:proofErr w:type="spellEnd"/>
      <w:r w:rsidRPr="002E0738">
        <w:rPr>
          <w:rFonts w:ascii="Times New Roman" w:hAnsi="Times New Roman" w:cs="Times New Roman"/>
          <w:sz w:val="24"/>
          <w:szCs w:val="24"/>
        </w:rPr>
        <w:t>, H. 2006. Corporate responsibility: Balancing economic, environmental and social issues in the forest products industry</w:t>
      </w:r>
      <w:r w:rsidRPr="002E0738">
        <w:rPr>
          <w:rFonts w:ascii="Times New Roman" w:hAnsi="Times New Roman" w:cs="Times New Roman"/>
          <w:i/>
          <w:sz w:val="24"/>
          <w:szCs w:val="24"/>
        </w:rPr>
        <w:t>. Forest Products Journal</w:t>
      </w:r>
      <w:r w:rsidRPr="002E0738">
        <w:rPr>
          <w:rFonts w:ascii="Times New Roman" w:hAnsi="Times New Roman" w:cs="Times New Roman"/>
          <w:sz w:val="24"/>
          <w:szCs w:val="24"/>
        </w:rPr>
        <w:t xml:space="preserve">, 56(2): 4-12. </w:t>
      </w:r>
    </w:p>
    <w:p w14:paraId="4FF1DE04"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Pederson, E. R. (2006). Making corporate social responsibility (CSR) operable: How companies translate stakeholder dialogue into practice. </w:t>
      </w:r>
      <w:r w:rsidRPr="00EE5822">
        <w:rPr>
          <w:rFonts w:ascii="Times New Roman" w:hAnsi="Times New Roman" w:cs="Times New Roman"/>
          <w:i/>
          <w:iCs/>
          <w:sz w:val="24"/>
          <w:szCs w:val="24"/>
        </w:rPr>
        <w:t>Business and Society Review</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111</w:t>
      </w:r>
      <w:r w:rsidRPr="00EE5822">
        <w:rPr>
          <w:rFonts w:ascii="Times New Roman" w:hAnsi="Times New Roman" w:cs="Times New Roman"/>
          <w:sz w:val="24"/>
          <w:szCs w:val="24"/>
        </w:rPr>
        <w:t>(2), 137-163.</w:t>
      </w:r>
    </w:p>
    <w:p w14:paraId="0CDF1792"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Pederson, E., &amp; Andersen, M. (2006). Safeguardi</w:t>
      </w:r>
      <w:r w:rsidRPr="0030354B">
        <w:rPr>
          <w:rFonts w:ascii="Times New Roman" w:hAnsi="Times New Roman" w:cs="Times New Roman"/>
          <w:sz w:val="24"/>
          <w:szCs w:val="24"/>
        </w:rPr>
        <w:t xml:space="preserve">ng corporate social responsibility (CSR) in global supply chains: How codes of conduct are managed in buyer-seller relationships. </w:t>
      </w:r>
      <w:r w:rsidRPr="0030354B">
        <w:rPr>
          <w:rFonts w:ascii="Times New Roman" w:hAnsi="Times New Roman" w:cs="Times New Roman"/>
          <w:i/>
          <w:iCs/>
          <w:sz w:val="24"/>
          <w:szCs w:val="24"/>
        </w:rPr>
        <w:t>Journal of Public Affairs</w:t>
      </w:r>
      <w:r w:rsidRPr="00203FA4">
        <w:rPr>
          <w:rFonts w:ascii="Times New Roman" w:hAnsi="Times New Roman" w:cs="Times New Roman"/>
          <w:sz w:val="24"/>
          <w:szCs w:val="24"/>
        </w:rPr>
        <w:t xml:space="preserve">, </w:t>
      </w:r>
      <w:r w:rsidRPr="00006974">
        <w:rPr>
          <w:rFonts w:ascii="Times New Roman" w:hAnsi="Times New Roman" w:cs="Times New Roman"/>
          <w:i/>
          <w:iCs/>
          <w:sz w:val="24"/>
          <w:szCs w:val="24"/>
        </w:rPr>
        <w:t>6</w:t>
      </w:r>
      <w:r w:rsidRPr="00EE5822">
        <w:rPr>
          <w:rFonts w:ascii="Times New Roman" w:hAnsi="Times New Roman" w:cs="Times New Roman"/>
          <w:sz w:val="24"/>
          <w:szCs w:val="24"/>
        </w:rPr>
        <w:t>(3/4), 228-240.</w:t>
      </w:r>
      <w:r w:rsidRPr="00EB1E2E">
        <w:rPr>
          <w:rFonts w:ascii="Times New Roman" w:hAnsi="Times New Roman" w:cs="Times New Roman"/>
          <w:sz w:val="24"/>
          <w:szCs w:val="24"/>
        </w:rPr>
        <w:t xml:space="preserve"> </w:t>
      </w:r>
    </w:p>
    <w:p w14:paraId="659806E4"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Prieto-Carron, M., Lund-Thomsen, P., Chan, A., </w:t>
      </w:r>
      <w:proofErr w:type="spellStart"/>
      <w:r w:rsidRPr="00EB1E2E">
        <w:rPr>
          <w:rFonts w:ascii="Times New Roman" w:hAnsi="Times New Roman" w:cs="Times New Roman"/>
          <w:sz w:val="24"/>
          <w:szCs w:val="24"/>
        </w:rPr>
        <w:t>Muro</w:t>
      </w:r>
      <w:proofErr w:type="spellEnd"/>
      <w:r w:rsidRPr="00EB1E2E">
        <w:rPr>
          <w:rFonts w:ascii="Times New Roman" w:hAnsi="Times New Roman" w:cs="Times New Roman"/>
          <w:sz w:val="24"/>
          <w:szCs w:val="24"/>
        </w:rPr>
        <w:t>, A., &amp; Bhushan, C. (2006). Cr</w:t>
      </w:r>
      <w:r w:rsidRPr="0030354B">
        <w:rPr>
          <w:rFonts w:ascii="Times New Roman" w:hAnsi="Times New Roman" w:cs="Times New Roman"/>
          <w:sz w:val="24"/>
          <w:szCs w:val="24"/>
        </w:rPr>
        <w:t xml:space="preserve">itical perspectives on CSR and development: What we know, what we don’t know, and what we need to know. </w:t>
      </w:r>
      <w:r w:rsidRPr="0030354B">
        <w:rPr>
          <w:rFonts w:ascii="Times New Roman" w:hAnsi="Times New Roman" w:cs="Times New Roman"/>
          <w:i/>
          <w:iCs/>
          <w:sz w:val="24"/>
          <w:szCs w:val="24"/>
        </w:rPr>
        <w:t>International Affairs</w:t>
      </w:r>
      <w:r w:rsidRPr="00203FA4">
        <w:rPr>
          <w:rFonts w:ascii="Times New Roman" w:hAnsi="Times New Roman" w:cs="Times New Roman"/>
          <w:sz w:val="24"/>
          <w:szCs w:val="24"/>
        </w:rPr>
        <w:t xml:space="preserve">, </w:t>
      </w:r>
      <w:r w:rsidRPr="00006974">
        <w:rPr>
          <w:rFonts w:ascii="Times New Roman" w:hAnsi="Times New Roman" w:cs="Times New Roman"/>
          <w:i/>
          <w:iCs/>
          <w:sz w:val="24"/>
          <w:szCs w:val="24"/>
        </w:rPr>
        <w:t>82</w:t>
      </w:r>
      <w:r w:rsidRPr="00EE5822">
        <w:rPr>
          <w:rFonts w:ascii="Times New Roman" w:hAnsi="Times New Roman" w:cs="Times New Roman"/>
          <w:sz w:val="24"/>
          <w:szCs w:val="24"/>
        </w:rPr>
        <w:t>(5), 977-987.</w:t>
      </w:r>
    </w:p>
    <w:p w14:paraId="144D444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Reddy, C. D., &amp; Hamann, R. (2018). Distance makes the (committed) heart grow colder: MNEs’ responses to the state logic in African variants of CSR. </w:t>
      </w:r>
      <w:r w:rsidRPr="0030354B">
        <w:rPr>
          <w:rFonts w:ascii="Times New Roman" w:hAnsi="Times New Roman" w:cs="Times New Roman"/>
          <w:i/>
          <w:iCs/>
          <w:sz w:val="24"/>
          <w:szCs w:val="24"/>
        </w:rPr>
        <w:t>Business &amp; Society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57</w:t>
      </w:r>
      <w:r w:rsidRPr="00EE5822">
        <w:rPr>
          <w:rFonts w:ascii="Times New Roman" w:hAnsi="Times New Roman" w:cs="Times New Roman"/>
          <w:sz w:val="24"/>
          <w:szCs w:val="24"/>
        </w:rPr>
        <w:t>(3), 562-594.</w:t>
      </w:r>
    </w:p>
    <w:p w14:paraId="73411D66"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Rhee, E. Y. &amp; </w:t>
      </w:r>
      <w:proofErr w:type="spellStart"/>
      <w:r w:rsidRPr="00EB1E2E">
        <w:rPr>
          <w:rFonts w:ascii="Times New Roman" w:hAnsi="Times New Roman" w:cs="Times New Roman"/>
          <w:sz w:val="24"/>
          <w:szCs w:val="24"/>
        </w:rPr>
        <w:t>Fiss</w:t>
      </w:r>
      <w:proofErr w:type="spellEnd"/>
      <w:r w:rsidRPr="00EB1E2E">
        <w:rPr>
          <w:rFonts w:ascii="Times New Roman" w:hAnsi="Times New Roman" w:cs="Times New Roman"/>
          <w:sz w:val="24"/>
          <w:szCs w:val="24"/>
        </w:rPr>
        <w:t xml:space="preserve">, P. C. (2014). Framing controversial actions: Regulatory focus, source credibility, and stock market reaction to poison pill adoption. </w:t>
      </w:r>
      <w:r w:rsidRPr="00EE5822">
        <w:rPr>
          <w:rFonts w:ascii="Times New Roman" w:hAnsi="Times New Roman" w:cs="Times New Roman"/>
          <w:i/>
          <w:iCs/>
          <w:sz w:val="24"/>
          <w:szCs w:val="24"/>
        </w:rPr>
        <w:t>Academy of Management Journal</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57</w:t>
      </w:r>
      <w:r w:rsidRPr="00EE5822">
        <w:rPr>
          <w:rFonts w:ascii="Times New Roman" w:hAnsi="Times New Roman" w:cs="Times New Roman"/>
          <w:sz w:val="24"/>
          <w:szCs w:val="24"/>
        </w:rPr>
        <w:t>(6), 1734-1758.</w:t>
      </w:r>
    </w:p>
    <w:p w14:paraId="2411C872"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lastRenderedPageBreak/>
        <w:t xml:space="preserve">Ruef, M., &amp; Scott, W. R. (1998). A multidimensional model of organizational legitimacy: Hospital survival in changing institutional environments. </w:t>
      </w:r>
      <w:r w:rsidRPr="00EB1E2E">
        <w:rPr>
          <w:rFonts w:ascii="Times New Roman" w:hAnsi="Times New Roman" w:cs="Times New Roman"/>
          <w:i/>
          <w:iCs/>
          <w:sz w:val="24"/>
          <w:szCs w:val="24"/>
        </w:rPr>
        <w:t>Administrative Science Quarterly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w:t>
      </w:r>
      <w:r w:rsidRPr="00EE5822">
        <w:rPr>
          <w:rFonts w:ascii="Times New Roman" w:hAnsi="Times New Roman" w:cs="Times New Roman"/>
          <w:sz w:val="24"/>
          <w:szCs w:val="24"/>
        </w:rPr>
        <w:t>3(4),</w:t>
      </w:r>
      <w:r w:rsidRPr="00EB1E2E">
        <w:rPr>
          <w:rFonts w:ascii="Times New Roman" w:hAnsi="Times New Roman" w:cs="Times New Roman"/>
          <w:i/>
          <w:iCs/>
          <w:sz w:val="24"/>
          <w:szCs w:val="24"/>
        </w:rPr>
        <w:t xml:space="preserve"> </w:t>
      </w:r>
      <w:r w:rsidRPr="00EB1E2E">
        <w:rPr>
          <w:rFonts w:ascii="Times New Roman" w:hAnsi="Times New Roman" w:cs="Times New Roman"/>
          <w:sz w:val="24"/>
          <w:szCs w:val="24"/>
        </w:rPr>
        <w:t>877-904.</w:t>
      </w:r>
    </w:p>
    <w:p w14:paraId="59437097" w14:textId="01F31D69"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Sacconi</w:t>
      </w:r>
      <w:proofErr w:type="spellEnd"/>
      <w:r w:rsidRPr="00EE5822">
        <w:rPr>
          <w:rFonts w:ascii="Times New Roman" w:hAnsi="Times New Roman" w:cs="Times New Roman"/>
          <w:sz w:val="24"/>
          <w:szCs w:val="24"/>
        </w:rPr>
        <w:t xml:space="preserve">, L. (2006). A social contract account for CSR as extended model of corporate governance (Part I): Rational bargaining and justification. </w:t>
      </w:r>
      <w:r w:rsidRPr="00EE5822">
        <w:rPr>
          <w:rFonts w:ascii="Times New Roman" w:hAnsi="Times New Roman" w:cs="Times New Roman"/>
          <w:i/>
          <w:iCs/>
          <w:sz w:val="24"/>
          <w:szCs w:val="24"/>
        </w:rPr>
        <w:t>Journal of Business Ethics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68</w:t>
      </w:r>
      <w:r w:rsidR="00880F4D" w:rsidRPr="00006974">
        <w:rPr>
          <w:rFonts w:ascii="Times New Roman" w:hAnsi="Times New Roman" w:cs="Times New Roman"/>
          <w:iCs/>
          <w:sz w:val="24"/>
          <w:szCs w:val="24"/>
        </w:rPr>
        <w:t>(3)</w:t>
      </w:r>
      <w:r w:rsidRPr="00EE5822">
        <w:rPr>
          <w:rFonts w:ascii="Times New Roman" w:hAnsi="Times New Roman" w:cs="Times New Roman"/>
          <w:sz w:val="24"/>
          <w:szCs w:val="24"/>
        </w:rPr>
        <w:t>, 259-281.</w:t>
      </w:r>
    </w:p>
    <w:p w14:paraId="0B432D05"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Sarkar, S., Chatterjee, M., &amp; Bhattacharjee, T. (2021). Does CSR disclosure enhance corporate brand performance in emerging economy? Evidence from India. </w:t>
      </w:r>
      <w:r w:rsidRPr="00EE5822">
        <w:rPr>
          <w:rFonts w:ascii="Times New Roman" w:hAnsi="Times New Roman" w:cs="Times New Roman"/>
          <w:i/>
          <w:iCs/>
          <w:sz w:val="24"/>
          <w:szCs w:val="24"/>
        </w:rPr>
        <w:t>Journal of Indian Business Research</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13</w:t>
      </w:r>
      <w:r w:rsidRPr="00EE5822">
        <w:rPr>
          <w:rFonts w:ascii="Times New Roman" w:hAnsi="Times New Roman" w:cs="Times New Roman"/>
          <w:sz w:val="24"/>
          <w:szCs w:val="24"/>
        </w:rPr>
        <w:t>(2), 253-269.</w:t>
      </w:r>
    </w:p>
    <w:p w14:paraId="736B4F3D" w14:textId="77777777" w:rsidR="00C70AF8" w:rsidRPr="00203FA4"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Scott, W. R. (2013). </w:t>
      </w:r>
      <w:r w:rsidRPr="00EB1E2E">
        <w:rPr>
          <w:rFonts w:ascii="Times New Roman" w:hAnsi="Times New Roman" w:cs="Times New Roman"/>
          <w:i/>
          <w:iCs/>
          <w:sz w:val="24"/>
          <w:szCs w:val="24"/>
        </w:rPr>
        <w:t>Institutions and Organizations: Ideas, Interests, and Identities</w:t>
      </w:r>
      <w:r w:rsidRPr="0030354B">
        <w:rPr>
          <w:rFonts w:ascii="Times New Roman" w:hAnsi="Times New Roman" w:cs="Times New Roman"/>
          <w:sz w:val="24"/>
          <w:szCs w:val="24"/>
        </w:rPr>
        <w:t xml:space="preserve"> (4</w:t>
      </w:r>
      <w:r w:rsidRPr="0030354B">
        <w:rPr>
          <w:rFonts w:ascii="Times New Roman" w:hAnsi="Times New Roman" w:cs="Times New Roman"/>
          <w:sz w:val="24"/>
          <w:szCs w:val="24"/>
          <w:vertAlign w:val="superscript"/>
        </w:rPr>
        <w:t>th</w:t>
      </w:r>
      <w:r w:rsidRPr="00203FA4">
        <w:rPr>
          <w:rFonts w:ascii="Times New Roman" w:hAnsi="Times New Roman" w:cs="Times New Roman"/>
          <w:sz w:val="24"/>
          <w:szCs w:val="24"/>
        </w:rPr>
        <w:t xml:space="preserve"> ed.). Los Angeles, CA: Sage Publications Inc.</w:t>
      </w:r>
    </w:p>
    <w:p w14:paraId="76CBD75C"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t xml:space="preserve">Seth, B. L. (2011, September 15). 2% for work: Industry, government debate Corporate Social Responsibility levy [In-depth]. </w:t>
      </w:r>
      <w:proofErr w:type="spellStart"/>
      <w:r w:rsidRPr="00EE5822">
        <w:rPr>
          <w:rFonts w:ascii="Times New Roman" w:hAnsi="Times New Roman" w:cs="Times New Roman"/>
          <w:sz w:val="24"/>
          <w:szCs w:val="24"/>
        </w:rPr>
        <w:t>DownToEarth</w:t>
      </w:r>
      <w:proofErr w:type="spellEnd"/>
      <w:r w:rsidRPr="00EE5822">
        <w:rPr>
          <w:rFonts w:ascii="Times New Roman" w:hAnsi="Times New Roman" w:cs="Times New Roman"/>
          <w:sz w:val="24"/>
          <w:szCs w:val="24"/>
        </w:rPr>
        <w:t xml:space="preserve">. Retrieved May 16, 2021, from </w:t>
      </w:r>
      <w:hyperlink r:id="rId12" w:history="1">
        <w:r w:rsidRPr="00EB1E2E">
          <w:rPr>
            <w:rStyle w:val="Hyperlink"/>
            <w:rFonts w:ascii="Times New Roman" w:hAnsi="Times New Roman" w:cs="Times New Roman"/>
            <w:sz w:val="24"/>
            <w:szCs w:val="24"/>
          </w:rPr>
          <w:t>https://www.downtoearth.org.in/coverage/2-for-social-work-33939</w:t>
        </w:r>
      </w:hyperlink>
      <w:r w:rsidRPr="00EE5822">
        <w:rPr>
          <w:rFonts w:ascii="Times New Roman" w:hAnsi="Times New Roman" w:cs="Times New Roman"/>
          <w:sz w:val="24"/>
          <w:szCs w:val="24"/>
        </w:rPr>
        <w:t xml:space="preserve">  </w:t>
      </w:r>
    </w:p>
    <w:p w14:paraId="0511DC89"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Shaffer, G. C., &amp; Pollack, M. A. (2009). Hard vs. soft law: Alternatives, complements, and antagonists in international governance. </w:t>
      </w:r>
      <w:r w:rsidRPr="00EB1E2E">
        <w:rPr>
          <w:rFonts w:ascii="Times New Roman" w:hAnsi="Times New Roman" w:cs="Times New Roman"/>
          <w:i/>
          <w:iCs/>
          <w:sz w:val="24"/>
          <w:szCs w:val="24"/>
        </w:rPr>
        <w:t>Minnesota Law Review</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94</w:t>
      </w:r>
      <w:r w:rsidRPr="00EE5822">
        <w:rPr>
          <w:rFonts w:ascii="Times New Roman" w:hAnsi="Times New Roman" w:cs="Times New Roman"/>
          <w:sz w:val="24"/>
          <w:szCs w:val="24"/>
        </w:rPr>
        <w:t>, 712-743.</w:t>
      </w:r>
    </w:p>
    <w:p w14:paraId="19462DD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Shamir, R. (2008). The age of </w:t>
      </w:r>
      <w:proofErr w:type="spellStart"/>
      <w:r w:rsidRPr="00EB1E2E">
        <w:rPr>
          <w:rFonts w:ascii="Times New Roman" w:hAnsi="Times New Roman" w:cs="Times New Roman"/>
          <w:sz w:val="24"/>
          <w:szCs w:val="24"/>
        </w:rPr>
        <w:t>responsibilization</w:t>
      </w:r>
      <w:proofErr w:type="spellEnd"/>
      <w:r w:rsidRPr="00EB1E2E">
        <w:rPr>
          <w:rFonts w:ascii="Times New Roman" w:hAnsi="Times New Roman" w:cs="Times New Roman"/>
          <w:sz w:val="24"/>
          <w:szCs w:val="24"/>
        </w:rPr>
        <w:t xml:space="preserve">: On market-embedded morality. </w:t>
      </w:r>
      <w:r w:rsidRPr="0030354B">
        <w:rPr>
          <w:rFonts w:ascii="Times New Roman" w:hAnsi="Times New Roman" w:cs="Times New Roman"/>
          <w:i/>
          <w:sz w:val="24"/>
          <w:szCs w:val="24"/>
        </w:rPr>
        <w:t>Economy and Society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37</w:t>
      </w:r>
      <w:r w:rsidRPr="00EE5822">
        <w:rPr>
          <w:rFonts w:ascii="Times New Roman" w:hAnsi="Times New Roman" w:cs="Times New Roman"/>
          <w:sz w:val="24"/>
          <w:szCs w:val="24"/>
        </w:rPr>
        <w:t>(1), 1-19.</w:t>
      </w:r>
    </w:p>
    <w:p w14:paraId="3459622E" w14:textId="68F988B5" w:rsidR="00C70AF8"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Shamir, R. (2011). Socially responsible private regulation. </w:t>
      </w:r>
      <w:r w:rsidRPr="00EB1E2E">
        <w:rPr>
          <w:rFonts w:ascii="Times New Roman" w:hAnsi="Times New Roman" w:cs="Times New Roman"/>
          <w:i/>
          <w:iCs/>
          <w:sz w:val="24"/>
          <w:szCs w:val="24"/>
        </w:rPr>
        <w:t>Law &amp; Society Review</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45</w:t>
      </w:r>
      <w:r w:rsidRPr="00EE5822">
        <w:rPr>
          <w:rFonts w:ascii="Times New Roman" w:hAnsi="Times New Roman" w:cs="Times New Roman"/>
          <w:sz w:val="24"/>
          <w:szCs w:val="24"/>
        </w:rPr>
        <w:t>(2), 313-336.</w:t>
      </w:r>
    </w:p>
    <w:p w14:paraId="47FE7A05" w14:textId="3BAE1988" w:rsidR="008E29EA" w:rsidRPr="00EB1E2E" w:rsidRDefault="008E29EA" w:rsidP="005979A7">
      <w:pPr>
        <w:adjustRightInd w:val="0"/>
        <w:snapToGrid w:val="0"/>
        <w:spacing w:after="0" w:line="480" w:lineRule="auto"/>
        <w:ind w:left="720" w:hanging="720"/>
        <w:jc w:val="both"/>
        <w:rPr>
          <w:rFonts w:ascii="Times New Roman" w:hAnsi="Times New Roman" w:cs="Times New Roman"/>
          <w:sz w:val="24"/>
          <w:szCs w:val="24"/>
        </w:rPr>
      </w:pPr>
      <w:r w:rsidRPr="008E29EA">
        <w:rPr>
          <w:rFonts w:ascii="Times New Roman" w:hAnsi="Times New Roman" w:cs="Times New Roman"/>
          <w:sz w:val="24"/>
          <w:szCs w:val="24"/>
        </w:rPr>
        <w:t>Sheehy, B. (2015). Defining CSR: Problems and solutions. </w:t>
      </w:r>
      <w:r w:rsidRPr="008E29EA">
        <w:rPr>
          <w:rFonts w:ascii="Times New Roman" w:hAnsi="Times New Roman" w:cs="Times New Roman"/>
          <w:i/>
          <w:iCs/>
          <w:sz w:val="24"/>
          <w:szCs w:val="24"/>
        </w:rPr>
        <w:t xml:space="preserve">Journal of </w:t>
      </w:r>
      <w:r>
        <w:rPr>
          <w:rFonts w:ascii="Times New Roman" w:hAnsi="Times New Roman" w:cs="Times New Roman"/>
          <w:i/>
          <w:iCs/>
          <w:sz w:val="24"/>
          <w:szCs w:val="24"/>
        </w:rPr>
        <w:t>B</w:t>
      </w:r>
      <w:r w:rsidRPr="008E29EA">
        <w:rPr>
          <w:rFonts w:ascii="Times New Roman" w:hAnsi="Times New Roman" w:cs="Times New Roman"/>
          <w:i/>
          <w:iCs/>
          <w:sz w:val="24"/>
          <w:szCs w:val="24"/>
        </w:rPr>
        <w:t xml:space="preserve">usiness </w:t>
      </w:r>
      <w:r>
        <w:rPr>
          <w:rFonts w:ascii="Times New Roman" w:hAnsi="Times New Roman" w:cs="Times New Roman"/>
          <w:i/>
          <w:iCs/>
          <w:sz w:val="24"/>
          <w:szCs w:val="24"/>
        </w:rPr>
        <w:t>E</w:t>
      </w:r>
      <w:r w:rsidRPr="008E29EA">
        <w:rPr>
          <w:rFonts w:ascii="Times New Roman" w:hAnsi="Times New Roman" w:cs="Times New Roman"/>
          <w:i/>
          <w:iCs/>
          <w:sz w:val="24"/>
          <w:szCs w:val="24"/>
        </w:rPr>
        <w:t>thics</w:t>
      </w:r>
      <w:r w:rsidRPr="008E29EA">
        <w:rPr>
          <w:rFonts w:ascii="Times New Roman" w:hAnsi="Times New Roman" w:cs="Times New Roman"/>
          <w:sz w:val="24"/>
          <w:szCs w:val="24"/>
        </w:rPr>
        <w:t>, </w:t>
      </w:r>
      <w:r w:rsidRPr="008E29EA">
        <w:rPr>
          <w:rFonts w:ascii="Times New Roman" w:hAnsi="Times New Roman" w:cs="Times New Roman"/>
          <w:i/>
          <w:iCs/>
          <w:sz w:val="24"/>
          <w:szCs w:val="24"/>
        </w:rPr>
        <w:t>131</w:t>
      </w:r>
      <w:r w:rsidRPr="008E29EA">
        <w:rPr>
          <w:rFonts w:ascii="Times New Roman" w:hAnsi="Times New Roman" w:cs="Times New Roman"/>
          <w:sz w:val="24"/>
          <w:szCs w:val="24"/>
        </w:rPr>
        <w:t>(3), 625-648.</w:t>
      </w:r>
    </w:p>
    <w:p w14:paraId="641846B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Sharma, J. L., &amp; Kennedy, R. E. (1977). A Comparative analysis of s</w:t>
      </w:r>
      <w:r w:rsidRPr="0030354B">
        <w:rPr>
          <w:rFonts w:ascii="Times New Roman" w:hAnsi="Times New Roman" w:cs="Times New Roman"/>
          <w:sz w:val="24"/>
          <w:szCs w:val="24"/>
        </w:rPr>
        <w:t xml:space="preserve">tock price </w:t>
      </w:r>
      <w:proofErr w:type="spellStart"/>
      <w:r w:rsidRPr="0030354B">
        <w:rPr>
          <w:rFonts w:ascii="Times New Roman" w:hAnsi="Times New Roman" w:cs="Times New Roman"/>
          <w:sz w:val="24"/>
          <w:szCs w:val="24"/>
        </w:rPr>
        <w:t>behaviour</w:t>
      </w:r>
      <w:proofErr w:type="spellEnd"/>
      <w:r w:rsidRPr="0030354B">
        <w:rPr>
          <w:rFonts w:ascii="Times New Roman" w:hAnsi="Times New Roman" w:cs="Times New Roman"/>
          <w:sz w:val="24"/>
          <w:szCs w:val="24"/>
        </w:rPr>
        <w:t xml:space="preserve"> on the Bombay, London and New York Stock Exchanges. </w:t>
      </w:r>
      <w:r w:rsidRPr="00EE5822">
        <w:rPr>
          <w:rFonts w:ascii="Times New Roman" w:hAnsi="Times New Roman" w:cs="Times New Roman"/>
          <w:i/>
          <w:iCs/>
          <w:sz w:val="24"/>
          <w:szCs w:val="24"/>
        </w:rPr>
        <w:t>Journal of Financial and Quantitative Analysis</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12</w:t>
      </w:r>
      <w:r w:rsidRPr="00EE5822">
        <w:rPr>
          <w:rFonts w:ascii="Times New Roman" w:hAnsi="Times New Roman" w:cs="Times New Roman"/>
          <w:sz w:val="24"/>
          <w:szCs w:val="24"/>
        </w:rPr>
        <w:t>(3), 391-413.</w:t>
      </w:r>
    </w:p>
    <w:p w14:paraId="125DC9AD"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lastRenderedPageBreak/>
        <w:t xml:space="preserve">Short J. L., &amp; </w:t>
      </w:r>
      <w:proofErr w:type="spellStart"/>
      <w:r w:rsidRPr="00EB1E2E">
        <w:rPr>
          <w:rFonts w:ascii="Times New Roman" w:hAnsi="Times New Roman" w:cs="Times New Roman"/>
          <w:sz w:val="24"/>
          <w:szCs w:val="24"/>
        </w:rPr>
        <w:t>Toffel</w:t>
      </w:r>
      <w:proofErr w:type="spellEnd"/>
      <w:r w:rsidRPr="00EB1E2E">
        <w:rPr>
          <w:rFonts w:ascii="Times New Roman" w:hAnsi="Times New Roman" w:cs="Times New Roman"/>
          <w:sz w:val="24"/>
          <w:szCs w:val="24"/>
        </w:rPr>
        <w:t xml:space="preserve">, M. W. (2010). Making self-regulation more than merely symbolic: The critical role of the legal environment. </w:t>
      </w:r>
      <w:r w:rsidRPr="0030354B">
        <w:rPr>
          <w:rFonts w:ascii="Times New Roman" w:hAnsi="Times New Roman" w:cs="Times New Roman"/>
          <w:i/>
          <w:iCs/>
          <w:sz w:val="24"/>
          <w:szCs w:val="24"/>
        </w:rPr>
        <w:t>Administrative Science Quarterly</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55</w:t>
      </w:r>
      <w:r w:rsidRPr="00EE5822">
        <w:rPr>
          <w:rFonts w:ascii="Times New Roman" w:hAnsi="Times New Roman" w:cs="Times New Roman"/>
          <w:sz w:val="24"/>
          <w:szCs w:val="24"/>
        </w:rPr>
        <w:t>(3), 361-96.</w:t>
      </w:r>
    </w:p>
    <w:p w14:paraId="330EBA9B"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Sims R. R., &amp; Brinkmann J. (2003). Enron ethics (or: culture matters more than codes). </w:t>
      </w:r>
      <w:r w:rsidRPr="00EB1E2E">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45</w:t>
      </w:r>
      <w:r w:rsidRPr="00EE5822">
        <w:rPr>
          <w:rFonts w:ascii="Times New Roman" w:hAnsi="Times New Roman" w:cs="Times New Roman"/>
          <w:sz w:val="24"/>
          <w:szCs w:val="24"/>
        </w:rPr>
        <w:t>(3), 243-56.</w:t>
      </w:r>
    </w:p>
    <w:p w14:paraId="57198E18"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lang w:val="pt-BR"/>
        </w:rPr>
        <w:t xml:space="preserve">Skarmeas, D., &amp; Leonidou, C. N. (2013). </w:t>
      </w:r>
      <w:r w:rsidRPr="00EB1E2E">
        <w:rPr>
          <w:rFonts w:ascii="Times New Roman" w:hAnsi="Times New Roman" w:cs="Times New Roman"/>
          <w:sz w:val="24"/>
          <w:szCs w:val="24"/>
        </w:rPr>
        <w:t xml:space="preserve">When consumers doubt, Watch out! The role of CSR skepticism. </w:t>
      </w:r>
      <w:r w:rsidRPr="0030354B">
        <w:rPr>
          <w:rFonts w:ascii="Times New Roman" w:hAnsi="Times New Roman" w:cs="Times New Roman"/>
          <w:i/>
          <w:iCs/>
          <w:sz w:val="24"/>
          <w:szCs w:val="24"/>
        </w:rPr>
        <w:t>Journal of Business Research</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66</w:t>
      </w:r>
      <w:r w:rsidRPr="00EE5822">
        <w:rPr>
          <w:rFonts w:ascii="Times New Roman" w:hAnsi="Times New Roman" w:cs="Times New Roman"/>
          <w:sz w:val="24"/>
          <w:szCs w:val="24"/>
        </w:rPr>
        <w:t>(10), 1831-1838.</w:t>
      </w:r>
    </w:p>
    <w:p w14:paraId="0A6D1AFE" w14:textId="7777777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Smith, M. (2012). Social regulation of the gender pay gap in the EU. </w:t>
      </w:r>
      <w:r w:rsidRPr="00EB1E2E">
        <w:rPr>
          <w:rFonts w:ascii="Times New Roman" w:hAnsi="Times New Roman" w:cs="Times New Roman"/>
          <w:i/>
          <w:iCs/>
          <w:sz w:val="24"/>
          <w:szCs w:val="24"/>
        </w:rPr>
        <w:t>European Journal of Industrial Relations</w:t>
      </w:r>
      <w:r w:rsidRPr="00EE5822">
        <w:rPr>
          <w:rFonts w:ascii="Times New Roman" w:hAnsi="Times New Roman" w:cs="Times New Roman"/>
          <w:sz w:val="24"/>
          <w:szCs w:val="24"/>
        </w:rPr>
        <w:t xml:space="preserve">, </w:t>
      </w:r>
      <w:r w:rsidRPr="00EE5822">
        <w:rPr>
          <w:rFonts w:ascii="Times New Roman" w:hAnsi="Times New Roman" w:cs="Times New Roman"/>
          <w:i/>
          <w:iCs/>
          <w:sz w:val="24"/>
          <w:szCs w:val="24"/>
        </w:rPr>
        <w:t>18</w:t>
      </w:r>
      <w:r w:rsidRPr="00EE5822">
        <w:rPr>
          <w:rFonts w:ascii="Times New Roman" w:hAnsi="Times New Roman" w:cs="Times New Roman"/>
          <w:sz w:val="24"/>
          <w:szCs w:val="24"/>
        </w:rPr>
        <w:t>(4), 365-380.</w:t>
      </w:r>
    </w:p>
    <w:p w14:paraId="16B147CF"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Suchman</w:t>
      </w:r>
      <w:proofErr w:type="spellEnd"/>
      <w:r w:rsidRPr="00EE5822">
        <w:rPr>
          <w:rFonts w:ascii="Times New Roman" w:hAnsi="Times New Roman" w:cs="Times New Roman"/>
          <w:sz w:val="24"/>
          <w:szCs w:val="24"/>
        </w:rPr>
        <w:t xml:space="preserve">, M. C. (1995). Managing legitimacy: Strategic and institutional approaches. </w:t>
      </w:r>
      <w:r w:rsidRPr="00EE5822">
        <w:rPr>
          <w:rFonts w:ascii="Times New Roman" w:hAnsi="Times New Roman" w:cs="Times New Roman"/>
          <w:i/>
          <w:iCs/>
          <w:sz w:val="24"/>
          <w:szCs w:val="24"/>
        </w:rPr>
        <w:t>Academy of Management Review</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20</w:t>
      </w:r>
      <w:r w:rsidRPr="00EE5822">
        <w:rPr>
          <w:rFonts w:ascii="Times New Roman" w:hAnsi="Times New Roman" w:cs="Times New Roman"/>
          <w:sz w:val="24"/>
          <w:szCs w:val="24"/>
        </w:rPr>
        <w:t>(3), 571-610.</w:t>
      </w:r>
    </w:p>
    <w:p w14:paraId="2A1C9942"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Suddaby, R., </w:t>
      </w:r>
      <w:proofErr w:type="spellStart"/>
      <w:r w:rsidRPr="00EB1E2E">
        <w:rPr>
          <w:rFonts w:ascii="Times New Roman" w:hAnsi="Times New Roman" w:cs="Times New Roman"/>
          <w:sz w:val="24"/>
          <w:szCs w:val="24"/>
        </w:rPr>
        <w:t>Bitektine</w:t>
      </w:r>
      <w:proofErr w:type="spellEnd"/>
      <w:r w:rsidRPr="00EB1E2E">
        <w:rPr>
          <w:rFonts w:ascii="Times New Roman" w:hAnsi="Times New Roman" w:cs="Times New Roman"/>
          <w:sz w:val="24"/>
          <w:szCs w:val="24"/>
        </w:rPr>
        <w:t xml:space="preserve">, A., &amp; Haack, P. (2017). Legitimacy. </w:t>
      </w:r>
      <w:r w:rsidRPr="00EB1E2E">
        <w:rPr>
          <w:rFonts w:ascii="Times New Roman" w:hAnsi="Times New Roman" w:cs="Times New Roman"/>
          <w:i/>
          <w:iCs/>
          <w:sz w:val="24"/>
          <w:szCs w:val="24"/>
        </w:rPr>
        <w:t>Academy of Management Annals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11</w:t>
      </w:r>
      <w:r w:rsidRPr="00EE5822">
        <w:rPr>
          <w:rFonts w:ascii="Times New Roman" w:hAnsi="Times New Roman" w:cs="Times New Roman"/>
          <w:sz w:val="24"/>
          <w:szCs w:val="24"/>
        </w:rPr>
        <w:t>(1), 451-478.</w:t>
      </w:r>
    </w:p>
    <w:p w14:paraId="26303047" w14:textId="5E39DF08"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Sundar, P. (2000). </w:t>
      </w:r>
      <w:r w:rsidRPr="00006974">
        <w:rPr>
          <w:rFonts w:ascii="Times New Roman" w:hAnsi="Times New Roman" w:cs="Times New Roman"/>
          <w:i/>
          <w:sz w:val="24"/>
          <w:szCs w:val="24"/>
        </w:rPr>
        <w:t>Beyond business: From merchant charity to corporate citizenship: Indian business philanthropy through the ages</w:t>
      </w:r>
      <w:r w:rsidRPr="00EE5822">
        <w:rPr>
          <w:rFonts w:ascii="Times New Roman" w:hAnsi="Times New Roman" w:cs="Times New Roman"/>
          <w:sz w:val="24"/>
          <w:szCs w:val="24"/>
        </w:rPr>
        <w:t>. New Delhi, India: Tata McGraw Hill</w:t>
      </w:r>
      <w:r w:rsidR="003F035E" w:rsidRPr="00EB1E2E">
        <w:rPr>
          <w:rFonts w:ascii="Times New Roman" w:hAnsi="Times New Roman" w:cs="Times New Roman"/>
          <w:sz w:val="24"/>
          <w:szCs w:val="24"/>
        </w:rPr>
        <w:t>.</w:t>
      </w:r>
    </w:p>
    <w:p w14:paraId="21B8C938"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Trubek</w:t>
      </w:r>
      <w:proofErr w:type="spellEnd"/>
      <w:r w:rsidRPr="00EB1E2E">
        <w:rPr>
          <w:rFonts w:ascii="Times New Roman" w:hAnsi="Times New Roman" w:cs="Times New Roman"/>
          <w:sz w:val="24"/>
          <w:szCs w:val="24"/>
        </w:rPr>
        <w:t xml:space="preserve">, D. M., Cottrell, M. P., &amp; Nance, M. (2005). </w:t>
      </w:r>
      <w:r w:rsidRPr="00006974">
        <w:rPr>
          <w:rFonts w:ascii="Times New Roman" w:hAnsi="Times New Roman" w:cs="Times New Roman"/>
          <w:iCs/>
          <w:sz w:val="24"/>
          <w:szCs w:val="24"/>
        </w:rPr>
        <w:t>Soft Law, Hard Law, and European Integration: Toward a Theory of Hybridity</w:t>
      </w:r>
      <w:r w:rsidRPr="00EE5822">
        <w:rPr>
          <w:rFonts w:ascii="Times New Roman" w:hAnsi="Times New Roman" w:cs="Times New Roman"/>
          <w:sz w:val="24"/>
          <w:szCs w:val="24"/>
        </w:rPr>
        <w:t xml:space="preserve">. </w:t>
      </w:r>
      <w:r w:rsidRPr="00EB1E2E">
        <w:rPr>
          <w:rFonts w:ascii="Times New Roman" w:hAnsi="Times New Roman" w:cs="Times New Roman"/>
          <w:sz w:val="24"/>
          <w:szCs w:val="24"/>
        </w:rPr>
        <w:t>Univ. of Wisconsin Legal Studies Research Paper, (1002).</w:t>
      </w:r>
    </w:p>
    <w:p w14:paraId="490C3060" w14:textId="21F26296"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B1E2E">
        <w:rPr>
          <w:rFonts w:ascii="Times New Roman" w:hAnsi="Times New Roman" w:cs="Times New Roman"/>
          <w:sz w:val="24"/>
          <w:szCs w:val="24"/>
        </w:rPr>
        <w:t>Vallentin</w:t>
      </w:r>
      <w:proofErr w:type="spellEnd"/>
      <w:r w:rsidRPr="00EB1E2E">
        <w:rPr>
          <w:rFonts w:ascii="Times New Roman" w:hAnsi="Times New Roman" w:cs="Times New Roman"/>
          <w:sz w:val="24"/>
          <w:szCs w:val="24"/>
        </w:rPr>
        <w:t xml:space="preserve">, S. (2015). Governmentalities of CSR: Danish government policy as a reflection of political difference. </w:t>
      </w:r>
      <w:r w:rsidRPr="0030354B">
        <w:rPr>
          <w:rFonts w:ascii="Times New Roman" w:hAnsi="Times New Roman" w:cs="Times New Roman"/>
          <w:i/>
          <w:iCs/>
          <w:sz w:val="24"/>
          <w:szCs w:val="24"/>
        </w:rPr>
        <w:t>Journal of Business Ethics</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127</w:t>
      </w:r>
      <w:r w:rsidR="00880F4D" w:rsidRPr="00006974">
        <w:rPr>
          <w:rFonts w:ascii="Times New Roman" w:hAnsi="Times New Roman" w:cs="Times New Roman"/>
          <w:iCs/>
          <w:sz w:val="24"/>
          <w:szCs w:val="24"/>
        </w:rPr>
        <w:t>(1)</w:t>
      </w:r>
      <w:r w:rsidRPr="00EE5822">
        <w:rPr>
          <w:rFonts w:ascii="Times New Roman" w:hAnsi="Times New Roman" w:cs="Times New Roman"/>
          <w:sz w:val="24"/>
          <w:szCs w:val="24"/>
        </w:rPr>
        <w:t>,</w:t>
      </w:r>
      <w:r w:rsidRPr="00EB1E2E">
        <w:rPr>
          <w:rFonts w:ascii="Times New Roman" w:hAnsi="Times New Roman" w:cs="Times New Roman"/>
          <w:b/>
          <w:bCs/>
          <w:sz w:val="24"/>
          <w:szCs w:val="24"/>
        </w:rPr>
        <w:t xml:space="preserve"> </w:t>
      </w:r>
      <w:r w:rsidRPr="00EB1E2E">
        <w:rPr>
          <w:rFonts w:ascii="Times New Roman" w:hAnsi="Times New Roman" w:cs="Times New Roman"/>
          <w:sz w:val="24"/>
          <w:szCs w:val="24"/>
        </w:rPr>
        <w:t>33-47.</w:t>
      </w:r>
    </w:p>
    <w:p w14:paraId="73A8B434" w14:textId="1E2B62E7"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Vallentin</w:t>
      </w:r>
      <w:proofErr w:type="spellEnd"/>
      <w:r w:rsidRPr="00EE5822">
        <w:rPr>
          <w:rFonts w:ascii="Times New Roman" w:hAnsi="Times New Roman" w:cs="Times New Roman"/>
          <w:sz w:val="24"/>
          <w:szCs w:val="24"/>
        </w:rPr>
        <w:t xml:space="preserve">, S., &amp; Murillo, D. (2012). Governmentality and the politics of CSR. </w:t>
      </w:r>
      <w:r w:rsidRPr="00EE5822">
        <w:rPr>
          <w:rFonts w:ascii="Times New Roman" w:hAnsi="Times New Roman" w:cs="Times New Roman"/>
          <w:i/>
          <w:iCs/>
          <w:sz w:val="24"/>
          <w:szCs w:val="24"/>
        </w:rPr>
        <w:t>Organization, 19</w:t>
      </w:r>
      <w:r w:rsidRPr="00EE5822">
        <w:rPr>
          <w:rFonts w:ascii="Times New Roman" w:hAnsi="Times New Roman" w:cs="Times New Roman"/>
          <w:sz w:val="24"/>
          <w:szCs w:val="24"/>
        </w:rPr>
        <w:t>(6), 825-843.</w:t>
      </w:r>
    </w:p>
    <w:p w14:paraId="017DEF26" w14:textId="390544EA" w:rsidR="007820AD" w:rsidRPr="00EE5822" w:rsidRDefault="007820AD"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Vittal</w:t>
      </w:r>
      <w:proofErr w:type="spellEnd"/>
      <w:r w:rsidRPr="00EE5822">
        <w:rPr>
          <w:rFonts w:ascii="Times New Roman" w:hAnsi="Times New Roman" w:cs="Times New Roman"/>
          <w:sz w:val="24"/>
          <w:szCs w:val="24"/>
        </w:rPr>
        <w:t xml:space="preserve">, N. (2003). </w:t>
      </w:r>
      <w:r w:rsidRPr="00EE5822">
        <w:rPr>
          <w:rFonts w:ascii="Times New Roman" w:hAnsi="Times New Roman" w:cs="Times New Roman"/>
          <w:i/>
          <w:sz w:val="24"/>
          <w:szCs w:val="24"/>
        </w:rPr>
        <w:t>Corruption in India: The roadblock to national prosperity</w:t>
      </w:r>
      <w:r w:rsidRPr="00EE5822">
        <w:rPr>
          <w:rFonts w:ascii="Times New Roman" w:hAnsi="Times New Roman" w:cs="Times New Roman"/>
          <w:sz w:val="24"/>
          <w:szCs w:val="24"/>
        </w:rPr>
        <w:t>. Academic Foundation.</w:t>
      </w:r>
    </w:p>
    <w:p w14:paraId="2A162D39" w14:textId="7AA29BCA" w:rsidR="00C70AF8" w:rsidRPr="00EE5822"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E5822">
        <w:rPr>
          <w:rFonts w:ascii="Times New Roman" w:hAnsi="Times New Roman" w:cs="Times New Roman"/>
          <w:sz w:val="24"/>
          <w:szCs w:val="24"/>
        </w:rPr>
        <w:lastRenderedPageBreak/>
        <w:t>Vogel, D. (200</w:t>
      </w:r>
      <w:r w:rsidR="004E43DF" w:rsidRPr="00EE5822">
        <w:rPr>
          <w:rFonts w:ascii="Times New Roman" w:hAnsi="Times New Roman" w:cs="Times New Roman"/>
          <w:sz w:val="24"/>
          <w:szCs w:val="24"/>
        </w:rPr>
        <w:t>5</w:t>
      </w:r>
      <w:r w:rsidRPr="00EE5822">
        <w:rPr>
          <w:rFonts w:ascii="Times New Roman" w:hAnsi="Times New Roman" w:cs="Times New Roman"/>
          <w:sz w:val="24"/>
          <w:szCs w:val="24"/>
        </w:rPr>
        <w:t xml:space="preserve">). </w:t>
      </w:r>
      <w:r w:rsidRPr="00EE5822">
        <w:rPr>
          <w:rFonts w:ascii="Times New Roman" w:hAnsi="Times New Roman" w:cs="Times New Roman"/>
          <w:i/>
          <w:iCs/>
          <w:sz w:val="24"/>
          <w:szCs w:val="24"/>
        </w:rPr>
        <w:t>The Market for Virtue: The Potential and Limits of Corporate Social Responsibility</w:t>
      </w:r>
      <w:r w:rsidRPr="00EE5822">
        <w:rPr>
          <w:rFonts w:ascii="Times New Roman" w:hAnsi="Times New Roman" w:cs="Times New Roman"/>
          <w:sz w:val="24"/>
          <w:szCs w:val="24"/>
        </w:rPr>
        <w:t>. Brookings Institution Press.</w:t>
      </w:r>
    </w:p>
    <w:p w14:paraId="2FD1A0C6"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proofErr w:type="spellStart"/>
      <w:r w:rsidRPr="00EE5822">
        <w:rPr>
          <w:rFonts w:ascii="Times New Roman" w:hAnsi="Times New Roman" w:cs="Times New Roman"/>
          <w:sz w:val="24"/>
          <w:szCs w:val="24"/>
        </w:rPr>
        <w:t>Wijen</w:t>
      </w:r>
      <w:proofErr w:type="spellEnd"/>
      <w:r w:rsidRPr="00EE5822">
        <w:rPr>
          <w:rFonts w:ascii="Times New Roman" w:hAnsi="Times New Roman" w:cs="Times New Roman"/>
          <w:sz w:val="24"/>
          <w:szCs w:val="24"/>
        </w:rPr>
        <w:t xml:space="preserve">, F. (2014). Means versus ends in opaque institutional fields: Trading off compliance and achievement in sustainability standard adoption. </w:t>
      </w:r>
      <w:r w:rsidRPr="00EE5822">
        <w:rPr>
          <w:rFonts w:ascii="Times New Roman" w:hAnsi="Times New Roman" w:cs="Times New Roman"/>
          <w:i/>
          <w:iCs/>
          <w:sz w:val="24"/>
          <w:szCs w:val="24"/>
        </w:rPr>
        <w:t>Academy of Management Review</w:t>
      </w:r>
      <w:r w:rsidRPr="00EE5822">
        <w:rPr>
          <w:rFonts w:ascii="Times New Roman" w:hAnsi="Times New Roman" w:cs="Times New Roman"/>
          <w:sz w:val="24"/>
          <w:szCs w:val="24"/>
        </w:rPr>
        <w:t xml:space="preserve">, </w:t>
      </w:r>
      <w:r w:rsidRPr="00006974">
        <w:rPr>
          <w:rFonts w:ascii="Times New Roman" w:hAnsi="Times New Roman" w:cs="Times New Roman"/>
          <w:i/>
          <w:iCs/>
          <w:sz w:val="24"/>
          <w:szCs w:val="24"/>
        </w:rPr>
        <w:t>39</w:t>
      </w:r>
      <w:r w:rsidRPr="00EE5822">
        <w:rPr>
          <w:rFonts w:ascii="Times New Roman" w:hAnsi="Times New Roman" w:cs="Times New Roman"/>
          <w:sz w:val="24"/>
          <w:szCs w:val="24"/>
        </w:rPr>
        <w:t>(3), 302-323.</w:t>
      </w:r>
    </w:p>
    <w:p w14:paraId="1811A732"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Williamson, O. E. (19</w:t>
      </w:r>
      <w:r w:rsidRPr="0030354B">
        <w:rPr>
          <w:rFonts w:ascii="Times New Roman" w:hAnsi="Times New Roman" w:cs="Times New Roman"/>
          <w:sz w:val="24"/>
          <w:szCs w:val="24"/>
        </w:rPr>
        <w:t xml:space="preserve">85). Assessing contract. </w:t>
      </w:r>
      <w:r w:rsidRPr="0030354B">
        <w:rPr>
          <w:rFonts w:ascii="Times New Roman" w:hAnsi="Times New Roman" w:cs="Times New Roman"/>
          <w:i/>
          <w:iCs/>
          <w:sz w:val="24"/>
          <w:szCs w:val="24"/>
        </w:rPr>
        <w:t>Journal of Law, Economics, &amp; Organization</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1</w:t>
      </w:r>
      <w:r w:rsidRPr="00EE5822">
        <w:rPr>
          <w:rFonts w:ascii="Times New Roman" w:hAnsi="Times New Roman" w:cs="Times New Roman"/>
          <w:sz w:val="24"/>
          <w:szCs w:val="24"/>
        </w:rPr>
        <w:t>(1), 177-208.</w:t>
      </w:r>
    </w:p>
    <w:p w14:paraId="7847E5C7" w14:textId="77777777" w:rsidR="00C70AF8" w:rsidRPr="00EB1E2E"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Zaheer, S. (1995). Overcoming the liability of foreignness. </w:t>
      </w:r>
      <w:r w:rsidRPr="0030354B">
        <w:rPr>
          <w:rFonts w:ascii="Times New Roman" w:hAnsi="Times New Roman" w:cs="Times New Roman"/>
          <w:i/>
          <w:iCs/>
          <w:sz w:val="24"/>
          <w:szCs w:val="24"/>
        </w:rPr>
        <w:t>Academy of Management Journal</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38</w:t>
      </w:r>
      <w:r w:rsidRPr="00EE5822">
        <w:rPr>
          <w:rFonts w:ascii="Times New Roman" w:hAnsi="Times New Roman" w:cs="Times New Roman"/>
          <w:sz w:val="24"/>
          <w:szCs w:val="24"/>
        </w:rPr>
        <w:t>(2), 341-363.</w:t>
      </w:r>
    </w:p>
    <w:p w14:paraId="79470178" w14:textId="77777777" w:rsidR="00C70AF8" w:rsidRPr="000139CD" w:rsidRDefault="00C70AF8" w:rsidP="005979A7">
      <w:pPr>
        <w:adjustRightInd w:val="0"/>
        <w:snapToGrid w:val="0"/>
        <w:spacing w:after="0" w:line="480" w:lineRule="auto"/>
        <w:ind w:left="720" w:hanging="720"/>
        <w:jc w:val="both"/>
        <w:rPr>
          <w:rFonts w:ascii="Times New Roman" w:hAnsi="Times New Roman" w:cs="Times New Roman"/>
          <w:sz w:val="24"/>
          <w:szCs w:val="24"/>
        </w:rPr>
      </w:pPr>
      <w:r w:rsidRPr="00EB1E2E">
        <w:rPr>
          <w:rFonts w:ascii="Times New Roman" w:hAnsi="Times New Roman" w:cs="Times New Roman"/>
          <w:sz w:val="24"/>
          <w:szCs w:val="24"/>
        </w:rPr>
        <w:t xml:space="preserve">Zajac, E. J., &amp; Westphal, J. D. (2004). The social construction of market value: Institutionalizing and learning perspective on stock market reactions. </w:t>
      </w:r>
      <w:r w:rsidRPr="0030354B">
        <w:rPr>
          <w:rFonts w:ascii="Times New Roman" w:hAnsi="Times New Roman" w:cs="Times New Roman"/>
          <w:i/>
          <w:iCs/>
          <w:sz w:val="24"/>
          <w:szCs w:val="24"/>
        </w:rPr>
        <w:t>American Sociological Review</w:t>
      </w:r>
      <w:r w:rsidRPr="0030354B">
        <w:rPr>
          <w:rFonts w:ascii="Times New Roman" w:hAnsi="Times New Roman" w:cs="Times New Roman"/>
          <w:sz w:val="24"/>
          <w:szCs w:val="24"/>
        </w:rPr>
        <w:t xml:space="preserve">, </w:t>
      </w:r>
      <w:r w:rsidRPr="00006974">
        <w:rPr>
          <w:rFonts w:ascii="Times New Roman" w:hAnsi="Times New Roman" w:cs="Times New Roman"/>
          <w:i/>
          <w:iCs/>
          <w:sz w:val="24"/>
          <w:szCs w:val="24"/>
        </w:rPr>
        <w:t>69</w:t>
      </w:r>
      <w:r w:rsidRPr="00EE5822">
        <w:rPr>
          <w:rFonts w:ascii="Times New Roman" w:hAnsi="Times New Roman" w:cs="Times New Roman"/>
          <w:sz w:val="24"/>
          <w:szCs w:val="24"/>
        </w:rPr>
        <w:t>(3), 433-457.</w:t>
      </w:r>
    </w:p>
    <w:p w14:paraId="2BE8CCB2" w14:textId="1D01825D" w:rsidR="00C70AF8" w:rsidRDefault="00C70AF8" w:rsidP="005979A7">
      <w:pPr>
        <w:spacing w:after="120" w:line="480" w:lineRule="auto"/>
        <w:jc w:val="both"/>
        <w:rPr>
          <w:rFonts w:ascii="Times New Roman" w:hAnsi="Times New Roman" w:cs="Times New Roman"/>
          <w:sz w:val="24"/>
          <w:szCs w:val="24"/>
        </w:rPr>
      </w:pPr>
    </w:p>
    <w:p w14:paraId="20112105" w14:textId="77777777" w:rsidR="0030354B" w:rsidRDefault="0030354B" w:rsidP="000A5909">
      <w:pPr>
        <w:spacing w:after="120" w:line="480" w:lineRule="auto"/>
        <w:jc w:val="both"/>
        <w:rPr>
          <w:rFonts w:ascii="Times New Roman" w:hAnsi="Times New Roman" w:cs="Times New Roman"/>
          <w:sz w:val="24"/>
          <w:szCs w:val="24"/>
          <w:lang w:val="en-IN"/>
        </w:rPr>
      </w:pPr>
    </w:p>
    <w:p w14:paraId="15DE85BD" w14:textId="77777777" w:rsidR="000A5909" w:rsidRPr="000D124D" w:rsidRDefault="000A5909" w:rsidP="000A5909">
      <w:pPr>
        <w:spacing w:after="120" w:line="480" w:lineRule="auto"/>
        <w:jc w:val="both"/>
        <w:rPr>
          <w:rFonts w:ascii="Times New Roman" w:hAnsi="Times New Roman" w:cs="Times New Roman"/>
          <w:b/>
          <w:bCs/>
          <w:sz w:val="24"/>
          <w:szCs w:val="24"/>
          <w:lang w:val="en-IN"/>
        </w:rPr>
      </w:pPr>
      <w:r w:rsidRPr="000D124D">
        <w:rPr>
          <w:rFonts w:ascii="Times New Roman" w:hAnsi="Times New Roman" w:cs="Times New Roman"/>
          <w:b/>
          <w:bCs/>
          <w:sz w:val="24"/>
          <w:szCs w:val="24"/>
          <w:lang w:val="en-IN"/>
        </w:rPr>
        <w:t>Endnotes</w:t>
      </w:r>
    </w:p>
    <w:p w14:paraId="14BD5783"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footnoteRef/>
      </w:r>
      <w:r w:rsidRPr="000A5909">
        <w:rPr>
          <w:rFonts w:ascii="Times New Roman" w:hAnsi="Times New Roman" w:cs="Times New Roman"/>
          <w:sz w:val="24"/>
          <w:szCs w:val="24"/>
        </w:rPr>
        <w:t xml:space="preserve"> We conducted robustness check by testing our results for the other two criteria. Results are robust to criteria selection.</w:t>
      </w:r>
    </w:p>
    <w:p w14:paraId="3ED30ABE"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2</w:t>
      </w:r>
      <w:r w:rsidRPr="000A5909">
        <w:rPr>
          <w:rFonts w:ascii="Times New Roman" w:hAnsi="Times New Roman" w:cs="Times New Roman"/>
          <w:sz w:val="24"/>
          <w:szCs w:val="24"/>
        </w:rPr>
        <w:t xml:space="preserve"> We used three-digit NIC code to identify firms from the controversial industries. These include oil &amp; gas (exploration and extraction), coal-based power companies, mining &amp; quarrying, and forestry.</w:t>
      </w:r>
    </w:p>
    <w:p w14:paraId="414FDFCF"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lastRenderedPageBreak/>
        <w:t>3</w:t>
      </w:r>
      <w:r w:rsidRPr="000A5909">
        <w:rPr>
          <w:rFonts w:ascii="Times New Roman" w:hAnsi="Times New Roman" w:cs="Times New Roman"/>
          <w:sz w:val="24"/>
          <w:szCs w:val="24"/>
        </w:rPr>
        <w:t xml:space="preserve"> We implement a sharp- not a fuzzy- RDD because we examine the intention-to-treat (ITT) effects of the announcement of the proposed CSR regulation, not the average treatment on treated (ATT) effect of its actual implementation. </w:t>
      </w:r>
    </w:p>
    <w:p w14:paraId="3049D84D"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4</w:t>
      </w:r>
      <w:r w:rsidRPr="000A5909">
        <w:rPr>
          <w:rFonts w:ascii="Times New Roman" w:hAnsi="Times New Roman" w:cs="Times New Roman"/>
          <w:sz w:val="24"/>
          <w:szCs w:val="24"/>
        </w:rPr>
        <w:t xml:space="preserve"> We take three-year average of all control variables to correspond with the regulatory announcement which, too, is based on three-year average of firm’s PAT</w:t>
      </w:r>
    </w:p>
    <w:p w14:paraId="1BFBBC1F"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5</w:t>
      </w:r>
      <w:r w:rsidRPr="000A5909">
        <w:rPr>
          <w:rFonts w:ascii="Times New Roman" w:hAnsi="Times New Roman" w:cs="Times New Roman"/>
          <w:sz w:val="24"/>
          <w:szCs w:val="24"/>
        </w:rPr>
        <w:t xml:space="preserve"> Total assets is the book value of assets.</w:t>
      </w:r>
    </w:p>
    <w:p w14:paraId="236CA2F1"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6</w:t>
      </w:r>
      <w:r w:rsidRPr="000A5909">
        <w:rPr>
          <w:rFonts w:ascii="Times New Roman" w:hAnsi="Times New Roman" w:cs="Times New Roman"/>
          <w:sz w:val="24"/>
          <w:szCs w:val="24"/>
        </w:rPr>
        <w:t xml:space="preserve"> Net worth as =[{Total capital -Paid up Preference Capital}+ {Share Application money and suspense-(Share Application money and advance- Equity)-Preference Capital suspense account}+{Reserves and Funds-Revaluation Reserves-Miscellaneous Expenses not written off)</w:t>
      </w:r>
    </w:p>
    <w:p w14:paraId="19B3BB70"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7</w:t>
      </w:r>
      <w:r w:rsidRPr="000A5909">
        <w:rPr>
          <w:rFonts w:ascii="Times New Roman" w:hAnsi="Times New Roman" w:cs="Times New Roman"/>
          <w:sz w:val="24"/>
          <w:szCs w:val="24"/>
        </w:rPr>
        <w:t xml:space="preserve"> We do not consider alternative bandwidths because they yield in too small sample sizes to make any meaningful inference.</w:t>
      </w:r>
    </w:p>
    <w:p w14:paraId="1F2A80E5" w14:textId="77777777" w:rsidR="000A5909" w:rsidRPr="000A5909" w:rsidRDefault="000A5909" w:rsidP="000A5909">
      <w:pPr>
        <w:spacing w:after="120" w:line="480" w:lineRule="auto"/>
        <w:jc w:val="both"/>
        <w:rPr>
          <w:rFonts w:ascii="Times New Roman" w:hAnsi="Times New Roman" w:cs="Times New Roman"/>
          <w:sz w:val="24"/>
          <w:szCs w:val="24"/>
        </w:rPr>
      </w:pPr>
      <w:r w:rsidRPr="000A5909">
        <w:rPr>
          <w:rFonts w:ascii="Times New Roman" w:hAnsi="Times New Roman" w:cs="Times New Roman"/>
          <w:sz w:val="24"/>
          <w:szCs w:val="24"/>
          <w:vertAlign w:val="superscript"/>
        </w:rPr>
        <w:t>8</w:t>
      </w:r>
      <w:r w:rsidRPr="000A5909">
        <w:rPr>
          <w:rFonts w:ascii="Times New Roman" w:hAnsi="Times New Roman" w:cs="Times New Roman"/>
          <w:sz w:val="24"/>
          <w:szCs w:val="24"/>
        </w:rPr>
        <w:t xml:space="preserve"> https://www.mca.gov.in/Ministry/pdf/AMENDMENTACT_01082019.pdf</w:t>
      </w:r>
    </w:p>
    <w:p w14:paraId="5DF2EF04" w14:textId="77777777" w:rsidR="00C70AF8" w:rsidRDefault="00C70AF8" w:rsidP="005979A7">
      <w:pPr>
        <w:spacing w:after="120" w:line="480" w:lineRule="auto"/>
        <w:jc w:val="both"/>
        <w:rPr>
          <w:rFonts w:ascii="Times New Roman" w:hAnsi="Times New Roman" w:cs="Times New Roman"/>
          <w:sz w:val="24"/>
          <w:szCs w:val="24"/>
        </w:rPr>
      </w:pPr>
    </w:p>
    <w:p w14:paraId="754FBE52" w14:textId="77777777" w:rsidR="00EB1E2E" w:rsidRDefault="00EB1E2E" w:rsidP="005979A7">
      <w:pPr>
        <w:spacing w:after="120" w:line="480" w:lineRule="auto"/>
        <w:jc w:val="both"/>
        <w:rPr>
          <w:rFonts w:ascii="Times New Roman" w:hAnsi="Times New Roman" w:cs="Times New Roman"/>
          <w:sz w:val="24"/>
          <w:szCs w:val="24"/>
        </w:rPr>
      </w:pPr>
    </w:p>
    <w:p w14:paraId="0F454940" w14:textId="77777777" w:rsidR="00EB1E2E" w:rsidRDefault="00EB1E2E" w:rsidP="005979A7">
      <w:pPr>
        <w:spacing w:after="120" w:line="480" w:lineRule="auto"/>
        <w:jc w:val="both"/>
        <w:rPr>
          <w:rFonts w:ascii="Times New Roman" w:hAnsi="Times New Roman" w:cs="Times New Roman"/>
          <w:sz w:val="24"/>
          <w:szCs w:val="24"/>
        </w:rPr>
      </w:pPr>
    </w:p>
    <w:p w14:paraId="7017E0A8" w14:textId="77777777" w:rsidR="00EB1E2E" w:rsidRDefault="00EB1E2E" w:rsidP="005979A7">
      <w:pPr>
        <w:spacing w:after="120" w:line="480" w:lineRule="auto"/>
        <w:jc w:val="both"/>
        <w:rPr>
          <w:rFonts w:ascii="Times New Roman" w:hAnsi="Times New Roman" w:cs="Times New Roman"/>
          <w:sz w:val="24"/>
          <w:szCs w:val="24"/>
        </w:rPr>
      </w:pPr>
    </w:p>
    <w:p w14:paraId="150F4DF7" w14:textId="77777777" w:rsidR="00EB1E2E" w:rsidRDefault="00EB1E2E" w:rsidP="00EB1E2E">
      <w:pPr>
        <w:spacing w:before="200"/>
        <w:jc w:val="center"/>
        <w:rPr>
          <w:rFonts w:cs="Times New Roman"/>
        </w:rPr>
      </w:pPr>
      <w:r>
        <w:rPr>
          <w:rFonts w:cs="Times New Roman"/>
          <w:noProof/>
          <w:lang w:val="en-CA" w:eastAsia="en-CA"/>
        </w:rPr>
        <w:lastRenderedPageBreak/>
        <w:drawing>
          <wp:inline distT="0" distB="0" distL="0" distR="0" wp14:anchorId="04FE3C86" wp14:editId="28649A14">
            <wp:extent cx="4289885" cy="31010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2157" cy="3109879"/>
                    </a:xfrm>
                    <a:prstGeom prst="rect">
                      <a:avLst/>
                    </a:prstGeom>
                    <a:noFill/>
                    <a:ln>
                      <a:noFill/>
                    </a:ln>
                  </pic:spPr>
                </pic:pic>
              </a:graphicData>
            </a:graphic>
          </wp:inline>
        </w:drawing>
      </w:r>
    </w:p>
    <w:p w14:paraId="5E389B7F" w14:textId="2CA73C18" w:rsidR="001806DD" w:rsidRPr="00B65C45" w:rsidRDefault="00424210" w:rsidP="001806DD">
      <w:pPr>
        <w:spacing w:line="240" w:lineRule="auto"/>
        <w:jc w:val="both"/>
        <w:rPr>
          <w:rFonts w:ascii="Times New Roman" w:hAnsi="Times New Roman" w:cs="Times New Roman"/>
          <w:sz w:val="24"/>
        </w:rPr>
      </w:pPr>
      <w:r w:rsidRPr="00B65C45">
        <w:rPr>
          <w:rFonts w:ascii="Times New Roman" w:hAnsi="Times New Roman" w:cs="Times New Roman"/>
          <w:sz w:val="24"/>
        </w:rPr>
        <w:t xml:space="preserve">Figure 1: Graphical </w:t>
      </w:r>
      <w:r w:rsidR="00B65C45">
        <w:rPr>
          <w:rFonts w:ascii="Times New Roman" w:hAnsi="Times New Roman" w:cs="Times New Roman"/>
          <w:sz w:val="24"/>
        </w:rPr>
        <w:t>r</w:t>
      </w:r>
      <w:r w:rsidR="001806DD" w:rsidRPr="00B65C45">
        <w:rPr>
          <w:rFonts w:ascii="Times New Roman" w:hAnsi="Times New Roman" w:cs="Times New Roman"/>
          <w:sz w:val="24"/>
        </w:rPr>
        <w:t>esults o</w:t>
      </w:r>
      <w:r w:rsidRPr="00B65C45">
        <w:rPr>
          <w:rFonts w:ascii="Times New Roman" w:hAnsi="Times New Roman" w:cs="Times New Roman"/>
          <w:sz w:val="24"/>
        </w:rPr>
        <w:t xml:space="preserve">f the McCrary (2008) </w:t>
      </w:r>
      <w:r w:rsidR="00B65C45">
        <w:rPr>
          <w:rFonts w:ascii="Times New Roman" w:hAnsi="Times New Roman" w:cs="Times New Roman"/>
          <w:sz w:val="24"/>
        </w:rPr>
        <w:t>t</w:t>
      </w:r>
      <w:r w:rsidR="001806DD" w:rsidRPr="00B65C45">
        <w:rPr>
          <w:rFonts w:ascii="Times New Roman" w:hAnsi="Times New Roman" w:cs="Times New Roman"/>
          <w:sz w:val="24"/>
        </w:rPr>
        <w:t xml:space="preserve">est for </w:t>
      </w:r>
      <w:r w:rsidR="00B65C45">
        <w:rPr>
          <w:rFonts w:ascii="Times New Roman" w:hAnsi="Times New Roman" w:cs="Times New Roman"/>
          <w:sz w:val="24"/>
        </w:rPr>
        <w:t>c</w:t>
      </w:r>
      <w:r w:rsidR="001806DD" w:rsidRPr="00B65C45">
        <w:rPr>
          <w:rFonts w:ascii="Times New Roman" w:hAnsi="Times New Roman" w:cs="Times New Roman"/>
          <w:sz w:val="24"/>
        </w:rPr>
        <w:t xml:space="preserve">ontinuity in </w:t>
      </w:r>
      <w:r w:rsidRPr="00B65C45">
        <w:rPr>
          <w:rFonts w:ascii="Times New Roman" w:hAnsi="Times New Roman" w:cs="Times New Roman"/>
          <w:sz w:val="24"/>
        </w:rPr>
        <w:t>P</w:t>
      </w:r>
      <w:r w:rsidR="001806DD" w:rsidRPr="00B65C45">
        <w:rPr>
          <w:rFonts w:ascii="Times New Roman" w:hAnsi="Times New Roman" w:cs="Times New Roman"/>
          <w:sz w:val="24"/>
        </w:rPr>
        <w:t xml:space="preserve">rofit </w:t>
      </w:r>
      <w:r w:rsidRPr="00B65C45">
        <w:rPr>
          <w:rFonts w:ascii="Times New Roman" w:hAnsi="Times New Roman" w:cs="Times New Roman"/>
          <w:sz w:val="24"/>
        </w:rPr>
        <w:t>After T</w:t>
      </w:r>
      <w:r w:rsidR="001806DD" w:rsidRPr="00B65C45">
        <w:rPr>
          <w:rFonts w:ascii="Times New Roman" w:hAnsi="Times New Roman" w:cs="Times New Roman"/>
          <w:sz w:val="24"/>
        </w:rPr>
        <w:t xml:space="preserve">ax </w:t>
      </w:r>
      <w:r w:rsidRPr="00B65C45">
        <w:rPr>
          <w:rFonts w:ascii="Times New Roman" w:hAnsi="Times New Roman" w:cs="Times New Roman"/>
          <w:sz w:val="24"/>
        </w:rPr>
        <w:t>a</w:t>
      </w:r>
      <w:r w:rsidR="001806DD" w:rsidRPr="00B65C45">
        <w:rPr>
          <w:rFonts w:ascii="Times New Roman" w:hAnsi="Times New Roman" w:cs="Times New Roman"/>
          <w:sz w:val="24"/>
        </w:rPr>
        <w:t xml:space="preserve">round the </w:t>
      </w:r>
      <w:r w:rsidR="00B65C45">
        <w:rPr>
          <w:rFonts w:ascii="Times New Roman" w:hAnsi="Times New Roman" w:cs="Times New Roman"/>
          <w:sz w:val="24"/>
        </w:rPr>
        <w:t>a</w:t>
      </w:r>
      <w:r w:rsidR="001806DD" w:rsidRPr="00B65C45">
        <w:rPr>
          <w:rFonts w:ascii="Times New Roman" w:hAnsi="Times New Roman" w:cs="Times New Roman"/>
          <w:sz w:val="24"/>
        </w:rPr>
        <w:t xml:space="preserve">pplicability </w:t>
      </w:r>
      <w:r w:rsidR="00B65C45">
        <w:rPr>
          <w:rFonts w:ascii="Times New Roman" w:hAnsi="Times New Roman" w:cs="Times New Roman"/>
          <w:sz w:val="24"/>
        </w:rPr>
        <w:t>t</w:t>
      </w:r>
      <w:r w:rsidR="001806DD" w:rsidRPr="00B65C45">
        <w:rPr>
          <w:rFonts w:ascii="Times New Roman" w:hAnsi="Times New Roman" w:cs="Times New Roman"/>
          <w:sz w:val="24"/>
        </w:rPr>
        <w:t xml:space="preserve">hreshold for the </w:t>
      </w:r>
      <w:r w:rsidRPr="00B65C45">
        <w:rPr>
          <w:rFonts w:ascii="Times New Roman" w:hAnsi="Times New Roman" w:cs="Times New Roman"/>
          <w:sz w:val="24"/>
        </w:rPr>
        <w:t xml:space="preserve">CSR </w:t>
      </w:r>
      <w:r w:rsidR="00B65C45">
        <w:rPr>
          <w:rFonts w:ascii="Times New Roman" w:hAnsi="Times New Roman" w:cs="Times New Roman"/>
          <w:sz w:val="24"/>
        </w:rPr>
        <w:t>m</w:t>
      </w:r>
      <w:r w:rsidR="001806DD" w:rsidRPr="00B65C45">
        <w:rPr>
          <w:rFonts w:ascii="Times New Roman" w:hAnsi="Times New Roman" w:cs="Times New Roman"/>
          <w:sz w:val="24"/>
        </w:rPr>
        <w:t xml:space="preserve">andate  </w:t>
      </w:r>
    </w:p>
    <w:p w14:paraId="072EC2DE" w14:textId="26B92276" w:rsidR="00EB1E2E" w:rsidRPr="00B65C45" w:rsidRDefault="00EB1E2E" w:rsidP="00EB1E2E">
      <w:pPr>
        <w:jc w:val="both"/>
        <w:rPr>
          <w:rFonts w:ascii="Times New Roman" w:hAnsi="Times New Roman" w:cs="Times New Roman"/>
          <w:sz w:val="24"/>
          <w:szCs w:val="20"/>
        </w:rPr>
      </w:pPr>
      <w:r w:rsidRPr="00B65C45">
        <w:rPr>
          <w:rFonts w:ascii="Times New Roman" w:hAnsi="Times New Roman" w:cs="Times New Roman"/>
          <w:sz w:val="24"/>
          <w:szCs w:val="20"/>
        </w:rPr>
        <w:t>Note: The horizontal axis indicates PAT and the vertical axis represents the logarithm of the estimated density</w:t>
      </w:r>
    </w:p>
    <w:p w14:paraId="27F672BA" w14:textId="77777777" w:rsidR="00EB1E2E" w:rsidRDefault="00EB1E2E" w:rsidP="00EB1E2E">
      <w:pPr>
        <w:spacing w:line="240" w:lineRule="auto"/>
        <w:jc w:val="both"/>
        <w:rPr>
          <w:rFonts w:cs="Times New Roman"/>
        </w:rPr>
      </w:pPr>
    </w:p>
    <w:p w14:paraId="349C0643" w14:textId="77777777" w:rsidR="00EB1E2E" w:rsidRDefault="00EB1E2E" w:rsidP="00EB1E2E">
      <w:pPr>
        <w:spacing w:line="240" w:lineRule="auto"/>
        <w:jc w:val="both"/>
        <w:rPr>
          <w:rFonts w:cs="Times New Roman"/>
        </w:rPr>
      </w:pPr>
    </w:p>
    <w:p w14:paraId="60A9171F" w14:textId="77777777" w:rsidR="00EB1E2E" w:rsidRDefault="00EB1E2E" w:rsidP="00EB1E2E">
      <w:pPr>
        <w:spacing w:line="240" w:lineRule="auto"/>
        <w:jc w:val="both"/>
        <w:rPr>
          <w:rFonts w:cs="Times New Roman"/>
        </w:rPr>
      </w:pPr>
    </w:p>
    <w:p w14:paraId="51E8F7D9" w14:textId="77777777" w:rsidR="00EB1E2E" w:rsidRDefault="00EB1E2E" w:rsidP="00EB1E2E">
      <w:pPr>
        <w:spacing w:line="240" w:lineRule="auto"/>
        <w:jc w:val="both"/>
        <w:rPr>
          <w:rFonts w:cs="Times New Roman"/>
        </w:rPr>
      </w:pPr>
    </w:p>
    <w:p w14:paraId="717915C6" w14:textId="77777777" w:rsidR="00EB1E2E" w:rsidRDefault="00EB1E2E" w:rsidP="00EB1E2E">
      <w:pPr>
        <w:spacing w:line="240" w:lineRule="auto"/>
        <w:jc w:val="both"/>
        <w:rPr>
          <w:rFonts w:cs="Times New Roman"/>
        </w:rPr>
      </w:pPr>
    </w:p>
    <w:p w14:paraId="4D4533E1" w14:textId="77777777" w:rsidR="00EB1E2E" w:rsidRDefault="00EB1E2E" w:rsidP="00EB1E2E">
      <w:pPr>
        <w:spacing w:line="240" w:lineRule="auto"/>
        <w:jc w:val="both"/>
        <w:rPr>
          <w:rFonts w:cs="Times New Roman"/>
        </w:rPr>
      </w:pPr>
    </w:p>
    <w:p w14:paraId="72E42EC1" w14:textId="77777777" w:rsidR="00EB1E2E" w:rsidRDefault="00EB1E2E" w:rsidP="00EB1E2E">
      <w:pPr>
        <w:spacing w:line="240" w:lineRule="auto"/>
        <w:jc w:val="both"/>
        <w:rPr>
          <w:rFonts w:cs="Times New Roman"/>
        </w:rPr>
      </w:pPr>
    </w:p>
    <w:p w14:paraId="36E29128" w14:textId="77777777" w:rsidR="00EB1E2E" w:rsidRDefault="00EB1E2E" w:rsidP="00EB1E2E">
      <w:pPr>
        <w:spacing w:line="240" w:lineRule="auto"/>
        <w:jc w:val="both"/>
        <w:rPr>
          <w:rFonts w:cs="Times New Roman"/>
        </w:rPr>
      </w:pPr>
    </w:p>
    <w:p w14:paraId="2CE78CDD" w14:textId="77777777" w:rsidR="00EB1E2E" w:rsidRDefault="00EB1E2E" w:rsidP="00EB1E2E">
      <w:pPr>
        <w:spacing w:line="240" w:lineRule="auto"/>
        <w:jc w:val="both"/>
        <w:rPr>
          <w:rFonts w:cs="Times New Roman"/>
        </w:rPr>
      </w:pPr>
    </w:p>
    <w:p w14:paraId="4A13D240" w14:textId="77777777" w:rsidR="00EB1E2E" w:rsidRDefault="00EB1E2E" w:rsidP="00EB1E2E">
      <w:pPr>
        <w:spacing w:line="240" w:lineRule="auto"/>
        <w:jc w:val="both"/>
        <w:rPr>
          <w:rFonts w:cs="Times New Roman"/>
        </w:rPr>
      </w:pPr>
    </w:p>
    <w:p w14:paraId="7575C487" w14:textId="77777777" w:rsidR="00EB1E2E" w:rsidRDefault="00EB1E2E" w:rsidP="00EB1E2E">
      <w:pPr>
        <w:spacing w:line="240" w:lineRule="auto"/>
        <w:jc w:val="both"/>
        <w:rPr>
          <w:rFonts w:cs="Times New Roman"/>
        </w:rPr>
      </w:pPr>
    </w:p>
    <w:p w14:paraId="420162BC" w14:textId="77777777" w:rsidR="00EB1E2E" w:rsidRDefault="00EB1E2E" w:rsidP="00EB1E2E">
      <w:pPr>
        <w:spacing w:line="240" w:lineRule="auto"/>
        <w:jc w:val="both"/>
        <w:rPr>
          <w:rFonts w:cs="Times New Roman"/>
        </w:rPr>
      </w:pPr>
    </w:p>
    <w:p w14:paraId="4A358B28" w14:textId="77777777" w:rsidR="00EB1E2E" w:rsidRDefault="00EB1E2E" w:rsidP="00EB1E2E">
      <w:pPr>
        <w:spacing w:line="240" w:lineRule="auto"/>
        <w:jc w:val="both"/>
        <w:rPr>
          <w:rFonts w:cs="Times New Roman"/>
        </w:rPr>
      </w:pPr>
    </w:p>
    <w:p w14:paraId="0328549A" w14:textId="77777777" w:rsidR="00EB1E2E" w:rsidRDefault="00EB1E2E" w:rsidP="00EB1E2E">
      <w:pPr>
        <w:spacing w:line="240" w:lineRule="auto"/>
        <w:jc w:val="both"/>
        <w:rPr>
          <w:rFonts w:cs="Times New Roman"/>
        </w:rPr>
      </w:pPr>
    </w:p>
    <w:p w14:paraId="4C36476B" w14:textId="77777777" w:rsidR="00EB1E2E" w:rsidRDefault="00EB1E2E" w:rsidP="00EB1E2E">
      <w:r>
        <w:rPr>
          <w:noProof/>
          <w:lang w:val="en-CA" w:eastAsia="en-CA"/>
        </w:rPr>
        <w:lastRenderedPageBreak/>
        <w:drawing>
          <wp:inline distT="0" distB="0" distL="0" distR="0" wp14:anchorId="3677A9FD" wp14:editId="27C115A5">
            <wp:extent cx="5105400" cy="373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contrast="40000"/>
                      <a:extLst>
                        <a:ext uri="{28A0092B-C50C-407E-A947-70E740481C1C}">
                          <a14:useLocalDpi xmlns:a14="http://schemas.microsoft.com/office/drawing/2010/main" val="0"/>
                        </a:ext>
                      </a:extLst>
                    </a:blip>
                    <a:srcRect/>
                    <a:stretch>
                      <a:fillRect/>
                    </a:stretch>
                  </pic:blipFill>
                  <pic:spPr bwMode="auto">
                    <a:xfrm>
                      <a:off x="0" y="0"/>
                      <a:ext cx="5105400" cy="3733800"/>
                    </a:xfrm>
                    <a:prstGeom prst="rect">
                      <a:avLst/>
                    </a:prstGeom>
                    <a:noFill/>
                    <a:ln>
                      <a:noFill/>
                    </a:ln>
                  </pic:spPr>
                </pic:pic>
              </a:graphicData>
            </a:graphic>
          </wp:inline>
        </w:drawing>
      </w:r>
    </w:p>
    <w:p w14:paraId="0BC93FE9" w14:textId="4E1CF91A" w:rsidR="001806DD" w:rsidRPr="00B65C45" w:rsidRDefault="00424210" w:rsidP="001806DD">
      <w:pPr>
        <w:rPr>
          <w:rFonts w:ascii="Times New Roman" w:hAnsi="Times New Roman" w:cs="Times New Roman"/>
          <w:sz w:val="24"/>
        </w:rPr>
      </w:pPr>
      <w:r w:rsidRPr="00B65C45">
        <w:rPr>
          <w:rFonts w:ascii="Times New Roman" w:hAnsi="Times New Roman" w:cs="Times New Roman"/>
          <w:sz w:val="24"/>
        </w:rPr>
        <w:t xml:space="preserve">Figure 2: Graphical </w:t>
      </w:r>
      <w:r w:rsidR="00B65C45" w:rsidRPr="00B65C45">
        <w:rPr>
          <w:rFonts w:ascii="Times New Roman" w:hAnsi="Times New Roman" w:cs="Times New Roman"/>
          <w:sz w:val="24"/>
        </w:rPr>
        <w:t>r</w:t>
      </w:r>
      <w:r w:rsidRPr="00B65C45">
        <w:rPr>
          <w:rFonts w:ascii="Times New Roman" w:hAnsi="Times New Roman" w:cs="Times New Roman"/>
          <w:sz w:val="24"/>
        </w:rPr>
        <w:t xml:space="preserve">epresentation of </w:t>
      </w:r>
      <w:r w:rsidR="00B65C45" w:rsidRPr="00B65C45">
        <w:rPr>
          <w:rFonts w:ascii="Times New Roman" w:hAnsi="Times New Roman" w:cs="Times New Roman"/>
          <w:sz w:val="24"/>
        </w:rPr>
        <w:t>a</w:t>
      </w:r>
      <w:r w:rsidRPr="00B65C45">
        <w:rPr>
          <w:rFonts w:ascii="Times New Roman" w:hAnsi="Times New Roman" w:cs="Times New Roman"/>
          <w:sz w:val="24"/>
        </w:rPr>
        <w:t xml:space="preserve">bnormal </w:t>
      </w:r>
      <w:r w:rsidR="00B65C45" w:rsidRPr="00B65C45">
        <w:rPr>
          <w:rFonts w:ascii="Times New Roman" w:hAnsi="Times New Roman" w:cs="Times New Roman"/>
          <w:sz w:val="24"/>
        </w:rPr>
        <w:t>s</w:t>
      </w:r>
      <w:r w:rsidRPr="00B65C45">
        <w:rPr>
          <w:rFonts w:ascii="Times New Roman" w:hAnsi="Times New Roman" w:cs="Times New Roman"/>
          <w:sz w:val="24"/>
        </w:rPr>
        <w:t xml:space="preserve">tock </w:t>
      </w:r>
      <w:r w:rsidR="00B65C45" w:rsidRPr="00B65C45">
        <w:rPr>
          <w:rFonts w:ascii="Times New Roman" w:hAnsi="Times New Roman" w:cs="Times New Roman"/>
          <w:sz w:val="24"/>
        </w:rPr>
        <w:t>m</w:t>
      </w:r>
      <w:r w:rsidRPr="00B65C45">
        <w:rPr>
          <w:rFonts w:ascii="Times New Roman" w:hAnsi="Times New Roman" w:cs="Times New Roman"/>
          <w:sz w:val="24"/>
        </w:rPr>
        <w:t xml:space="preserve">arket </w:t>
      </w:r>
      <w:r w:rsidR="00B65C45" w:rsidRPr="00B65C45">
        <w:rPr>
          <w:rFonts w:ascii="Times New Roman" w:hAnsi="Times New Roman" w:cs="Times New Roman"/>
          <w:sz w:val="24"/>
        </w:rPr>
        <w:t>r</w:t>
      </w:r>
      <w:r w:rsidRPr="00B65C45">
        <w:rPr>
          <w:rFonts w:ascii="Times New Roman" w:hAnsi="Times New Roman" w:cs="Times New Roman"/>
          <w:sz w:val="24"/>
        </w:rPr>
        <w:t xml:space="preserve">eturns on the </w:t>
      </w:r>
      <w:r w:rsidR="00B65C45" w:rsidRPr="00B65C45">
        <w:rPr>
          <w:rFonts w:ascii="Times New Roman" w:hAnsi="Times New Roman" w:cs="Times New Roman"/>
          <w:sz w:val="24"/>
        </w:rPr>
        <w:t>e</w:t>
      </w:r>
      <w:r w:rsidRPr="00B65C45">
        <w:rPr>
          <w:rFonts w:ascii="Times New Roman" w:hAnsi="Times New Roman" w:cs="Times New Roman"/>
          <w:sz w:val="24"/>
        </w:rPr>
        <w:t xml:space="preserve">vent </w:t>
      </w:r>
      <w:r w:rsidR="00B65C45" w:rsidRPr="00B65C45">
        <w:rPr>
          <w:rFonts w:ascii="Times New Roman" w:hAnsi="Times New Roman" w:cs="Times New Roman"/>
          <w:sz w:val="24"/>
        </w:rPr>
        <w:t>d</w:t>
      </w:r>
      <w:r w:rsidRPr="00B65C45">
        <w:rPr>
          <w:rFonts w:ascii="Times New Roman" w:hAnsi="Times New Roman" w:cs="Times New Roman"/>
          <w:sz w:val="24"/>
        </w:rPr>
        <w:t xml:space="preserve">ate for </w:t>
      </w:r>
      <w:r w:rsidR="00B65C45" w:rsidRPr="00B65C45">
        <w:rPr>
          <w:rFonts w:ascii="Times New Roman" w:hAnsi="Times New Roman" w:cs="Times New Roman"/>
          <w:sz w:val="24"/>
        </w:rPr>
        <w:t>f</w:t>
      </w:r>
      <w:r w:rsidRPr="00B65C45">
        <w:rPr>
          <w:rFonts w:ascii="Times New Roman" w:hAnsi="Times New Roman" w:cs="Times New Roman"/>
          <w:sz w:val="24"/>
        </w:rPr>
        <w:t xml:space="preserve">irms </w:t>
      </w:r>
      <w:r w:rsidR="00B65C45" w:rsidRPr="00B65C45">
        <w:rPr>
          <w:rFonts w:ascii="Times New Roman" w:hAnsi="Times New Roman" w:cs="Times New Roman"/>
          <w:sz w:val="24"/>
        </w:rPr>
        <w:t>b</w:t>
      </w:r>
      <w:r w:rsidR="001806DD" w:rsidRPr="00B65C45">
        <w:rPr>
          <w:rFonts w:ascii="Times New Roman" w:hAnsi="Times New Roman" w:cs="Times New Roman"/>
          <w:sz w:val="24"/>
        </w:rPr>
        <w:t xml:space="preserve">ound and not </w:t>
      </w:r>
      <w:r w:rsidR="00B65C45" w:rsidRPr="00B65C45">
        <w:rPr>
          <w:rFonts w:ascii="Times New Roman" w:hAnsi="Times New Roman" w:cs="Times New Roman"/>
          <w:sz w:val="24"/>
        </w:rPr>
        <w:t>b</w:t>
      </w:r>
      <w:r w:rsidRPr="00B65C45">
        <w:rPr>
          <w:rFonts w:ascii="Times New Roman" w:hAnsi="Times New Roman" w:cs="Times New Roman"/>
          <w:sz w:val="24"/>
        </w:rPr>
        <w:t xml:space="preserve">ound by the CSR </w:t>
      </w:r>
      <w:r w:rsidR="00B65C45" w:rsidRPr="00B65C45">
        <w:rPr>
          <w:rFonts w:ascii="Times New Roman" w:hAnsi="Times New Roman" w:cs="Times New Roman"/>
          <w:sz w:val="24"/>
        </w:rPr>
        <w:t>m</w:t>
      </w:r>
      <w:r w:rsidR="001806DD" w:rsidRPr="00B65C45">
        <w:rPr>
          <w:rFonts w:ascii="Times New Roman" w:hAnsi="Times New Roman" w:cs="Times New Roman"/>
          <w:sz w:val="24"/>
        </w:rPr>
        <w:t xml:space="preserve">andate </w:t>
      </w:r>
    </w:p>
    <w:p w14:paraId="595E9ECC" w14:textId="792437C7" w:rsidR="00EB1E2E" w:rsidRPr="00B65C45" w:rsidRDefault="00EB1E2E" w:rsidP="00EB1E2E">
      <w:pPr>
        <w:spacing w:line="240" w:lineRule="auto"/>
        <w:jc w:val="both"/>
        <w:rPr>
          <w:rFonts w:ascii="Times New Roman" w:hAnsi="Times New Roman" w:cs="Times New Roman"/>
          <w:noProof/>
          <w:sz w:val="24"/>
          <w:szCs w:val="20"/>
        </w:rPr>
      </w:pPr>
      <w:r w:rsidRPr="00B65C45">
        <w:rPr>
          <w:rFonts w:ascii="Times New Roman" w:hAnsi="Times New Roman" w:cs="Times New Roman"/>
          <w:noProof/>
          <w:sz w:val="24"/>
          <w:szCs w:val="20"/>
        </w:rPr>
        <w:t>Note: The vertical axis represents abnormal returns (percentage) on the event da</w:t>
      </w:r>
      <w:r w:rsidR="00B65C45" w:rsidRPr="00B65C45">
        <w:rPr>
          <w:rFonts w:ascii="Times New Roman" w:hAnsi="Times New Roman" w:cs="Times New Roman"/>
          <w:noProof/>
          <w:sz w:val="24"/>
          <w:szCs w:val="20"/>
        </w:rPr>
        <w:t>te</w:t>
      </w:r>
      <w:r w:rsidRPr="00B65C45">
        <w:rPr>
          <w:rFonts w:ascii="Times New Roman" w:hAnsi="Times New Roman" w:cs="Times New Roman"/>
          <w:noProof/>
          <w:sz w:val="24"/>
          <w:szCs w:val="20"/>
        </w:rPr>
        <w:t>. The horizontal axis indicates three year averaged profit after tax (PAT). The solid line fits the predicted values of abnormal returns to the right and left of the threshold of PAT= INR 50 million.</w:t>
      </w:r>
    </w:p>
    <w:p w14:paraId="1DFEEA87" w14:textId="77777777" w:rsidR="00EB1E2E" w:rsidRDefault="00EB1E2E" w:rsidP="00EB1E2E">
      <w:pPr>
        <w:spacing w:line="240" w:lineRule="auto"/>
        <w:jc w:val="both"/>
        <w:rPr>
          <w:rFonts w:cs="Times New Roman"/>
        </w:rPr>
      </w:pPr>
    </w:p>
    <w:p w14:paraId="5777FE87" w14:textId="77777777" w:rsidR="00EB1E2E" w:rsidRDefault="00EB1E2E" w:rsidP="00EB1E2E">
      <w:pPr>
        <w:spacing w:line="240" w:lineRule="auto"/>
        <w:jc w:val="both"/>
        <w:rPr>
          <w:rFonts w:cs="Times New Roman"/>
        </w:rPr>
      </w:pPr>
    </w:p>
    <w:p w14:paraId="316C77CE" w14:textId="77777777" w:rsidR="00EB1E2E" w:rsidRDefault="00EB1E2E" w:rsidP="00EB1E2E">
      <w:pPr>
        <w:spacing w:line="240" w:lineRule="auto"/>
        <w:jc w:val="both"/>
        <w:rPr>
          <w:rFonts w:cs="Times New Roman"/>
        </w:rPr>
      </w:pPr>
    </w:p>
    <w:p w14:paraId="293CEFDB" w14:textId="77777777" w:rsidR="00EB1E2E" w:rsidRDefault="00EB1E2E" w:rsidP="00EB1E2E">
      <w:pPr>
        <w:spacing w:line="240" w:lineRule="auto"/>
        <w:jc w:val="both"/>
        <w:rPr>
          <w:rFonts w:cs="Times New Roman"/>
        </w:rPr>
      </w:pPr>
    </w:p>
    <w:p w14:paraId="21CA6C1E" w14:textId="77777777" w:rsidR="00EB1E2E" w:rsidRDefault="00EB1E2E" w:rsidP="00EB1E2E">
      <w:pPr>
        <w:spacing w:line="240" w:lineRule="auto"/>
        <w:jc w:val="both"/>
        <w:rPr>
          <w:rFonts w:cs="Times New Roman"/>
        </w:rPr>
      </w:pPr>
    </w:p>
    <w:p w14:paraId="6DA28048" w14:textId="77777777" w:rsidR="00EB1E2E" w:rsidRDefault="00EB1E2E" w:rsidP="00EB1E2E">
      <w:pPr>
        <w:spacing w:line="240" w:lineRule="auto"/>
        <w:jc w:val="both"/>
        <w:rPr>
          <w:rFonts w:cs="Times New Roman"/>
        </w:rPr>
      </w:pPr>
    </w:p>
    <w:p w14:paraId="0E202BA4" w14:textId="77777777" w:rsidR="00EB1E2E" w:rsidRDefault="00EB1E2E" w:rsidP="00EB1E2E">
      <w:pPr>
        <w:spacing w:line="240" w:lineRule="auto"/>
        <w:jc w:val="both"/>
        <w:rPr>
          <w:rFonts w:cs="Times New Roman"/>
        </w:rPr>
      </w:pPr>
    </w:p>
    <w:p w14:paraId="0336F232" w14:textId="77777777" w:rsidR="00EB1E2E" w:rsidRDefault="00EB1E2E" w:rsidP="00EB1E2E">
      <w:pPr>
        <w:spacing w:line="240" w:lineRule="auto"/>
        <w:jc w:val="both"/>
        <w:rPr>
          <w:rFonts w:cs="Times New Roman"/>
        </w:rPr>
      </w:pPr>
    </w:p>
    <w:p w14:paraId="6DF623CE" w14:textId="77777777" w:rsidR="00EB1E2E" w:rsidRDefault="00EB1E2E" w:rsidP="00EB1E2E">
      <w:pPr>
        <w:spacing w:line="240" w:lineRule="auto"/>
        <w:jc w:val="both"/>
        <w:rPr>
          <w:rFonts w:cs="Times New Roman"/>
        </w:rPr>
      </w:pPr>
    </w:p>
    <w:p w14:paraId="16C88629" w14:textId="77777777" w:rsidR="00EB1E2E" w:rsidRDefault="00EB1E2E" w:rsidP="00EB1E2E">
      <w:pPr>
        <w:spacing w:line="240" w:lineRule="auto"/>
        <w:jc w:val="both"/>
        <w:rPr>
          <w:rFonts w:cs="Times New Roman"/>
        </w:rPr>
      </w:pPr>
    </w:p>
    <w:p w14:paraId="25CF81BA" w14:textId="77777777" w:rsidR="00EB1E2E" w:rsidRDefault="00EB1E2E" w:rsidP="00EB1E2E">
      <w:pPr>
        <w:spacing w:line="240" w:lineRule="auto"/>
        <w:jc w:val="both"/>
        <w:rPr>
          <w:rFonts w:cs="Times New Roman"/>
        </w:rPr>
      </w:pPr>
    </w:p>
    <w:p w14:paraId="2FF6EAC1" w14:textId="77777777" w:rsidR="00EB1E2E" w:rsidRDefault="00EB1E2E" w:rsidP="00EB1E2E">
      <w:pPr>
        <w:spacing w:line="240" w:lineRule="auto"/>
        <w:ind w:left="-811" w:right="-1077"/>
        <w:rPr>
          <w:rFonts w:cs="Times New Roman"/>
        </w:rPr>
      </w:pPr>
    </w:p>
    <w:p w14:paraId="2E98CDF3" w14:textId="07445A38" w:rsidR="00EB1E2E" w:rsidRDefault="00424210" w:rsidP="00EB1E2E">
      <w:pPr>
        <w:tabs>
          <w:tab w:val="left" w:pos="1995"/>
        </w:tabs>
        <w:spacing w:before="200"/>
        <w:jc w:val="center"/>
        <w:rPr>
          <w:rFonts w:cs="Times New Roman"/>
          <w:noProof/>
        </w:rPr>
      </w:pPr>
      <w:r>
        <w:rPr>
          <w:noProof/>
          <w:lang w:val="en-CA" w:eastAsia="en-CA"/>
        </w:rPr>
        <w:lastRenderedPageBreak/>
        <mc:AlternateContent>
          <mc:Choice Requires="wps">
            <w:drawing>
              <wp:anchor distT="0" distB="0" distL="114300" distR="114300" simplePos="0" relativeHeight="251663360" behindDoc="0" locked="0" layoutInCell="1" allowOverlap="1" wp14:anchorId="520523A5" wp14:editId="64F4A81B">
                <wp:simplePos x="0" y="0"/>
                <wp:positionH relativeFrom="column">
                  <wp:posOffset>1384935</wp:posOffset>
                </wp:positionH>
                <wp:positionV relativeFrom="paragraph">
                  <wp:posOffset>673100</wp:posOffset>
                </wp:positionV>
                <wp:extent cx="396875" cy="206375"/>
                <wp:effectExtent l="0" t="0" r="317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0ED2" w14:textId="77777777" w:rsidR="00F263C4" w:rsidRPr="005B0CE6" w:rsidRDefault="00F263C4" w:rsidP="00EB1E2E">
                            <w:pPr>
                              <w:rPr>
                                <w:sz w:val="16"/>
                                <w:szCs w:val="16"/>
                              </w:rPr>
                            </w:pPr>
                            <w:r>
                              <w:rPr>
                                <w:sz w:val="16"/>
                                <w:szCs w:val="16"/>
                              </w:rPr>
                              <w:t>{D</w:t>
                            </w:r>
                            <w:r w:rsidRPr="00546DED">
                              <w:rPr>
                                <w:sz w:val="16"/>
                                <w:szCs w:val="16"/>
                                <w:vertAlign w:val="subscript"/>
                              </w:rPr>
                              <w:t>1</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523A5" id="_x0000_t202" coordsize="21600,21600" o:spt="202" path="m,l,21600r21600,l21600,xe">
                <v:stroke joinstyle="miter"/>
                <v:path gradientshapeok="t" o:connecttype="rect"/>
              </v:shapetype>
              <v:shape id="Text Box 2" o:spid="_x0000_s1026" type="#_x0000_t202" style="position:absolute;left:0;text-align:left;margin-left:109.05pt;margin-top:53pt;width:31.2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" stroked="f">
                <v:textbox>
                  <w:txbxContent>
                    <w:p w14:paraId="03C90ED2" w14:textId="77777777" w:rsidR="00F263C4" w:rsidRPr="005B0CE6" w:rsidRDefault="00F263C4" w:rsidP="00EB1E2E">
                      <w:pPr>
                        <w:rPr>
                          <w:sz w:val="16"/>
                          <w:szCs w:val="16"/>
                        </w:rPr>
                      </w:pPr>
                      <w:r>
                        <w:rPr>
                          <w:sz w:val="16"/>
                          <w:szCs w:val="16"/>
                        </w:rPr>
                        <w:t>{D</w:t>
                      </w:r>
                      <w:r w:rsidRPr="00546DED">
                        <w:rPr>
                          <w:sz w:val="16"/>
                          <w:szCs w:val="16"/>
                          <w:vertAlign w:val="subscript"/>
                        </w:rPr>
                        <w:t>1</w:t>
                      </w:r>
                      <w:r>
                        <w:rPr>
                          <w:sz w:val="16"/>
                          <w:szCs w:val="16"/>
                        </w:rPr>
                        <w:t>}</w:t>
                      </w:r>
                    </w:p>
                  </w:txbxContent>
                </v:textbox>
              </v:shape>
            </w:pict>
          </mc:Fallback>
        </mc:AlternateContent>
      </w:r>
      <w:r w:rsidR="00EB1E2E">
        <w:rPr>
          <w:noProof/>
          <w:lang w:val="en-CA" w:eastAsia="en-CA"/>
        </w:rPr>
        <mc:AlternateContent>
          <mc:Choice Requires="wps">
            <w:drawing>
              <wp:anchor distT="0" distB="0" distL="114300" distR="114300" simplePos="0" relativeHeight="251664384" behindDoc="0" locked="0" layoutInCell="1" allowOverlap="1" wp14:anchorId="35682067" wp14:editId="6445CDCA">
                <wp:simplePos x="0" y="0"/>
                <wp:positionH relativeFrom="column">
                  <wp:posOffset>1318895</wp:posOffset>
                </wp:positionH>
                <wp:positionV relativeFrom="paragraph">
                  <wp:posOffset>1437640</wp:posOffset>
                </wp:positionV>
                <wp:extent cx="420370" cy="206375"/>
                <wp:effectExtent l="0" t="0" r="0" b="317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A64C8" w14:textId="77777777" w:rsidR="00F263C4" w:rsidRPr="005B0CE6" w:rsidRDefault="00F263C4" w:rsidP="00EB1E2E">
                            <w:pPr>
                              <w:rPr>
                                <w:sz w:val="16"/>
                                <w:szCs w:val="16"/>
                              </w:rPr>
                            </w:pPr>
                            <w:r>
                              <w:rPr>
                                <w:sz w:val="16"/>
                                <w:szCs w:val="16"/>
                              </w:rPr>
                              <w:t>{F</w:t>
                            </w:r>
                            <w:r w:rsidRPr="00546DED">
                              <w:rPr>
                                <w:sz w:val="16"/>
                                <w:szCs w:val="16"/>
                                <w:vertAlign w:val="subscript"/>
                              </w:rPr>
                              <w:t>1</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2067" id="Text Box 5" o:spid="_x0000_s1027" type="#_x0000_t202" style="position:absolute;left:0;text-align:left;margin-left:103.85pt;margin-top:113.2pt;width:33.1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" stroked="f">
                <v:textbox>
                  <w:txbxContent>
                    <w:p w14:paraId="220A64C8" w14:textId="77777777" w:rsidR="00F263C4" w:rsidRPr="005B0CE6" w:rsidRDefault="00F263C4" w:rsidP="00EB1E2E">
                      <w:pPr>
                        <w:rPr>
                          <w:sz w:val="16"/>
                          <w:szCs w:val="16"/>
                        </w:rPr>
                      </w:pPr>
                      <w:r>
                        <w:rPr>
                          <w:sz w:val="16"/>
                          <w:szCs w:val="16"/>
                        </w:rPr>
                        <w:t>{F</w:t>
                      </w:r>
                      <w:r w:rsidRPr="00546DED">
                        <w:rPr>
                          <w:sz w:val="16"/>
                          <w:szCs w:val="16"/>
                          <w:vertAlign w:val="subscript"/>
                        </w:rPr>
                        <w:t>1</w:t>
                      </w:r>
                      <w:r>
                        <w:rPr>
                          <w:sz w:val="16"/>
                          <w:szCs w:val="16"/>
                        </w:rPr>
                        <w:t>}</w:t>
                      </w:r>
                    </w:p>
                  </w:txbxContent>
                </v:textbox>
              </v:shape>
            </w:pict>
          </mc:Fallback>
        </mc:AlternateContent>
      </w:r>
      <w:r w:rsidR="00EB1E2E">
        <w:rPr>
          <w:noProof/>
          <w:lang w:val="en-CA" w:eastAsia="en-CA"/>
        </w:rPr>
        <mc:AlternateContent>
          <mc:Choice Requires="wps">
            <w:drawing>
              <wp:anchor distT="0" distB="0" distL="114300" distR="114300" simplePos="0" relativeHeight="251666432" behindDoc="0" locked="0" layoutInCell="1" allowOverlap="1" wp14:anchorId="59C1E97B" wp14:editId="7F27057F">
                <wp:simplePos x="0" y="0"/>
                <wp:positionH relativeFrom="column">
                  <wp:posOffset>5102860</wp:posOffset>
                </wp:positionH>
                <wp:positionV relativeFrom="paragraph">
                  <wp:posOffset>871855</wp:posOffset>
                </wp:positionV>
                <wp:extent cx="438150" cy="206375"/>
                <wp:effectExtent l="0" t="0" r="0" b="31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A50AD" w14:textId="77777777" w:rsidR="00F263C4" w:rsidRPr="005B0CE6" w:rsidRDefault="00F263C4" w:rsidP="00EB1E2E">
                            <w:pPr>
                              <w:rPr>
                                <w:sz w:val="16"/>
                                <w:szCs w:val="16"/>
                              </w:rPr>
                            </w:pPr>
                            <w:r>
                              <w:rPr>
                                <w:sz w:val="16"/>
                                <w:szCs w:val="16"/>
                              </w:rPr>
                              <w:t>{D</w:t>
                            </w:r>
                            <w:r>
                              <w:rPr>
                                <w:sz w:val="16"/>
                                <w:szCs w:val="16"/>
                                <w:vertAlign w:val="subscript"/>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1E97B" id="Text Box 4" o:spid="_x0000_s1028" type="#_x0000_t202" style="position:absolute;left:0;text-align:left;margin-left:401.8pt;margin-top:68.65pt;width:34.5pt;height:1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" stroked="f">
                <v:textbox>
                  <w:txbxContent>
                    <w:p w14:paraId="534A50AD" w14:textId="77777777" w:rsidR="00F263C4" w:rsidRPr="005B0CE6" w:rsidRDefault="00F263C4" w:rsidP="00EB1E2E">
                      <w:pPr>
                        <w:rPr>
                          <w:sz w:val="16"/>
                          <w:szCs w:val="16"/>
                        </w:rPr>
                      </w:pPr>
                      <w:r>
                        <w:rPr>
                          <w:sz w:val="16"/>
                          <w:szCs w:val="16"/>
                        </w:rPr>
                        <w:t>{D</w:t>
                      </w:r>
                      <w:r>
                        <w:rPr>
                          <w:sz w:val="16"/>
                          <w:szCs w:val="16"/>
                          <w:vertAlign w:val="subscript"/>
                        </w:rPr>
                        <w:t>2</w:t>
                      </w:r>
                      <w:r>
                        <w:rPr>
                          <w:sz w:val="16"/>
                          <w:szCs w:val="16"/>
                        </w:rPr>
                        <w:t>}</w:t>
                      </w:r>
                    </w:p>
                  </w:txbxContent>
                </v:textbox>
              </v:shape>
            </w:pict>
          </mc:Fallback>
        </mc:AlternateContent>
      </w:r>
      <w:r w:rsidR="00EB1E2E">
        <w:rPr>
          <w:noProof/>
          <w:lang w:val="en-CA" w:eastAsia="en-CA"/>
        </w:rPr>
        <mc:AlternateContent>
          <mc:Choice Requires="wps">
            <w:drawing>
              <wp:anchor distT="0" distB="0" distL="114300" distR="114300" simplePos="0" relativeHeight="251665408" behindDoc="0" locked="0" layoutInCell="1" allowOverlap="1" wp14:anchorId="170AD5F8" wp14:editId="15BF5640">
                <wp:simplePos x="0" y="0"/>
                <wp:positionH relativeFrom="column">
                  <wp:posOffset>5070158</wp:posOffset>
                </wp:positionH>
                <wp:positionV relativeFrom="paragraph">
                  <wp:posOffset>476885</wp:posOffset>
                </wp:positionV>
                <wp:extent cx="438150" cy="206375"/>
                <wp:effectExtent l="0" t="0" r="0" b="317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D423" w14:textId="77777777" w:rsidR="00F263C4" w:rsidRPr="005B0CE6" w:rsidRDefault="00F263C4" w:rsidP="00EB1E2E">
                            <w:pPr>
                              <w:rPr>
                                <w:sz w:val="16"/>
                                <w:szCs w:val="16"/>
                              </w:rPr>
                            </w:pPr>
                            <w:r>
                              <w:rPr>
                                <w:sz w:val="16"/>
                                <w:szCs w:val="16"/>
                              </w:rPr>
                              <w:t>{F</w:t>
                            </w:r>
                            <w:r>
                              <w:rPr>
                                <w:sz w:val="16"/>
                                <w:szCs w:val="16"/>
                                <w:vertAlign w:val="subscript"/>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AD5F8" id="Text Box 6" o:spid="_x0000_s1029" type="#_x0000_t202" style="position:absolute;left:0;text-align:left;margin-left:399.25pt;margin-top:37.55pt;width:34.5pt;height:1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" stroked="f">
                <v:textbox>
                  <w:txbxContent>
                    <w:p w14:paraId="6505D423" w14:textId="77777777" w:rsidR="00F263C4" w:rsidRPr="005B0CE6" w:rsidRDefault="00F263C4" w:rsidP="00EB1E2E">
                      <w:pPr>
                        <w:rPr>
                          <w:sz w:val="16"/>
                          <w:szCs w:val="16"/>
                        </w:rPr>
                      </w:pPr>
                      <w:r>
                        <w:rPr>
                          <w:sz w:val="16"/>
                          <w:szCs w:val="16"/>
                        </w:rPr>
                        <w:t>{F</w:t>
                      </w:r>
                      <w:r>
                        <w:rPr>
                          <w:sz w:val="16"/>
                          <w:szCs w:val="16"/>
                          <w:vertAlign w:val="subscript"/>
                        </w:rPr>
                        <w:t>2</w:t>
                      </w:r>
                      <w:r>
                        <w:rPr>
                          <w:sz w:val="16"/>
                          <w:szCs w:val="16"/>
                        </w:rPr>
                        <w:t>}</w:t>
                      </w:r>
                    </w:p>
                  </w:txbxContent>
                </v:textbox>
              </v:shape>
            </w:pict>
          </mc:Fallback>
        </mc:AlternateContent>
      </w:r>
      <w:r w:rsidR="00EB1E2E">
        <w:rPr>
          <w:rFonts w:cs="Times New Roman"/>
          <w:noProof/>
          <w:lang w:val="en-CA" w:eastAsia="en-CA"/>
        </w:rPr>
        <w:drawing>
          <wp:inline distT="0" distB="0" distL="0" distR="0" wp14:anchorId="685C8FD7" wp14:editId="42072CF5">
            <wp:extent cx="4829175" cy="2571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29175" cy="2571750"/>
                    </a:xfrm>
                    <a:prstGeom prst="rect">
                      <a:avLst/>
                    </a:prstGeom>
                    <a:noFill/>
                    <a:ln>
                      <a:noFill/>
                    </a:ln>
                  </pic:spPr>
                </pic:pic>
              </a:graphicData>
            </a:graphic>
          </wp:inline>
        </w:drawing>
      </w:r>
    </w:p>
    <w:p w14:paraId="12645345" w14:textId="12F4B1BF" w:rsidR="001806DD" w:rsidRPr="00B65C45" w:rsidRDefault="001806DD" w:rsidP="001806DD">
      <w:pPr>
        <w:spacing w:before="200" w:line="240" w:lineRule="auto"/>
        <w:jc w:val="both"/>
        <w:rPr>
          <w:rFonts w:ascii="Times New Roman" w:hAnsi="Times New Roman" w:cs="Times New Roman"/>
          <w:noProof/>
          <w:sz w:val="24"/>
        </w:rPr>
      </w:pPr>
      <w:r w:rsidRPr="00B65C45">
        <w:rPr>
          <w:rFonts w:ascii="Times New Roman" w:hAnsi="Times New Roman" w:cs="Times New Roman"/>
          <w:noProof/>
          <w:sz w:val="24"/>
        </w:rPr>
        <w:t>Figure 3a: Predicted Abnormal Returns for CSR Mandate Subjugation * Foreign Firms</w:t>
      </w:r>
    </w:p>
    <w:p w14:paraId="3721A2F8" w14:textId="5A65EAFC" w:rsidR="00EB1E2E" w:rsidRPr="00B65C45" w:rsidRDefault="00EB1E2E" w:rsidP="00EB1E2E">
      <w:pPr>
        <w:spacing w:before="200" w:line="240" w:lineRule="auto"/>
        <w:jc w:val="both"/>
        <w:rPr>
          <w:rFonts w:ascii="Times New Roman" w:hAnsi="Times New Roman" w:cs="Times New Roman"/>
          <w:noProof/>
          <w:sz w:val="24"/>
          <w:szCs w:val="18"/>
        </w:rPr>
      </w:pPr>
      <w:r w:rsidRPr="00B65C45">
        <w:rPr>
          <w:rFonts w:ascii="Times New Roman" w:hAnsi="Times New Roman" w:cs="Times New Roman"/>
          <w:noProof/>
          <w:sz w:val="24"/>
          <w:szCs w:val="18"/>
        </w:rPr>
        <w:t>Note: The measure of  the expression (F</w:t>
      </w:r>
      <w:r w:rsidRPr="00B65C45">
        <w:rPr>
          <w:rFonts w:ascii="Times New Roman" w:hAnsi="Times New Roman" w:cs="Times New Roman"/>
          <w:noProof/>
          <w:sz w:val="24"/>
          <w:szCs w:val="18"/>
          <w:vertAlign w:val="subscript"/>
        </w:rPr>
        <w:t>2</w:t>
      </w:r>
      <w:r w:rsidRPr="00B65C45">
        <w:rPr>
          <w:rFonts w:ascii="Times New Roman" w:hAnsi="Times New Roman" w:cs="Times New Roman"/>
          <w:noProof/>
          <w:sz w:val="24"/>
          <w:szCs w:val="18"/>
        </w:rPr>
        <w:t xml:space="preserve"> - D</w:t>
      </w:r>
      <w:r w:rsidRPr="00B65C45">
        <w:rPr>
          <w:rFonts w:ascii="Times New Roman" w:hAnsi="Times New Roman" w:cs="Times New Roman"/>
          <w:noProof/>
          <w:sz w:val="24"/>
          <w:szCs w:val="18"/>
          <w:vertAlign w:val="subscript"/>
        </w:rPr>
        <w:t>2</w:t>
      </w:r>
      <w:r w:rsidRPr="00B65C45">
        <w:rPr>
          <w:rFonts w:ascii="Times New Roman" w:hAnsi="Times New Roman" w:cs="Times New Roman"/>
          <w:noProof/>
          <w:sz w:val="24"/>
          <w:szCs w:val="18"/>
        </w:rPr>
        <w:t>) - (F</w:t>
      </w:r>
      <w:r w:rsidRPr="00B65C45">
        <w:rPr>
          <w:rFonts w:ascii="Times New Roman" w:hAnsi="Times New Roman" w:cs="Times New Roman"/>
          <w:noProof/>
          <w:sz w:val="24"/>
          <w:szCs w:val="18"/>
          <w:vertAlign w:val="subscript"/>
        </w:rPr>
        <w:t xml:space="preserve">1 </w:t>
      </w:r>
      <w:r w:rsidRPr="00B65C45">
        <w:rPr>
          <w:rFonts w:ascii="Times New Roman" w:hAnsi="Times New Roman" w:cs="Times New Roman"/>
          <w:noProof/>
          <w:sz w:val="24"/>
          <w:szCs w:val="18"/>
        </w:rPr>
        <w:t>- D</w:t>
      </w:r>
      <w:r w:rsidRPr="00B65C45">
        <w:rPr>
          <w:rFonts w:ascii="Times New Roman" w:hAnsi="Times New Roman" w:cs="Times New Roman"/>
          <w:noProof/>
          <w:sz w:val="24"/>
          <w:szCs w:val="18"/>
          <w:vertAlign w:val="subscript"/>
        </w:rPr>
        <w:t>1</w:t>
      </w:r>
      <w:r w:rsidRPr="00B65C45">
        <w:rPr>
          <w:rFonts w:ascii="Times New Roman" w:hAnsi="Times New Roman" w:cs="Times New Roman"/>
          <w:noProof/>
          <w:sz w:val="24"/>
          <w:szCs w:val="18"/>
        </w:rPr>
        <w:t xml:space="preserve">) from this figure is same as the coefficient of </w:t>
      </w:r>
      <w:r w:rsidR="001806DD" w:rsidRPr="00B65C45">
        <w:rPr>
          <w:rFonts w:ascii="Times New Roman" w:hAnsi="Times New Roman" w:cs="Times New Roman"/>
          <w:noProof/>
          <w:sz w:val="24"/>
          <w:szCs w:val="18"/>
        </w:rPr>
        <w:t xml:space="preserve"> </w:t>
      </w:r>
      <w:r w:rsidRPr="00B65C45">
        <w:rPr>
          <w:rFonts w:ascii="Times New Roman" w:hAnsi="Times New Roman" w:cs="Times New Roman"/>
          <w:noProof/>
          <w:sz w:val="24"/>
          <w:szCs w:val="18"/>
        </w:rPr>
        <w:t xml:space="preserve">Subj * Foreign Firm  ( </w:t>
      </w:r>
      <m:oMath>
        <m:sSub>
          <m:sSubPr>
            <m:ctrlPr>
              <w:rPr>
                <w:rFonts w:ascii="Cambria Math" w:hAnsi="Cambria Math" w:cs="Times New Roman"/>
                <w:noProof/>
                <w:sz w:val="24"/>
                <w:szCs w:val="18"/>
              </w:rPr>
            </m:ctrlPr>
          </m:sSubPr>
          <m:e>
            <m:r>
              <m:rPr>
                <m:sty m:val="p"/>
              </m:rPr>
              <w:rPr>
                <w:rFonts w:ascii="Cambria Math" w:hAnsi="Cambria Math" w:cs="Times New Roman"/>
                <w:noProof/>
                <w:sz w:val="24"/>
                <w:szCs w:val="18"/>
              </w:rPr>
              <m:t>δ</m:t>
            </m:r>
          </m:e>
          <m:sub>
            <m:r>
              <w:rPr>
                <w:rFonts w:ascii="Cambria Math" w:hAnsi="Cambria Math" w:cs="Times New Roman"/>
                <w:noProof/>
                <w:sz w:val="24"/>
                <w:szCs w:val="18"/>
              </w:rPr>
              <m:t>1</m:t>
            </m:r>
          </m:sub>
        </m:sSub>
        <m:r>
          <w:rPr>
            <w:rFonts w:ascii="Cambria Math" w:hAnsi="Cambria Math" w:cs="Times New Roman"/>
            <w:noProof/>
            <w:sz w:val="24"/>
            <w:szCs w:val="18"/>
          </w:rPr>
          <m:t>)</m:t>
        </m:r>
      </m:oMath>
      <w:r w:rsidRPr="00B65C45">
        <w:rPr>
          <w:rFonts w:ascii="Times New Roman" w:hAnsi="Times New Roman" w:cs="Times New Roman"/>
          <w:noProof/>
          <w:sz w:val="24"/>
          <w:szCs w:val="18"/>
        </w:rPr>
        <w:t xml:space="preserve"> as reported in column 1 of table 3  </w:t>
      </w:r>
    </w:p>
    <w:p w14:paraId="2075C6B5" w14:textId="77777777" w:rsidR="00EB1E2E" w:rsidRDefault="00EB1E2E" w:rsidP="00EB1E2E">
      <w:pPr>
        <w:spacing w:before="200"/>
        <w:jc w:val="both"/>
        <w:rPr>
          <w:rFonts w:cs="Times New Roman"/>
          <w:noProof/>
        </w:rPr>
      </w:pPr>
    </w:p>
    <w:p w14:paraId="3BEBA752" w14:textId="77777777" w:rsidR="00EB1E2E" w:rsidRDefault="00EB1E2E" w:rsidP="00EB1E2E">
      <w:pPr>
        <w:spacing w:before="200"/>
        <w:jc w:val="both"/>
        <w:rPr>
          <w:rFonts w:cs="Times New Roman"/>
          <w:noProof/>
        </w:rPr>
      </w:pPr>
    </w:p>
    <w:p w14:paraId="5A7ECEA0" w14:textId="77777777" w:rsidR="00EB1E2E" w:rsidRDefault="00EB1E2E" w:rsidP="00EB1E2E">
      <w:pPr>
        <w:spacing w:before="200"/>
        <w:jc w:val="both"/>
        <w:rPr>
          <w:rFonts w:cs="Times New Roman"/>
          <w:noProof/>
        </w:rPr>
      </w:pPr>
    </w:p>
    <w:p w14:paraId="4DC9C829" w14:textId="77777777" w:rsidR="00EB1E2E" w:rsidRDefault="00EB1E2E" w:rsidP="00EB1E2E">
      <w:pPr>
        <w:spacing w:before="200"/>
        <w:jc w:val="both"/>
        <w:rPr>
          <w:rFonts w:cs="Times New Roman"/>
          <w:noProof/>
        </w:rPr>
      </w:pPr>
    </w:p>
    <w:p w14:paraId="5110A649" w14:textId="77777777" w:rsidR="00EB1E2E" w:rsidRDefault="00EB1E2E" w:rsidP="00EB1E2E">
      <w:pPr>
        <w:spacing w:before="200"/>
        <w:jc w:val="both"/>
        <w:rPr>
          <w:rFonts w:cs="Times New Roman"/>
          <w:noProof/>
        </w:rPr>
      </w:pPr>
    </w:p>
    <w:p w14:paraId="06C80CC0" w14:textId="77777777" w:rsidR="00EB1E2E" w:rsidRDefault="00EB1E2E" w:rsidP="00EB1E2E">
      <w:pPr>
        <w:spacing w:before="200"/>
        <w:jc w:val="both"/>
        <w:rPr>
          <w:rFonts w:cs="Times New Roman"/>
          <w:noProof/>
        </w:rPr>
      </w:pPr>
    </w:p>
    <w:p w14:paraId="439DC724" w14:textId="77777777" w:rsidR="00EB1E2E" w:rsidRDefault="00EB1E2E" w:rsidP="00EB1E2E">
      <w:pPr>
        <w:spacing w:before="200"/>
        <w:jc w:val="both"/>
        <w:rPr>
          <w:rFonts w:cs="Times New Roman"/>
          <w:noProof/>
        </w:rPr>
      </w:pPr>
    </w:p>
    <w:p w14:paraId="16ED7C0F" w14:textId="77777777" w:rsidR="00EB1E2E" w:rsidRDefault="00EB1E2E" w:rsidP="00EB1E2E">
      <w:pPr>
        <w:spacing w:before="200"/>
        <w:jc w:val="both"/>
        <w:rPr>
          <w:rFonts w:cs="Times New Roman"/>
          <w:noProof/>
        </w:rPr>
      </w:pPr>
    </w:p>
    <w:p w14:paraId="2FBD05F8" w14:textId="77777777" w:rsidR="00EB1E2E" w:rsidRDefault="00EB1E2E" w:rsidP="00EB1E2E">
      <w:pPr>
        <w:spacing w:before="200"/>
        <w:jc w:val="both"/>
        <w:rPr>
          <w:rFonts w:cs="Times New Roman"/>
          <w:noProof/>
        </w:rPr>
      </w:pPr>
    </w:p>
    <w:p w14:paraId="019ACF9E" w14:textId="77777777" w:rsidR="00EB1E2E" w:rsidRDefault="00EB1E2E" w:rsidP="00EB1E2E">
      <w:pPr>
        <w:spacing w:before="200"/>
        <w:jc w:val="both"/>
        <w:rPr>
          <w:rFonts w:cs="Times New Roman"/>
          <w:noProof/>
        </w:rPr>
      </w:pPr>
    </w:p>
    <w:p w14:paraId="2B1B8FAE" w14:textId="77777777" w:rsidR="00EB1E2E" w:rsidRDefault="00EB1E2E" w:rsidP="00EB1E2E">
      <w:pPr>
        <w:spacing w:before="200"/>
        <w:jc w:val="both"/>
        <w:rPr>
          <w:rFonts w:cs="Times New Roman"/>
          <w:noProof/>
        </w:rPr>
      </w:pPr>
    </w:p>
    <w:p w14:paraId="5B63D14A" w14:textId="77777777" w:rsidR="00EB1E2E" w:rsidRDefault="00EB1E2E" w:rsidP="00EB1E2E">
      <w:pPr>
        <w:spacing w:before="200"/>
        <w:jc w:val="both"/>
        <w:rPr>
          <w:rFonts w:cs="Times New Roman"/>
          <w:noProof/>
        </w:rPr>
      </w:pPr>
    </w:p>
    <w:p w14:paraId="1F60E960" w14:textId="77777777" w:rsidR="00EB1E2E" w:rsidRDefault="00EB1E2E" w:rsidP="00EB1E2E">
      <w:pPr>
        <w:spacing w:before="200"/>
        <w:jc w:val="both"/>
        <w:rPr>
          <w:rFonts w:cs="Times New Roman"/>
          <w:noProof/>
        </w:rPr>
      </w:pPr>
    </w:p>
    <w:p w14:paraId="63E5CFCE" w14:textId="77777777" w:rsidR="00EB1E2E" w:rsidRDefault="00EB1E2E" w:rsidP="00EB1E2E">
      <w:pPr>
        <w:spacing w:before="200"/>
        <w:jc w:val="both"/>
        <w:rPr>
          <w:rFonts w:cs="Times New Roman"/>
          <w:noProof/>
        </w:rPr>
      </w:pPr>
    </w:p>
    <w:p w14:paraId="0E46066D" w14:textId="77777777" w:rsidR="00EB1E2E" w:rsidRDefault="00EB1E2E" w:rsidP="00EB1E2E">
      <w:pPr>
        <w:spacing w:after="240" w:line="240" w:lineRule="auto"/>
        <w:jc w:val="center"/>
        <w:rPr>
          <w:rFonts w:cs="Times New Roman"/>
        </w:rPr>
      </w:pPr>
      <w:r>
        <w:rPr>
          <w:rFonts w:cs="Times New Roman"/>
          <w:noProof/>
          <w:lang w:val="en-CA" w:eastAsia="en-CA"/>
        </w:rPr>
        <w:lastRenderedPageBreak/>
        <mc:AlternateContent>
          <mc:Choice Requires="wps">
            <w:drawing>
              <wp:anchor distT="0" distB="0" distL="114300" distR="114300" simplePos="0" relativeHeight="251661312" behindDoc="0" locked="0" layoutInCell="1" allowOverlap="1" wp14:anchorId="28548487" wp14:editId="4D6CFA7F">
                <wp:simplePos x="0" y="0"/>
                <wp:positionH relativeFrom="column">
                  <wp:posOffset>4956175</wp:posOffset>
                </wp:positionH>
                <wp:positionV relativeFrom="paragraph">
                  <wp:posOffset>534035</wp:posOffset>
                </wp:positionV>
                <wp:extent cx="485775" cy="294005"/>
                <wp:effectExtent l="0" t="0" r="9525"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83402" w14:textId="77777777" w:rsidR="00F263C4" w:rsidRPr="001D29EC" w:rsidRDefault="00F263C4" w:rsidP="00EB1E2E">
                            <w:pPr>
                              <w:jc w:val="both"/>
                              <w:rPr>
                                <w:sz w:val="16"/>
                                <w:szCs w:val="16"/>
                              </w:rPr>
                            </w:pPr>
                            <w:r>
                              <w:rPr>
                                <w:sz w:val="16"/>
                                <w:szCs w:val="16"/>
                              </w:rPr>
                              <w:t>{NC</w:t>
                            </w:r>
                            <w:r w:rsidRPr="000E49DA">
                              <w:rPr>
                                <w:sz w:val="16"/>
                                <w:szCs w:val="16"/>
                                <w:vertAlign w:val="subscript"/>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48487" id="Text Box 10" o:spid="_x0000_s1030" type="#_x0000_t202" style="position:absolute;left:0;text-align:left;margin-left:390.25pt;margin-top:42.05pt;width:38.25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" stroked="f">
                <v:textbox>
                  <w:txbxContent>
                    <w:p w14:paraId="2BA83402" w14:textId="77777777" w:rsidR="00F263C4" w:rsidRPr="001D29EC" w:rsidRDefault="00F263C4" w:rsidP="00EB1E2E">
                      <w:pPr>
                        <w:jc w:val="both"/>
                        <w:rPr>
                          <w:sz w:val="16"/>
                          <w:szCs w:val="16"/>
                        </w:rPr>
                      </w:pPr>
                      <w:r>
                        <w:rPr>
                          <w:sz w:val="16"/>
                          <w:szCs w:val="16"/>
                        </w:rPr>
                        <w:t>{NC</w:t>
                      </w:r>
                      <w:r w:rsidRPr="000E49DA">
                        <w:rPr>
                          <w:sz w:val="16"/>
                          <w:szCs w:val="16"/>
                          <w:vertAlign w:val="subscript"/>
                        </w:rPr>
                        <w:t>2</w:t>
                      </w:r>
                      <w:r>
                        <w:rPr>
                          <w:sz w:val="16"/>
                          <w:szCs w:val="16"/>
                        </w:rPr>
                        <w:t>}</w:t>
                      </w:r>
                    </w:p>
                  </w:txbxContent>
                </v:textbox>
              </v:shape>
            </w:pict>
          </mc:Fallback>
        </mc:AlternateContent>
      </w:r>
      <w:r>
        <w:rPr>
          <w:rFonts w:cs="Times New Roman"/>
          <w:noProof/>
          <w:lang w:val="en-CA" w:eastAsia="en-CA"/>
        </w:rPr>
        <mc:AlternateContent>
          <mc:Choice Requires="wps">
            <w:drawing>
              <wp:anchor distT="0" distB="0" distL="114300" distR="114300" simplePos="0" relativeHeight="251662336" behindDoc="0" locked="0" layoutInCell="1" allowOverlap="1" wp14:anchorId="68D2B09A" wp14:editId="75CDF54F">
                <wp:simplePos x="0" y="0"/>
                <wp:positionH relativeFrom="column">
                  <wp:posOffset>5046345</wp:posOffset>
                </wp:positionH>
                <wp:positionV relativeFrom="paragraph">
                  <wp:posOffset>1440815</wp:posOffset>
                </wp:positionV>
                <wp:extent cx="397510" cy="294005"/>
                <wp:effectExtent l="0" t="0" r="254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FFCC7" w14:textId="77777777" w:rsidR="00F263C4" w:rsidRPr="001D29EC" w:rsidRDefault="00F263C4" w:rsidP="00EB1E2E">
                            <w:pPr>
                              <w:jc w:val="both"/>
                              <w:rPr>
                                <w:sz w:val="16"/>
                                <w:szCs w:val="16"/>
                              </w:rPr>
                            </w:pPr>
                            <w:r>
                              <w:rPr>
                                <w:sz w:val="16"/>
                                <w:szCs w:val="16"/>
                              </w:rPr>
                              <w:t>{C</w:t>
                            </w:r>
                            <w:r w:rsidRPr="000E49DA">
                              <w:rPr>
                                <w:sz w:val="16"/>
                                <w:szCs w:val="16"/>
                                <w:vertAlign w:val="subscript"/>
                              </w:rPr>
                              <w:t>2</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B09A" id="Text Box 8" o:spid="_x0000_s1031" type="#_x0000_t202" style="position:absolute;left:0;text-align:left;margin-left:397.35pt;margin-top:113.45pt;width:31.3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" stroked="f">
                <v:textbox>
                  <w:txbxContent>
                    <w:p w14:paraId="6EDFFCC7" w14:textId="77777777" w:rsidR="00F263C4" w:rsidRPr="001D29EC" w:rsidRDefault="00F263C4" w:rsidP="00EB1E2E">
                      <w:pPr>
                        <w:jc w:val="both"/>
                        <w:rPr>
                          <w:sz w:val="16"/>
                          <w:szCs w:val="16"/>
                        </w:rPr>
                      </w:pPr>
                      <w:r>
                        <w:rPr>
                          <w:sz w:val="16"/>
                          <w:szCs w:val="16"/>
                        </w:rPr>
                        <w:t>{C</w:t>
                      </w:r>
                      <w:r w:rsidRPr="000E49DA">
                        <w:rPr>
                          <w:sz w:val="16"/>
                          <w:szCs w:val="16"/>
                          <w:vertAlign w:val="subscript"/>
                        </w:rPr>
                        <w:t>2</w:t>
                      </w:r>
                      <w:r>
                        <w:rPr>
                          <w:sz w:val="16"/>
                          <w:szCs w:val="16"/>
                        </w:rPr>
                        <w:t>}</w:t>
                      </w:r>
                    </w:p>
                  </w:txbxContent>
                </v:textbox>
              </v:shape>
            </w:pict>
          </mc:Fallback>
        </mc:AlternateContent>
      </w:r>
      <w:r>
        <w:rPr>
          <w:rFonts w:cs="Times New Roman"/>
          <w:noProof/>
          <w:lang w:val="en-CA" w:eastAsia="en-CA"/>
        </w:rPr>
        <mc:AlternateContent>
          <mc:Choice Requires="wps">
            <w:drawing>
              <wp:anchor distT="0" distB="0" distL="114300" distR="114300" simplePos="0" relativeHeight="251660288" behindDoc="0" locked="0" layoutInCell="1" allowOverlap="1" wp14:anchorId="7948D114" wp14:editId="7989F65B">
                <wp:simplePos x="0" y="0"/>
                <wp:positionH relativeFrom="column">
                  <wp:posOffset>1653540</wp:posOffset>
                </wp:positionH>
                <wp:positionV relativeFrom="paragraph">
                  <wp:posOffset>1280160</wp:posOffset>
                </wp:positionV>
                <wp:extent cx="397510" cy="294005"/>
                <wp:effectExtent l="0" t="0" r="254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14625" w14:textId="77777777" w:rsidR="00F263C4" w:rsidRPr="001D29EC" w:rsidRDefault="00F263C4" w:rsidP="00EB1E2E">
                            <w:pPr>
                              <w:jc w:val="both"/>
                              <w:rPr>
                                <w:sz w:val="16"/>
                                <w:szCs w:val="16"/>
                              </w:rPr>
                            </w:pPr>
                            <w:r>
                              <w:rPr>
                                <w:sz w:val="16"/>
                                <w:szCs w:val="16"/>
                              </w:rPr>
                              <w:t>{C</w:t>
                            </w:r>
                            <w:r w:rsidRPr="000E49DA">
                              <w:rPr>
                                <w:sz w:val="16"/>
                                <w:szCs w:val="16"/>
                                <w:vertAlign w:val="subscript"/>
                              </w:rPr>
                              <w:t>1</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D114" id="Text Box 7" o:spid="_x0000_s1032" type="#_x0000_t202" style="position:absolute;left:0;text-align:left;margin-left:130.2pt;margin-top:100.8pt;width:31.3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" stroked="f">
                <v:textbox>
                  <w:txbxContent>
                    <w:p w14:paraId="21F14625" w14:textId="77777777" w:rsidR="00F263C4" w:rsidRPr="001D29EC" w:rsidRDefault="00F263C4" w:rsidP="00EB1E2E">
                      <w:pPr>
                        <w:jc w:val="both"/>
                        <w:rPr>
                          <w:sz w:val="16"/>
                          <w:szCs w:val="16"/>
                        </w:rPr>
                      </w:pPr>
                      <w:r>
                        <w:rPr>
                          <w:sz w:val="16"/>
                          <w:szCs w:val="16"/>
                        </w:rPr>
                        <w:t>{C</w:t>
                      </w:r>
                      <w:r w:rsidRPr="000E49DA">
                        <w:rPr>
                          <w:sz w:val="16"/>
                          <w:szCs w:val="16"/>
                          <w:vertAlign w:val="subscript"/>
                        </w:rPr>
                        <w:t>1</w:t>
                      </w:r>
                      <w:r>
                        <w:rPr>
                          <w:sz w:val="16"/>
                          <w:szCs w:val="16"/>
                        </w:rPr>
                        <w:t>}</w:t>
                      </w:r>
                    </w:p>
                  </w:txbxContent>
                </v:textbox>
              </v:shape>
            </w:pict>
          </mc:Fallback>
        </mc:AlternateContent>
      </w:r>
      <w:r>
        <w:rPr>
          <w:rFonts w:cs="Times New Roman"/>
          <w:noProof/>
          <w:lang w:val="en-CA" w:eastAsia="en-CA"/>
        </w:rPr>
        <mc:AlternateContent>
          <mc:Choice Requires="wps">
            <w:drawing>
              <wp:anchor distT="0" distB="0" distL="114300" distR="114300" simplePos="0" relativeHeight="251659264" behindDoc="0" locked="0" layoutInCell="1" allowOverlap="1" wp14:anchorId="3CBCF845" wp14:editId="388D489B">
                <wp:simplePos x="0" y="0"/>
                <wp:positionH relativeFrom="column">
                  <wp:posOffset>1509395</wp:posOffset>
                </wp:positionH>
                <wp:positionV relativeFrom="paragraph">
                  <wp:posOffset>449580</wp:posOffset>
                </wp:positionV>
                <wp:extent cx="471170" cy="294005"/>
                <wp:effectExtent l="0" t="0" r="508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CC9FD" w14:textId="77777777" w:rsidR="00F263C4" w:rsidRPr="001D29EC" w:rsidRDefault="00F263C4" w:rsidP="00EB1E2E">
                            <w:pPr>
                              <w:jc w:val="both"/>
                              <w:rPr>
                                <w:sz w:val="16"/>
                                <w:szCs w:val="16"/>
                              </w:rPr>
                            </w:pPr>
                            <w:r>
                              <w:rPr>
                                <w:sz w:val="16"/>
                                <w:szCs w:val="16"/>
                              </w:rPr>
                              <w:t>{NC</w:t>
                            </w:r>
                            <w:r w:rsidRPr="000E49DA">
                              <w:rPr>
                                <w:sz w:val="16"/>
                                <w:szCs w:val="16"/>
                                <w:vertAlign w:val="subscript"/>
                              </w:rPr>
                              <w:t>1</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CF845" id="Text Box 9" o:spid="_x0000_s1033" type="#_x0000_t202" style="position:absolute;left:0;text-align:left;margin-left:118.85pt;margin-top:35.4pt;width:37.1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" stroked="f">
                <v:textbox>
                  <w:txbxContent>
                    <w:p w14:paraId="401CC9FD" w14:textId="77777777" w:rsidR="00F263C4" w:rsidRPr="001D29EC" w:rsidRDefault="00F263C4" w:rsidP="00EB1E2E">
                      <w:pPr>
                        <w:jc w:val="both"/>
                        <w:rPr>
                          <w:sz w:val="16"/>
                          <w:szCs w:val="16"/>
                        </w:rPr>
                      </w:pPr>
                      <w:r>
                        <w:rPr>
                          <w:sz w:val="16"/>
                          <w:szCs w:val="16"/>
                        </w:rPr>
                        <w:t>{NC</w:t>
                      </w:r>
                      <w:r w:rsidRPr="000E49DA">
                        <w:rPr>
                          <w:sz w:val="16"/>
                          <w:szCs w:val="16"/>
                          <w:vertAlign w:val="subscript"/>
                        </w:rPr>
                        <w:t>1</w:t>
                      </w:r>
                      <w:r>
                        <w:rPr>
                          <w:sz w:val="16"/>
                          <w:szCs w:val="16"/>
                        </w:rPr>
                        <w:t>}</w:t>
                      </w:r>
                    </w:p>
                  </w:txbxContent>
                </v:textbox>
              </v:shape>
            </w:pict>
          </mc:Fallback>
        </mc:AlternateContent>
      </w:r>
      <w:r>
        <w:rPr>
          <w:rFonts w:cs="Times New Roman"/>
          <w:noProof/>
          <w:lang w:val="en-CA" w:eastAsia="en-CA"/>
        </w:rPr>
        <w:drawing>
          <wp:inline distT="0" distB="0" distL="0" distR="0" wp14:anchorId="1F273E79" wp14:editId="3F946B78">
            <wp:extent cx="4352925" cy="26699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2925" cy="2669933"/>
                    </a:xfrm>
                    <a:prstGeom prst="rect">
                      <a:avLst/>
                    </a:prstGeom>
                    <a:noFill/>
                    <a:ln>
                      <a:noFill/>
                    </a:ln>
                  </pic:spPr>
                </pic:pic>
              </a:graphicData>
            </a:graphic>
          </wp:inline>
        </w:drawing>
      </w:r>
    </w:p>
    <w:p w14:paraId="68A22109" w14:textId="404D1983" w:rsidR="001806DD" w:rsidRPr="00036C3C" w:rsidRDefault="001806DD" w:rsidP="001806DD">
      <w:pPr>
        <w:spacing w:before="200"/>
        <w:jc w:val="both"/>
        <w:rPr>
          <w:rFonts w:ascii="Times New Roman" w:hAnsi="Times New Roman" w:cs="Times New Roman"/>
          <w:noProof/>
          <w:sz w:val="24"/>
          <w:szCs w:val="24"/>
        </w:rPr>
      </w:pPr>
      <w:r w:rsidRPr="00B65C45">
        <w:rPr>
          <w:rFonts w:ascii="Times New Roman" w:hAnsi="Times New Roman" w:cs="Times New Roman"/>
          <w:noProof/>
          <w:sz w:val="24"/>
          <w:szCs w:val="24"/>
        </w:rPr>
        <w:t xml:space="preserve">Figure 3b: Predicted Abnormal Returns for (CSR Mandate Subjugation * Firms in </w:t>
      </w:r>
      <w:r w:rsidR="00B65C45">
        <w:rPr>
          <w:rFonts w:ascii="Times New Roman" w:hAnsi="Times New Roman" w:cs="Times New Roman"/>
          <w:noProof/>
          <w:sz w:val="24"/>
          <w:szCs w:val="24"/>
        </w:rPr>
        <w:t>c</w:t>
      </w:r>
      <w:r w:rsidRPr="00B65C45">
        <w:rPr>
          <w:rFonts w:ascii="Times New Roman" w:hAnsi="Times New Roman" w:cs="Times New Roman"/>
          <w:noProof/>
          <w:sz w:val="24"/>
          <w:szCs w:val="24"/>
        </w:rPr>
        <w:t xml:space="preserve">ontroversial </w:t>
      </w:r>
      <w:r w:rsidR="00B65C45">
        <w:rPr>
          <w:rFonts w:ascii="Times New Roman" w:hAnsi="Times New Roman" w:cs="Times New Roman"/>
          <w:noProof/>
          <w:sz w:val="24"/>
          <w:szCs w:val="24"/>
        </w:rPr>
        <w:t>i</w:t>
      </w:r>
      <w:r w:rsidRPr="00036C3C">
        <w:rPr>
          <w:rFonts w:ascii="Times New Roman" w:hAnsi="Times New Roman" w:cs="Times New Roman"/>
          <w:noProof/>
          <w:sz w:val="24"/>
          <w:szCs w:val="24"/>
        </w:rPr>
        <w:t>ndustr</w:t>
      </w:r>
      <w:r w:rsidR="00B65C45">
        <w:rPr>
          <w:rFonts w:ascii="Times New Roman" w:hAnsi="Times New Roman" w:cs="Times New Roman"/>
          <w:noProof/>
          <w:sz w:val="24"/>
          <w:szCs w:val="24"/>
        </w:rPr>
        <w:t>ies</w:t>
      </w:r>
      <w:r w:rsidRPr="00036C3C">
        <w:rPr>
          <w:rFonts w:ascii="Times New Roman" w:hAnsi="Times New Roman" w:cs="Times New Roman"/>
          <w:noProof/>
          <w:sz w:val="24"/>
          <w:szCs w:val="24"/>
        </w:rPr>
        <w:t>)</w:t>
      </w:r>
    </w:p>
    <w:p w14:paraId="2F712A69" w14:textId="77CCEF52" w:rsidR="00EB1E2E" w:rsidRPr="00B65C45" w:rsidRDefault="00EB1E2E" w:rsidP="00EB1E2E">
      <w:pPr>
        <w:tabs>
          <w:tab w:val="left" w:pos="7972"/>
        </w:tabs>
        <w:spacing w:line="240" w:lineRule="auto"/>
        <w:jc w:val="both"/>
        <w:rPr>
          <w:rFonts w:ascii="Times New Roman" w:hAnsi="Times New Roman" w:cs="Times New Roman"/>
          <w:sz w:val="24"/>
          <w:szCs w:val="24"/>
        </w:rPr>
      </w:pPr>
      <w:r w:rsidRPr="00036C3C">
        <w:rPr>
          <w:rFonts w:ascii="Times New Roman" w:hAnsi="Times New Roman" w:cs="Times New Roman"/>
          <w:noProof/>
          <w:sz w:val="24"/>
          <w:szCs w:val="24"/>
        </w:rPr>
        <w:t>Note: The measure of  the expression (C</w:t>
      </w:r>
      <w:r w:rsidRPr="00036C3C">
        <w:rPr>
          <w:rFonts w:ascii="Times New Roman" w:hAnsi="Times New Roman" w:cs="Times New Roman"/>
          <w:noProof/>
          <w:sz w:val="24"/>
          <w:szCs w:val="24"/>
          <w:vertAlign w:val="subscript"/>
        </w:rPr>
        <w:t>2</w:t>
      </w:r>
      <w:r w:rsidRPr="00036C3C">
        <w:rPr>
          <w:rFonts w:ascii="Times New Roman" w:hAnsi="Times New Roman" w:cs="Times New Roman"/>
          <w:noProof/>
          <w:sz w:val="24"/>
          <w:szCs w:val="24"/>
        </w:rPr>
        <w:t xml:space="preserve"> - NC</w:t>
      </w:r>
      <w:r w:rsidRPr="00036C3C">
        <w:rPr>
          <w:rFonts w:ascii="Times New Roman" w:hAnsi="Times New Roman" w:cs="Times New Roman"/>
          <w:noProof/>
          <w:sz w:val="24"/>
          <w:szCs w:val="24"/>
          <w:vertAlign w:val="subscript"/>
        </w:rPr>
        <w:t>2</w:t>
      </w:r>
      <w:r w:rsidRPr="00036C3C">
        <w:rPr>
          <w:rFonts w:ascii="Times New Roman" w:hAnsi="Times New Roman" w:cs="Times New Roman"/>
          <w:noProof/>
          <w:sz w:val="24"/>
          <w:szCs w:val="24"/>
        </w:rPr>
        <w:t>) - (C</w:t>
      </w:r>
      <w:r w:rsidRPr="00036C3C">
        <w:rPr>
          <w:rFonts w:ascii="Times New Roman" w:hAnsi="Times New Roman" w:cs="Times New Roman"/>
          <w:noProof/>
          <w:sz w:val="24"/>
          <w:szCs w:val="24"/>
          <w:vertAlign w:val="subscript"/>
        </w:rPr>
        <w:t xml:space="preserve">1 </w:t>
      </w:r>
      <w:r w:rsidRPr="00036C3C">
        <w:rPr>
          <w:rFonts w:ascii="Times New Roman" w:hAnsi="Times New Roman" w:cs="Times New Roman"/>
          <w:noProof/>
          <w:sz w:val="24"/>
          <w:szCs w:val="24"/>
        </w:rPr>
        <w:t>- NC</w:t>
      </w:r>
      <w:r w:rsidRPr="00036C3C">
        <w:rPr>
          <w:rFonts w:ascii="Times New Roman" w:hAnsi="Times New Roman" w:cs="Times New Roman"/>
          <w:noProof/>
          <w:sz w:val="24"/>
          <w:szCs w:val="24"/>
          <w:vertAlign w:val="subscript"/>
        </w:rPr>
        <w:t>1</w:t>
      </w:r>
      <w:r w:rsidRPr="00036C3C">
        <w:rPr>
          <w:rFonts w:ascii="Times New Roman" w:hAnsi="Times New Roman" w:cs="Times New Roman"/>
          <w:noProof/>
          <w:sz w:val="24"/>
          <w:szCs w:val="24"/>
        </w:rPr>
        <w:t xml:space="preserve">) from this figure is same as the coefficient of    </w:t>
      </w:r>
      <w:r w:rsidR="001806DD" w:rsidRPr="00036C3C">
        <w:rPr>
          <w:rFonts w:ascii="Times New Roman" w:hAnsi="Times New Roman" w:cs="Times New Roman"/>
          <w:noProof/>
          <w:sz w:val="24"/>
          <w:szCs w:val="24"/>
        </w:rPr>
        <w:t>S</w:t>
      </w:r>
      <w:r w:rsidRPr="00036C3C">
        <w:rPr>
          <w:rFonts w:ascii="Times New Roman" w:hAnsi="Times New Roman" w:cs="Times New Roman"/>
          <w:noProof/>
          <w:sz w:val="24"/>
          <w:szCs w:val="24"/>
        </w:rPr>
        <w:t xml:space="preserve">ubj * Controversial  ( </w:t>
      </w:r>
      <m:oMath>
        <m:sSub>
          <m:sSubPr>
            <m:ctrlPr>
              <w:rPr>
                <w:rFonts w:ascii="Cambria Math" w:hAnsi="Cambria Math" w:cs="Times New Roman"/>
                <w:noProof/>
                <w:sz w:val="24"/>
                <w:szCs w:val="24"/>
              </w:rPr>
            </m:ctrlPr>
          </m:sSubPr>
          <m:e>
            <m:r>
              <m:rPr>
                <m:sty m:val="p"/>
              </m:rPr>
              <w:rPr>
                <w:rFonts w:ascii="Cambria Math" w:hAnsi="Cambria Math" w:cs="Times New Roman"/>
                <w:noProof/>
                <w:sz w:val="24"/>
                <w:szCs w:val="24"/>
              </w:rPr>
              <m:t>δ</m:t>
            </m:r>
          </m:e>
          <m:sub>
            <m:r>
              <w:rPr>
                <w:rFonts w:ascii="Cambria Math" w:hAnsi="Cambria Math" w:cs="Times New Roman"/>
                <w:noProof/>
                <w:sz w:val="24"/>
                <w:szCs w:val="24"/>
              </w:rPr>
              <m:t>2</m:t>
            </m:r>
          </m:sub>
        </m:sSub>
        <m:r>
          <w:rPr>
            <w:rFonts w:ascii="Cambria Math" w:hAnsi="Cambria Math" w:cs="Times New Roman"/>
            <w:noProof/>
            <w:sz w:val="24"/>
            <w:szCs w:val="24"/>
          </w:rPr>
          <m:t>)</m:t>
        </m:r>
      </m:oMath>
      <w:r w:rsidRPr="00B65C45">
        <w:rPr>
          <w:rFonts w:ascii="Times New Roman" w:hAnsi="Times New Roman" w:cs="Times New Roman"/>
          <w:noProof/>
          <w:sz w:val="24"/>
          <w:szCs w:val="24"/>
        </w:rPr>
        <w:t xml:space="preserve"> as reported in column 1 of table 3  </w:t>
      </w:r>
    </w:p>
    <w:p w14:paraId="03C304B1" w14:textId="77777777" w:rsidR="00EB1E2E" w:rsidRDefault="00EB1E2E" w:rsidP="00EB1E2E">
      <w:pPr>
        <w:spacing w:after="240" w:line="240" w:lineRule="auto"/>
        <w:jc w:val="both"/>
        <w:rPr>
          <w:rFonts w:cs="Times New Roman"/>
        </w:rPr>
      </w:pPr>
    </w:p>
    <w:p w14:paraId="6B97BBB7" w14:textId="77777777" w:rsidR="00EB1E2E" w:rsidRDefault="00EB1E2E" w:rsidP="00EB1E2E">
      <w:pPr>
        <w:spacing w:after="240" w:line="240" w:lineRule="auto"/>
        <w:jc w:val="both"/>
        <w:rPr>
          <w:rFonts w:cs="Times New Roman"/>
        </w:rPr>
      </w:pPr>
    </w:p>
    <w:p w14:paraId="37093BE8" w14:textId="77777777" w:rsidR="00EB1E2E" w:rsidRDefault="00EB1E2E" w:rsidP="00EB1E2E">
      <w:pPr>
        <w:spacing w:after="240" w:line="240" w:lineRule="auto"/>
        <w:jc w:val="both"/>
        <w:rPr>
          <w:rFonts w:cs="Times New Roman"/>
        </w:rPr>
      </w:pPr>
    </w:p>
    <w:p w14:paraId="784BF524" w14:textId="77777777" w:rsidR="00EB1E2E" w:rsidRDefault="00EB1E2E" w:rsidP="00EB1E2E">
      <w:pPr>
        <w:spacing w:after="240" w:line="240" w:lineRule="auto"/>
        <w:jc w:val="both"/>
        <w:rPr>
          <w:rFonts w:cs="Times New Roman"/>
        </w:rPr>
      </w:pPr>
    </w:p>
    <w:p w14:paraId="15085952" w14:textId="77777777" w:rsidR="00EB1E2E" w:rsidRDefault="00EB1E2E" w:rsidP="00EB1E2E">
      <w:pPr>
        <w:spacing w:after="240" w:line="240" w:lineRule="auto"/>
        <w:jc w:val="both"/>
        <w:rPr>
          <w:rFonts w:cs="Times New Roman"/>
        </w:rPr>
      </w:pPr>
    </w:p>
    <w:p w14:paraId="7C576059" w14:textId="77777777" w:rsidR="00EB1E2E" w:rsidRDefault="00EB1E2E" w:rsidP="00EB1E2E">
      <w:pPr>
        <w:spacing w:after="240" w:line="240" w:lineRule="auto"/>
        <w:jc w:val="both"/>
        <w:rPr>
          <w:rFonts w:cs="Times New Roman"/>
        </w:rPr>
      </w:pPr>
    </w:p>
    <w:p w14:paraId="3F183410" w14:textId="77777777" w:rsidR="00EB1E2E" w:rsidRDefault="00EB1E2E" w:rsidP="00EB1E2E">
      <w:pPr>
        <w:spacing w:after="240" w:line="240" w:lineRule="auto"/>
        <w:jc w:val="both"/>
        <w:rPr>
          <w:rFonts w:cs="Times New Roman"/>
        </w:rPr>
      </w:pPr>
    </w:p>
    <w:p w14:paraId="1E921BDD" w14:textId="77777777" w:rsidR="00EB1E2E" w:rsidRDefault="00EB1E2E" w:rsidP="00EB1E2E">
      <w:pPr>
        <w:spacing w:after="240" w:line="240" w:lineRule="auto"/>
        <w:jc w:val="both"/>
        <w:rPr>
          <w:rFonts w:cs="Times New Roman"/>
        </w:rPr>
      </w:pPr>
    </w:p>
    <w:p w14:paraId="66439CCA" w14:textId="77777777" w:rsidR="00EB1E2E" w:rsidRDefault="00EB1E2E" w:rsidP="00EB1E2E">
      <w:pPr>
        <w:spacing w:after="240" w:line="240" w:lineRule="auto"/>
        <w:jc w:val="both"/>
        <w:rPr>
          <w:rFonts w:cs="Times New Roman"/>
        </w:rPr>
      </w:pPr>
    </w:p>
    <w:p w14:paraId="4AE2D15E" w14:textId="77777777" w:rsidR="00EB1E2E" w:rsidRDefault="00EB1E2E" w:rsidP="00EB1E2E">
      <w:pPr>
        <w:spacing w:after="240" w:line="240" w:lineRule="auto"/>
        <w:jc w:val="both"/>
        <w:rPr>
          <w:rFonts w:cs="Times New Roman"/>
        </w:rPr>
      </w:pPr>
    </w:p>
    <w:p w14:paraId="7A86D0C5" w14:textId="77777777" w:rsidR="00EB1E2E" w:rsidRDefault="00EB1E2E" w:rsidP="00EB1E2E">
      <w:pPr>
        <w:spacing w:after="240" w:line="240" w:lineRule="auto"/>
        <w:jc w:val="both"/>
        <w:rPr>
          <w:rFonts w:cs="Times New Roman"/>
        </w:rPr>
      </w:pPr>
    </w:p>
    <w:p w14:paraId="21041CAA" w14:textId="77777777" w:rsidR="00EB1E2E" w:rsidRDefault="00EB1E2E" w:rsidP="00EB1E2E">
      <w:pPr>
        <w:spacing w:after="240" w:line="240" w:lineRule="auto"/>
        <w:jc w:val="both"/>
        <w:rPr>
          <w:rFonts w:cs="Times New Roman"/>
        </w:rPr>
      </w:pPr>
    </w:p>
    <w:p w14:paraId="35CC6C6B" w14:textId="77777777" w:rsidR="00EB1E2E" w:rsidRDefault="00EB1E2E" w:rsidP="00EB1E2E">
      <w:pPr>
        <w:spacing w:after="240" w:line="240" w:lineRule="auto"/>
        <w:jc w:val="both"/>
        <w:rPr>
          <w:rFonts w:cs="Times New Roman"/>
        </w:rPr>
      </w:pPr>
    </w:p>
    <w:p w14:paraId="2374DB6F" w14:textId="2999F64D" w:rsidR="00EB1E2E" w:rsidRPr="00B65C45" w:rsidRDefault="00EB1E2E" w:rsidP="00EB1E2E">
      <w:pPr>
        <w:spacing w:after="240" w:line="240" w:lineRule="auto"/>
        <w:jc w:val="both"/>
        <w:rPr>
          <w:rFonts w:ascii="Times New Roman" w:hAnsi="Times New Roman" w:cs="Times New Roman"/>
          <w:sz w:val="24"/>
          <w:szCs w:val="24"/>
        </w:rPr>
      </w:pPr>
      <w:r w:rsidRPr="00B65C45">
        <w:rPr>
          <w:rFonts w:ascii="Times New Roman" w:hAnsi="Times New Roman" w:cs="Times New Roman"/>
          <w:sz w:val="24"/>
          <w:szCs w:val="24"/>
        </w:rPr>
        <w:lastRenderedPageBreak/>
        <w:t>Table 1</w:t>
      </w:r>
      <w:r w:rsidR="00424210" w:rsidRPr="00B65C45">
        <w:rPr>
          <w:rFonts w:ascii="Times New Roman" w:hAnsi="Times New Roman" w:cs="Times New Roman"/>
          <w:sz w:val="24"/>
          <w:szCs w:val="24"/>
        </w:rPr>
        <w:t>: Estimated Abnormal Returns around the T</w:t>
      </w:r>
      <w:r w:rsidRPr="00B65C45">
        <w:rPr>
          <w:rFonts w:ascii="Times New Roman" w:hAnsi="Times New Roman" w:cs="Times New Roman"/>
          <w:sz w:val="24"/>
          <w:szCs w:val="24"/>
        </w:rPr>
        <w:t xml:space="preserve">hreshold of </w:t>
      </w:r>
      <w:r w:rsidR="00424210" w:rsidRPr="00B65C45">
        <w:rPr>
          <w:rFonts w:ascii="Times New Roman" w:hAnsi="Times New Roman" w:cs="Times New Roman"/>
          <w:sz w:val="24"/>
          <w:szCs w:val="24"/>
        </w:rPr>
        <w:t>Applicability of Proposed CSR M</w:t>
      </w:r>
      <w:r w:rsidRPr="00B65C45">
        <w:rPr>
          <w:rFonts w:ascii="Times New Roman" w:hAnsi="Times New Roman" w:cs="Times New Roman"/>
          <w:sz w:val="24"/>
          <w:szCs w:val="24"/>
        </w:rPr>
        <w:t>andate</w:t>
      </w:r>
    </w:p>
    <w:tbl>
      <w:tblPr>
        <w:tblW w:w="9109" w:type="dxa"/>
        <w:jc w:val="center"/>
        <w:tblBorders>
          <w:top w:val="single" w:sz="4" w:space="0" w:color="auto"/>
          <w:bottom w:val="single" w:sz="4" w:space="0" w:color="auto"/>
        </w:tblBorders>
        <w:tblLayout w:type="fixed"/>
        <w:tblLook w:val="04A0" w:firstRow="1" w:lastRow="0" w:firstColumn="1" w:lastColumn="0" w:noHBand="0" w:noVBand="1"/>
      </w:tblPr>
      <w:tblGrid>
        <w:gridCol w:w="2139"/>
        <w:gridCol w:w="1750"/>
        <w:gridCol w:w="1980"/>
        <w:gridCol w:w="1530"/>
        <w:gridCol w:w="1710"/>
      </w:tblGrid>
      <w:tr w:rsidR="005470B9" w:rsidRPr="00B65C45" w14:paraId="355F66F6" w14:textId="77777777" w:rsidTr="005470B9">
        <w:trPr>
          <w:trHeight w:val="315"/>
          <w:jc w:val="center"/>
        </w:trPr>
        <w:tc>
          <w:tcPr>
            <w:tcW w:w="2139" w:type="dxa"/>
            <w:vMerge w:val="restart"/>
            <w:shd w:val="clear" w:color="auto" w:fill="auto"/>
            <w:vAlign w:val="center"/>
            <w:hideMark/>
          </w:tcPr>
          <w:p w14:paraId="5512EA45"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p>
          <w:p w14:paraId="51B234B4"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Variables</w:t>
            </w:r>
          </w:p>
        </w:tc>
        <w:tc>
          <w:tcPr>
            <w:tcW w:w="3730" w:type="dxa"/>
            <w:gridSpan w:val="2"/>
            <w:tcBorders>
              <w:top w:val="single" w:sz="4" w:space="0" w:color="auto"/>
              <w:bottom w:val="nil"/>
            </w:tcBorders>
            <w:shd w:val="clear" w:color="auto" w:fill="auto"/>
            <w:vAlign w:val="center"/>
            <w:hideMark/>
          </w:tcPr>
          <w:p w14:paraId="3C9CBCDA"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Non-Parametric Estimates</w:t>
            </w:r>
          </w:p>
        </w:tc>
        <w:tc>
          <w:tcPr>
            <w:tcW w:w="3240" w:type="dxa"/>
            <w:gridSpan w:val="2"/>
            <w:tcBorders>
              <w:top w:val="single" w:sz="4" w:space="0" w:color="auto"/>
              <w:bottom w:val="nil"/>
            </w:tcBorders>
            <w:shd w:val="clear" w:color="auto" w:fill="auto"/>
            <w:vAlign w:val="center"/>
            <w:hideMark/>
          </w:tcPr>
          <w:p w14:paraId="4ACCFEFF"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Parametric Estimates</w:t>
            </w:r>
          </w:p>
        </w:tc>
      </w:tr>
      <w:tr w:rsidR="005470B9" w:rsidRPr="00B65C45" w14:paraId="42EE1B5E" w14:textId="77777777" w:rsidTr="005470B9">
        <w:trPr>
          <w:trHeight w:val="315"/>
          <w:jc w:val="center"/>
        </w:trPr>
        <w:tc>
          <w:tcPr>
            <w:tcW w:w="2139" w:type="dxa"/>
            <w:vMerge/>
            <w:vAlign w:val="center"/>
            <w:hideMark/>
          </w:tcPr>
          <w:p w14:paraId="27FDBB8B"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p>
        </w:tc>
        <w:tc>
          <w:tcPr>
            <w:tcW w:w="3730" w:type="dxa"/>
            <w:gridSpan w:val="2"/>
            <w:tcBorders>
              <w:top w:val="nil"/>
              <w:bottom w:val="single" w:sz="4" w:space="0" w:color="auto"/>
            </w:tcBorders>
            <w:shd w:val="clear" w:color="auto" w:fill="auto"/>
            <w:vAlign w:val="center"/>
            <w:hideMark/>
          </w:tcPr>
          <w:p w14:paraId="4C10849C"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(Local-Linear Effects)</w:t>
            </w:r>
          </w:p>
        </w:tc>
        <w:tc>
          <w:tcPr>
            <w:tcW w:w="3240" w:type="dxa"/>
            <w:gridSpan w:val="2"/>
            <w:tcBorders>
              <w:top w:val="nil"/>
              <w:bottom w:val="single" w:sz="4" w:space="0" w:color="auto"/>
            </w:tcBorders>
            <w:shd w:val="clear" w:color="auto" w:fill="auto"/>
            <w:vAlign w:val="center"/>
            <w:hideMark/>
          </w:tcPr>
          <w:p w14:paraId="3D6E137B"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Sample Effects)</w:t>
            </w:r>
          </w:p>
        </w:tc>
      </w:tr>
      <w:tr w:rsidR="005470B9" w:rsidRPr="00B65C45" w14:paraId="4D28FB91" w14:textId="77777777" w:rsidTr="005470B9">
        <w:trPr>
          <w:trHeight w:val="692"/>
          <w:jc w:val="center"/>
        </w:trPr>
        <w:tc>
          <w:tcPr>
            <w:tcW w:w="2139" w:type="dxa"/>
            <w:vMerge/>
            <w:shd w:val="clear" w:color="auto" w:fill="auto"/>
            <w:vAlign w:val="center"/>
            <w:hideMark/>
          </w:tcPr>
          <w:p w14:paraId="439CBC24"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p>
        </w:tc>
        <w:tc>
          <w:tcPr>
            <w:tcW w:w="1750" w:type="dxa"/>
            <w:tcBorders>
              <w:top w:val="single" w:sz="4" w:space="0" w:color="auto"/>
              <w:bottom w:val="single" w:sz="4" w:space="0" w:color="auto"/>
            </w:tcBorders>
            <w:shd w:val="clear" w:color="auto" w:fill="auto"/>
            <w:vAlign w:val="center"/>
            <w:hideMark/>
          </w:tcPr>
          <w:p w14:paraId="6EEA867E"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IK Bandwidth (PAT ± 12.5)</w:t>
            </w:r>
          </w:p>
          <w:p w14:paraId="363692AD"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(1)</w:t>
            </w:r>
          </w:p>
        </w:tc>
        <w:tc>
          <w:tcPr>
            <w:tcW w:w="1980" w:type="dxa"/>
            <w:tcBorders>
              <w:top w:val="single" w:sz="4" w:space="0" w:color="auto"/>
              <w:bottom w:val="single" w:sz="4" w:space="0" w:color="auto"/>
            </w:tcBorders>
            <w:shd w:val="clear" w:color="auto" w:fill="auto"/>
            <w:vAlign w:val="center"/>
            <w:hideMark/>
          </w:tcPr>
          <w:p w14:paraId="66A5B6E9"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CCT Bandwidth (PAT ± 13.8)</w:t>
            </w:r>
          </w:p>
          <w:p w14:paraId="7E66EE18"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(2)</w:t>
            </w:r>
          </w:p>
        </w:tc>
        <w:tc>
          <w:tcPr>
            <w:tcW w:w="1530" w:type="dxa"/>
            <w:tcBorders>
              <w:top w:val="single" w:sz="4" w:space="0" w:color="auto"/>
              <w:bottom w:val="single" w:sz="4" w:space="0" w:color="auto"/>
            </w:tcBorders>
            <w:shd w:val="clear" w:color="auto" w:fill="auto"/>
            <w:vAlign w:val="center"/>
            <w:hideMark/>
          </w:tcPr>
          <w:p w14:paraId="34F8095D"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Model</w:t>
            </w:r>
          </w:p>
          <w:p w14:paraId="2A8BF753"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p>
          <w:p w14:paraId="569BEA04"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(3)</w:t>
            </w:r>
          </w:p>
        </w:tc>
        <w:tc>
          <w:tcPr>
            <w:tcW w:w="1710" w:type="dxa"/>
            <w:tcBorders>
              <w:top w:val="single" w:sz="4" w:space="0" w:color="auto"/>
              <w:bottom w:val="single" w:sz="4" w:space="0" w:color="auto"/>
            </w:tcBorders>
            <w:shd w:val="clear" w:color="auto" w:fill="auto"/>
            <w:hideMark/>
          </w:tcPr>
          <w:p w14:paraId="366D8481"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Model with controls</w:t>
            </w:r>
          </w:p>
          <w:p w14:paraId="228115AB" w14:textId="77777777" w:rsidR="005470B9" w:rsidRPr="00B65C45" w:rsidRDefault="005470B9" w:rsidP="001806DD">
            <w:pPr>
              <w:tabs>
                <w:tab w:val="left" w:pos="1428"/>
              </w:tabs>
              <w:spacing w:line="276"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(4)</w:t>
            </w:r>
          </w:p>
        </w:tc>
      </w:tr>
      <w:tr w:rsidR="005470B9" w:rsidRPr="00B65C45" w14:paraId="6626A2D7" w14:textId="77777777" w:rsidTr="005470B9">
        <w:trPr>
          <w:trHeight w:val="557"/>
          <w:jc w:val="center"/>
        </w:trPr>
        <w:tc>
          <w:tcPr>
            <w:tcW w:w="2139" w:type="dxa"/>
            <w:shd w:val="clear" w:color="auto" w:fill="auto"/>
            <w:vAlign w:val="center"/>
            <w:hideMark/>
          </w:tcPr>
          <w:p w14:paraId="3847B73A"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Subj</w:t>
            </w:r>
          </w:p>
        </w:tc>
        <w:tc>
          <w:tcPr>
            <w:tcW w:w="1750" w:type="dxa"/>
            <w:tcBorders>
              <w:top w:val="single" w:sz="4" w:space="0" w:color="auto"/>
            </w:tcBorders>
            <w:shd w:val="clear" w:color="auto" w:fill="auto"/>
            <w:vAlign w:val="center"/>
            <w:hideMark/>
          </w:tcPr>
          <w:p w14:paraId="324D05D6"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2.22***</w:t>
            </w:r>
          </w:p>
          <w:p w14:paraId="4FE5AD72"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(0.59)</w:t>
            </w:r>
          </w:p>
        </w:tc>
        <w:tc>
          <w:tcPr>
            <w:tcW w:w="1980" w:type="dxa"/>
            <w:tcBorders>
              <w:top w:val="single" w:sz="4" w:space="0" w:color="auto"/>
            </w:tcBorders>
            <w:shd w:val="clear" w:color="auto" w:fill="auto"/>
            <w:vAlign w:val="center"/>
            <w:hideMark/>
          </w:tcPr>
          <w:p w14:paraId="393BCBED"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1.96***</w:t>
            </w:r>
          </w:p>
          <w:p w14:paraId="460B10F3"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(0.48)</w:t>
            </w:r>
          </w:p>
        </w:tc>
        <w:tc>
          <w:tcPr>
            <w:tcW w:w="1530" w:type="dxa"/>
            <w:tcBorders>
              <w:top w:val="single" w:sz="4" w:space="0" w:color="auto"/>
            </w:tcBorders>
            <w:shd w:val="clear" w:color="auto" w:fill="auto"/>
            <w:vAlign w:val="center"/>
            <w:hideMark/>
          </w:tcPr>
          <w:p w14:paraId="63F946CE"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1.29**</w:t>
            </w:r>
          </w:p>
          <w:p w14:paraId="6D1E2BD8"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(0.44)</w:t>
            </w:r>
          </w:p>
        </w:tc>
        <w:tc>
          <w:tcPr>
            <w:tcW w:w="1710" w:type="dxa"/>
            <w:tcBorders>
              <w:top w:val="single" w:sz="4" w:space="0" w:color="auto"/>
            </w:tcBorders>
            <w:shd w:val="clear" w:color="auto" w:fill="auto"/>
            <w:vAlign w:val="center"/>
            <w:hideMark/>
          </w:tcPr>
          <w:p w14:paraId="3984E399"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1.30**</w:t>
            </w:r>
          </w:p>
          <w:p w14:paraId="3A1C2E3D"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(0.51)</w:t>
            </w:r>
          </w:p>
        </w:tc>
      </w:tr>
      <w:tr w:rsidR="005470B9" w:rsidRPr="00B65C45" w14:paraId="643015F2" w14:textId="77777777" w:rsidTr="005470B9">
        <w:trPr>
          <w:trHeight w:val="315"/>
          <w:jc w:val="center"/>
        </w:trPr>
        <w:tc>
          <w:tcPr>
            <w:tcW w:w="2139" w:type="dxa"/>
            <w:shd w:val="clear" w:color="auto" w:fill="auto"/>
            <w:vAlign w:val="center"/>
            <w:hideMark/>
          </w:tcPr>
          <w:p w14:paraId="7341F349"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Calibri" w:hAnsi="Times New Roman" w:cs="Times New Roman"/>
                <w:color w:val="000000"/>
                <w:sz w:val="24"/>
                <w:szCs w:val="24"/>
              </w:rPr>
              <w:t>Controls</w:t>
            </w:r>
          </w:p>
        </w:tc>
        <w:tc>
          <w:tcPr>
            <w:tcW w:w="1750" w:type="dxa"/>
            <w:shd w:val="clear" w:color="auto" w:fill="auto"/>
            <w:vAlign w:val="center"/>
            <w:hideMark/>
          </w:tcPr>
          <w:p w14:paraId="441F27E9"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1980" w:type="dxa"/>
            <w:shd w:val="clear" w:color="auto" w:fill="auto"/>
            <w:vAlign w:val="center"/>
            <w:hideMark/>
          </w:tcPr>
          <w:p w14:paraId="7A4B012A"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1530" w:type="dxa"/>
            <w:shd w:val="clear" w:color="auto" w:fill="auto"/>
            <w:vAlign w:val="center"/>
            <w:hideMark/>
          </w:tcPr>
          <w:p w14:paraId="6FE6BF94"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1710" w:type="dxa"/>
            <w:shd w:val="clear" w:color="auto" w:fill="auto"/>
            <w:vAlign w:val="center"/>
            <w:hideMark/>
          </w:tcPr>
          <w:p w14:paraId="0250789F"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r>
      <w:tr w:rsidR="005470B9" w:rsidRPr="00B65C45" w14:paraId="46110A39" w14:textId="77777777" w:rsidTr="005470B9">
        <w:trPr>
          <w:trHeight w:val="315"/>
          <w:jc w:val="center"/>
        </w:trPr>
        <w:tc>
          <w:tcPr>
            <w:tcW w:w="2139" w:type="dxa"/>
            <w:shd w:val="clear" w:color="auto" w:fill="auto"/>
            <w:vAlign w:val="center"/>
            <w:hideMark/>
          </w:tcPr>
          <w:p w14:paraId="23C6C8DF"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Calibri" w:hAnsi="Times New Roman" w:cs="Times New Roman"/>
                <w:color w:val="000000"/>
                <w:sz w:val="24"/>
                <w:szCs w:val="24"/>
              </w:rPr>
              <w:t>Polynomial in PAT</w:t>
            </w:r>
          </w:p>
        </w:tc>
        <w:tc>
          <w:tcPr>
            <w:tcW w:w="1750" w:type="dxa"/>
            <w:shd w:val="clear" w:color="auto" w:fill="auto"/>
            <w:vAlign w:val="center"/>
            <w:hideMark/>
          </w:tcPr>
          <w:p w14:paraId="1C14E955"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1980" w:type="dxa"/>
            <w:shd w:val="clear" w:color="auto" w:fill="auto"/>
            <w:vAlign w:val="center"/>
            <w:hideMark/>
          </w:tcPr>
          <w:p w14:paraId="69481EF1"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1530" w:type="dxa"/>
            <w:shd w:val="clear" w:color="auto" w:fill="auto"/>
            <w:vAlign w:val="center"/>
            <w:hideMark/>
          </w:tcPr>
          <w:p w14:paraId="104B7255"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1710" w:type="dxa"/>
            <w:shd w:val="clear" w:color="auto" w:fill="auto"/>
            <w:vAlign w:val="center"/>
            <w:hideMark/>
          </w:tcPr>
          <w:p w14:paraId="396DD855"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r>
      <w:tr w:rsidR="005470B9" w:rsidRPr="00B65C45" w14:paraId="1934A31E" w14:textId="77777777" w:rsidTr="005470B9">
        <w:trPr>
          <w:trHeight w:val="315"/>
          <w:jc w:val="center"/>
        </w:trPr>
        <w:tc>
          <w:tcPr>
            <w:tcW w:w="2139" w:type="dxa"/>
            <w:shd w:val="clear" w:color="auto" w:fill="auto"/>
            <w:vAlign w:val="center"/>
            <w:hideMark/>
          </w:tcPr>
          <w:p w14:paraId="16C20247"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Observations</w:t>
            </w:r>
          </w:p>
        </w:tc>
        <w:tc>
          <w:tcPr>
            <w:tcW w:w="1750" w:type="dxa"/>
            <w:shd w:val="clear" w:color="auto" w:fill="auto"/>
            <w:vAlign w:val="center"/>
            <w:hideMark/>
          </w:tcPr>
          <w:p w14:paraId="2BDE21E8"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185</w:t>
            </w:r>
          </w:p>
        </w:tc>
        <w:tc>
          <w:tcPr>
            <w:tcW w:w="1980" w:type="dxa"/>
            <w:shd w:val="clear" w:color="auto" w:fill="auto"/>
            <w:vAlign w:val="center"/>
            <w:hideMark/>
          </w:tcPr>
          <w:p w14:paraId="03C77908"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198</w:t>
            </w:r>
          </w:p>
        </w:tc>
        <w:tc>
          <w:tcPr>
            <w:tcW w:w="1530" w:type="dxa"/>
            <w:shd w:val="clear" w:color="auto" w:fill="auto"/>
            <w:vAlign w:val="center"/>
            <w:hideMark/>
          </w:tcPr>
          <w:p w14:paraId="030E06F7"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1531</w:t>
            </w:r>
          </w:p>
        </w:tc>
        <w:tc>
          <w:tcPr>
            <w:tcW w:w="1710" w:type="dxa"/>
            <w:shd w:val="clear" w:color="auto" w:fill="auto"/>
            <w:vAlign w:val="center"/>
            <w:hideMark/>
          </w:tcPr>
          <w:p w14:paraId="4C2DEEF2" w14:textId="77777777" w:rsidR="005470B9" w:rsidRPr="00B65C45" w:rsidRDefault="005470B9" w:rsidP="001806DD">
            <w:pPr>
              <w:tabs>
                <w:tab w:val="left" w:pos="1428"/>
              </w:tabs>
              <w:spacing w:line="276"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1526</w:t>
            </w:r>
          </w:p>
        </w:tc>
      </w:tr>
    </w:tbl>
    <w:p w14:paraId="561D54C7" w14:textId="77777777" w:rsidR="00203FA4" w:rsidRPr="00B65C45" w:rsidRDefault="00203FA4" w:rsidP="00203FA4">
      <w:pPr>
        <w:tabs>
          <w:tab w:val="left" w:pos="4230"/>
        </w:tabs>
        <w:spacing w:line="240" w:lineRule="auto"/>
        <w:jc w:val="both"/>
        <w:rPr>
          <w:rFonts w:ascii="Times New Roman" w:hAnsi="Times New Roman" w:cs="Times New Roman"/>
          <w:sz w:val="24"/>
          <w:szCs w:val="24"/>
        </w:rPr>
      </w:pPr>
    </w:p>
    <w:p w14:paraId="13628148" w14:textId="56F2540E" w:rsidR="00EB1E2E" w:rsidRPr="00B65C45" w:rsidRDefault="00EB1E2E" w:rsidP="00203FA4">
      <w:pPr>
        <w:tabs>
          <w:tab w:val="left" w:pos="4230"/>
        </w:tabs>
        <w:spacing w:line="240" w:lineRule="auto"/>
        <w:jc w:val="both"/>
        <w:rPr>
          <w:rFonts w:ascii="Times New Roman" w:hAnsi="Times New Roman" w:cs="Times New Roman"/>
          <w:sz w:val="24"/>
          <w:szCs w:val="24"/>
        </w:rPr>
      </w:pPr>
      <w:r w:rsidRPr="00B65C45">
        <w:rPr>
          <w:rFonts w:ascii="Times New Roman" w:hAnsi="Times New Roman" w:cs="Times New Roman"/>
          <w:sz w:val="24"/>
          <w:szCs w:val="24"/>
        </w:rPr>
        <w:t>Note: Subj is a binary variable that takes the value 1 for firms that were subjugated to the CSR mandate &amp; 0, otherwise; Robust standard errors are in parenthesis and clustered at the industry level; *, **, and *** denote significance at 10%, 5%, and 1% level, respectively.</w:t>
      </w:r>
    </w:p>
    <w:p w14:paraId="4506504B" w14:textId="77777777" w:rsidR="00EB1E2E" w:rsidRDefault="00EB1E2E" w:rsidP="00203FA4">
      <w:pPr>
        <w:tabs>
          <w:tab w:val="left" w:pos="4230"/>
        </w:tabs>
        <w:spacing w:before="200" w:line="240" w:lineRule="auto"/>
        <w:rPr>
          <w:rFonts w:cs="Times New Roman"/>
        </w:rPr>
      </w:pPr>
    </w:p>
    <w:p w14:paraId="1E431C5F" w14:textId="77777777" w:rsidR="00EB1E2E" w:rsidRDefault="00EB1E2E" w:rsidP="00EB1E2E">
      <w:pPr>
        <w:spacing w:line="240" w:lineRule="auto"/>
        <w:rPr>
          <w:rFonts w:cs="Times New Roman"/>
        </w:rPr>
      </w:pPr>
    </w:p>
    <w:p w14:paraId="7755CCFD" w14:textId="77777777" w:rsidR="00EB1E2E" w:rsidRDefault="00EB1E2E" w:rsidP="00EB1E2E">
      <w:pPr>
        <w:spacing w:line="240" w:lineRule="auto"/>
        <w:rPr>
          <w:rFonts w:cs="Times New Roman"/>
        </w:rPr>
      </w:pPr>
    </w:p>
    <w:p w14:paraId="31A60DC2" w14:textId="77777777" w:rsidR="00EB1E2E" w:rsidRDefault="00EB1E2E" w:rsidP="00EB1E2E">
      <w:pPr>
        <w:spacing w:line="240" w:lineRule="auto"/>
        <w:rPr>
          <w:rFonts w:cs="Times New Roman"/>
        </w:rPr>
      </w:pPr>
    </w:p>
    <w:p w14:paraId="4A6A8B17" w14:textId="77777777" w:rsidR="00EB1E2E" w:rsidRDefault="00EB1E2E" w:rsidP="00EB1E2E">
      <w:pPr>
        <w:spacing w:line="240" w:lineRule="auto"/>
        <w:rPr>
          <w:rFonts w:cs="Times New Roman"/>
        </w:rPr>
      </w:pPr>
    </w:p>
    <w:p w14:paraId="7466D35C" w14:textId="77777777" w:rsidR="00EB1E2E" w:rsidRDefault="00EB1E2E" w:rsidP="00EB1E2E">
      <w:pPr>
        <w:spacing w:line="240" w:lineRule="auto"/>
        <w:rPr>
          <w:rFonts w:cs="Times New Roman"/>
        </w:rPr>
      </w:pPr>
    </w:p>
    <w:p w14:paraId="27C760BE" w14:textId="77777777" w:rsidR="00EB1E2E" w:rsidRDefault="00EB1E2E" w:rsidP="00EB1E2E">
      <w:pPr>
        <w:spacing w:line="240" w:lineRule="auto"/>
        <w:rPr>
          <w:rFonts w:cs="Times New Roman"/>
        </w:rPr>
      </w:pPr>
    </w:p>
    <w:p w14:paraId="26D7174A" w14:textId="77777777" w:rsidR="00EB1E2E" w:rsidRDefault="00EB1E2E" w:rsidP="00EB1E2E">
      <w:pPr>
        <w:spacing w:line="240" w:lineRule="auto"/>
        <w:rPr>
          <w:rFonts w:cs="Times New Roman"/>
        </w:rPr>
      </w:pPr>
    </w:p>
    <w:p w14:paraId="24A5498D" w14:textId="77777777" w:rsidR="00EB1E2E" w:rsidRDefault="00EB1E2E" w:rsidP="00EB1E2E">
      <w:pPr>
        <w:spacing w:line="240" w:lineRule="auto"/>
        <w:rPr>
          <w:rFonts w:cs="Times New Roman"/>
        </w:rPr>
      </w:pPr>
    </w:p>
    <w:p w14:paraId="74036DA0" w14:textId="77777777" w:rsidR="00EB1E2E" w:rsidRDefault="00EB1E2E" w:rsidP="00EB1E2E">
      <w:pPr>
        <w:spacing w:line="240" w:lineRule="auto"/>
        <w:rPr>
          <w:rFonts w:cs="Times New Roman"/>
        </w:rPr>
      </w:pPr>
    </w:p>
    <w:p w14:paraId="4291974C" w14:textId="77777777" w:rsidR="00EB1E2E" w:rsidRDefault="00EB1E2E" w:rsidP="00EB1E2E">
      <w:pPr>
        <w:spacing w:line="240" w:lineRule="auto"/>
        <w:rPr>
          <w:rFonts w:cs="Times New Roman"/>
        </w:rPr>
      </w:pPr>
    </w:p>
    <w:p w14:paraId="66662855" w14:textId="77777777" w:rsidR="00EB1E2E" w:rsidRDefault="00EB1E2E" w:rsidP="00EB1E2E">
      <w:pPr>
        <w:spacing w:line="240" w:lineRule="auto"/>
        <w:rPr>
          <w:rFonts w:cs="Times New Roman"/>
        </w:rPr>
      </w:pPr>
    </w:p>
    <w:p w14:paraId="78262A07" w14:textId="77777777" w:rsidR="00EB1E2E" w:rsidRDefault="00EB1E2E" w:rsidP="00EB1E2E">
      <w:pPr>
        <w:spacing w:line="240" w:lineRule="auto"/>
        <w:rPr>
          <w:rFonts w:cs="Times New Roman"/>
        </w:rPr>
      </w:pPr>
    </w:p>
    <w:p w14:paraId="3AE28143" w14:textId="77777777" w:rsidR="00B65C45" w:rsidRDefault="00B65C45" w:rsidP="00006974">
      <w:pPr>
        <w:jc w:val="both"/>
        <w:rPr>
          <w:rFonts w:cs="Times New Roman"/>
          <w:sz w:val="24"/>
        </w:rPr>
      </w:pPr>
    </w:p>
    <w:p w14:paraId="4B876209" w14:textId="6E39CFB7" w:rsidR="00EB1E2E" w:rsidRPr="00036C3C" w:rsidRDefault="00EB1E2E" w:rsidP="00006974">
      <w:pPr>
        <w:jc w:val="both"/>
        <w:rPr>
          <w:rFonts w:ascii="Times New Roman" w:hAnsi="Times New Roman" w:cs="Times New Roman"/>
          <w:sz w:val="24"/>
          <w:szCs w:val="24"/>
        </w:rPr>
      </w:pPr>
      <w:r w:rsidRPr="00036C3C">
        <w:rPr>
          <w:rFonts w:ascii="Times New Roman" w:hAnsi="Times New Roman" w:cs="Times New Roman"/>
          <w:sz w:val="24"/>
          <w:szCs w:val="24"/>
        </w:rPr>
        <w:lastRenderedPageBreak/>
        <w:t>Table 2: Robustness Checks</w:t>
      </w:r>
    </w:p>
    <w:tbl>
      <w:tblPr>
        <w:tblW w:w="4679" w:type="pct"/>
        <w:tblBorders>
          <w:top w:val="single" w:sz="4" w:space="0" w:color="auto"/>
          <w:bottom w:val="single" w:sz="4" w:space="0" w:color="auto"/>
        </w:tblBorders>
        <w:tblLook w:val="04A0" w:firstRow="1" w:lastRow="0" w:firstColumn="1" w:lastColumn="0" w:noHBand="0" w:noVBand="1"/>
      </w:tblPr>
      <w:tblGrid>
        <w:gridCol w:w="1863"/>
        <w:gridCol w:w="1586"/>
        <w:gridCol w:w="1882"/>
        <w:gridCol w:w="1053"/>
        <w:gridCol w:w="1056"/>
        <w:gridCol w:w="1319"/>
      </w:tblGrid>
      <w:tr w:rsidR="005470B9" w:rsidRPr="00B65C45" w14:paraId="44028C2C" w14:textId="77777777" w:rsidTr="005470B9">
        <w:trPr>
          <w:trHeight w:val="315"/>
        </w:trPr>
        <w:tc>
          <w:tcPr>
            <w:tcW w:w="1063" w:type="pct"/>
            <w:vMerge w:val="restart"/>
            <w:shd w:val="clear" w:color="auto" w:fill="auto"/>
            <w:vAlign w:val="center"/>
            <w:hideMark/>
          </w:tcPr>
          <w:p w14:paraId="23C8C3E5"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Outcome Variables</w:t>
            </w:r>
          </w:p>
        </w:tc>
        <w:tc>
          <w:tcPr>
            <w:tcW w:w="1979" w:type="pct"/>
            <w:gridSpan w:val="2"/>
            <w:tcBorders>
              <w:top w:val="single" w:sz="4" w:space="0" w:color="auto"/>
              <w:bottom w:val="nil"/>
            </w:tcBorders>
            <w:shd w:val="clear" w:color="auto" w:fill="auto"/>
            <w:vAlign w:val="center"/>
            <w:hideMark/>
          </w:tcPr>
          <w:p w14:paraId="680FECC0"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Non-Parametric Estimates</w:t>
            </w:r>
          </w:p>
        </w:tc>
        <w:tc>
          <w:tcPr>
            <w:tcW w:w="1957" w:type="pct"/>
            <w:gridSpan w:val="3"/>
            <w:tcBorders>
              <w:top w:val="single" w:sz="4" w:space="0" w:color="auto"/>
              <w:bottom w:val="nil"/>
            </w:tcBorders>
            <w:shd w:val="clear" w:color="auto" w:fill="auto"/>
            <w:vAlign w:val="center"/>
            <w:hideMark/>
          </w:tcPr>
          <w:p w14:paraId="31C09435"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Parametric Estimates</w:t>
            </w:r>
          </w:p>
        </w:tc>
      </w:tr>
      <w:tr w:rsidR="005470B9" w:rsidRPr="00B65C45" w14:paraId="078BDCE0" w14:textId="77777777" w:rsidTr="005470B9">
        <w:trPr>
          <w:trHeight w:val="330"/>
        </w:trPr>
        <w:tc>
          <w:tcPr>
            <w:tcW w:w="1063" w:type="pct"/>
            <w:vMerge/>
            <w:vAlign w:val="center"/>
            <w:hideMark/>
          </w:tcPr>
          <w:p w14:paraId="30C84270"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p>
        </w:tc>
        <w:tc>
          <w:tcPr>
            <w:tcW w:w="1979" w:type="pct"/>
            <w:gridSpan w:val="2"/>
            <w:tcBorders>
              <w:top w:val="nil"/>
              <w:bottom w:val="single" w:sz="4" w:space="0" w:color="auto"/>
            </w:tcBorders>
            <w:shd w:val="clear" w:color="auto" w:fill="auto"/>
            <w:vAlign w:val="center"/>
            <w:hideMark/>
          </w:tcPr>
          <w:p w14:paraId="0DA97CFC"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(Local-Linear Effects)</w:t>
            </w:r>
          </w:p>
        </w:tc>
        <w:tc>
          <w:tcPr>
            <w:tcW w:w="1957" w:type="pct"/>
            <w:gridSpan w:val="3"/>
            <w:tcBorders>
              <w:top w:val="nil"/>
              <w:bottom w:val="single" w:sz="4" w:space="0" w:color="auto"/>
            </w:tcBorders>
            <w:shd w:val="clear" w:color="auto" w:fill="auto"/>
            <w:vAlign w:val="center"/>
            <w:hideMark/>
          </w:tcPr>
          <w:p w14:paraId="5A7CF9E6"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Sample Effects)</w:t>
            </w:r>
          </w:p>
        </w:tc>
      </w:tr>
      <w:tr w:rsidR="005470B9" w:rsidRPr="00B65C45" w14:paraId="1661F01C" w14:textId="77777777" w:rsidTr="005470B9">
        <w:trPr>
          <w:trHeight w:val="863"/>
        </w:trPr>
        <w:tc>
          <w:tcPr>
            <w:tcW w:w="1063" w:type="pct"/>
            <w:vMerge/>
            <w:shd w:val="clear" w:color="auto" w:fill="auto"/>
            <w:vAlign w:val="center"/>
            <w:hideMark/>
          </w:tcPr>
          <w:p w14:paraId="1BA53B91"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p>
        </w:tc>
        <w:tc>
          <w:tcPr>
            <w:tcW w:w="905" w:type="pct"/>
            <w:tcBorders>
              <w:top w:val="single" w:sz="4" w:space="0" w:color="auto"/>
              <w:bottom w:val="single" w:sz="4" w:space="0" w:color="auto"/>
            </w:tcBorders>
            <w:shd w:val="clear" w:color="auto" w:fill="auto"/>
            <w:vAlign w:val="center"/>
            <w:hideMark/>
          </w:tcPr>
          <w:p w14:paraId="2CEAFA60"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IK Bandwidth (PAT ± 12.5)</w:t>
            </w:r>
          </w:p>
          <w:p w14:paraId="4D940067"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(1)</w:t>
            </w:r>
          </w:p>
        </w:tc>
        <w:tc>
          <w:tcPr>
            <w:tcW w:w="1074" w:type="pct"/>
            <w:tcBorders>
              <w:top w:val="single" w:sz="4" w:space="0" w:color="auto"/>
              <w:bottom w:val="single" w:sz="4" w:space="0" w:color="auto"/>
            </w:tcBorders>
            <w:shd w:val="clear" w:color="auto" w:fill="auto"/>
            <w:vAlign w:val="center"/>
            <w:hideMark/>
          </w:tcPr>
          <w:p w14:paraId="41E04CDB"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 xml:space="preserve">CCT </w:t>
            </w:r>
          </w:p>
          <w:p w14:paraId="54F13471"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Bandwidth (PAT ± 13.8)</w:t>
            </w:r>
          </w:p>
          <w:p w14:paraId="4475A672"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(2)</w:t>
            </w:r>
          </w:p>
        </w:tc>
        <w:tc>
          <w:tcPr>
            <w:tcW w:w="601" w:type="pct"/>
            <w:tcBorders>
              <w:top w:val="single" w:sz="4" w:space="0" w:color="auto"/>
              <w:bottom w:val="single" w:sz="4" w:space="0" w:color="auto"/>
            </w:tcBorders>
            <w:shd w:val="clear" w:color="auto" w:fill="auto"/>
            <w:vAlign w:val="center"/>
            <w:hideMark/>
          </w:tcPr>
          <w:p w14:paraId="5D520D4A"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Positive Returns</w:t>
            </w:r>
          </w:p>
          <w:p w14:paraId="2FD4CAB1"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(3)</w:t>
            </w:r>
          </w:p>
        </w:tc>
        <w:tc>
          <w:tcPr>
            <w:tcW w:w="603" w:type="pct"/>
            <w:tcBorders>
              <w:top w:val="single" w:sz="4" w:space="0" w:color="auto"/>
              <w:bottom w:val="single" w:sz="4" w:space="0" w:color="auto"/>
            </w:tcBorders>
            <w:shd w:val="clear" w:color="auto" w:fill="auto"/>
            <w:hideMark/>
          </w:tcPr>
          <w:p w14:paraId="1170B6FB"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Model</w:t>
            </w:r>
          </w:p>
          <w:p w14:paraId="2C286405"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(4)</w:t>
            </w:r>
          </w:p>
        </w:tc>
        <w:tc>
          <w:tcPr>
            <w:tcW w:w="753" w:type="pct"/>
            <w:tcBorders>
              <w:top w:val="single" w:sz="4" w:space="0" w:color="auto"/>
              <w:bottom w:val="single" w:sz="4" w:space="0" w:color="auto"/>
            </w:tcBorders>
            <w:shd w:val="clear" w:color="auto" w:fill="auto"/>
            <w:vAlign w:val="center"/>
            <w:hideMark/>
          </w:tcPr>
          <w:p w14:paraId="2491ED6F"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Full Model with controls</w:t>
            </w:r>
          </w:p>
          <w:p w14:paraId="0D4E7818" w14:textId="77777777" w:rsidR="005470B9" w:rsidRPr="00B65C45" w:rsidRDefault="005470B9" w:rsidP="001806DD">
            <w:pPr>
              <w:spacing w:line="240" w:lineRule="auto"/>
              <w:jc w:val="center"/>
              <w:rPr>
                <w:rFonts w:ascii="Times New Roman" w:eastAsia="Times New Roman" w:hAnsi="Times New Roman" w:cs="Times New Roman"/>
                <w:b/>
                <w:color w:val="000000"/>
                <w:sz w:val="24"/>
                <w:szCs w:val="24"/>
              </w:rPr>
            </w:pPr>
            <w:r w:rsidRPr="00B65C45">
              <w:rPr>
                <w:rFonts w:ascii="Times New Roman" w:eastAsia="Times New Roman" w:hAnsi="Times New Roman" w:cs="Times New Roman"/>
                <w:b/>
                <w:color w:val="000000"/>
                <w:sz w:val="24"/>
                <w:szCs w:val="24"/>
              </w:rPr>
              <w:t>(5)</w:t>
            </w:r>
          </w:p>
        </w:tc>
      </w:tr>
      <w:tr w:rsidR="005470B9" w:rsidRPr="00B65C45" w14:paraId="1F3A31BA" w14:textId="77777777" w:rsidTr="005470B9">
        <w:trPr>
          <w:trHeight w:val="315"/>
        </w:trPr>
        <w:tc>
          <w:tcPr>
            <w:tcW w:w="1063" w:type="pct"/>
            <w:vMerge w:val="restart"/>
            <w:shd w:val="clear" w:color="auto" w:fill="auto"/>
            <w:vAlign w:val="center"/>
            <w:hideMark/>
          </w:tcPr>
          <w:p w14:paraId="46452F46"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CAR[-1,+1]</w:t>
            </w:r>
          </w:p>
        </w:tc>
        <w:tc>
          <w:tcPr>
            <w:tcW w:w="905" w:type="pct"/>
            <w:tcBorders>
              <w:top w:val="single" w:sz="4" w:space="0" w:color="auto"/>
            </w:tcBorders>
            <w:shd w:val="clear" w:color="auto" w:fill="auto"/>
            <w:vAlign w:val="center"/>
            <w:hideMark/>
          </w:tcPr>
          <w:p w14:paraId="673366BF"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4.25**</w:t>
            </w:r>
          </w:p>
        </w:tc>
        <w:tc>
          <w:tcPr>
            <w:tcW w:w="1074" w:type="pct"/>
            <w:tcBorders>
              <w:top w:val="single" w:sz="4" w:space="0" w:color="auto"/>
            </w:tcBorders>
            <w:shd w:val="clear" w:color="auto" w:fill="auto"/>
            <w:vAlign w:val="center"/>
            <w:hideMark/>
          </w:tcPr>
          <w:p w14:paraId="39F990D1"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3.87**</w:t>
            </w:r>
          </w:p>
        </w:tc>
        <w:tc>
          <w:tcPr>
            <w:tcW w:w="601" w:type="pct"/>
            <w:tcBorders>
              <w:top w:val="single" w:sz="4" w:space="0" w:color="auto"/>
            </w:tcBorders>
            <w:shd w:val="clear" w:color="auto" w:fill="auto"/>
            <w:vAlign w:val="center"/>
            <w:hideMark/>
          </w:tcPr>
          <w:p w14:paraId="3D107D6B"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0.25**</w:t>
            </w:r>
          </w:p>
        </w:tc>
        <w:tc>
          <w:tcPr>
            <w:tcW w:w="603" w:type="pct"/>
            <w:tcBorders>
              <w:top w:val="single" w:sz="4" w:space="0" w:color="auto"/>
            </w:tcBorders>
            <w:shd w:val="clear" w:color="auto" w:fill="auto"/>
            <w:vAlign w:val="center"/>
            <w:hideMark/>
          </w:tcPr>
          <w:p w14:paraId="3CA849B0"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3.07**</w:t>
            </w:r>
          </w:p>
        </w:tc>
        <w:tc>
          <w:tcPr>
            <w:tcW w:w="753" w:type="pct"/>
            <w:tcBorders>
              <w:top w:val="single" w:sz="4" w:space="0" w:color="auto"/>
            </w:tcBorders>
            <w:shd w:val="clear" w:color="auto" w:fill="auto"/>
            <w:vAlign w:val="center"/>
            <w:hideMark/>
          </w:tcPr>
          <w:p w14:paraId="1F1FBA48"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3.37***</w:t>
            </w:r>
          </w:p>
        </w:tc>
      </w:tr>
      <w:tr w:rsidR="005470B9" w:rsidRPr="00B65C45" w14:paraId="692DB751" w14:textId="77777777" w:rsidTr="005470B9">
        <w:trPr>
          <w:trHeight w:val="304"/>
        </w:trPr>
        <w:tc>
          <w:tcPr>
            <w:tcW w:w="1063" w:type="pct"/>
            <w:vMerge/>
            <w:vAlign w:val="center"/>
            <w:hideMark/>
          </w:tcPr>
          <w:p w14:paraId="169270AF"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p>
        </w:tc>
        <w:tc>
          <w:tcPr>
            <w:tcW w:w="905" w:type="pct"/>
            <w:shd w:val="clear" w:color="auto" w:fill="auto"/>
            <w:vAlign w:val="center"/>
            <w:hideMark/>
          </w:tcPr>
          <w:p w14:paraId="0AF9A153"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(1.99)</w:t>
            </w:r>
          </w:p>
        </w:tc>
        <w:tc>
          <w:tcPr>
            <w:tcW w:w="1074" w:type="pct"/>
            <w:shd w:val="clear" w:color="auto" w:fill="auto"/>
            <w:vAlign w:val="center"/>
            <w:hideMark/>
          </w:tcPr>
          <w:p w14:paraId="25AEA606"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(1.88)</w:t>
            </w:r>
          </w:p>
        </w:tc>
        <w:tc>
          <w:tcPr>
            <w:tcW w:w="601" w:type="pct"/>
            <w:shd w:val="clear" w:color="auto" w:fill="auto"/>
            <w:vAlign w:val="center"/>
            <w:hideMark/>
          </w:tcPr>
          <w:p w14:paraId="59745069"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(0.103)</w:t>
            </w:r>
          </w:p>
        </w:tc>
        <w:tc>
          <w:tcPr>
            <w:tcW w:w="603" w:type="pct"/>
            <w:shd w:val="clear" w:color="auto" w:fill="auto"/>
            <w:vAlign w:val="center"/>
            <w:hideMark/>
          </w:tcPr>
          <w:p w14:paraId="5E3DB558"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(1.29)</w:t>
            </w:r>
          </w:p>
        </w:tc>
        <w:tc>
          <w:tcPr>
            <w:tcW w:w="753" w:type="pct"/>
            <w:shd w:val="clear" w:color="auto" w:fill="auto"/>
            <w:vAlign w:val="center"/>
            <w:hideMark/>
          </w:tcPr>
          <w:p w14:paraId="0062CBB6" w14:textId="77777777" w:rsidR="005470B9" w:rsidRPr="00B65C45" w:rsidRDefault="005470B9" w:rsidP="001806DD">
            <w:pPr>
              <w:spacing w:line="240" w:lineRule="auto"/>
              <w:contextualSpacing/>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(1.41)</w:t>
            </w:r>
          </w:p>
        </w:tc>
      </w:tr>
      <w:tr w:rsidR="005470B9" w:rsidRPr="00B65C45" w14:paraId="6DC8F71C" w14:textId="77777777" w:rsidTr="005470B9">
        <w:trPr>
          <w:trHeight w:val="315"/>
        </w:trPr>
        <w:tc>
          <w:tcPr>
            <w:tcW w:w="1063" w:type="pct"/>
            <w:vMerge w:val="restart"/>
            <w:shd w:val="clear" w:color="auto" w:fill="auto"/>
            <w:vAlign w:val="center"/>
            <w:hideMark/>
          </w:tcPr>
          <w:p w14:paraId="19DE9318"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CAR[-2,+2]</w:t>
            </w:r>
          </w:p>
        </w:tc>
        <w:tc>
          <w:tcPr>
            <w:tcW w:w="905" w:type="pct"/>
            <w:shd w:val="clear" w:color="auto" w:fill="auto"/>
            <w:vAlign w:val="center"/>
            <w:hideMark/>
          </w:tcPr>
          <w:p w14:paraId="0ABDBA77"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6.03**</w:t>
            </w:r>
          </w:p>
        </w:tc>
        <w:tc>
          <w:tcPr>
            <w:tcW w:w="1074" w:type="pct"/>
            <w:shd w:val="clear" w:color="auto" w:fill="auto"/>
            <w:vAlign w:val="center"/>
            <w:hideMark/>
          </w:tcPr>
          <w:p w14:paraId="2BA72A4B"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5.13**</w:t>
            </w:r>
          </w:p>
        </w:tc>
        <w:tc>
          <w:tcPr>
            <w:tcW w:w="601" w:type="pct"/>
            <w:shd w:val="clear" w:color="auto" w:fill="auto"/>
            <w:vAlign w:val="center"/>
            <w:hideMark/>
          </w:tcPr>
          <w:p w14:paraId="0A012F40"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0.16**</w:t>
            </w:r>
          </w:p>
        </w:tc>
        <w:tc>
          <w:tcPr>
            <w:tcW w:w="603" w:type="pct"/>
            <w:shd w:val="clear" w:color="auto" w:fill="auto"/>
            <w:vAlign w:val="center"/>
            <w:hideMark/>
          </w:tcPr>
          <w:p w14:paraId="6A7E534F"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1.63</w:t>
            </w:r>
          </w:p>
        </w:tc>
        <w:tc>
          <w:tcPr>
            <w:tcW w:w="753" w:type="pct"/>
            <w:shd w:val="clear" w:color="auto" w:fill="auto"/>
            <w:vAlign w:val="center"/>
            <w:hideMark/>
          </w:tcPr>
          <w:p w14:paraId="0B4EEC39"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1.95**</w:t>
            </w:r>
          </w:p>
        </w:tc>
      </w:tr>
      <w:tr w:rsidR="005470B9" w:rsidRPr="00B65C45" w14:paraId="4C15965F" w14:textId="77777777" w:rsidTr="005470B9">
        <w:trPr>
          <w:trHeight w:val="179"/>
        </w:trPr>
        <w:tc>
          <w:tcPr>
            <w:tcW w:w="1063" w:type="pct"/>
            <w:vMerge/>
            <w:vAlign w:val="center"/>
            <w:hideMark/>
          </w:tcPr>
          <w:p w14:paraId="51BCD40C"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p>
        </w:tc>
        <w:tc>
          <w:tcPr>
            <w:tcW w:w="905" w:type="pct"/>
            <w:shd w:val="clear" w:color="auto" w:fill="auto"/>
            <w:vAlign w:val="center"/>
            <w:hideMark/>
          </w:tcPr>
          <w:p w14:paraId="541FB955"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(2.44)</w:t>
            </w:r>
          </w:p>
        </w:tc>
        <w:tc>
          <w:tcPr>
            <w:tcW w:w="1074" w:type="pct"/>
            <w:shd w:val="clear" w:color="auto" w:fill="auto"/>
            <w:vAlign w:val="center"/>
            <w:hideMark/>
          </w:tcPr>
          <w:p w14:paraId="6015DE13"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(2.34)</w:t>
            </w:r>
          </w:p>
        </w:tc>
        <w:tc>
          <w:tcPr>
            <w:tcW w:w="601" w:type="pct"/>
            <w:shd w:val="clear" w:color="auto" w:fill="auto"/>
            <w:vAlign w:val="center"/>
            <w:hideMark/>
          </w:tcPr>
          <w:p w14:paraId="7E03AF8D"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(0.059)</w:t>
            </w:r>
          </w:p>
        </w:tc>
        <w:tc>
          <w:tcPr>
            <w:tcW w:w="603" w:type="pct"/>
            <w:shd w:val="clear" w:color="auto" w:fill="auto"/>
            <w:vAlign w:val="center"/>
            <w:hideMark/>
          </w:tcPr>
          <w:p w14:paraId="6E72B7DF"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(0.91)</w:t>
            </w:r>
          </w:p>
        </w:tc>
        <w:tc>
          <w:tcPr>
            <w:tcW w:w="753" w:type="pct"/>
            <w:shd w:val="clear" w:color="auto" w:fill="auto"/>
            <w:vAlign w:val="center"/>
            <w:hideMark/>
          </w:tcPr>
          <w:p w14:paraId="4204C565"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(0.88)</w:t>
            </w:r>
          </w:p>
        </w:tc>
      </w:tr>
      <w:tr w:rsidR="005470B9" w:rsidRPr="00B65C45" w14:paraId="2683B602" w14:textId="77777777" w:rsidTr="005470B9">
        <w:trPr>
          <w:trHeight w:val="330"/>
        </w:trPr>
        <w:tc>
          <w:tcPr>
            <w:tcW w:w="1063" w:type="pct"/>
            <w:shd w:val="clear" w:color="auto" w:fill="auto"/>
            <w:vAlign w:val="center"/>
            <w:hideMark/>
          </w:tcPr>
          <w:p w14:paraId="73369CD1"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Calibri" w:hAnsi="Times New Roman" w:cs="Times New Roman"/>
                <w:color w:val="000000"/>
                <w:sz w:val="24"/>
                <w:szCs w:val="24"/>
              </w:rPr>
              <w:t>Polynomial in PAT</w:t>
            </w:r>
          </w:p>
        </w:tc>
        <w:tc>
          <w:tcPr>
            <w:tcW w:w="905" w:type="pct"/>
            <w:shd w:val="clear" w:color="auto" w:fill="auto"/>
            <w:vAlign w:val="center"/>
            <w:hideMark/>
          </w:tcPr>
          <w:p w14:paraId="112AE3C2"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1074" w:type="pct"/>
            <w:shd w:val="clear" w:color="auto" w:fill="auto"/>
            <w:vAlign w:val="center"/>
            <w:hideMark/>
          </w:tcPr>
          <w:p w14:paraId="35703742"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601" w:type="pct"/>
            <w:shd w:val="clear" w:color="auto" w:fill="auto"/>
            <w:vAlign w:val="center"/>
            <w:hideMark/>
          </w:tcPr>
          <w:p w14:paraId="29191CC3"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603" w:type="pct"/>
            <w:shd w:val="clear" w:color="auto" w:fill="auto"/>
            <w:vAlign w:val="center"/>
            <w:hideMark/>
          </w:tcPr>
          <w:p w14:paraId="43713CF5"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753" w:type="pct"/>
            <w:shd w:val="clear" w:color="auto" w:fill="auto"/>
            <w:vAlign w:val="center"/>
            <w:hideMark/>
          </w:tcPr>
          <w:p w14:paraId="6A3C4DDB"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r>
      <w:tr w:rsidR="005470B9" w:rsidRPr="00B65C45" w14:paraId="068E94F5" w14:textId="77777777" w:rsidTr="005470B9">
        <w:trPr>
          <w:trHeight w:val="330"/>
        </w:trPr>
        <w:tc>
          <w:tcPr>
            <w:tcW w:w="1063" w:type="pct"/>
            <w:shd w:val="clear" w:color="auto" w:fill="auto"/>
            <w:vAlign w:val="center"/>
            <w:hideMark/>
          </w:tcPr>
          <w:p w14:paraId="25EA3056"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Calibri" w:hAnsi="Times New Roman" w:cs="Times New Roman"/>
                <w:color w:val="000000"/>
                <w:sz w:val="24"/>
                <w:szCs w:val="24"/>
              </w:rPr>
              <w:t>Controls</w:t>
            </w:r>
          </w:p>
        </w:tc>
        <w:tc>
          <w:tcPr>
            <w:tcW w:w="905" w:type="pct"/>
            <w:shd w:val="clear" w:color="auto" w:fill="auto"/>
            <w:vAlign w:val="center"/>
            <w:hideMark/>
          </w:tcPr>
          <w:p w14:paraId="244D2345"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1074" w:type="pct"/>
            <w:shd w:val="clear" w:color="auto" w:fill="auto"/>
            <w:vAlign w:val="center"/>
            <w:hideMark/>
          </w:tcPr>
          <w:p w14:paraId="3E4EC13E"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601" w:type="pct"/>
            <w:shd w:val="clear" w:color="auto" w:fill="auto"/>
            <w:vAlign w:val="center"/>
            <w:hideMark/>
          </w:tcPr>
          <w:p w14:paraId="4B297A73"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c>
          <w:tcPr>
            <w:tcW w:w="603" w:type="pct"/>
            <w:shd w:val="clear" w:color="auto" w:fill="auto"/>
            <w:vAlign w:val="center"/>
            <w:hideMark/>
          </w:tcPr>
          <w:p w14:paraId="114B5A95"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No</w:t>
            </w:r>
          </w:p>
        </w:tc>
        <w:tc>
          <w:tcPr>
            <w:tcW w:w="753" w:type="pct"/>
            <w:shd w:val="clear" w:color="auto" w:fill="auto"/>
            <w:vAlign w:val="center"/>
            <w:hideMark/>
          </w:tcPr>
          <w:p w14:paraId="12DEC093"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Yes</w:t>
            </w:r>
          </w:p>
        </w:tc>
      </w:tr>
      <w:tr w:rsidR="005470B9" w:rsidRPr="00B65C45" w14:paraId="5AD54592" w14:textId="77777777" w:rsidTr="005470B9">
        <w:trPr>
          <w:trHeight w:val="330"/>
        </w:trPr>
        <w:tc>
          <w:tcPr>
            <w:tcW w:w="1063" w:type="pct"/>
            <w:shd w:val="clear" w:color="auto" w:fill="auto"/>
            <w:vAlign w:val="center"/>
            <w:hideMark/>
          </w:tcPr>
          <w:p w14:paraId="26F52E68"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Observations</w:t>
            </w:r>
          </w:p>
        </w:tc>
        <w:tc>
          <w:tcPr>
            <w:tcW w:w="905" w:type="pct"/>
            <w:shd w:val="clear" w:color="auto" w:fill="auto"/>
            <w:vAlign w:val="center"/>
            <w:hideMark/>
          </w:tcPr>
          <w:p w14:paraId="2702167D"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185</w:t>
            </w:r>
          </w:p>
        </w:tc>
        <w:tc>
          <w:tcPr>
            <w:tcW w:w="1074" w:type="pct"/>
            <w:shd w:val="clear" w:color="auto" w:fill="auto"/>
            <w:vAlign w:val="center"/>
            <w:hideMark/>
          </w:tcPr>
          <w:p w14:paraId="1625708F"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198</w:t>
            </w:r>
          </w:p>
        </w:tc>
        <w:tc>
          <w:tcPr>
            <w:tcW w:w="601" w:type="pct"/>
            <w:shd w:val="clear" w:color="auto" w:fill="auto"/>
            <w:vAlign w:val="center"/>
            <w:hideMark/>
          </w:tcPr>
          <w:p w14:paraId="2271E6C0"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1526</w:t>
            </w:r>
          </w:p>
        </w:tc>
        <w:tc>
          <w:tcPr>
            <w:tcW w:w="603" w:type="pct"/>
            <w:shd w:val="clear" w:color="auto" w:fill="auto"/>
            <w:vAlign w:val="center"/>
            <w:hideMark/>
          </w:tcPr>
          <w:p w14:paraId="06AE0DF9"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1531</w:t>
            </w:r>
          </w:p>
        </w:tc>
        <w:tc>
          <w:tcPr>
            <w:tcW w:w="753" w:type="pct"/>
            <w:shd w:val="clear" w:color="auto" w:fill="auto"/>
            <w:vAlign w:val="center"/>
            <w:hideMark/>
          </w:tcPr>
          <w:p w14:paraId="5E5AC21A" w14:textId="77777777" w:rsidR="005470B9" w:rsidRPr="00B65C45" w:rsidRDefault="005470B9" w:rsidP="001806DD">
            <w:pPr>
              <w:spacing w:line="240" w:lineRule="auto"/>
              <w:jc w:val="center"/>
              <w:rPr>
                <w:rFonts w:ascii="Times New Roman" w:eastAsia="Times New Roman" w:hAnsi="Times New Roman" w:cs="Times New Roman"/>
                <w:color w:val="000000"/>
                <w:sz w:val="24"/>
                <w:szCs w:val="24"/>
              </w:rPr>
            </w:pPr>
            <w:r w:rsidRPr="00B65C45">
              <w:rPr>
                <w:rFonts w:ascii="Times New Roman" w:eastAsia="Times New Roman" w:hAnsi="Times New Roman" w:cs="Times New Roman"/>
                <w:color w:val="000000"/>
                <w:sz w:val="24"/>
                <w:szCs w:val="24"/>
              </w:rPr>
              <w:t>1526</w:t>
            </w:r>
          </w:p>
        </w:tc>
      </w:tr>
    </w:tbl>
    <w:p w14:paraId="42DAE1FB" w14:textId="77777777" w:rsidR="00EB1E2E" w:rsidRPr="00B65C45" w:rsidRDefault="00EB1E2E" w:rsidP="00EB1E2E">
      <w:pPr>
        <w:spacing w:line="240" w:lineRule="auto"/>
        <w:ind w:left="-811" w:right="-1077"/>
        <w:jc w:val="both"/>
        <w:rPr>
          <w:rFonts w:ascii="Times New Roman" w:hAnsi="Times New Roman" w:cs="Times New Roman"/>
          <w:sz w:val="24"/>
          <w:szCs w:val="24"/>
        </w:rPr>
      </w:pPr>
    </w:p>
    <w:p w14:paraId="621C4242" w14:textId="040FE9B9" w:rsidR="00EB1E2E" w:rsidRPr="00B65C45" w:rsidRDefault="00EB1E2E" w:rsidP="00006974">
      <w:pPr>
        <w:spacing w:line="240" w:lineRule="auto"/>
        <w:ind w:right="-90"/>
        <w:jc w:val="both"/>
        <w:rPr>
          <w:rFonts w:ascii="Times New Roman" w:hAnsi="Times New Roman" w:cs="Times New Roman"/>
          <w:sz w:val="24"/>
          <w:szCs w:val="24"/>
        </w:rPr>
      </w:pPr>
      <w:r w:rsidRPr="00B65C45">
        <w:rPr>
          <w:rFonts w:ascii="Times New Roman" w:hAnsi="Times New Roman" w:cs="Times New Roman"/>
          <w:sz w:val="24"/>
          <w:szCs w:val="24"/>
        </w:rPr>
        <w:t>Note: CAR [-1, +1] and CAR [-2,+2] are 3 and 5 day event windows. Robust standard errors are in parenthesis and clustered at the industry level. *, **, and *** denotes significance at 10%, 5%, and 1% level, respectively</w:t>
      </w:r>
    </w:p>
    <w:p w14:paraId="7126C347" w14:textId="77777777" w:rsidR="00EB1E2E" w:rsidRDefault="00EB1E2E" w:rsidP="00EB1E2E">
      <w:pPr>
        <w:spacing w:line="240" w:lineRule="auto"/>
        <w:rPr>
          <w:rFonts w:cs="Times New Roman"/>
        </w:rPr>
      </w:pPr>
    </w:p>
    <w:p w14:paraId="771E6ACF" w14:textId="77777777" w:rsidR="00EB1E2E" w:rsidRDefault="00EB1E2E" w:rsidP="00EB1E2E">
      <w:pPr>
        <w:spacing w:line="240" w:lineRule="auto"/>
        <w:rPr>
          <w:rFonts w:cs="Times New Roman"/>
        </w:rPr>
      </w:pPr>
    </w:p>
    <w:p w14:paraId="64F47651" w14:textId="77777777" w:rsidR="00EB1E2E" w:rsidRDefault="00EB1E2E" w:rsidP="00EB1E2E">
      <w:pPr>
        <w:spacing w:line="240" w:lineRule="auto"/>
        <w:rPr>
          <w:rFonts w:cs="Times New Roman"/>
        </w:rPr>
      </w:pPr>
    </w:p>
    <w:p w14:paraId="116BE9A7" w14:textId="77777777" w:rsidR="00EB1E2E" w:rsidRDefault="00EB1E2E" w:rsidP="00EB1E2E">
      <w:pPr>
        <w:spacing w:line="240" w:lineRule="auto"/>
        <w:rPr>
          <w:rFonts w:cs="Times New Roman"/>
        </w:rPr>
      </w:pPr>
    </w:p>
    <w:p w14:paraId="73EF788B" w14:textId="77777777" w:rsidR="00EB1E2E" w:rsidRDefault="00EB1E2E" w:rsidP="00EB1E2E">
      <w:pPr>
        <w:spacing w:line="240" w:lineRule="auto"/>
        <w:rPr>
          <w:rFonts w:cs="Times New Roman"/>
        </w:rPr>
      </w:pPr>
    </w:p>
    <w:p w14:paraId="44F05446" w14:textId="77777777" w:rsidR="00EB1E2E" w:rsidRDefault="00EB1E2E" w:rsidP="00EB1E2E">
      <w:pPr>
        <w:spacing w:line="240" w:lineRule="auto"/>
        <w:rPr>
          <w:rFonts w:cs="Times New Roman"/>
        </w:rPr>
      </w:pPr>
    </w:p>
    <w:p w14:paraId="52DDCAEF" w14:textId="77777777" w:rsidR="00EB1E2E" w:rsidRDefault="00EB1E2E" w:rsidP="00EB1E2E">
      <w:pPr>
        <w:spacing w:line="240" w:lineRule="auto"/>
        <w:rPr>
          <w:rFonts w:cs="Times New Roman"/>
        </w:rPr>
      </w:pPr>
    </w:p>
    <w:p w14:paraId="5F40F8E8" w14:textId="77777777" w:rsidR="00EB1E2E" w:rsidRDefault="00EB1E2E" w:rsidP="00EB1E2E">
      <w:pPr>
        <w:spacing w:line="240" w:lineRule="auto"/>
        <w:rPr>
          <w:rFonts w:cs="Times New Roman"/>
        </w:rPr>
      </w:pPr>
    </w:p>
    <w:p w14:paraId="5A99C3C2" w14:textId="77777777" w:rsidR="00EB1E2E" w:rsidRDefault="00EB1E2E" w:rsidP="00EB1E2E">
      <w:pPr>
        <w:spacing w:line="240" w:lineRule="auto"/>
        <w:rPr>
          <w:rFonts w:cs="Times New Roman"/>
        </w:rPr>
      </w:pPr>
    </w:p>
    <w:p w14:paraId="57F7BD65" w14:textId="77777777" w:rsidR="00EB1E2E" w:rsidRDefault="00EB1E2E" w:rsidP="00EB1E2E">
      <w:pPr>
        <w:spacing w:line="240" w:lineRule="auto"/>
        <w:rPr>
          <w:rFonts w:cs="Times New Roman"/>
        </w:rPr>
      </w:pPr>
    </w:p>
    <w:p w14:paraId="5629B650" w14:textId="77777777" w:rsidR="00EB1E2E" w:rsidRDefault="00EB1E2E" w:rsidP="00EB1E2E">
      <w:pPr>
        <w:spacing w:line="240" w:lineRule="auto"/>
        <w:rPr>
          <w:rFonts w:cs="Times New Roman"/>
        </w:rPr>
      </w:pPr>
    </w:p>
    <w:p w14:paraId="1944071D" w14:textId="77777777" w:rsidR="00EB1E2E" w:rsidRDefault="00EB1E2E" w:rsidP="00EB1E2E">
      <w:pPr>
        <w:spacing w:line="240" w:lineRule="auto"/>
        <w:rPr>
          <w:rFonts w:cs="Times New Roman"/>
        </w:rPr>
      </w:pPr>
    </w:p>
    <w:p w14:paraId="21BF13EF" w14:textId="1E675AC0" w:rsidR="00EB1E2E" w:rsidRPr="00036C3C" w:rsidRDefault="00EB1E2E" w:rsidP="00EB1E2E">
      <w:pPr>
        <w:spacing w:line="240" w:lineRule="auto"/>
        <w:rPr>
          <w:rFonts w:ascii="Times New Roman" w:hAnsi="Times New Roman" w:cs="Times New Roman"/>
          <w:noProof/>
          <w:sz w:val="24"/>
          <w:szCs w:val="24"/>
        </w:rPr>
      </w:pPr>
      <w:r w:rsidRPr="00036C3C">
        <w:rPr>
          <w:rFonts w:ascii="Times New Roman" w:hAnsi="Times New Roman" w:cs="Times New Roman"/>
          <w:sz w:val="24"/>
          <w:szCs w:val="24"/>
        </w:rPr>
        <w:lastRenderedPageBreak/>
        <w:t>Table 3: Difference-in-Differences Esti</w:t>
      </w:r>
      <w:r w:rsidR="00424210" w:rsidRPr="00036C3C">
        <w:rPr>
          <w:rFonts w:ascii="Times New Roman" w:hAnsi="Times New Roman" w:cs="Times New Roman"/>
          <w:sz w:val="24"/>
          <w:szCs w:val="24"/>
        </w:rPr>
        <w:t>mates of Foreign Firms and for F</w:t>
      </w:r>
      <w:r w:rsidRPr="00036C3C">
        <w:rPr>
          <w:rFonts w:ascii="Times New Roman" w:hAnsi="Times New Roman" w:cs="Times New Roman"/>
          <w:sz w:val="24"/>
          <w:szCs w:val="24"/>
        </w:rPr>
        <w:t>irms in Controversial Industries</w:t>
      </w:r>
    </w:p>
    <w:p w14:paraId="3A6C7AE3" w14:textId="77777777" w:rsidR="00EB1E2E" w:rsidRPr="00036C3C" w:rsidRDefault="00EB1E2E" w:rsidP="00EB1E2E">
      <w:pPr>
        <w:spacing w:line="240" w:lineRule="auto"/>
        <w:rPr>
          <w:rFonts w:ascii="Times New Roman" w:hAnsi="Times New Roman" w:cs="Times New Roman"/>
          <w:sz w:val="24"/>
          <w:szCs w:val="24"/>
        </w:rPr>
      </w:pPr>
    </w:p>
    <w:tbl>
      <w:tblPr>
        <w:tblStyle w:val="TableGrid"/>
        <w:tblW w:w="939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1940"/>
        <w:gridCol w:w="1573"/>
        <w:gridCol w:w="2160"/>
        <w:gridCol w:w="1629"/>
      </w:tblGrid>
      <w:tr w:rsidR="005470B9" w:rsidRPr="00036C3C" w14:paraId="18CF1519" w14:textId="77777777" w:rsidTr="005470B9">
        <w:trPr>
          <w:trHeight w:val="782"/>
          <w:jc w:val="center"/>
        </w:trPr>
        <w:tc>
          <w:tcPr>
            <w:tcW w:w="2097" w:type="dxa"/>
            <w:vMerge w:val="restart"/>
            <w:vAlign w:val="center"/>
          </w:tcPr>
          <w:p w14:paraId="6EB31FBE" w14:textId="77777777" w:rsidR="005470B9" w:rsidRPr="00036C3C" w:rsidRDefault="005470B9" w:rsidP="001806DD">
            <w:pPr>
              <w:spacing w:line="276" w:lineRule="auto"/>
              <w:ind w:firstLine="0"/>
              <w:rPr>
                <w:rFonts w:cs="Times New Roman"/>
              </w:rPr>
            </w:pPr>
            <w:r w:rsidRPr="00036C3C">
              <w:rPr>
                <w:rFonts w:cs="Times New Roman"/>
              </w:rPr>
              <w:t>Variables</w:t>
            </w:r>
          </w:p>
        </w:tc>
        <w:tc>
          <w:tcPr>
            <w:tcW w:w="3513" w:type="dxa"/>
            <w:gridSpan w:val="2"/>
            <w:tcBorders>
              <w:top w:val="single" w:sz="4" w:space="0" w:color="auto"/>
              <w:bottom w:val="single" w:sz="4" w:space="0" w:color="auto"/>
            </w:tcBorders>
            <w:vAlign w:val="center"/>
          </w:tcPr>
          <w:p w14:paraId="68D5AE96" w14:textId="77777777" w:rsidR="005470B9" w:rsidRPr="00B65C45" w:rsidRDefault="005470B9" w:rsidP="001806DD">
            <w:pPr>
              <w:spacing w:line="276" w:lineRule="auto"/>
              <w:ind w:firstLine="0"/>
              <w:rPr>
                <w:rFonts w:cs="Times New Roman"/>
                <w:b/>
              </w:rPr>
            </w:pPr>
            <w:r w:rsidRPr="00B65C45">
              <w:rPr>
                <w:rFonts w:cs="Times New Roman"/>
                <w:b/>
              </w:rPr>
              <w:t>Non-Parametric Estimates</w:t>
            </w:r>
          </w:p>
          <w:p w14:paraId="6897A65A" w14:textId="77777777" w:rsidR="005470B9" w:rsidRPr="00B65C45" w:rsidRDefault="005470B9" w:rsidP="001806DD">
            <w:pPr>
              <w:spacing w:line="276" w:lineRule="auto"/>
              <w:ind w:firstLine="0"/>
              <w:rPr>
                <w:rFonts w:cs="Times New Roman"/>
                <w:b/>
              </w:rPr>
            </w:pPr>
            <w:r w:rsidRPr="00B65C45">
              <w:rPr>
                <w:rFonts w:cs="Times New Roman"/>
                <w:b/>
              </w:rPr>
              <w:t>(Local-Linear Effects)</w:t>
            </w:r>
          </w:p>
        </w:tc>
        <w:tc>
          <w:tcPr>
            <w:tcW w:w="3789" w:type="dxa"/>
            <w:gridSpan w:val="2"/>
            <w:tcBorders>
              <w:top w:val="single" w:sz="4" w:space="0" w:color="auto"/>
              <w:bottom w:val="single" w:sz="4" w:space="0" w:color="auto"/>
            </w:tcBorders>
            <w:vAlign w:val="center"/>
          </w:tcPr>
          <w:p w14:paraId="4F3A9DB8" w14:textId="77777777" w:rsidR="005470B9" w:rsidRPr="00B65C45" w:rsidRDefault="005470B9" w:rsidP="001806DD">
            <w:pPr>
              <w:spacing w:line="276" w:lineRule="auto"/>
              <w:ind w:firstLine="0"/>
              <w:rPr>
                <w:rFonts w:cs="Times New Roman"/>
                <w:b/>
              </w:rPr>
            </w:pPr>
            <w:r w:rsidRPr="00B65C45">
              <w:rPr>
                <w:rFonts w:cs="Times New Roman"/>
                <w:b/>
              </w:rPr>
              <w:t>Parametric Estimates</w:t>
            </w:r>
          </w:p>
          <w:p w14:paraId="16C18319" w14:textId="77777777" w:rsidR="005470B9" w:rsidRPr="00B65C45" w:rsidRDefault="005470B9" w:rsidP="001806DD">
            <w:pPr>
              <w:spacing w:line="276" w:lineRule="auto"/>
              <w:ind w:firstLine="0"/>
              <w:rPr>
                <w:rFonts w:cs="Times New Roman"/>
                <w:b/>
              </w:rPr>
            </w:pPr>
            <w:r w:rsidRPr="00B65C45">
              <w:rPr>
                <w:rFonts w:cs="Times New Roman"/>
                <w:b/>
              </w:rPr>
              <w:t>(Full Sample Effects)</w:t>
            </w:r>
          </w:p>
        </w:tc>
      </w:tr>
      <w:tr w:rsidR="005470B9" w:rsidRPr="00036C3C" w14:paraId="02B9017A" w14:textId="77777777" w:rsidTr="005470B9">
        <w:trPr>
          <w:trHeight w:val="539"/>
          <w:jc w:val="center"/>
        </w:trPr>
        <w:tc>
          <w:tcPr>
            <w:tcW w:w="2097" w:type="dxa"/>
            <w:vMerge/>
            <w:vAlign w:val="center"/>
          </w:tcPr>
          <w:p w14:paraId="5B6930B4" w14:textId="77777777" w:rsidR="005470B9" w:rsidRPr="00036C3C" w:rsidRDefault="005470B9" w:rsidP="001806DD">
            <w:pPr>
              <w:spacing w:line="276" w:lineRule="auto"/>
              <w:rPr>
                <w:rFonts w:cs="Times New Roman"/>
              </w:rPr>
            </w:pPr>
          </w:p>
        </w:tc>
        <w:tc>
          <w:tcPr>
            <w:tcW w:w="1940" w:type="dxa"/>
            <w:tcBorders>
              <w:top w:val="single" w:sz="4" w:space="0" w:color="auto"/>
              <w:bottom w:val="single" w:sz="4" w:space="0" w:color="auto"/>
            </w:tcBorders>
          </w:tcPr>
          <w:p w14:paraId="6D7E5450" w14:textId="77777777" w:rsidR="005470B9" w:rsidRPr="00B65C45" w:rsidRDefault="005470B9" w:rsidP="001806DD">
            <w:pPr>
              <w:spacing w:line="276" w:lineRule="auto"/>
              <w:ind w:firstLine="0"/>
              <w:rPr>
                <w:rFonts w:cs="Times New Roman"/>
                <w:b/>
              </w:rPr>
            </w:pPr>
            <w:r w:rsidRPr="00B65C45">
              <w:rPr>
                <w:rFonts w:cs="Times New Roman"/>
                <w:b/>
              </w:rPr>
              <w:t xml:space="preserve">IK </w:t>
            </w:r>
          </w:p>
          <w:p w14:paraId="2275629F" w14:textId="77777777" w:rsidR="005470B9" w:rsidRPr="00B65C45" w:rsidRDefault="005470B9" w:rsidP="001806DD">
            <w:pPr>
              <w:spacing w:line="276" w:lineRule="auto"/>
              <w:ind w:firstLine="0"/>
              <w:rPr>
                <w:rFonts w:cs="Times New Roman"/>
                <w:b/>
              </w:rPr>
            </w:pPr>
            <w:r w:rsidRPr="00B65C45">
              <w:rPr>
                <w:rFonts w:cs="Times New Roman"/>
                <w:b/>
              </w:rPr>
              <w:t xml:space="preserve">Bandwidth </w:t>
            </w:r>
          </w:p>
          <w:p w14:paraId="0C55346C" w14:textId="77777777" w:rsidR="005470B9" w:rsidRPr="00B65C45" w:rsidRDefault="005470B9" w:rsidP="001806DD">
            <w:pPr>
              <w:spacing w:line="276" w:lineRule="auto"/>
              <w:ind w:firstLine="0"/>
              <w:rPr>
                <w:rFonts w:cs="Times New Roman"/>
                <w:b/>
                <w:bCs/>
                <w:iCs/>
              </w:rPr>
            </w:pPr>
            <w:r w:rsidRPr="00B65C45">
              <w:rPr>
                <w:rFonts w:cs="Times New Roman"/>
                <w:b/>
              </w:rPr>
              <w:t xml:space="preserve">(PAT </w:t>
            </w:r>
            <w:r w:rsidRPr="00B65C45">
              <w:rPr>
                <w:rFonts w:cs="Times New Roman"/>
                <w:b/>
                <w:bCs/>
                <w:iCs/>
              </w:rPr>
              <w:t>± 12.5)</w:t>
            </w:r>
          </w:p>
          <w:p w14:paraId="3BC8D1BA" w14:textId="77777777" w:rsidR="005470B9" w:rsidRPr="00036C3C" w:rsidRDefault="005470B9" w:rsidP="001806DD">
            <w:pPr>
              <w:spacing w:line="276" w:lineRule="auto"/>
              <w:ind w:firstLine="0"/>
              <w:rPr>
                <w:rFonts w:cs="Times New Roman"/>
                <w:b/>
              </w:rPr>
            </w:pPr>
            <w:r w:rsidRPr="00B65C45">
              <w:rPr>
                <w:rFonts w:cs="Times New Roman"/>
                <w:b/>
                <w:bCs/>
                <w:iCs/>
              </w:rPr>
              <w:t>(1)</w:t>
            </w:r>
          </w:p>
        </w:tc>
        <w:tc>
          <w:tcPr>
            <w:tcW w:w="1573" w:type="dxa"/>
            <w:tcBorders>
              <w:top w:val="single" w:sz="4" w:space="0" w:color="auto"/>
              <w:bottom w:val="single" w:sz="4" w:space="0" w:color="auto"/>
            </w:tcBorders>
          </w:tcPr>
          <w:p w14:paraId="222292C8" w14:textId="77777777" w:rsidR="005470B9" w:rsidRPr="00B65C45" w:rsidRDefault="005470B9" w:rsidP="001806DD">
            <w:pPr>
              <w:spacing w:line="276" w:lineRule="auto"/>
              <w:ind w:firstLine="0"/>
              <w:rPr>
                <w:rFonts w:cs="Times New Roman"/>
                <w:b/>
                <w:bCs/>
                <w:iCs/>
              </w:rPr>
            </w:pPr>
            <w:r w:rsidRPr="00B65C45">
              <w:rPr>
                <w:rFonts w:cs="Times New Roman"/>
                <w:b/>
              </w:rPr>
              <w:t xml:space="preserve">CCT Bandwidth (PAT </w:t>
            </w:r>
            <w:r w:rsidRPr="00B65C45">
              <w:rPr>
                <w:rFonts w:cs="Times New Roman"/>
                <w:b/>
                <w:bCs/>
                <w:iCs/>
              </w:rPr>
              <w:t>± 13.8)</w:t>
            </w:r>
          </w:p>
          <w:p w14:paraId="2365BDB4" w14:textId="77777777" w:rsidR="005470B9" w:rsidRPr="00B65C45" w:rsidRDefault="005470B9" w:rsidP="001806DD">
            <w:pPr>
              <w:spacing w:line="276" w:lineRule="auto"/>
              <w:ind w:firstLine="0"/>
              <w:rPr>
                <w:rFonts w:cs="Times New Roman"/>
                <w:b/>
              </w:rPr>
            </w:pPr>
            <w:r w:rsidRPr="00B65C45">
              <w:rPr>
                <w:rFonts w:cs="Times New Roman"/>
                <w:b/>
                <w:bCs/>
                <w:iCs/>
              </w:rPr>
              <w:t>(2)</w:t>
            </w:r>
          </w:p>
        </w:tc>
        <w:tc>
          <w:tcPr>
            <w:tcW w:w="2160" w:type="dxa"/>
            <w:tcBorders>
              <w:top w:val="single" w:sz="4" w:space="0" w:color="auto"/>
              <w:bottom w:val="single" w:sz="4" w:space="0" w:color="auto"/>
            </w:tcBorders>
          </w:tcPr>
          <w:p w14:paraId="474D6E87" w14:textId="77777777" w:rsidR="005470B9" w:rsidRPr="00B65C45" w:rsidRDefault="005470B9" w:rsidP="001806DD">
            <w:pPr>
              <w:spacing w:line="276" w:lineRule="auto"/>
              <w:ind w:firstLine="0"/>
              <w:rPr>
                <w:rFonts w:cs="Times New Roman"/>
                <w:b/>
              </w:rPr>
            </w:pPr>
            <w:r w:rsidRPr="00B65C45">
              <w:rPr>
                <w:rFonts w:cs="Times New Roman"/>
                <w:b/>
              </w:rPr>
              <w:t>Full Model</w:t>
            </w:r>
          </w:p>
          <w:p w14:paraId="0095FEBF" w14:textId="77777777" w:rsidR="005470B9" w:rsidRPr="00B65C45" w:rsidRDefault="005470B9" w:rsidP="001806DD">
            <w:pPr>
              <w:spacing w:line="276" w:lineRule="auto"/>
              <w:ind w:firstLine="0"/>
              <w:rPr>
                <w:rFonts w:cs="Times New Roman"/>
                <w:b/>
              </w:rPr>
            </w:pPr>
            <w:r w:rsidRPr="00B65C45">
              <w:rPr>
                <w:rFonts w:cs="Times New Roman"/>
                <w:b/>
              </w:rPr>
              <w:t>without controls</w:t>
            </w:r>
          </w:p>
          <w:p w14:paraId="155AA6BA" w14:textId="77777777" w:rsidR="005470B9" w:rsidRPr="00B65C45" w:rsidRDefault="005470B9" w:rsidP="001806DD">
            <w:pPr>
              <w:spacing w:line="276" w:lineRule="auto"/>
              <w:ind w:firstLine="0"/>
              <w:rPr>
                <w:rFonts w:cs="Times New Roman"/>
                <w:b/>
              </w:rPr>
            </w:pPr>
          </w:p>
          <w:p w14:paraId="51BAF008" w14:textId="77777777" w:rsidR="005470B9" w:rsidRPr="00B65C45" w:rsidRDefault="005470B9" w:rsidP="001806DD">
            <w:pPr>
              <w:spacing w:line="276" w:lineRule="auto"/>
              <w:ind w:firstLine="0"/>
              <w:rPr>
                <w:rFonts w:cs="Times New Roman"/>
                <w:b/>
              </w:rPr>
            </w:pPr>
            <w:r w:rsidRPr="00B65C45">
              <w:rPr>
                <w:rFonts w:cs="Times New Roman"/>
                <w:b/>
              </w:rPr>
              <w:t>(3)</w:t>
            </w:r>
          </w:p>
        </w:tc>
        <w:tc>
          <w:tcPr>
            <w:tcW w:w="1629" w:type="dxa"/>
            <w:tcBorders>
              <w:top w:val="single" w:sz="4" w:space="0" w:color="auto"/>
              <w:bottom w:val="single" w:sz="4" w:space="0" w:color="auto"/>
            </w:tcBorders>
          </w:tcPr>
          <w:p w14:paraId="0B974CAC" w14:textId="77777777" w:rsidR="005470B9" w:rsidRPr="00B65C45" w:rsidRDefault="005470B9" w:rsidP="001806DD">
            <w:pPr>
              <w:spacing w:line="276" w:lineRule="auto"/>
              <w:ind w:firstLine="0"/>
              <w:rPr>
                <w:rFonts w:cs="Times New Roman"/>
                <w:b/>
              </w:rPr>
            </w:pPr>
            <w:r w:rsidRPr="00B65C45">
              <w:rPr>
                <w:rFonts w:cs="Times New Roman"/>
                <w:b/>
              </w:rPr>
              <w:t>Full Model with controls</w:t>
            </w:r>
          </w:p>
          <w:p w14:paraId="4665118A" w14:textId="77777777" w:rsidR="005470B9" w:rsidRPr="00B65C45" w:rsidRDefault="005470B9" w:rsidP="001806DD">
            <w:pPr>
              <w:spacing w:line="276" w:lineRule="auto"/>
              <w:ind w:firstLine="0"/>
              <w:rPr>
                <w:rFonts w:cs="Times New Roman"/>
                <w:b/>
              </w:rPr>
            </w:pPr>
          </w:p>
          <w:p w14:paraId="2E5EB7AC" w14:textId="77777777" w:rsidR="005470B9" w:rsidRPr="00B65C45" w:rsidRDefault="005470B9" w:rsidP="001806DD">
            <w:pPr>
              <w:spacing w:line="276" w:lineRule="auto"/>
              <w:ind w:firstLine="0"/>
              <w:rPr>
                <w:rFonts w:cs="Times New Roman"/>
                <w:b/>
              </w:rPr>
            </w:pPr>
            <w:r w:rsidRPr="00B65C45">
              <w:rPr>
                <w:rFonts w:cs="Times New Roman"/>
                <w:b/>
              </w:rPr>
              <w:t>(4)</w:t>
            </w:r>
          </w:p>
        </w:tc>
      </w:tr>
      <w:tr w:rsidR="005470B9" w:rsidRPr="00036C3C" w14:paraId="2D273CFB" w14:textId="77777777" w:rsidTr="005470B9">
        <w:trPr>
          <w:trHeight w:val="548"/>
          <w:jc w:val="center"/>
        </w:trPr>
        <w:tc>
          <w:tcPr>
            <w:tcW w:w="2097" w:type="dxa"/>
          </w:tcPr>
          <w:p w14:paraId="0E7A5D72" w14:textId="77777777" w:rsidR="005470B9" w:rsidRPr="00036C3C" w:rsidRDefault="005470B9" w:rsidP="001806DD">
            <w:pPr>
              <w:spacing w:line="276" w:lineRule="auto"/>
              <w:ind w:firstLine="0"/>
              <w:rPr>
                <w:rFonts w:cs="Times New Roman"/>
              </w:rPr>
            </w:pPr>
            <w:r w:rsidRPr="00036C3C">
              <w:rPr>
                <w:rFonts w:cs="Times New Roman"/>
              </w:rPr>
              <w:t>Subj</w:t>
            </w:r>
          </w:p>
        </w:tc>
        <w:tc>
          <w:tcPr>
            <w:tcW w:w="1940" w:type="dxa"/>
            <w:tcBorders>
              <w:top w:val="single" w:sz="4" w:space="0" w:color="auto"/>
            </w:tcBorders>
          </w:tcPr>
          <w:p w14:paraId="075F93C5" w14:textId="77777777" w:rsidR="005470B9" w:rsidRPr="00036C3C" w:rsidRDefault="005470B9" w:rsidP="001806DD">
            <w:pPr>
              <w:spacing w:line="276" w:lineRule="auto"/>
              <w:ind w:firstLine="0"/>
              <w:rPr>
                <w:rFonts w:cs="Times New Roman"/>
              </w:rPr>
            </w:pPr>
            <w:r w:rsidRPr="00036C3C">
              <w:rPr>
                <w:rFonts w:cs="Times New Roman"/>
              </w:rPr>
              <w:t>1.10</w:t>
            </w:r>
          </w:p>
          <w:p w14:paraId="78B49D44" w14:textId="77777777" w:rsidR="005470B9" w:rsidRPr="00036C3C" w:rsidRDefault="005470B9" w:rsidP="001806DD">
            <w:pPr>
              <w:spacing w:line="276" w:lineRule="auto"/>
              <w:ind w:firstLine="0"/>
              <w:rPr>
                <w:rFonts w:cs="Times New Roman"/>
              </w:rPr>
            </w:pPr>
            <w:r w:rsidRPr="00036C3C">
              <w:rPr>
                <w:rFonts w:cs="Times New Roman"/>
              </w:rPr>
              <w:t>(0.93)</w:t>
            </w:r>
          </w:p>
        </w:tc>
        <w:tc>
          <w:tcPr>
            <w:tcW w:w="1573" w:type="dxa"/>
            <w:tcBorders>
              <w:top w:val="single" w:sz="4" w:space="0" w:color="auto"/>
            </w:tcBorders>
          </w:tcPr>
          <w:p w14:paraId="44023C74" w14:textId="77777777" w:rsidR="005470B9" w:rsidRPr="00036C3C" w:rsidRDefault="005470B9" w:rsidP="001806DD">
            <w:pPr>
              <w:spacing w:line="276" w:lineRule="auto"/>
              <w:ind w:firstLine="0"/>
              <w:rPr>
                <w:rFonts w:cs="Times New Roman"/>
              </w:rPr>
            </w:pPr>
            <w:r w:rsidRPr="00036C3C">
              <w:rPr>
                <w:rFonts w:cs="Times New Roman"/>
              </w:rPr>
              <w:t>0.94</w:t>
            </w:r>
          </w:p>
          <w:p w14:paraId="24D606A2" w14:textId="77777777" w:rsidR="005470B9" w:rsidRPr="00036C3C" w:rsidRDefault="005470B9" w:rsidP="001806DD">
            <w:pPr>
              <w:spacing w:line="276" w:lineRule="auto"/>
              <w:ind w:firstLine="0"/>
              <w:rPr>
                <w:rFonts w:cs="Times New Roman"/>
              </w:rPr>
            </w:pPr>
            <w:r w:rsidRPr="00036C3C">
              <w:rPr>
                <w:rFonts w:cs="Times New Roman"/>
              </w:rPr>
              <w:t>(0.83)</w:t>
            </w:r>
          </w:p>
        </w:tc>
        <w:tc>
          <w:tcPr>
            <w:tcW w:w="2160" w:type="dxa"/>
            <w:tcBorders>
              <w:top w:val="single" w:sz="4" w:space="0" w:color="auto"/>
            </w:tcBorders>
          </w:tcPr>
          <w:p w14:paraId="6016ADEA" w14:textId="77777777" w:rsidR="005470B9" w:rsidRPr="00036C3C" w:rsidRDefault="005470B9" w:rsidP="001806DD">
            <w:pPr>
              <w:spacing w:line="276" w:lineRule="auto"/>
              <w:ind w:firstLine="0"/>
              <w:rPr>
                <w:rFonts w:cs="Times New Roman"/>
              </w:rPr>
            </w:pPr>
            <w:r w:rsidRPr="00036C3C">
              <w:rPr>
                <w:rFonts w:cs="Times New Roman"/>
              </w:rPr>
              <w:t>1.19**</w:t>
            </w:r>
          </w:p>
          <w:p w14:paraId="611AD7DA" w14:textId="77777777" w:rsidR="005470B9" w:rsidRPr="00036C3C" w:rsidRDefault="005470B9" w:rsidP="001806DD">
            <w:pPr>
              <w:spacing w:line="276" w:lineRule="auto"/>
              <w:ind w:firstLine="0"/>
              <w:rPr>
                <w:rFonts w:cs="Times New Roman"/>
              </w:rPr>
            </w:pPr>
            <w:r w:rsidRPr="00036C3C">
              <w:rPr>
                <w:rFonts w:cs="Times New Roman"/>
              </w:rPr>
              <w:t>(0.47)</w:t>
            </w:r>
          </w:p>
        </w:tc>
        <w:tc>
          <w:tcPr>
            <w:tcW w:w="1629" w:type="dxa"/>
            <w:tcBorders>
              <w:top w:val="single" w:sz="4" w:space="0" w:color="auto"/>
            </w:tcBorders>
          </w:tcPr>
          <w:p w14:paraId="5DD7AAF9" w14:textId="77777777" w:rsidR="005470B9" w:rsidRPr="00036C3C" w:rsidRDefault="005470B9" w:rsidP="001806DD">
            <w:pPr>
              <w:spacing w:line="276" w:lineRule="auto"/>
              <w:ind w:firstLine="0"/>
              <w:rPr>
                <w:rFonts w:cs="Times New Roman"/>
              </w:rPr>
            </w:pPr>
            <w:r w:rsidRPr="00036C3C">
              <w:rPr>
                <w:rFonts w:cs="Times New Roman"/>
              </w:rPr>
              <w:t>1.18*</w:t>
            </w:r>
          </w:p>
          <w:p w14:paraId="35C6F810" w14:textId="77777777" w:rsidR="005470B9" w:rsidRPr="00036C3C" w:rsidRDefault="005470B9" w:rsidP="001806DD">
            <w:pPr>
              <w:spacing w:line="276" w:lineRule="auto"/>
              <w:ind w:firstLine="0"/>
              <w:rPr>
                <w:rFonts w:cs="Times New Roman"/>
              </w:rPr>
            </w:pPr>
            <w:r w:rsidRPr="00036C3C">
              <w:rPr>
                <w:rFonts w:cs="Times New Roman"/>
              </w:rPr>
              <w:t>(0.52)</w:t>
            </w:r>
          </w:p>
        </w:tc>
      </w:tr>
      <w:tr w:rsidR="005470B9" w:rsidRPr="00036C3C" w14:paraId="375B680B" w14:textId="77777777" w:rsidTr="005470B9">
        <w:trPr>
          <w:trHeight w:val="530"/>
          <w:jc w:val="center"/>
        </w:trPr>
        <w:tc>
          <w:tcPr>
            <w:tcW w:w="2097" w:type="dxa"/>
          </w:tcPr>
          <w:p w14:paraId="555B2161" w14:textId="77777777" w:rsidR="005470B9" w:rsidRPr="00036C3C" w:rsidRDefault="005470B9" w:rsidP="001806DD">
            <w:pPr>
              <w:spacing w:line="276" w:lineRule="auto"/>
              <w:ind w:firstLine="0"/>
              <w:rPr>
                <w:rFonts w:cs="Times New Roman"/>
              </w:rPr>
            </w:pPr>
            <w:r w:rsidRPr="00036C3C">
              <w:rPr>
                <w:rFonts w:eastAsia="Calibri" w:cs="Times New Roman"/>
              </w:rPr>
              <w:t xml:space="preserve">Foreign </w:t>
            </w:r>
          </w:p>
        </w:tc>
        <w:tc>
          <w:tcPr>
            <w:tcW w:w="1940" w:type="dxa"/>
          </w:tcPr>
          <w:p w14:paraId="241C68EC" w14:textId="77777777" w:rsidR="005470B9" w:rsidRPr="00036C3C" w:rsidRDefault="005470B9" w:rsidP="001806DD">
            <w:pPr>
              <w:spacing w:line="276" w:lineRule="auto"/>
              <w:ind w:firstLine="0"/>
              <w:rPr>
                <w:rFonts w:cs="Times New Roman"/>
              </w:rPr>
            </w:pPr>
            <w:r w:rsidRPr="00036C3C">
              <w:rPr>
                <w:rFonts w:cs="Times New Roman"/>
              </w:rPr>
              <w:t>-1.61</w:t>
            </w:r>
          </w:p>
          <w:p w14:paraId="70F1E1AD" w14:textId="77777777" w:rsidR="005470B9" w:rsidRPr="00036C3C" w:rsidRDefault="005470B9" w:rsidP="001806DD">
            <w:pPr>
              <w:spacing w:line="276" w:lineRule="auto"/>
              <w:ind w:firstLine="0"/>
              <w:rPr>
                <w:rFonts w:cs="Times New Roman"/>
              </w:rPr>
            </w:pPr>
            <w:r w:rsidRPr="00036C3C">
              <w:rPr>
                <w:rFonts w:cs="Times New Roman"/>
              </w:rPr>
              <w:t>(1.22)</w:t>
            </w:r>
          </w:p>
        </w:tc>
        <w:tc>
          <w:tcPr>
            <w:tcW w:w="1573" w:type="dxa"/>
          </w:tcPr>
          <w:p w14:paraId="0A6B8FAE" w14:textId="77777777" w:rsidR="005470B9" w:rsidRPr="00036C3C" w:rsidRDefault="005470B9" w:rsidP="001806DD">
            <w:pPr>
              <w:spacing w:line="276" w:lineRule="auto"/>
              <w:ind w:firstLine="0"/>
              <w:rPr>
                <w:rFonts w:cs="Times New Roman"/>
              </w:rPr>
            </w:pPr>
            <w:r w:rsidRPr="00036C3C">
              <w:rPr>
                <w:rFonts w:cs="Times New Roman"/>
              </w:rPr>
              <w:t>-1.67</w:t>
            </w:r>
          </w:p>
          <w:p w14:paraId="5B73B3FE" w14:textId="77777777" w:rsidR="005470B9" w:rsidRPr="00036C3C" w:rsidRDefault="005470B9" w:rsidP="001806DD">
            <w:pPr>
              <w:spacing w:line="276" w:lineRule="auto"/>
              <w:ind w:firstLine="0"/>
              <w:rPr>
                <w:rFonts w:cs="Times New Roman"/>
              </w:rPr>
            </w:pPr>
            <w:r w:rsidRPr="00036C3C">
              <w:rPr>
                <w:rFonts w:cs="Times New Roman"/>
              </w:rPr>
              <w:t>(1.29)</w:t>
            </w:r>
          </w:p>
        </w:tc>
        <w:tc>
          <w:tcPr>
            <w:tcW w:w="2160" w:type="dxa"/>
          </w:tcPr>
          <w:p w14:paraId="5130D85F" w14:textId="77777777" w:rsidR="005470B9" w:rsidRPr="00036C3C" w:rsidRDefault="005470B9" w:rsidP="001806DD">
            <w:pPr>
              <w:spacing w:line="276" w:lineRule="auto"/>
              <w:ind w:firstLine="0"/>
              <w:rPr>
                <w:rFonts w:cs="Times New Roman"/>
              </w:rPr>
            </w:pPr>
            <w:r w:rsidRPr="00036C3C">
              <w:rPr>
                <w:rFonts w:cs="Times New Roman"/>
              </w:rPr>
              <w:t>-0.68</w:t>
            </w:r>
          </w:p>
          <w:p w14:paraId="59E98CA1" w14:textId="77777777" w:rsidR="005470B9" w:rsidRPr="00036C3C" w:rsidRDefault="005470B9" w:rsidP="001806DD">
            <w:pPr>
              <w:spacing w:line="276" w:lineRule="auto"/>
              <w:ind w:firstLine="0"/>
              <w:rPr>
                <w:rFonts w:cs="Times New Roman"/>
              </w:rPr>
            </w:pPr>
            <w:r w:rsidRPr="00036C3C">
              <w:rPr>
                <w:rFonts w:cs="Times New Roman"/>
              </w:rPr>
              <w:t>(0.55)</w:t>
            </w:r>
          </w:p>
        </w:tc>
        <w:tc>
          <w:tcPr>
            <w:tcW w:w="1629" w:type="dxa"/>
          </w:tcPr>
          <w:p w14:paraId="6FC4D2CE" w14:textId="77777777" w:rsidR="005470B9" w:rsidRPr="00036C3C" w:rsidRDefault="005470B9" w:rsidP="001806DD">
            <w:pPr>
              <w:spacing w:line="276" w:lineRule="auto"/>
              <w:ind w:firstLine="0"/>
              <w:rPr>
                <w:rFonts w:cs="Times New Roman"/>
              </w:rPr>
            </w:pPr>
            <w:r w:rsidRPr="00036C3C">
              <w:rPr>
                <w:rFonts w:cs="Times New Roman"/>
              </w:rPr>
              <w:t>-0.66</w:t>
            </w:r>
          </w:p>
          <w:p w14:paraId="6CD80C43" w14:textId="77777777" w:rsidR="005470B9" w:rsidRPr="00036C3C" w:rsidRDefault="005470B9" w:rsidP="001806DD">
            <w:pPr>
              <w:spacing w:line="276" w:lineRule="auto"/>
              <w:ind w:firstLine="0"/>
              <w:rPr>
                <w:rFonts w:cs="Times New Roman"/>
              </w:rPr>
            </w:pPr>
            <w:r w:rsidRPr="00036C3C">
              <w:rPr>
                <w:rFonts w:cs="Times New Roman"/>
              </w:rPr>
              <w:t>(0.54)</w:t>
            </w:r>
          </w:p>
        </w:tc>
      </w:tr>
      <w:tr w:rsidR="005470B9" w:rsidRPr="00036C3C" w14:paraId="290CF9CB" w14:textId="77777777" w:rsidTr="005470B9">
        <w:trPr>
          <w:trHeight w:val="521"/>
          <w:jc w:val="center"/>
        </w:trPr>
        <w:tc>
          <w:tcPr>
            <w:tcW w:w="2097" w:type="dxa"/>
          </w:tcPr>
          <w:p w14:paraId="48B331A8" w14:textId="77777777" w:rsidR="005470B9" w:rsidRPr="00036C3C" w:rsidRDefault="005470B9" w:rsidP="001806DD">
            <w:pPr>
              <w:spacing w:line="276" w:lineRule="auto"/>
              <w:ind w:firstLine="0"/>
              <w:rPr>
                <w:rFonts w:cs="Times New Roman"/>
              </w:rPr>
            </w:pPr>
            <w:r w:rsidRPr="00036C3C">
              <w:rPr>
                <w:rFonts w:cs="Times New Roman"/>
              </w:rPr>
              <w:t>Controversial</w:t>
            </w:r>
          </w:p>
        </w:tc>
        <w:tc>
          <w:tcPr>
            <w:tcW w:w="1940" w:type="dxa"/>
          </w:tcPr>
          <w:p w14:paraId="1D84D4B2" w14:textId="77777777" w:rsidR="005470B9" w:rsidRPr="00036C3C" w:rsidRDefault="005470B9" w:rsidP="001806DD">
            <w:pPr>
              <w:spacing w:line="276" w:lineRule="auto"/>
              <w:ind w:firstLine="0"/>
              <w:rPr>
                <w:rFonts w:cs="Times New Roman"/>
              </w:rPr>
            </w:pPr>
            <w:r w:rsidRPr="00036C3C">
              <w:rPr>
                <w:rFonts w:cs="Times New Roman"/>
              </w:rPr>
              <w:t>-0.94*</w:t>
            </w:r>
          </w:p>
          <w:p w14:paraId="0BE08244" w14:textId="77777777" w:rsidR="005470B9" w:rsidRPr="00036C3C" w:rsidRDefault="005470B9" w:rsidP="001806DD">
            <w:pPr>
              <w:spacing w:line="276" w:lineRule="auto"/>
              <w:ind w:firstLine="0"/>
              <w:rPr>
                <w:rFonts w:cs="Times New Roman"/>
              </w:rPr>
            </w:pPr>
            <w:r w:rsidRPr="00036C3C">
              <w:rPr>
                <w:rFonts w:cs="Times New Roman"/>
              </w:rPr>
              <w:t>(0.47)</w:t>
            </w:r>
          </w:p>
        </w:tc>
        <w:tc>
          <w:tcPr>
            <w:tcW w:w="1573" w:type="dxa"/>
          </w:tcPr>
          <w:p w14:paraId="3EF216C3" w14:textId="77777777" w:rsidR="005470B9" w:rsidRPr="00036C3C" w:rsidRDefault="005470B9" w:rsidP="001806DD">
            <w:pPr>
              <w:spacing w:line="276" w:lineRule="auto"/>
              <w:ind w:firstLine="0"/>
              <w:rPr>
                <w:rFonts w:cs="Times New Roman"/>
              </w:rPr>
            </w:pPr>
            <w:r w:rsidRPr="00036C3C">
              <w:rPr>
                <w:rFonts w:cs="Times New Roman"/>
              </w:rPr>
              <w:t>-0.68</w:t>
            </w:r>
          </w:p>
          <w:p w14:paraId="6860092F" w14:textId="77777777" w:rsidR="005470B9" w:rsidRPr="00036C3C" w:rsidRDefault="005470B9" w:rsidP="001806DD">
            <w:pPr>
              <w:spacing w:line="276" w:lineRule="auto"/>
              <w:ind w:firstLine="0"/>
              <w:rPr>
                <w:rFonts w:cs="Times New Roman"/>
              </w:rPr>
            </w:pPr>
            <w:r w:rsidRPr="00036C3C">
              <w:rPr>
                <w:rFonts w:cs="Times New Roman"/>
              </w:rPr>
              <w:t>(0.44)</w:t>
            </w:r>
          </w:p>
        </w:tc>
        <w:tc>
          <w:tcPr>
            <w:tcW w:w="2160" w:type="dxa"/>
          </w:tcPr>
          <w:p w14:paraId="79E2BE6C" w14:textId="77777777" w:rsidR="005470B9" w:rsidRPr="00036C3C" w:rsidRDefault="005470B9" w:rsidP="001806DD">
            <w:pPr>
              <w:spacing w:line="276" w:lineRule="auto"/>
              <w:ind w:firstLine="0"/>
              <w:rPr>
                <w:rFonts w:cs="Times New Roman"/>
              </w:rPr>
            </w:pPr>
            <w:r w:rsidRPr="00036C3C">
              <w:rPr>
                <w:rFonts w:cs="Times New Roman"/>
              </w:rPr>
              <w:t>-0.45**</w:t>
            </w:r>
          </w:p>
          <w:p w14:paraId="0AB02ABA" w14:textId="77777777" w:rsidR="005470B9" w:rsidRPr="00036C3C" w:rsidRDefault="005470B9" w:rsidP="001806DD">
            <w:pPr>
              <w:spacing w:line="276" w:lineRule="auto"/>
              <w:ind w:firstLine="0"/>
              <w:rPr>
                <w:rFonts w:cs="Times New Roman"/>
              </w:rPr>
            </w:pPr>
            <w:r w:rsidRPr="00036C3C">
              <w:rPr>
                <w:rFonts w:cs="Times New Roman"/>
              </w:rPr>
              <w:t>(0.12)</w:t>
            </w:r>
          </w:p>
        </w:tc>
        <w:tc>
          <w:tcPr>
            <w:tcW w:w="1629" w:type="dxa"/>
          </w:tcPr>
          <w:p w14:paraId="2363CDDB" w14:textId="77777777" w:rsidR="005470B9" w:rsidRPr="00036C3C" w:rsidRDefault="005470B9" w:rsidP="001806DD">
            <w:pPr>
              <w:spacing w:line="276" w:lineRule="auto"/>
              <w:ind w:firstLine="0"/>
              <w:rPr>
                <w:rFonts w:cs="Times New Roman"/>
              </w:rPr>
            </w:pPr>
            <w:r w:rsidRPr="00036C3C">
              <w:rPr>
                <w:rFonts w:cs="Times New Roman"/>
              </w:rPr>
              <w:t>-0.42**</w:t>
            </w:r>
          </w:p>
          <w:p w14:paraId="46DD0B72" w14:textId="77777777" w:rsidR="005470B9" w:rsidRPr="00036C3C" w:rsidRDefault="005470B9" w:rsidP="001806DD">
            <w:pPr>
              <w:spacing w:line="276" w:lineRule="auto"/>
              <w:ind w:firstLine="0"/>
              <w:rPr>
                <w:rFonts w:cs="Times New Roman"/>
              </w:rPr>
            </w:pPr>
            <w:r w:rsidRPr="00036C3C">
              <w:rPr>
                <w:rFonts w:cs="Times New Roman"/>
              </w:rPr>
              <w:t>(0.11)</w:t>
            </w:r>
          </w:p>
        </w:tc>
      </w:tr>
      <w:tr w:rsidR="005470B9" w:rsidRPr="00036C3C" w14:paraId="53526D37" w14:textId="77777777" w:rsidTr="005470B9">
        <w:trPr>
          <w:trHeight w:val="593"/>
          <w:jc w:val="center"/>
        </w:trPr>
        <w:tc>
          <w:tcPr>
            <w:tcW w:w="2097" w:type="dxa"/>
          </w:tcPr>
          <w:p w14:paraId="71D7B15E" w14:textId="77777777" w:rsidR="005470B9" w:rsidRPr="00036C3C" w:rsidRDefault="005470B9" w:rsidP="001806DD">
            <w:pPr>
              <w:spacing w:line="276" w:lineRule="auto"/>
              <w:ind w:firstLine="0"/>
              <w:rPr>
                <w:rFonts w:cs="Times New Roman"/>
              </w:rPr>
            </w:pPr>
            <w:r w:rsidRPr="00036C3C">
              <w:rPr>
                <w:rFonts w:eastAsia="Calibri" w:cs="Times New Roman"/>
              </w:rPr>
              <w:t xml:space="preserve">Subj * Foreign </w:t>
            </w:r>
            <m:oMath>
              <m:r>
                <w:rPr>
                  <w:rFonts w:ascii="Cambria Math" w:eastAsia="Calibri" w:hAnsi="Cambria Math" w:cs="Times New Roman"/>
                </w:rPr>
                <m:t>(</m:t>
              </m:r>
              <m:sSub>
                <m:sSubPr>
                  <m:ctrlPr>
                    <w:rPr>
                      <w:rFonts w:ascii="Cambria Math" w:hAnsi="Cambria Math" w:cs="Times New Roman"/>
                    </w:rPr>
                  </m:ctrlPr>
                </m:sSubPr>
                <m:e>
                  <m:r>
                    <m:rPr>
                      <m:sty m:val="p"/>
                    </m:rPr>
                    <w:rPr>
                      <w:rFonts w:ascii="Cambria Math" w:hAnsi="Cambria Math" w:cs="Times New Roman"/>
                    </w:rPr>
                    <m:t>δ</m:t>
                  </m:r>
                </m:e>
                <m:sub>
                  <m:r>
                    <m:rPr>
                      <m:sty m:val="p"/>
                    </m:rPr>
                    <w:rPr>
                      <w:rFonts w:ascii="Cambria Math" w:hAnsi="Cambria Math" w:cs="Times New Roman"/>
                    </w:rPr>
                    <m:t>1</m:t>
                  </m:r>
                </m:sub>
              </m:sSub>
              <m:r>
                <w:rPr>
                  <w:rFonts w:ascii="Cambria Math" w:hAnsi="Cambria Math" w:cs="Times New Roman"/>
                </w:rPr>
                <m:t>)</m:t>
              </m:r>
            </m:oMath>
          </w:p>
        </w:tc>
        <w:tc>
          <w:tcPr>
            <w:tcW w:w="1940" w:type="dxa"/>
          </w:tcPr>
          <w:p w14:paraId="7ABC4E11" w14:textId="77777777" w:rsidR="005470B9" w:rsidRPr="00036C3C" w:rsidRDefault="005470B9" w:rsidP="001806DD">
            <w:pPr>
              <w:spacing w:line="276" w:lineRule="auto"/>
              <w:ind w:firstLine="0"/>
              <w:rPr>
                <w:rFonts w:cs="Times New Roman"/>
              </w:rPr>
            </w:pPr>
            <w:r w:rsidRPr="00036C3C">
              <w:rPr>
                <w:rFonts w:cs="Times New Roman"/>
              </w:rPr>
              <w:t>2.72**</w:t>
            </w:r>
          </w:p>
          <w:p w14:paraId="250BEA2C" w14:textId="77777777" w:rsidR="005470B9" w:rsidRPr="00036C3C" w:rsidRDefault="005470B9" w:rsidP="001806DD">
            <w:pPr>
              <w:spacing w:line="276" w:lineRule="auto"/>
              <w:ind w:firstLine="0"/>
              <w:rPr>
                <w:rFonts w:cs="Times New Roman"/>
              </w:rPr>
            </w:pPr>
            <w:r w:rsidRPr="00036C3C">
              <w:rPr>
                <w:rFonts w:cs="Times New Roman"/>
              </w:rPr>
              <w:t>(1.19)</w:t>
            </w:r>
          </w:p>
        </w:tc>
        <w:tc>
          <w:tcPr>
            <w:tcW w:w="1573" w:type="dxa"/>
          </w:tcPr>
          <w:p w14:paraId="55236789" w14:textId="77777777" w:rsidR="005470B9" w:rsidRPr="00036C3C" w:rsidRDefault="005470B9" w:rsidP="001806DD">
            <w:pPr>
              <w:spacing w:line="276" w:lineRule="auto"/>
              <w:ind w:firstLine="0"/>
              <w:rPr>
                <w:rFonts w:cs="Times New Roman"/>
              </w:rPr>
            </w:pPr>
            <w:r w:rsidRPr="00036C3C">
              <w:rPr>
                <w:rFonts w:cs="Times New Roman"/>
              </w:rPr>
              <w:t>2.82**</w:t>
            </w:r>
          </w:p>
          <w:p w14:paraId="4A47CC89" w14:textId="77777777" w:rsidR="005470B9" w:rsidRPr="00036C3C" w:rsidRDefault="005470B9" w:rsidP="001806DD">
            <w:pPr>
              <w:spacing w:line="276" w:lineRule="auto"/>
              <w:ind w:firstLine="0"/>
              <w:rPr>
                <w:rFonts w:cs="Times New Roman"/>
              </w:rPr>
            </w:pPr>
            <w:r w:rsidRPr="00036C3C">
              <w:rPr>
                <w:rFonts w:cs="Times New Roman"/>
              </w:rPr>
              <w:t>(1.14)</w:t>
            </w:r>
          </w:p>
        </w:tc>
        <w:tc>
          <w:tcPr>
            <w:tcW w:w="2160" w:type="dxa"/>
          </w:tcPr>
          <w:p w14:paraId="7060F577" w14:textId="77777777" w:rsidR="005470B9" w:rsidRPr="00036C3C" w:rsidRDefault="005470B9" w:rsidP="001806DD">
            <w:pPr>
              <w:spacing w:line="276" w:lineRule="auto"/>
              <w:ind w:firstLine="0"/>
              <w:rPr>
                <w:rFonts w:cs="Times New Roman"/>
              </w:rPr>
            </w:pPr>
            <w:r w:rsidRPr="00036C3C">
              <w:rPr>
                <w:rFonts w:cs="Times New Roman"/>
              </w:rPr>
              <w:t>1.66***</w:t>
            </w:r>
          </w:p>
          <w:p w14:paraId="52B5CA72" w14:textId="77777777" w:rsidR="005470B9" w:rsidRPr="00036C3C" w:rsidRDefault="005470B9" w:rsidP="001806DD">
            <w:pPr>
              <w:spacing w:line="276" w:lineRule="auto"/>
              <w:ind w:firstLine="0"/>
              <w:rPr>
                <w:rFonts w:cs="Times New Roman"/>
              </w:rPr>
            </w:pPr>
            <w:r w:rsidRPr="00036C3C">
              <w:rPr>
                <w:rFonts w:cs="Times New Roman"/>
              </w:rPr>
              <w:t>(0.39)</w:t>
            </w:r>
          </w:p>
        </w:tc>
        <w:tc>
          <w:tcPr>
            <w:tcW w:w="1629" w:type="dxa"/>
          </w:tcPr>
          <w:p w14:paraId="232446C4" w14:textId="77777777" w:rsidR="005470B9" w:rsidRPr="00036C3C" w:rsidRDefault="005470B9" w:rsidP="001806DD">
            <w:pPr>
              <w:spacing w:line="276" w:lineRule="auto"/>
              <w:ind w:firstLine="0"/>
              <w:rPr>
                <w:rFonts w:cs="Times New Roman"/>
              </w:rPr>
            </w:pPr>
            <w:r w:rsidRPr="00036C3C">
              <w:rPr>
                <w:rFonts w:cs="Times New Roman"/>
              </w:rPr>
              <w:t>1.66***</w:t>
            </w:r>
          </w:p>
          <w:p w14:paraId="41BB8E64" w14:textId="77777777" w:rsidR="005470B9" w:rsidRPr="00036C3C" w:rsidRDefault="005470B9" w:rsidP="001806DD">
            <w:pPr>
              <w:spacing w:line="276" w:lineRule="auto"/>
              <w:ind w:firstLine="0"/>
              <w:rPr>
                <w:rFonts w:cs="Times New Roman"/>
              </w:rPr>
            </w:pPr>
            <w:r w:rsidRPr="00036C3C">
              <w:rPr>
                <w:rFonts w:cs="Times New Roman"/>
              </w:rPr>
              <w:t>(0.38)</w:t>
            </w:r>
          </w:p>
        </w:tc>
      </w:tr>
      <w:tr w:rsidR="005470B9" w:rsidRPr="00036C3C" w14:paraId="779A1093" w14:textId="77777777" w:rsidTr="005470B9">
        <w:trPr>
          <w:trHeight w:val="611"/>
          <w:jc w:val="center"/>
        </w:trPr>
        <w:tc>
          <w:tcPr>
            <w:tcW w:w="2097" w:type="dxa"/>
          </w:tcPr>
          <w:p w14:paraId="1C34BD7C" w14:textId="77777777" w:rsidR="005470B9" w:rsidRPr="00036C3C" w:rsidRDefault="005470B9" w:rsidP="001806DD">
            <w:pPr>
              <w:spacing w:line="276" w:lineRule="auto"/>
              <w:ind w:firstLine="0"/>
              <w:rPr>
                <w:rFonts w:eastAsia="Calibri" w:cs="Times New Roman"/>
              </w:rPr>
            </w:pPr>
            <w:r w:rsidRPr="00036C3C">
              <w:rPr>
                <w:rFonts w:eastAsia="Calibri" w:cs="Times New Roman"/>
              </w:rPr>
              <w:t>Subj * Controversial  (</w:t>
            </w:r>
            <m:oMath>
              <m:sSub>
                <m:sSubPr>
                  <m:ctrlPr>
                    <w:rPr>
                      <w:rFonts w:ascii="Cambria Math" w:hAnsi="Cambria Math" w:cs="Times New Roman"/>
                    </w:rPr>
                  </m:ctrlPr>
                </m:sSubPr>
                <m:e>
                  <m:r>
                    <m:rPr>
                      <m:sty m:val="p"/>
                    </m:rPr>
                    <w:rPr>
                      <w:rFonts w:ascii="Cambria Math" w:hAnsi="Cambria Math" w:cs="Times New Roman"/>
                    </w:rPr>
                    <m:t>δ</m:t>
                  </m:r>
                </m:e>
                <m:sub>
                  <m:r>
                    <w:rPr>
                      <w:rFonts w:ascii="Cambria Math" w:hAnsi="Cambria Math" w:cs="Times New Roman"/>
                    </w:rPr>
                    <m:t>2</m:t>
                  </m:r>
                </m:sub>
              </m:sSub>
              <m:r>
                <w:rPr>
                  <w:rFonts w:ascii="Cambria Math" w:hAnsi="Cambria Math" w:cs="Times New Roman"/>
                </w:rPr>
                <m:t>)</m:t>
              </m:r>
            </m:oMath>
          </w:p>
        </w:tc>
        <w:tc>
          <w:tcPr>
            <w:tcW w:w="1940" w:type="dxa"/>
          </w:tcPr>
          <w:p w14:paraId="2E56041B" w14:textId="77777777" w:rsidR="005470B9" w:rsidRPr="00036C3C" w:rsidRDefault="005470B9" w:rsidP="001806DD">
            <w:pPr>
              <w:spacing w:line="276" w:lineRule="auto"/>
              <w:ind w:firstLine="0"/>
              <w:rPr>
                <w:rFonts w:cs="Times New Roman"/>
              </w:rPr>
            </w:pPr>
            <w:r w:rsidRPr="00036C3C">
              <w:rPr>
                <w:rFonts w:cs="Times New Roman"/>
              </w:rPr>
              <w:t>-2.88***0</w:t>
            </w:r>
          </w:p>
          <w:p w14:paraId="34E85348" w14:textId="77777777" w:rsidR="005470B9" w:rsidRPr="00036C3C" w:rsidRDefault="005470B9" w:rsidP="001806DD">
            <w:pPr>
              <w:spacing w:line="276" w:lineRule="auto"/>
              <w:ind w:firstLine="0"/>
              <w:rPr>
                <w:rFonts w:cs="Times New Roman"/>
              </w:rPr>
            </w:pPr>
            <w:r w:rsidRPr="00036C3C">
              <w:rPr>
                <w:rFonts w:cs="Times New Roman"/>
              </w:rPr>
              <w:t>(0.45)</w:t>
            </w:r>
          </w:p>
        </w:tc>
        <w:tc>
          <w:tcPr>
            <w:tcW w:w="1573" w:type="dxa"/>
          </w:tcPr>
          <w:p w14:paraId="4FCFB1F8" w14:textId="77777777" w:rsidR="005470B9" w:rsidRPr="00036C3C" w:rsidRDefault="005470B9" w:rsidP="001806DD">
            <w:pPr>
              <w:spacing w:line="276" w:lineRule="auto"/>
              <w:ind w:firstLine="0"/>
              <w:rPr>
                <w:rFonts w:cs="Times New Roman"/>
              </w:rPr>
            </w:pPr>
            <w:r w:rsidRPr="00036C3C">
              <w:rPr>
                <w:rFonts w:cs="Times New Roman"/>
              </w:rPr>
              <w:t>-3.08***</w:t>
            </w:r>
          </w:p>
          <w:p w14:paraId="6DEB5580" w14:textId="77777777" w:rsidR="005470B9" w:rsidRPr="00036C3C" w:rsidRDefault="005470B9" w:rsidP="001806DD">
            <w:pPr>
              <w:spacing w:line="276" w:lineRule="auto"/>
              <w:ind w:firstLine="0"/>
              <w:rPr>
                <w:rFonts w:cs="Times New Roman"/>
              </w:rPr>
            </w:pPr>
            <w:r w:rsidRPr="00036C3C">
              <w:rPr>
                <w:rFonts w:cs="Times New Roman"/>
              </w:rPr>
              <w:t>(0.44)</w:t>
            </w:r>
          </w:p>
        </w:tc>
        <w:tc>
          <w:tcPr>
            <w:tcW w:w="2160" w:type="dxa"/>
          </w:tcPr>
          <w:p w14:paraId="326FC6EF" w14:textId="77777777" w:rsidR="005470B9" w:rsidRPr="00036C3C" w:rsidRDefault="005470B9" w:rsidP="001806DD">
            <w:pPr>
              <w:spacing w:line="276" w:lineRule="auto"/>
              <w:ind w:firstLine="0"/>
              <w:rPr>
                <w:rFonts w:cs="Times New Roman"/>
              </w:rPr>
            </w:pPr>
            <w:r w:rsidRPr="00036C3C">
              <w:rPr>
                <w:rFonts w:cs="Times New Roman"/>
              </w:rPr>
              <w:t>-0.94***</w:t>
            </w:r>
          </w:p>
          <w:p w14:paraId="052F8496" w14:textId="77777777" w:rsidR="005470B9" w:rsidRPr="00036C3C" w:rsidRDefault="005470B9" w:rsidP="001806DD">
            <w:pPr>
              <w:spacing w:line="276" w:lineRule="auto"/>
              <w:ind w:firstLine="0"/>
              <w:rPr>
                <w:rFonts w:cs="Times New Roman"/>
              </w:rPr>
            </w:pPr>
            <w:r w:rsidRPr="00036C3C">
              <w:rPr>
                <w:rFonts w:cs="Times New Roman"/>
              </w:rPr>
              <w:t>(0.16)</w:t>
            </w:r>
          </w:p>
        </w:tc>
        <w:tc>
          <w:tcPr>
            <w:tcW w:w="1629" w:type="dxa"/>
          </w:tcPr>
          <w:p w14:paraId="0AFE2618" w14:textId="77777777" w:rsidR="005470B9" w:rsidRPr="00036C3C" w:rsidRDefault="005470B9" w:rsidP="001806DD">
            <w:pPr>
              <w:spacing w:line="276" w:lineRule="auto"/>
              <w:ind w:firstLine="0"/>
              <w:rPr>
                <w:rFonts w:cs="Times New Roman"/>
              </w:rPr>
            </w:pPr>
            <w:r w:rsidRPr="00036C3C">
              <w:rPr>
                <w:rFonts w:cs="Times New Roman"/>
              </w:rPr>
              <w:t>-0.92***</w:t>
            </w:r>
          </w:p>
          <w:p w14:paraId="530811A7" w14:textId="77777777" w:rsidR="005470B9" w:rsidRPr="00036C3C" w:rsidRDefault="005470B9" w:rsidP="001806DD">
            <w:pPr>
              <w:spacing w:line="276" w:lineRule="auto"/>
              <w:ind w:firstLine="0"/>
              <w:rPr>
                <w:rFonts w:cs="Times New Roman"/>
              </w:rPr>
            </w:pPr>
            <w:r w:rsidRPr="00036C3C">
              <w:rPr>
                <w:rFonts w:cs="Times New Roman"/>
              </w:rPr>
              <w:t>(0.17)</w:t>
            </w:r>
          </w:p>
        </w:tc>
      </w:tr>
      <w:tr w:rsidR="005470B9" w:rsidRPr="00036C3C" w14:paraId="1B483332" w14:textId="77777777" w:rsidTr="005470B9">
        <w:trPr>
          <w:trHeight w:val="350"/>
          <w:jc w:val="center"/>
        </w:trPr>
        <w:tc>
          <w:tcPr>
            <w:tcW w:w="2097" w:type="dxa"/>
          </w:tcPr>
          <w:p w14:paraId="6C7AE098" w14:textId="77777777" w:rsidR="005470B9" w:rsidRPr="00036C3C" w:rsidRDefault="005470B9" w:rsidP="001806DD">
            <w:pPr>
              <w:spacing w:line="276" w:lineRule="auto"/>
              <w:ind w:firstLine="0"/>
              <w:rPr>
                <w:rFonts w:eastAsia="Calibri" w:cs="Times New Roman"/>
              </w:rPr>
            </w:pPr>
            <w:r w:rsidRPr="00036C3C">
              <w:rPr>
                <w:rFonts w:eastAsia="Calibri" w:cs="Times New Roman"/>
              </w:rPr>
              <w:t>Polynomial in PAT</w:t>
            </w:r>
          </w:p>
        </w:tc>
        <w:tc>
          <w:tcPr>
            <w:tcW w:w="1940" w:type="dxa"/>
          </w:tcPr>
          <w:p w14:paraId="41071789" w14:textId="77777777" w:rsidR="005470B9" w:rsidRPr="00036C3C" w:rsidRDefault="005470B9" w:rsidP="001806DD">
            <w:pPr>
              <w:spacing w:line="276" w:lineRule="auto"/>
              <w:ind w:firstLine="0"/>
              <w:rPr>
                <w:rFonts w:cs="Times New Roman"/>
              </w:rPr>
            </w:pPr>
            <w:r w:rsidRPr="00036C3C">
              <w:rPr>
                <w:rFonts w:cs="Times New Roman"/>
              </w:rPr>
              <w:t>No</w:t>
            </w:r>
          </w:p>
        </w:tc>
        <w:tc>
          <w:tcPr>
            <w:tcW w:w="1573" w:type="dxa"/>
          </w:tcPr>
          <w:p w14:paraId="481EC766" w14:textId="77777777" w:rsidR="005470B9" w:rsidRPr="00036C3C" w:rsidRDefault="005470B9" w:rsidP="001806DD">
            <w:pPr>
              <w:spacing w:line="276" w:lineRule="auto"/>
              <w:ind w:firstLine="0"/>
              <w:rPr>
                <w:rFonts w:cs="Times New Roman"/>
              </w:rPr>
            </w:pPr>
            <w:r w:rsidRPr="00036C3C">
              <w:rPr>
                <w:rFonts w:cs="Times New Roman"/>
              </w:rPr>
              <w:t>No</w:t>
            </w:r>
          </w:p>
        </w:tc>
        <w:tc>
          <w:tcPr>
            <w:tcW w:w="2160" w:type="dxa"/>
          </w:tcPr>
          <w:p w14:paraId="73355F9C" w14:textId="77777777" w:rsidR="005470B9" w:rsidRPr="00036C3C" w:rsidRDefault="005470B9" w:rsidP="001806DD">
            <w:pPr>
              <w:spacing w:line="276" w:lineRule="auto"/>
              <w:ind w:firstLine="0"/>
              <w:rPr>
                <w:rFonts w:cs="Times New Roman"/>
              </w:rPr>
            </w:pPr>
            <w:r w:rsidRPr="00036C3C">
              <w:rPr>
                <w:rFonts w:cs="Times New Roman"/>
              </w:rPr>
              <w:t>Yes</w:t>
            </w:r>
          </w:p>
        </w:tc>
        <w:tc>
          <w:tcPr>
            <w:tcW w:w="1629" w:type="dxa"/>
          </w:tcPr>
          <w:p w14:paraId="61A1E7D8" w14:textId="77777777" w:rsidR="005470B9" w:rsidRPr="00036C3C" w:rsidRDefault="005470B9" w:rsidP="001806DD">
            <w:pPr>
              <w:spacing w:line="276" w:lineRule="auto"/>
              <w:ind w:firstLine="0"/>
              <w:rPr>
                <w:rFonts w:cs="Times New Roman"/>
              </w:rPr>
            </w:pPr>
            <w:r w:rsidRPr="00036C3C">
              <w:rPr>
                <w:rFonts w:cs="Times New Roman"/>
              </w:rPr>
              <w:t>Yes</w:t>
            </w:r>
          </w:p>
        </w:tc>
      </w:tr>
      <w:tr w:rsidR="005470B9" w:rsidRPr="00036C3C" w14:paraId="513BA795" w14:textId="77777777" w:rsidTr="005470B9">
        <w:trPr>
          <w:trHeight w:val="350"/>
          <w:jc w:val="center"/>
        </w:trPr>
        <w:tc>
          <w:tcPr>
            <w:tcW w:w="2097" w:type="dxa"/>
          </w:tcPr>
          <w:p w14:paraId="3BE0C3F4" w14:textId="77777777" w:rsidR="005470B9" w:rsidRPr="00036C3C" w:rsidRDefault="005470B9" w:rsidP="001806DD">
            <w:pPr>
              <w:spacing w:line="276" w:lineRule="auto"/>
              <w:ind w:firstLine="0"/>
              <w:rPr>
                <w:rFonts w:eastAsia="Calibri" w:cs="Times New Roman"/>
              </w:rPr>
            </w:pPr>
            <w:r w:rsidRPr="00036C3C">
              <w:rPr>
                <w:rFonts w:eastAsia="Calibri" w:cs="Times New Roman"/>
              </w:rPr>
              <w:t>Observations</w:t>
            </w:r>
          </w:p>
        </w:tc>
        <w:tc>
          <w:tcPr>
            <w:tcW w:w="1940" w:type="dxa"/>
          </w:tcPr>
          <w:p w14:paraId="38CA49B9" w14:textId="77777777" w:rsidR="005470B9" w:rsidRPr="00036C3C" w:rsidRDefault="005470B9" w:rsidP="001806DD">
            <w:pPr>
              <w:spacing w:line="276" w:lineRule="auto"/>
              <w:ind w:firstLine="0"/>
              <w:rPr>
                <w:rFonts w:cs="Times New Roman"/>
              </w:rPr>
            </w:pPr>
            <w:r w:rsidRPr="00036C3C">
              <w:rPr>
                <w:rFonts w:cs="Times New Roman"/>
              </w:rPr>
              <w:t>185</w:t>
            </w:r>
          </w:p>
        </w:tc>
        <w:tc>
          <w:tcPr>
            <w:tcW w:w="1573" w:type="dxa"/>
          </w:tcPr>
          <w:p w14:paraId="437B0F21" w14:textId="77777777" w:rsidR="005470B9" w:rsidRPr="00036C3C" w:rsidRDefault="005470B9" w:rsidP="001806DD">
            <w:pPr>
              <w:spacing w:line="276" w:lineRule="auto"/>
              <w:ind w:firstLine="0"/>
              <w:rPr>
                <w:rFonts w:cs="Times New Roman"/>
              </w:rPr>
            </w:pPr>
            <w:r w:rsidRPr="00036C3C">
              <w:rPr>
                <w:rFonts w:cs="Times New Roman"/>
              </w:rPr>
              <w:t>198</w:t>
            </w:r>
          </w:p>
        </w:tc>
        <w:tc>
          <w:tcPr>
            <w:tcW w:w="2160" w:type="dxa"/>
          </w:tcPr>
          <w:p w14:paraId="1C74114F" w14:textId="77777777" w:rsidR="005470B9" w:rsidRPr="00036C3C" w:rsidRDefault="005470B9" w:rsidP="001806DD">
            <w:pPr>
              <w:spacing w:line="276" w:lineRule="auto"/>
              <w:ind w:firstLine="0"/>
              <w:rPr>
                <w:rFonts w:cs="Times New Roman"/>
              </w:rPr>
            </w:pPr>
            <w:r w:rsidRPr="00036C3C">
              <w:rPr>
                <w:rFonts w:cs="Times New Roman"/>
              </w:rPr>
              <w:t>1531</w:t>
            </w:r>
          </w:p>
        </w:tc>
        <w:tc>
          <w:tcPr>
            <w:tcW w:w="1629" w:type="dxa"/>
          </w:tcPr>
          <w:p w14:paraId="2BC8CBB5" w14:textId="77777777" w:rsidR="005470B9" w:rsidRPr="00036C3C" w:rsidRDefault="005470B9" w:rsidP="001806DD">
            <w:pPr>
              <w:spacing w:line="276" w:lineRule="auto"/>
              <w:ind w:firstLine="0"/>
              <w:rPr>
                <w:rFonts w:cs="Times New Roman"/>
              </w:rPr>
            </w:pPr>
            <w:r w:rsidRPr="00036C3C">
              <w:rPr>
                <w:rFonts w:cs="Times New Roman"/>
              </w:rPr>
              <w:t>1526</w:t>
            </w:r>
          </w:p>
        </w:tc>
      </w:tr>
    </w:tbl>
    <w:p w14:paraId="7898EE3F" w14:textId="77777777" w:rsidR="00EB1E2E" w:rsidRPr="00036C3C" w:rsidRDefault="00EB1E2E" w:rsidP="00EB1E2E">
      <w:pPr>
        <w:spacing w:after="240" w:line="240" w:lineRule="auto"/>
        <w:ind w:right="-1077"/>
        <w:jc w:val="both"/>
        <w:rPr>
          <w:rFonts w:ascii="Times New Roman" w:hAnsi="Times New Roman" w:cs="Times New Roman"/>
          <w:sz w:val="24"/>
          <w:szCs w:val="24"/>
        </w:rPr>
      </w:pPr>
    </w:p>
    <w:p w14:paraId="64D27333" w14:textId="27E69108" w:rsidR="00EB1E2E" w:rsidRPr="008D53DE" w:rsidRDefault="000D124D" w:rsidP="00036C3C">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EB1E2E" w:rsidRPr="00036C3C">
        <w:rPr>
          <w:rFonts w:ascii="Times New Roman" w:hAnsi="Times New Roman" w:cs="Times New Roman"/>
          <w:sz w:val="24"/>
          <w:szCs w:val="24"/>
        </w:rPr>
        <w:t>Foreign is a binary variable that takes the value 1 for firms with foreign ownership and 0 for firms with domestic ownership. Controversial is also a binary variable that takes value 1 for firms located in industries with high social and environmental impact and 0 for firms</w:t>
      </w:r>
      <w:r w:rsidR="00B65C45">
        <w:rPr>
          <w:rFonts w:ascii="Times New Roman" w:hAnsi="Times New Roman" w:cs="Times New Roman"/>
          <w:sz w:val="24"/>
          <w:szCs w:val="24"/>
        </w:rPr>
        <w:t xml:space="preserve"> in other sectors</w:t>
      </w:r>
      <w:r w:rsidR="00EB1E2E" w:rsidRPr="00036C3C">
        <w:rPr>
          <w:rFonts w:ascii="Times New Roman" w:hAnsi="Times New Roman" w:cs="Times New Roman"/>
          <w:sz w:val="24"/>
          <w:szCs w:val="24"/>
        </w:rPr>
        <w:t xml:space="preserve">. The terms (Subj*Foreign) and (Subj*Controversial) are difference in differences measures of the moderating effect of the proposed CSR mandate on foreign and controversial </w:t>
      </w:r>
      <w:r w:rsidR="00B65C45">
        <w:rPr>
          <w:rFonts w:ascii="Times New Roman" w:hAnsi="Times New Roman" w:cs="Times New Roman"/>
          <w:sz w:val="24"/>
          <w:szCs w:val="24"/>
        </w:rPr>
        <w:t xml:space="preserve">sector </w:t>
      </w:r>
      <w:r w:rsidR="00EB1E2E" w:rsidRPr="00036C3C">
        <w:rPr>
          <w:rFonts w:ascii="Times New Roman" w:hAnsi="Times New Roman" w:cs="Times New Roman"/>
          <w:sz w:val="24"/>
          <w:szCs w:val="24"/>
        </w:rPr>
        <w:t>firms. Robust standard errors are in parenthesis and clustered at the industry level. *, **, and *** denote significance at 10%, 5%, and 1% level, respectively</w:t>
      </w:r>
      <w:r w:rsidR="00203FA4" w:rsidRPr="00036C3C">
        <w:rPr>
          <w:rFonts w:ascii="Times New Roman" w:hAnsi="Times New Roman" w:cs="Times New Roman"/>
          <w:sz w:val="24"/>
          <w:szCs w:val="24"/>
        </w:rPr>
        <w:t>.</w:t>
      </w:r>
    </w:p>
    <w:sectPr w:rsidR="00EB1E2E" w:rsidRPr="008D53DE" w:rsidSect="005979A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C6DB" w14:textId="77777777" w:rsidR="002F4C4D" w:rsidRDefault="002F4C4D" w:rsidP="00AD562A">
      <w:pPr>
        <w:spacing w:after="0" w:line="240" w:lineRule="auto"/>
      </w:pPr>
      <w:r>
        <w:separator/>
      </w:r>
    </w:p>
  </w:endnote>
  <w:endnote w:type="continuationSeparator" w:id="0">
    <w:p w14:paraId="1CF9CFDC" w14:textId="77777777" w:rsidR="002F4C4D" w:rsidRDefault="002F4C4D" w:rsidP="00AD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857827"/>
      <w:docPartObj>
        <w:docPartGallery w:val="Page Numbers (Bottom of Page)"/>
        <w:docPartUnique/>
      </w:docPartObj>
    </w:sdtPr>
    <w:sdtEndPr>
      <w:rPr>
        <w:noProof/>
      </w:rPr>
    </w:sdtEndPr>
    <w:sdtContent>
      <w:p w14:paraId="040A5AAB" w14:textId="600AA1F6" w:rsidR="00F263C4" w:rsidRDefault="00F263C4">
        <w:pPr>
          <w:pStyle w:val="Footer"/>
          <w:jc w:val="right"/>
        </w:pPr>
        <w:r>
          <w:fldChar w:fldCharType="begin"/>
        </w:r>
        <w:r>
          <w:instrText xml:space="preserve"> PAGE   \* MERGEFORMAT </w:instrText>
        </w:r>
        <w:r>
          <w:fldChar w:fldCharType="separate"/>
        </w:r>
        <w:r w:rsidR="0061326A">
          <w:rPr>
            <w:noProof/>
          </w:rPr>
          <w:t>1</w:t>
        </w:r>
        <w:r>
          <w:rPr>
            <w:noProof/>
          </w:rPr>
          <w:fldChar w:fldCharType="end"/>
        </w:r>
      </w:p>
    </w:sdtContent>
  </w:sdt>
  <w:p w14:paraId="3833D402" w14:textId="77777777" w:rsidR="00F263C4" w:rsidRDefault="00F2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E7E6" w14:textId="77777777" w:rsidR="002F4C4D" w:rsidRDefault="002F4C4D" w:rsidP="00AD562A">
      <w:pPr>
        <w:spacing w:after="0" w:line="240" w:lineRule="auto"/>
      </w:pPr>
      <w:r>
        <w:separator/>
      </w:r>
    </w:p>
  </w:footnote>
  <w:footnote w:type="continuationSeparator" w:id="0">
    <w:p w14:paraId="1279E4C4" w14:textId="77777777" w:rsidR="002F4C4D" w:rsidRDefault="002F4C4D" w:rsidP="00AD56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6B1"/>
    <w:multiLevelType w:val="multilevel"/>
    <w:tmpl w:val="DB84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46C0A"/>
    <w:multiLevelType w:val="hybridMultilevel"/>
    <w:tmpl w:val="842E7FF4"/>
    <w:lvl w:ilvl="0" w:tplc="26C4768C">
      <w:start w:val="1"/>
      <w:numFmt w:val="decimal"/>
      <w:lvlText w:val="%1."/>
      <w:lvlJc w:val="left"/>
      <w:pPr>
        <w:ind w:left="720" w:hanging="360"/>
      </w:pPr>
      <w:rPr>
        <w:rFonts w:ascii="Times New Roman" w:eastAsia="Times New Roman" w:hAnsi="Times New Roman" w:cs="Times New Roman"/>
        <w:b w:val="0"/>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2MDE0MDA3szA1NTFX0lEKTi0uzszPAykwrAUAwE2KNSwAAAA="/>
  </w:docVars>
  <w:rsids>
    <w:rsidRoot w:val="00A8026F"/>
    <w:rsid w:val="00006974"/>
    <w:rsid w:val="0001327D"/>
    <w:rsid w:val="000174EB"/>
    <w:rsid w:val="00023A8A"/>
    <w:rsid w:val="00024500"/>
    <w:rsid w:val="00026801"/>
    <w:rsid w:val="00034DD5"/>
    <w:rsid w:val="0003571E"/>
    <w:rsid w:val="00036134"/>
    <w:rsid w:val="00036C3C"/>
    <w:rsid w:val="00041590"/>
    <w:rsid w:val="0004286E"/>
    <w:rsid w:val="000512F5"/>
    <w:rsid w:val="0005637E"/>
    <w:rsid w:val="00061898"/>
    <w:rsid w:val="00072F0A"/>
    <w:rsid w:val="00073B08"/>
    <w:rsid w:val="000834B6"/>
    <w:rsid w:val="0008438D"/>
    <w:rsid w:val="0008768C"/>
    <w:rsid w:val="00087821"/>
    <w:rsid w:val="000908CA"/>
    <w:rsid w:val="00094E15"/>
    <w:rsid w:val="000A5909"/>
    <w:rsid w:val="000A5C23"/>
    <w:rsid w:val="000A63E5"/>
    <w:rsid w:val="000B783C"/>
    <w:rsid w:val="000C03ED"/>
    <w:rsid w:val="000C0589"/>
    <w:rsid w:val="000C08A7"/>
    <w:rsid w:val="000D124D"/>
    <w:rsid w:val="000D18EA"/>
    <w:rsid w:val="000E40BA"/>
    <w:rsid w:val="000E4DAB"/>
    <w:rsid w:val="000E4DE5"/>
    <w:rsid w:val="000F050A"/>
    <w:rsid w:val="001056E1"/>
    <w:rsid w:val="00105B7B"/>
    <w:rsid w:val="00111AA6"/>
    <w:rsid w:val="00112907"/>
    <w:rsid w:val="00115B14"/>
    <w:rsid w:val="00120755"/>
    <w:rsid w:val="0012727E"/>
    <w:rsid w:val="001368F1"/>
    <w:rsid w:val="00137B25"/>
    <w:rsid w:val="001403ED"/>
    <w:rsid w:val="00142757"/>
    <w:rsid w:val="00146CDB"/>
    <w:rsid w:val="001514D3"/>
    <w:rsid w:val="0015294A"/>
    <w:rsid w:val="00157502"/>
    <w:rsid w:val="00161075"/>
    <w:rsid w:val="001704B1"/>
    <w:rsid w:val="00170C0B"/>
    <w:rsid w:val="00172B9C"/>
    <w:rsid w:val="00177040"/>
    <w:rsid w:val="001806DD"/>
    <w:rsid w:val="00181B94"/>
    <w:rsid w:val="0019363B"/>
    <w:rsid w:val="001A25E8"/>
    <w:rsid w:val="001A33DD"/>
    <w:rsid w:val="001B31C8"/>
    <w:rsid w:val="001B4ECA"/>
    <w:rsid w:val="001E16A4"/>
    <w:rsid w:val="001E48B9"/>
    <w:rsid w:val="001F1B61"/>
    <w:rsid w:val="0020143B"/>
    <w:rsid w:val="002018FE"/>
    <w:rsid w:val="00203FA4"/>
    <w:rsid w:val="0020673C"/>
    <w:rsid w:val="00211F5C"/>
    <w:rsid w:val="00214060"/>
    <w:rsid w:val="00226FC8"/>
    <w:rsid w:val="0022768E"/>
    <w:rsid w:val="002326DE"/>
    <w:rsid w:val="00233B4C"/>
    <w:rsid w:val="00233CE6"/>
    <w:rsid w:val="00236276"/>
    <w:rsid w:val="00236372"/>
    <w:rsid w:val="0024162D"/>
    <w:rsid w:val="0024294C"/>
    <w:rsid w:val="00242AA1"/>
    <w:rsid w:val="002503AA"/>
    <w:rsid w:val="0025574D"/>
    <w:rsid w:val="00256ECE"/>
    <w:rsid w:val="00262A7E"/>
    <w:rsid w:val="00264908"/>
    <w:rsid w:val="00267CFE"/>
    <w:rsid w:val="00270152"/>
    <w:rsid w:val="00275A6A"/>
    <w:rsid w:val="00280981"/>
    <w:rsid w:val="002904E6"/>
    <w:rsid w:val="002C6C5E"/>
    <w:rsid w:val="002E0738"/>
    <w:rsid w:val="002E3ADF"/>
    <w:rsid w:val="002E72DA"/>
    <w:rsid w:val="002F4C4D"/>
    <w:rsid w:val="002F7414"/>
    <w:rsid w:val="00300E34"/>
    <w:rsid w:val="0030354B"/>
    <w:rsid w:val="003169D5"/>
    <w:rsid w:val="00320933"/>
    <w:rsid w:val="003270AB"/>
    <w:rsid w:val="00330775"/>
    <w:rsid w:val="0033112B"/>
    <w:rsid w:val="003428F9"/>
    <w:rsid w:val="00342FB5"/>
    <w:rsid w:val="00350027"/>
    <w:rsid w:val="00350700"/>
    <w:rsid w:val="0035532C"/>
    <w:rsid w:val="00366B17"/>
    <w:rsid w:val="003941CA"/>
    <w:rsid w:val="00394F09"/>
    <w:rsid w:val="003A4E86"/>
    <w:rsid w:val="003A7DB1"/>
    <w:rsid w:val="003B1E5A"/>
    <w:rsid w:val="003B31A7"/>
    <w:rsid w:val="003B79BF"/>
    <w:rsid w:val="003C1281"/>
    <w:rsid w:val="003C15A5"/>
    <w:rsid w:val="003D3B78"/>
    <w:rsid w:val="003D6B6A"/>
    <w:rsid w:val="003E0C79"/>
    <w:rsid w:val="003E20BB"/>
    <w:rsid w:val="003E45FB"/>
    <w:rsid w:val="003E4B8D"/>
    <w:rsid w:val="003E6723"/>
    <w:rsid w:val="003F00EF"/>
    <w:rsid w:val="003F035E"/>
    <w:rsid w:val="003F297E"/>
    <w:rsid w:val="003F4FE5"/>
    <w:rsid w:val="003F6A9F"/>
    <w:rsid w:val="00402AD0"/>
    <w:rsid w:val="00424210"/>
    <w:rsid w:val="00426199"/>
    <w:rsid w:val="0043038E"/>
    <w:rsid w:val="00433B60"/>
    <w:rsid w:val="00444BC6"/>
    <w:rsid w:val="0045130F"/>
    <w:rsid w:val="00453143"/>
    <w:rsid w:val="00454691"/>
    <w:rsid w:val="00457BC2"/>
    <w:rsid w:val="00457C4C"/>
    <w:rsid w:val="0046538C"/>
    <w:rsid w:val="004667AE"/>
    <w:rsid w:val="00467698"/>
    <w:rsid w:val="00472F2F"/>
    <w:rsid w:val="00486728"/>
    <w:rsid w:val="0049033F"/>
    <w:rsid w:val="00490628"/>
    <w:rsid w:val="004934A9"/>
    <w:rsid w:val="004A03DE"/>
    <w:rsid w:val="004A2036"/>
    <w:rsid w:val="004B5686"/>
    <w:rsid w:val="004B641F"/>
    <w:rsid w:val="004C448D"/>
    <w:rsid w:val="004C48FB"/>
    <w:rsid w:val="004D0055"/>
    <w:rsid w:val="004D451D"/>
    <w:rsid w:val="004E115C"/>
    <w:rsid w:val="004E3E50"/>
    <w:rsid w:val="004E43DF"/>
    <w:rsid w:val="004F0511"/>
    <w:rsid w:val="004F0B61"/>
    <w:rsid w:val="004F4CC8"/>
    <w:rsid w:val="005024B9"/>
    <w:rsid w:val="00507FD7"/>
    <w:rsid w:val="00513D2A"/>
    <w:rsid w:val="00515A6D"/>
    <w:rsid w:val="00521EBC"/>
    <w:rsid w:val="00522452"/>
    <w:rsid w:val="00523018"/>
    <w:rsid w:val="005359B6"/>
    <w:rsid w:val="0053622D"/>
    <w:rsid w:val="00546C98"/>
    <w:rsid w:val="00546D3D"/>
    <w:rsid w:val="005470B9"/>
    <w:rsid w:val="00550674"/>
    <w:rsid w:val="00560A4A"/>
    <w:rsid w:val="0057582A"/>
    <w:rsid w:val="00576A71"/>
    <w:rsid w:val="005832C8"/>
    <w:rsid w:val="0058435F"/>
    <w:rsid w:val="00586C7D"/>
    <w:rsid w:val="00587456"/>
    <w:rsid w:val="005970B7"/>
    <w:rsid w:val="00597829"/>
    <w:rsid w:val="005979A7"/>
    <w:rsid w:val="005A3227"/>
    <w:rsid w:val="005A6991"/>
    <w:rsid w:val="005A7A13"/>
    <w:rsid w:val="005B17F3"/>
    <w:rsid w:val="005B4732"/>
    <w:rsid w:val="005B626D"/>
    <w:rsid w:val="005C31B5"/>
    <w:rsid w:val="005C3FA2"/>
    <w:rsid w:val="005C40BA"/>
    <w:rsid w:val="005D3A2D"/>
    <w:rsid w:val="005D43D8"/>
    <w:rsid w:val="005D6556"/>
    <w:rsid w:val="005D73A3"/>
    <w:rsid w:val="00602B90"/>
    <w:rsid w:val="00604C11"/>
    <w:rsid w:val="006119F0"/>
    <w:rsid w:val="0061326A"/>
    <w:rsid w:val="00616809"/>
    <w:rsid w:val="00617BE3"/>
    <w:rsid w:val="00622143"/>
    <w:rsid w:val="006254E7"/>
    <w:rsid w:val="0062550B"/>
    <w:rsid w:val="00625726"/>
    <w:rsid w:val="00626D30"/>
    <w:rsid w:val="00627E11"/>
    <w:rsid w:val="00633964"/>
    <w:rsid w:val="00636C4A"/>
    <w:rsid w:val="00636DF2"/>
    <w:rsid w:val="00645FBA"/>
    <w:rsid w:val="00664ABF"/>
    <w:rsid w:val="006667D1"/>
    <w:rsid w:val="00675E22"/>
    <w:rsid w:val="006805FF"/>
    <w:rsid w:val="00691509"/>
    <w:rsid w:val="00692BE9"/>
    <w:rsid w:val="00696653"/>
    <w:rsid w:val="006A2C49"/>
    <w:rsid w:val="006A2F1F"/>
    <w:rsid w:val="006B3922"/>
    <w:rsid w:val="006B3CA6"/>
    <w:rsid w:val="006B5154"/>
    <w:rsid w:val="006C2F2A"/>
    <w:rsid w:val="006C4A44"/>
    <w:rsid w:val="006D0B3A"/>
    <w:rsid w:val="006E17F1"/>
    <w:rsid w:val="006F676C"/>
    <w:rsid w:val="006F6B5A"/>
    <w:rsid w:val="00715F39"/>
    <w:rsid w:val="007218F4"/>
    <w:rsid w:val="0072268A"/>
    <w:rsid w:val="00725408"/>
    <w:rsid w:val="00732B58"/>
    <w:rsid w:val="00737323"/>
    <w:rsid w:val="00741CC0"/>
    <w:rsid w:val="00751041"/>
    <w:rsid w:val="00761037"/>
    <w:rsid w:val="0076236C"/>
    <w:rsid w:val="007634FF"/>
    <w:rsid w:val="00763FA3"/>
    <w:rsid w:val="007666DC"/>
    <w:rsid w:val="00775412"/>
    <w:rsid w:val="007820AD"/>
    <w:rsid w:val="00786001"/>
    <w:rsid w:val="0078638E"/>
    <w:rsid w:val="007902FC"/>
    <w:rsid w:val="007A7B4A"/>
    <w:rsid w:val="007B093A"/>
    <w:rsid w:val="007C1FC2"/>
    <w:rsid w:val="007C30FF"/>
    <w:rsid w:val="007C5AC7"/>
    <w:rsid w:val="007E2DD0"/>
    <w:rsid w:val="007E4676"/>
    <w:rsid w:val="007E73B7"/>
    <w:rsid w:val="00801DE7"/>
    <w:rsid w:val="008053CC"/>
    <w:rsid w:val="00813611"/>
    <w:rsid w:val="0081549B"/>
    <w:rsid w:val="00820F4E"/>
    <w:rsid w:val="008279CE"/>
    <w:rsid w:val="00830510"/>
    <w:rsid w:val="00834447"/>
    <w:rsid w:val="008375BC"/>
    <w:rsid w:val="00841674"/>
    <w:rsid w:val="008760A8"/>
    <w:rsid w:val="0087687B"/>
    <w:rsid w:val="00880AAE"/>
    <w:rsid w:val="00880F4D"/>
    <w:rsid w:val="008815DE"/>
    <w:rsid w:val="0088307C"/>
    <w:rsid w:val="008959A5"/>
    <w:rsid w:val="008A758F"/>
    <w:rsid w:val="008B7AC0"/>
    <w:rsid w:val="008D53DE"/>
    <w:rsid w:val="008E1572"/>
    <w:rsid w:val="008E29EA"/>
    <w:rsid w:val="008E4DD9"/>
    <w:rsid w:val="008E62A6"/>
    <w:rsid w:val="008F7AD6"/>
    <w:rsid w:val="00904C6F"/>
    <w:rsid w:val="00905C19"/>
    <w:rsid w:val="00911324"/>
    <w:rsid w:val="0091298D"/>
    <w:rsid w:val="00921DFA"/>
    <w:rsid w:val="00933DA5"/>
    <w:rsid w:val="009415C6"/>
    <w:rsid w:val="0094369A"/>
    <w:rsid w:val="009468CF"/>
    <w:rsid w:val="00950DE1"/>
    <w:rsid w:val="0095208E"/>
    <w:rsid w:val="00963001"/>
    <w:rsid w:val="009657C8"/>
    <w:rsid w:val="009671C3"/>
    <w:rsid w:val="009676C1"/>
    <w:rsid w:val="00975DCC"/>
    <w:rsid w:val="009779E8"/>
    <w:rsid w:val="00980071"/>
    <w:rsid w:val="00985207"/>
    <w:rsid w:val="00994182"/>
    <w:rsid w:val="009A335E"/>
    <w:rsid w:val="009B5854"/>
    <w:rsid w:val="009C714E"/>
    <w:rsid w:val="009D29CD"/>
    <w:rsid w:val="00A0137F"/>
    <w:rsid w:val="00A02C19"/>
    <w:rsid w:val="00A06D7E"/>
    <w:rsid w:val="00A12141"/>
    <w:rsid w:val="00A15749"/>
    <w:rsid w:val="00A24E2C"/>
    <w:rsid w:val="00A3116E"/>
    <w:rsid w:val="00A32D4A"/>
    <w:rsid w:val="00A45146"/>
    <w:rsid w:val="00A515A3"/>
    <w:rsid w:val="00A5738A"/>
    <w:rsid w:val="00A64C43"/>
    <w:rsid w:val="00A66A35"/>
    <w:rsid w:val="00A75245"/>
    <w:rsid w:val="00A765CB"/>
    <w:rsid w:val="00A8026F"/>
    <w:rsid w:val="00A80E9E"/>
    <w:rsid w:val="00A832AD"/>
    <w:rsid w:val="00A94B4D"/>
    <w:rsid w:val="00AB17D4"/>
    <w:rsid w:val="00AC3199"/>
    <w:rsid w:val="00AC7D68"/>
    <w:rsid w:val="00AD2319"/>
    <w:rsid w:val="00AD4356"/>
    <w:rsid w:val="00AD46F3"/>
    <w:rsid w:val="00AD562A"/>
    <w:rsid w:val="00AE4FAD"/>
    <w:rsid w:val="00AE5F79"/>
    <w:rsid w:val="00AE609D"/>
    <w:rsid w:val="00AE7036"/>
    <w:rsid w:val="00B00811"/>
    <w:rsid w:val="00B034CC"/>
    <w:rsid w:val="00B03F4A"/>
    <w:rsid w:val="00B1230E"/>
    <w:rsid w:val="00B1367C"/>
    <w:rsid w:val="00B21F39"/>
    <w:rsid w:val="00B27D93"/>
    <w:rsid w:val="00B27DEF"/>
    <w:rsid w:val="00B36B7F"/>
    <w:rsid w:val="00B41D5B"/>
    <w:rsid w:val="00B439F3"/>
    <w:rsid w:val="00B5223C"/>
    <w:rsid w:val="00B6240A"/>
    <w:rsid w:val="00B63A8D"/>
    <w:rsid w:val="00B65365"/>
    <w:rsid w:val="00B65C45"/>
    <w:rsid w:val="00B676B3"/>
    <w:rsid w:val="00B67D3D"/>
    <w:rsid w:val="00B74864"/>
    <w:rsid w:val="00B77364"/>
    <w:rsid w:val="00B8163A"/>
    <w:rsid w:val="00B85573"/>
    <w:rsid w:val="00B951E8"/>
    <w:rsid w:val="00B957CC"/>
    <w:rsid w:val="00BA5099"/>
    <w:rsid w:val="00BA6B1F"/>
    <w:rsid w:val="00BC57AC"/>
    <w:rsid w:val="00BD0336"/>
    <w:rsid w:val="00BD0F36"/>
    <w:rsid w:val="00BD1355"/>
    <w:rsid w:val="00BD726E"/>
    <w:rsid w:val="00BE0DB4"/>
    <w:rsid w:val="00BF02EB"/>
    <w:rsid w:val="00C05A18"/>
    <w:rsid w:val="00C1239F"/>
    <w:rsid w:val="00C17887"/>
    <w:rsid w:val="00C2392D"/>
    <w:rsid w:val="00C26269"/>
    <w:rsid w:val="00C26E54"/>
    <w:rsid w:val="00C30204"/>
    <w:rsid w:val="00C36AF9"/>
    <w:rsid w:val="00C41866"/>
    <w:rsid w:val="00C46DDB"/>
    <w:rsid w:val="00C70AF8"/>
    <w:rsid w:val="00C7297F"/>
    <w:rsid w:val="00C7418F"/>
    <w:rsid w:val="00C84020"/>
    <w:rsid w:val="00C8773F"/>
    <w:rsid w:val="00CA29CF"/>
    <w:rsid w:val="00CA3E6D"/>
    <w:rsid w:val="00CB317F"/>
    <w:rsid w:val="00CC07DD"/>
    <w:rsid w:val="00CC529B"/>
    <w:rsid w:val="00CE418B"/>
    <w:rsid w:val="00CF0B4A"/>
    <w:rsid w:val="00D02FD5"/>
    <w:rsid w:val="00D05CF2"/>
    <w:rsid w:val="00D114EC"/>
    <w:rsid w:val="00D11C30"/>
    <w:rsid w:val="00D358E2"/>
    <w:rsid w:val="00D42B05"/>
    <w:rsid w:val="00D53A5A"/>
    <w:rsid w:val="00D53BB8"/>
    <w:rsid w:val="00D545F1"/>
    <w:rsid w:val="00D5574B"/>
    <w:rsid w:val="00D558A8"/>
    <w:rsid w:val="00D65A16"/>
    <w:rsid w:val="00D72E88"/>
    <w:rsid w:val="00D732F1"/>
    <w:rsid w:val="00D74423"/>
    <w:rsid w:val="00D83954"/>
    <w:rsid w:val="00D84D47"/>
    <w:rsid w:val="00D8727F"/>
    <w:rsid w:val="00D87997"/>
    <w:rsid w:val="00D90D37"/>
    <w:rsid w:val="00D95477"/>
    <w:rsid w:val="00D956A8"/>
    <w:rsid w:val="00D9744B"/>
    <w:rsid w:val="00D976B8"/>
    <w:rsid w:val="00DA7755"/>
    <w:rsid w:val="00DB740E"/>
    <w:rsid w:val="00DC406B"/>
    <w:rsid w:val="00DC458E"/>
    <w:rsid w:val="00DC5E59"/>
    <w:rsid w:val="00DD0603"/>
    <w:rsid w:val="00DD7079"/>
    <w:rsid w:val="00DE03FF"/>
    <w:rsid w:val="00DE7454"/>
    <w:rsid w:val="00DF6861"/>
    <w:rsid w:val="00E2296B"/>
    <w:rsid w:val="00E25AB7"/>
    <w:rsid w:val="00E31A22"/>
    <w:rsid w:val="00E32893"/>
    <w:rsid w:val="00E422D9"/>
    <w:rsid w:val="00E42E16"/>
    <w:rsid w:val="00E437F7"/>
    <w:rsid w:val="00E478C0"/>
    <w:rsid w:val="00E5567A"/>
    <w:rsid w:val="00E64B30"/>
    <w:rsid w:val="00E7678D"/>
    <w:rsid w:val="00E93D45"/>
    <w:rsid w:val="00EA3FC2"/>
    <w:rsid w:val="00EA44E4"/>
    <w:rsid w:val="00EB1E2E"/>
    <w:rsid w:val="00EB3FE3"/>
    <w:rsid w:val="00EB4ABF"/>
    <w:rsid w:val="00EC14AB"/>
    <w:rsid w:val="00EC4014"/>
    <w:rsid w:val="00EC47FF"/>
    <w:rsid w:val="00ED0441"/>
    <w:rsid w:val="00ED4CDF"/>
    <w:rsid w:val="00ED66F4"/>
    <w:rsid w:val="00EE0AB0"/>
    <w:rsid w:val="00EE1324"/>
    <w:rsid w:val="00EE5822"/>
    <w:rsid w:val="00EE7550"/>
    <w:rsid w:val="00EF39B8"/>
    <w:rsid w:val="00F11C86"/>
    <w:rsid w:val="00F12645"/>
    <w:rsid w:val="00F1383C"/>
    <w:rsid w:val="00F1413A"/>
    <w:rsid w:val="00F177A2"/>
    <w:rsid w:val="00F23642"/>
    <w:rsid w:val="00F23E7B"/>
    <w:rsid w:val="00F263C4"/>
    <w:rsid w:val="00F27F1B"/>
    <w:rsid w:val="00F35667"/>
    <w:rsid w:val="00F35DD0"/>
    <w:rsid w:val="00F360E4"/>
    <w:rsid w:val="00F3637C"/>
    <w:rsid w:val="00F50F6C"/>
    <w:rsid w:val="00F657CF"/>
    <w:rsid w:val="00F70F0D"/>
    <w:rsid w:val="00F71CFE"/>
    <w:rsid w:val="00F72443"/>
    <w:rsid w:val="00F7282E"/>
    <w:rsid w:val="00F74ABA"/>
    <w:rsid w:val="00F774C3"/>
    <w:rsid w:val="00F80378"/>
    <w:rsid w:val="00F83EAD"/>
    <w:rsid w:val="00F85AE8"/>
    <w:rsid w:val="00F95A33"/>
    <w:rsid w:val="00FA7D5E"/>
    <w:rsid w:val="00FB2335"/>
    <w:rsid w:val="00FB5294"/>
    <w:rsid w:val="00FB5EF1"/>
    <w:rsid w:val="00FF0FDD"/>
    <w:rsid w:val="00FF2BD9"/>
    <w:rsid w:val="00FF5509"/>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CA6D"/>
  <w15:docId w15:val="{2C6A528A-E650-4C11-AC4F-9E7DCC8A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75BC"/>
    <w:pPr>
      <w:widowControl w:val="0"/>
      <w:autoSpaceDE w:val="0"/>
      <w:autoSpaceDN w:val="0"/>
      <w:spacing w:after="0" w:line="240" w:lineRule="auto"/>
      <w:ind w:left="16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375BC"/>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semiHidden/>
    <w:unhideWhenUsed/>
    <w:rsid w:val="00AD5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2A"/>
    <w:rPr>
      <w:sz w:val="20"/>
      <w:szCs w:val="20"/>
    </w:rPr>
  </w:style>
  <w:style w:type="character" w:styleId="FootnoteReference">
    <w:name w:val="footnote reference"/>
    <w:basedOn w:val="DefaultParagraphFont"/>
    <w:uiPriority w:val="99"/>
    <w:unhideWhenUsed/>
    <w:rsid w:val="00AD562A"/>
    <w:rPr>
      <w:vertAlign w:val="superscript"/>
    </w:rPr>
  </w:style>
  <w:style w:type="character" w:styleId="CommentReference">
    <w:name w:val="annotation reference"/>
    <w:basedOn w:val="DefaultParagraphFont"/>
    <w:uiPriority w:val="99"/>
    <w:semiHidden/>
    <w:unhideWhenUsed/>
    <w:rsid w:val="004B5686"/>
    <w:rPr>
      <w:sz w:val="16"/>
      <w:szCs w:val="16"/>
    </w:rPr>
  </w:style>
  <w:style w:type="paragraph" w:styleId="CommentText">
    <w:name w:val="annotation text"/>
    <w:basedOn w:val="Normal"/>
    <w:link w:val="CommentTextChar"/>
    <w:uiPriority w:val="99"/>
    <w:unhideWhenUsed/>
    <w:rsid w:val="004B5686"/>
    <w:pPr>
      <w:spacing w:line="240" w:lineRule="auto"/>
    </w:pPr>
    <w:rPr>
      <w:sz w:val="20"/>
      <w:szCs w:val="20"/>
    </w:rPr>
  </w:style>
  <w:style w:type="character" w:customStyle="1" w:styleId="CommentTextChar">
    <w:name w:val="Comment Text Char"/>
    <w:basedOn w:val="DefaultParagraphFont"/>
    <w:link w:val="CommentText"/>
    <w:uiPriority w:val="99"/>
    <w:rsid w:val="004B5686"/>
    <w:rPr>
      <w:sz w:val="20"/>
      <w:szCs w:val="20"/>
    </w:rPr>
  </w:style>
  <w:style w:type="paragraph" w:styleId="CommentSubject">
    <w:name w:val="annotation subject"/>
    <w:basedOn w:val="CommentText"/>
    <w:next w:val="CommentText"/>
    <w:link w:val="CommentSubjectChar"/>
    <w:uiPriority w:val="99"/>
    <w:semiHidden/>
    <w:unhideWhenUsed/>
    <w:rsid w:val="004B5686"/>
    <w:rPr>
      <w:b/>
      <w:bCs/>
    </w:rPr>
  </w:style>
  <w:style w:type="character" w:customStyle="1" w:styleId="CommentSubjectChar">
    <w:name w:val="Comment Subject Char"/>
    <w:basedOn w:val="CommentTextChar"/>
    <w:link w:val="CommentSubject"/>
    <w:uiPriority w:val="99"/>
    <w:semiHidden/>
    <w:rsid w:val="004B5686"/>
    <w:rPr>
      <w:b/>
      <w:bCs/>
      <w:sz w:val="20"/>
      <w:szCs w:val="20"/>
    </w:rPr>
  </w:style>
  <w:style w:type="character" w:styleId="Hyperlink">
    <w:name w:val="Hyperlink"/>
    <w:basedOn w:val="DefaultParagraphFont"/>
    <w:uiPriority w:val="99"/>
    <w:unhideWhenUsed/>
    <w:rsid w:val="00214060"/>
    <w:rPr>
      <w:color w:val="0563C1" w:themeColor="hyperlink"/>
      <w:u w:val="single"/>
    </w:rPr>
  </w:style>
  <w:style w:type="paragraph" w:styleId="Header">
    <w:name w:val="header"/>
    <w:basedOn w:val="Normal"/>
    <w:link w:val="HeaderChar"/>
    <w:uiPriority w:val="99"/>
    <w:unhideWhenUsed/>
    <w:rsid w:val="006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143"/>
  </w:style>
  <w:style w:type="paragraph" w:styleId="Footer">
    <w:name w:val="footer"/>
    <w:basedOn w:val="Normal"/>
    <w:link w:val="FooterChar"/>
    <w:uiPriority w:val="99"/>
    <w:unhideWhenUsed/>
    <w:rsid w:val="006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143"/>
  </w:style>
  <w:style w:type="paragraph" w:styleId="BalloonText">
    <w:name w:val="Balloon Text"/>
    <w:basedOn w:val="Normal"/>
    <w:link w:val="BalloonTextChar"/>
    <w:uiPriority w:val="99"/>
    <w:semiHidden/>
    <w:unhideWhenUsed/>
    <w:rsid w:val="000E4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DAB"/>
    <w:rPr>
      <w:rFonts w:ascii="Segoe UI" w:hAnsi="Segoe UI" w:cs="Segoe UI"/>
      <w:sz w:val="18"/>
      <w:szCs w:val="18"/>
    </w:rPr>
  </w:style>
  <w:style w:type="paragraph" w:styleId="ListParagraph">
    <w:name w:val="List Paragraph"/>
    <w:basedOn w:val="Normal"/>
    <w:uiPriority w:val="34"/>
    <w:qFormat/>
    <w:rsid w:val="00633964"/>
    <w:pPr>
      <w:ind w:left="720"/>
      <w:contextualSpacing/>
    </w:pPr>
  </w:style>
  <w:style w:type="paragraph" w:styleId="Revision">
    <w:name w:val="Revision"/>
    <w:hidden/>
    <w:uiPriority w:val="99"/>
    <w:semiHidden/>
    <w:rsid w:val="005979A7"/>
    <w:pPr>
      <w:spacing w:after="0" w:line="240" w:lineRule="auto"/>
    </w:pPr>
  </w:style>
  <w:style w:type="table" w:styleId="TableGrid">
    <w:name w:val="Table Grid"/>
    <w:basedOn w:val="TableNormal"/>
    <w:uiPriority w:val="39"/>
    <w:rsid w:val="00EB1E2E"/>
    <w:pPr>
      <w:spacing w:after="0" w:line="240" w:lineRule="auto"/>
      <w:ind w:firstLine="720"/>
      <w:jc w:val="center"/>
    </w:pPr>
    <w:rPr>
      <w:rFonts w:ascii="Times New Roman" w:hAnsi="Times New Roman"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wntoearth.org.in/coverage/2-for-social-work-3393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S2514-175920180000002004"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economictimes.indiatimes.com/opinion/et-commentary/why-it-is-a-good-idea-to-mandate-corporate-social-responsibility/articleshow/16101647.c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rstpost.com/business/from-sachin-pilot-to-cii-who-said-what-on-passage-of-companies-bill-1021507.html"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870D-4713-41BD-834E-76144D99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50</Pages>
  <Words>12303</Words>
  <Characters>70131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11</cp:revision>
  <dcterms:created xsi:type="dcterms:W3CDTF">2022-01-31T02:07:00Z</dcterms:created>
  <dcterms:modified xsi:type="dcterms:W3CDTF">2022-01-31T08:11:00Z</dcterms:modified>
</cp:coreProperties>
</file>