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3E" w:rsidRPr="00435D3E" w:rsidRDefault="00435D3E" w:rsidP="00435D3E">
      <w:pPr>
        <w:shd w:val="clear" w:color="auto" w:fill="FFFFFF"/>
        <w:spacing w:after="300" w:line="293" w:lineRule="atLeast"/>
        <w:textAlignment w:val="baseline"/>
        <w:outlineLvl w:val="0"/>
        <w:rPr>
          <w:rFonts w:ascii="Georgia" w:eastAsia="Times New Roman" w:hAnsi="Georgia" w:cs="Times New Roman"/>
          <w:color w:val="131313"/>
          <w:spacing w:val="-7"/>
          <w:kern w:val="36"/>
          <w:sz w:val="51"/>
          <w:szCs w:val="51"/>
          <w:lang w:eastAsia="en-GB"/>
        </w:rPr>
      </w:pPr>
      <w:r w:rsidRPr="00435D3E">
        <w:rPr>
          <w:rFonts w:ascii="Georgia" w:eastAsia="Times New Roman" w:hAnsi="Georgia" w:cs="Times New Roman"/>
          <w:color w:val="131313"/>
          <w:spacing w:val="-7"/>
          <w:kern w:val="36"/>
          <w:sz w:val="51"/>
          <w:szCs w:val="51"/>
          <w:lang w:eastAsia="en-GB"/>
        </w:rPr>
        <w:t>Deprescribing montelukast in children with asthma: a systematic review</w:t>
      </w:r>
    </w:p>
    <w:p w:rsidR="00435D3E" w:rsidRPr="00435D3E" w:rsidRDefault="00435D3E" w:rsidP="00435D3E">
      <w:pPr>
        <w:shd w:val="clear" w:color="auto" w:fill="FFFFFF"/>
        <w:spacing w:before="225" w:after="225" w:line="343" w:lineRule="atLeast"/>
        <w:ind w:left="-225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</w:pPr>
      <w:r w:rsidRPr="00435D3E"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  <w:t>Abstract</w:t>
      </w:r>
    </w:p>
    <w:p w:rsidR="00435D3E" w:rsidRPr="00435D3E" w:rsidRDefault="00435D3E" w:rsidP="0043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435D3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Background:</w:t>
      </w:r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National and international asthma guidelines recommend adjusting asthma treatment based upon the asthma control of patients, yet no guidance is given regarding the stepping-down of montelukast in children and young people (CYP).</w:t>
      </w:r>
    </w:p>
    <w:p w:rsidR="00435D3E" w:rsidRPr="00435D3E" w:rsidRDefault="00435D3E" w:rsidP="0043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435D3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Aim:</w:t>
      </w:r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To systematically review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current understanding regarding deprescribing montelukast in children and adolescents with established asthma.</w:t>
      </w:r>
    </w:p>
    <w:p w:rsidR="00435D3E" w:rsidRPr="00435D3E" w:rsidRDefault="00435D3E" w:rsidP="0043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435D3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Method:</w:t>
      </w:r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Searches of Medline, PubMed, EMBASE and CINAHL were undertaken (September 2020) for reports regarding deprescribing montelukast in CYP with established asthma since 1998 (drug licenced). Eligible studies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were assessed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for risk of bias using appropriate risk assessment tools.</w:t>
      </w:r>
    </w:p>
    <w:p w:rsidR="00435D3E" w:rsidRPr="00435D3E" w:rsidRDefault="00435D3E" w:rsidP="0043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435D3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Results:</w:t>
      </w:r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The search identified 197 papers after deduplication;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3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randomised control studies and 2 cohort studies met the eligibility criteria.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4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studies observed the impact of montelukast withdrawal for 2 weeks and 1 for 8 weeks. Impact of withdrawal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was measured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using a combination of lung function tests (e.g. FEV1, </w:t>
      </w:r>
      <w:proofErr w:type="spell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FeNO</w:t>
      </w:r>
      <w:proofErr w:type="spell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), asthma score systems and exercise challenges.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9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of the 18 impact measures demonstrated a significant change between the end of treatment and the end of the washout period. Of these,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5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demonstrated reduced pulmonary function, 1 a worsening of asthma control, 2 showed an increase in pulmonary function and 1 an increase in asthma control. A mean of 2.8 out of 17 factors outlined by the Core Outcome Set (COS) for clinical trials in childhood asthma </w:t>
      </w:r>
      <w:proofErr w:type="gramStart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were measured</w:t>
      </w:r>
      <w:proofErr w:type="gramEnd"/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per study.</w:t>
      </w:r>
    </w:p>
    <w:p w:rsidR="00435D3E" w:rsidRPr="00435D3E" w:rsidRDefault="00435D3E" w:rsidP="00435D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435D3E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Conclusion:</w:t>
      </w:r>
      <w:r w:rsidRPr="00435D3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Only limited, contradictory and short-term effects of deprescribing montelukast are present in literature. Further studies examining deprescribing montelukast on the COS for clinical trials in childhood asthma are imperative.</w:t>
      </w:r>
    </w:p>
    <w:p w:rsidR="00A3164B" w:rsidRDefault="00A3164B">
      <w:bookmarkStart w:id="0" w:name="_GoBack"/>
      <w:bookmarkEnd w:id="0"/>
    </w:p>
    <w:sectPr w:rsidR="00A31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3E"/>
    <w:rsid w:val="00435D3E"/>
    <w:rsid w:val="00A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A7D3E-A5DA-4079-A62B-9C378F7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2022-04-07T10:17:00Z</dcterms:created>
  <dcterms:modified xsi:type="dcterms:W3CDTF">2022-04-07T10:19:00Z</dcterms:modified>
</cp:coreProperties>
</file>