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77F" w14:textId="583AC8B7" w:rsidR="001E1844" w:rsidRPr="00550EF0" w:rsidRDefault="00BA682D" w:rsidP="005F4755">
      <w:pPr>
        <w:ind w:firstLine="720"/>
        <w:jc w:val="center"/>
        <w:rPr>
          <w:rFonts w:cstheme="minorHAnsi"/>
          <w:b/>
          <w:sz w:val="22"/>
          <w:szCs w:val="22"/>
        </w:rPr>
      </w:pPr>
      <w:r w:rsidRPr="00550EF0">
        <w:rPr>
          <w:rFonts w:cstheme="minorHAnsi"/>
          <w:b/>
          <w:sz w:val="22"/>
          <w:szCs w:val="22"/>
        </w:rPr>
        <w:t>Brief Report</w:t>
      </w:r>
    </w:p>
    <w:p w14:paraId="6232FFED" w14:textId="77777777" w:rsidR="00FB0768" w:rsidRPr="00550EF0" w:rsidRDefault="00FB0768" w:rsidP="005F4755">
      <w:pPr>
        <w:ind w:firstLine="720"/>
        <w:jc w:val="center"/>
        <w:rPr>
          <w:rFonts w:cstheme="minorHAnsi"/>
          <w:b/>
          <w:sz w:val="22"/>
          <w:szCs w:val="22"/>
        </w:rPr>
      </w:pPr>
    </w:p>
    <w:p w14:paraId="58075E8F" w14:textId="77777777" w:rsidR="001E1844" w:rsidRPr="00550EF0" w:rsidRDefault="001E1844" w:rsidP="00320012">
      <w:pPr>
        <w:jc w:val="center"/>
        <w:rPr>
          <w:rFonts w:cstheme="minorHAnsi"/>
          <w:sz w:val="22"/>
          <w:szCs w:val="22"/>
        </w:rPr>
      </w:pPr>
    </w:p>
    <w:p w14:paraId="0BDF8100" w14:textId="77777777" w:rsidR="002530C4" w:rsidRDefault="001E1844" w:rsidP="00320012">
      <w:pPr>
        <w:jc w:val="center"/>
        <w:rPr>
          <w:rFonts w:cstheme="minorHAnsi"/>
          <w:b/>
          <w:sz w:val="22"/>
          <w:szCs w:val="22"/>
        </w:rPr>
      </w:pPr>
      <w:r w:rsidRPr="00550EF0">
        <w:rPr>
          <w:rFonts w:cstheme="minorHAnsi"/>
          <w:b/>
          <w:sz w:val="22"/>
          <w:szCs w:val="22"/>
        </w:rPr>
        <w:t xml:space="preserve">Stroke-Heart Syndrome: </w:t>
      </w:r>
    </w:p>
    <w:p w14:paraId="224F0403" w14:textId="349D269F" w:rsidR="001E1844" w:rsidRPr="00550EF0" w:rsidRDefault="001E1844" w:rsidP="00320012">
      <w:pPr>
        <w:jc w:val="center"/>
        <w:rPr>
          <w:rFonts w:cstheme="minorHAnsi"/>
          <w:b/>
          <w:sz w:val="22"/>
          <w:szCs w:val="22"/>
        </w:rPr>
      </w:pPr>
      <w:r w:rsidRPr="00550EF0">
        <w:rPr>
          <w:rFonts w:cstheme="minorHAnsi"/>
          <w:b/>
          <w:sz w:val="22"/>
          <w:szCs w:val="22"/>
        </w:rPr>
        <w:t xml:space="preserve">Incidence and clinical outcomes of cardiac </w:t>
      </w:r>
      <w:r w:rsidR="0021588C" w:rsidRPr="00550EF0">
        <w:rPr>
          <w:rFonts w:cstheme="minorHAnsi"/>
          <w:b/>
          <w:sz w:val="22"/>
          <w:szCs w:val="22"/>
        </w:rPr>
        <w:t>complication</w:t>
      </w:r>
      <w:r w:rsidR="00022701" w:rsidRPr="00550EF0">
        <w:rPr>
          <w:rFonts w:cstheme="minorHAnsi"/>
          <w:b/>
          <w:sz w:val="22"/>
          <w:szCs w:val="22"/>
        </w:rPr>
        <w:t>s</w:t>
      </w:r>
      <w:r w:rsidRPr="00550EF0">
        <w:rPr>
          <w:rFonts w:cstheme="minorHAnsi"/>
          <w:b/>
          <w:sz w:val="22"/>
          <w:szCs w:val="22"/>
        </w:rPr>
        <w:t xml:space="preserve"> following stroke</w:t>
      </w:r>
    </w:p>
    <w:p w14:paraId="087DC672" w14:textId="5C32A5E1" w:rsidR="00320012" w:rsidRPr="00550EF0" w:rsidRDefault="00320012" w:rsidP="001E1844">
      <w:pPr>
        <w:rPr>
          <w:rFonts w:cstheme="minorHAnsi"/>
          <w:sz w:val="22"/>
          <w:szCs w:val="22"/>
        </w:rPr>
      </w:pPr>
    </w:p>
    <w:p w14:paraId="59E17C77" w14:textId="5665328B" w:rsidR="00022701" w:rsidRPr="00550EF0" w:rsidRDefault="00320012" w:rsidP="00320012">
      <w:pPr>
        <w:spacing w:line="360" w:lineRule="auto"/>
        <w:jc w:val="center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t>Benjamin J.R. Buckley, PhD</w:t>
      </w:r>
      <w:r w:rsidRPr="00550EF0">
        <w:rPr>
          <w:rFonts w:cstheme="minorHAnsi"/>
          <w:sz w:val="22"/>
          <w:szCs w:val="22"/>
          <w:vertAlign w:val="superscript"/>
        </w:rPr>
        <w:t>1,2*</w:t>
      </w:r>
      <w:r w:rsidRPr="00550EF0">
        <w:rPr>
          <w:rFonts w:cstheme="minorHAnsi"/>
          <w:sz w:val="22"/>
          <w:szCs w:val="22"/>
        </w:rPr>
        <w:t>, Stephanie L. Harrison, PhD</w:t>
      </w:r>
      <w:r w:rsidRPr="00550EF0">
        <w:rPr>
          <w:rFonts w:cstheme="minorHAnsi"/>
          <w:sz w:val="22"/>
          <w:szCs w:val="22"/>
          <w:vertAlign w:val="superscript"/>
        </w:rPr>
        <w:t>1,2</w:t>
      </w:r>
      <w:r w:rsidRPr="00550EF0">
        <w:rPr>
          <w:rFonts w:cstheme="minorHAnsi"/>
          <w:sz w:val="22"/>
          <w:szCs w:val="22"/>
        </w:rPr>
        <w:t>,</w:t>
      </w:r>
      <w:r w:rsidR="001546E4" w:rsidRPr="00550EF0">
        <w:rPr>
          <w:rFonts w:cstheme="minorHAnsi"/>
          <w:sz w:val="22"/>
          <w:szCs w:val="22"/>
        </w:rPr>
        <w:t xml:space="preserve"> </w:t>
      </w:r>
      <w:r w:rsidR="006B2810" w:rsidRPr="00550EF0">
        <w:rPr>
          <w:rFonts w:cstheme="minorHAnsi"/>
          <w:sz w:val="22"/>
          <w:szCs w:val="22"/>
        </w:rPr>
        <w:t>Andrew Hill, MBChB</w:t>
      </w:r>
      <w:r w:rsidR="006B2810" w:rsidRPr="00550EF0">
        <w:rPr>
          <w:rFonts w:cstheme="minorHAnsi"/>
          <w:sz w:val="22"/>
          <w:szCs w:val="22"/>
          <w:vertAlign w:val="superscript"/>
        </w:rPr>
        <w:t>3</w:t>
      </w:r>
      <w:r w:rsidR="001546E4" w:rsidRPr="00550EF0">
        <w:rPr>
          <w:rFonts w:cstheme="minorHAnsi"/>
          <w:sz w:val="22"/>
          <w:szCs w:val="22"/>
        </w:rPr>
        <w:t>,</w:t>
      </w:r>
      <w:r w:rsidRPr="00550EF0">
        <w:rPr>
          <w:rFonts w:cstheme="minorHAnsi"/>
          <w:sz w:val="22"/>
          <w:szCs w:val="22"/>
        </w:rPr>
        <w:t xml:space="preserve"> Paula Underhill</w:t>
      </w:r>
      <w:r w:rsidR="006B2810" w:rsidRPr="00550EF0">
        <w:rPr>
          <w:rFonts w:cstheme="minorHAnsi"/>
          <w:sz w:val="22"/>
          <w:szCs w:val="22"/>
          <w:vertAlign w:val="superscript"/>
        </w:rPr>
        <w:t>4</w:t>
      </w:r>
      <w:r w:rsidRPr="00550EF0">
        <w:rPr>
          <w:rFonts w:cstheme="minorHAnsi"/>
          <w:sz w:val="22"/>
          <w:szCs w:val="22"/>
        </w:rPr>
        <w:t xml:space="preserve">, </w:t>
      </w:r>
    </w:p>
    <w:p w14:paraId="05AE67E5" w14:textId="69C7D3D2" w:rsidR="00320012" w:rsidRPr="00550EF0" w:rsidRDefault="00320012" w:rsidP="00320012">
      <w:pPr>
        <w:spacing w:line="360" w:lineRule="auto"/>
        <w:jc w:val="center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t>Deirdre A. Lane, PhD</w:t>
      </w:r>
      <w:r w:rsidRPr="00550EF0">
        <w:rPr>
          <w:rFonts w:cstheme="minorHAnsi"/>
          <w:sz w:val="22"/>
          <w:szCs w:val="22"/>
          <w:vertAlign w:val="superscript"/>
        </w:rPr>
        <w:t>1,2,</w:t>
      </w:r>
      <w:r w:rsidR="006B2810" w:rsidRPr="00550EF0">
        <w:rPr>
          <w:rFonts w:cstheme="minorHAnsi"/>
          <w:sz w:val="22"/>
          <w:szCs w:val="22"/>
          <w:vertAlign w:val="superscript"/>
        </w:rPr>
        <w:t>5</w:t>
      </w:r>
      <w:r w:rsidRPr="00550EF0">
        <w:rPr>
          <w:rFonts w:cstheme="minorHAnsi"/>
          <w:sz w:val="22"/>
          <w:szCs w:val="22"/>
        </w:rPr>
        <w:t>, Gregory Y.H. Lip, MD</w:t>
      </w:r>
      <w:r w:rsidRPr="00550EF0">
        <w:rPr>
          <w:rFonts w:cstheme="minorHAnsi"/>
          <w:sz w:val="22"/>
          <w:szCs w:val="22"/>
          <w:vertAlign w:val="superscript"/>
        </w:rPr>
        <w:t>1,2,</w:t>
      </w:r>
      <w:r w:rsidR="006B2810" w:rsidRPr="00550EF0">
        <w:rPr>
          <w:rFonts w:cstheme="minorHAnsi"/>
          <w:sz w:val="22"/>
          <w:szCs w:val="22"/>
          <w:vertAlign w:val="superscript"/>
        </w:rPr>
        <w:t>5</w:t>
      </w:r>
    </w:p>
    <w:p w14:paraId="0ED47ECE" w14:textId="77777777" w:rsidR="00320012" w:rsidRPr="00550EF0" w:rsidRDefault="00320012" w:rsidP="00320012">
      <w:pPr>
        <w:rPr>
          <w:rFonts w:cstheme="minorHAnsi"/>
          <w:sz w:val="22"/>
          <w:szCs w:val="22"/>
        </w:rPr>
      </w:pPr>
    </w:p>
    <w:p w14:paraId="09116AAC" w14:textId="77777777" w:rsidR="00320012" w:rsidRPr="00550EF0" w:rsidRDefault="00320012" w:rsidP="00320012">
      <w:pPr>
        <w:rPr>
          <w:rFonts w:cstheme="minorHAnsi"/>
          <w:sz w:val="22"/>
          <w:szCs w:val="22"/>
        </w:rPr>
      </w:pPr>
    </w:p>
    <w:p w14:paraId="7C36070C" w14:textId="61322065" w:rsidR="00320012" w:rsidRPr="00550EF0" w:rsidRDefault="00320012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  <w:vertAlign w:val="superscript"/>
        </w:rPr>
        <w:t>1</w:t>
      </w:r>
      <w:r w:rsidRPr="00550EF0">
        <w:rPr>
          <w:rFonts w:cstheme="minorHAnsi"/>
          <w:sz w:val="22"/>
          <w:szCs w:val="22"/>
        </w:rPr>
        <w:t>Liverpool Centre for Cardiovascular Science, University of Liverpool and Liverpool Heart &amp; Chest Hospital, Liverpool, United Kingdom</w:t>
      </w:r>
    </w:p>
    <w:p w14:paraId="5B119BDB" w14:textId="6B62836C" w:rsidR="00320012" w:rsidRPr="00550EF0" w:rsidRDefault="00320012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  <w:vertAlign w:val="superscript"/>
        </w:rPr>
        <w:t>2</w:t>
      </w:r>
      <w:r w:rsidR="0047396A" w:rsidRPr="00550EF0">
        <w:rPr>
          <w:rFonts w:cstheme="minorHAnsi"/>
          <w:sz w:val="22"/>
          <w:szCs w:val="22"/>
        </w:rPr>
        <w:t>Department of C</w:t>
      </w:r>
      <w:r w:rsidRPr="00550EF0">
        <w:rPr>
          <w:rFonts w:cstheme="minorHAnsi"/>
          <w:sz w:val="22"/>
          <w:szCs w:val="22"/>
        </w:rPr>
        <w:t>ardiovascular and Metabolic Medicine, Institute of Life Course and Medical Sciences, University of Liverpool, Liverpool, United Kingdom</w:t>
      </w:r>
    </w:p>
    <w:p w14:paraId="12DD57D0" w14:textId="12426EE5" w:rsidR="006B2810" w:rsidRPr="00550EF0" w:rsidRDefault="00320012" w:rsidP="00320012">
      <w:pPr>
        <w:spacing w:line="360" w:lineRule="auto"/>
        <w:rPr>
          <w:rFonts w:cstheme="minorHAnsi"/>
          <w:sz w:val="22"/>
          <w:szCs w:val="22"/>
          <w:vertAlign w:val="superscript"/>
        </w:rPr>
      </w:pPr>
      <w:r w:rsidRPr="00550EF0">
        <w:rPr>
          <w:rFonts w:cstheme="minorHAnsi"/>
          <w:sz w:val="22"/>
          <w:szCs w:val="22"/>
          <w:vertAlign w:val="superscript"/>
        </w:rPr>
        <w:t>3</w:t>
      </w:r>
      <w:r w:rsidR="006B2810" w:rsidRPr="00550EF0">
        <w:rPr>
          <w:rFonts w:cstheme="minorHAnsi"/>
          <w:sz w:val="22"/>
          <w:szCs w:val="22"/>
        </w:rPr>
        <w:t>Department of Medicine for Older People, Whiston Hospital, St Helens &amp; Knowsley Teaching Hospitals NHS Trust, Prescot, United Kingdom</w:t>
      </w:r>
    </w:p>
    <w:p w14:paraId="427B36FE" w14:textId="507E9503" w:rsidR="00320012" w:rsidRPr="00550EF0" w:rsidRDefault="006B2810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  <w:vertAlign w:val="superscript"/>
        </w:rPr>
        <w:t>4</w:t>
      </w:r>
      <w:r w:rsidR="00320012" w:rsidRPr="00550EF0">
        <w:rPr>
          <w:rFonts w:cstheme="minorHAnsi"/>
          <w:sz w:val="22"/>
          <w:szCs w:val="22"/>
        </w:rPr>
        <w:t xml:space="preserve">TriNetX LLC., London, United Kingdom </w:t>
      </w:r>
    </w:p>
    <w:p w14:paraId="0BF97529" w14:textId="3BB6A95D" w:rsidR="00320012" w:rsidRPr="00550EF0" w:rsidRDefault="006B2810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  <w:vertAlign w:val="superscript"/>
        </w:rPr>
        <w:t>5</w:t>
      </w:r>
      <w:r w:rsidR="00320012" w:rsidRPr="00550EF0">
        <w:rPr>
          <w:rFonts w:cstheme="minorHAnsi"/>
          <w:sz w:val="22"/>
          <w:szCs w:val="22"/>
        </w:rPr>
        <w:t>Department of Clinical Medicine, Aalborg University, Aalborg, Denmark</w:t>
      </w:r>
    </w:p>
    <w:p w14:paraId="1E1297DC" w14:textId="4C9EDDC3" w:rsidR="00320012" w:rsidRPr="00550EF0" w:rsidRDefault="00320012" w:rsidP="001E1844">
      <w:pPr>
        <w:rPr>
          <w:rFonts w:cstheme="minorHAnsi"/>
          <w:sz w:val="22"/>
          <w:szCs w:val="22"/>
        </w:rPr>
      </w:pPr>
    </w:p>
    <w:p w14:paraId="0A0220B1" w14:textId="5FCB2B57" w:rsidR="00320012" w:rsidRPr="00550EF0" w:rsidRDefault="00320012" w:rsidP="00320012">
      <w:pPr>
        <w:tabs>
          <w:tab w:val="left" w:pos="1562"/>
        </w:tabs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b/>
          <w:bCs/>
          <w:sz w:val="22"/>
          <w:szCs w:val="22"/>
        </w:rPr>
        <w:t>Date</w:t>
      </w:r>
      <w:r w:rsidRPr="00550EF0">
        <w:rPr>
          <w:rFonts w:cstheme="minorHAnsi"/>
          <w:sz w:val="22"/>
          <w:szCs w:val="22"/>
        </w:rPr>
        <w:t xml:space="preserve"> </w:t>
      </w:r>
      <w:proofErr w:type="gramStart"/>
      <w:r w:rsidR="007B2BF6" w:rsidRPr="00550EF0">
        <w:rPr>
          <w:rFonts w:cstheme="minorHAnsi"/>
          <w:sz w:val="22"/>
          <w:szCs w:val="22"/>
        </w:rPr>
        <w:t>January</w:t>
      </w:r>
      <w:r w:rsidRPr="00550EF0">
        <w:rPr>
          <w:rFonts w:cstheme="minorHAnsi"/>
          <w:sz w:val="22"/>
          <w:szCs w:val="22"/>
        </w:rPr>
        <w:t>,</w:t>
      </w:r>
      <w:proofErr w:type="gramEnd"/>
      <w:r w:rsidRPr="00550EF0">
        <w:rPr>
          <w:rFonts w:cstheme="minorHAnsi"/>
          <w:sz w:val="22"/>
          <w:szCs w:val="22"/>
        </w:rPr>
        <w:t xml:space="preserve"> 202</w:t>
      </w:r>
      <w:r w:rsidR="007B2BF6" w:rsidRPr="00550EF0">
        <w:rPr>
          <w:rFonts w:cstheme="minorHAnsi"/>
          <w:sz w:val="22"/>
          <w:szCs w:val="22"/>
        </w:rPr>
        <w:t>2</w:t>
      </w:r>
    </w:p>
    <w:p w14:paraId="0EACE133" w14:textId="3D4371B0" w:rsidR="00320012" w:rsidRPr="00550EF0" w:rsidRDefault="00320012" w:rsidP="00320012">
      <w:pPr>
        <w:tabs>
          <w:tab w:val="left" w:pos="1562"/>
        </w:tabs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b/>
          <w:bCs/>
          <w:sz w:val="22"/>
          <w:szCs w:val="22"/>
        </w:rPr>
        <w:t xml:space="preserve">Manuscript wordcount </w:t>
      </w:r>
      <w:r w:rsidR="00560160" w:rsidRPr="00550EF0">
        <w:rPr>
          <w:rFonts w:cstheme="minorHAnsi"/>
          <w:sz w:val="22"/>
          <w:szCs w:val="22"/>
        </w:rPr>
        <w:t>1</w:t>
      </w:r>
      <w:r w:rsidR="00BC7428" w:rsidRPr="00550EF0">
        <w:rPr>
          <w:rFonts w:cstheme="minorHAnsi"/>
          <w:sz w:val="22"/>
          <w:szCs w:val="22"/>
        </w:rPr>
        <w:t>,918 (including title page, abstract and references)</w:t>
      </w:r>
    </w:p>
    <w:p w14:paraId="19480C2A" w14:textId="77777777" w:rsidR="00320012" w:rsidRPr="00550EF0" w:rsidRDefault="00320012" w:rsidP="00320012">
      <w:pPr>
        <w:tabs>
          <w:tab w:val="left" w:pos="1562"/>
        </w:tabs>
        <w:spacing w:line="360" w:lineRule="auto"/>
        <w:rPr>
          <w:rFonts w:cstheme="minorHAnsi"/>
          <w:sz w:val="22"/>
          <w:szCs w:val="22"/>
        </w:rPr>
      </w:pPr>
    </w:p>
    <w:p w14:paraId="02B1915C" w14:textId="77777777" w:rsidR="00FB0768" w:rsidRPr="00550EF0" w:rsidRDefault="00320012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b/>
          <w:bCs/>
          <w:sz w:val="22"/>
          <w:szCs w:val="22"/>
        </w:rPr>
        <w:t>*Corresponding author</w:t>
      </w:r>
      <w:r w:rsidRPr="00550EF0">
        <w:rPr>
          <w:rFonts w:cstheme="minorHAnsi"/>
          <w:sz w:val="22"/>
          <w:szCs w:val="22"/>
        </w:rPr>
        <w:t xml:space="preserve"> </w:t>
      </w:r>
    </w:p>
    <w:p w14:paraId="7C07684B" w14:textId="57FF92DA" w:rsidR="00320012" w:rsidRPr="00550EF0" w:rsidRDefault="00320012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t xml:space="preserve">Benjamin Buckley PhD, Liverpool Centre for Cardiovascular Science, University of Liverpool, William Henry Duncan Building, Liverpool, L7 8TX United Kingdom </w:t>
      </w:r>
    </w:p>
    <w:p w14:paraId="4338F890" w14:textId="77777777" w:rsidR="00320012" w:rsidRPr="00550EF0" w:rsidRDefault="00320012" w:rsidP="00320012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t xml:space="preserve">Email: </w:t>
      </w:r>
      <w:hyperlink r:id="rId8" w:history="1">
        <w:r w:rsidRPr="00550EF0">
          <w:rPr>
            <w:rStyle w:val="Hyperlink"/>
            <w:rFonts w:cstheme="minorHAnsi"/>
            <w:sz w:val="22"/>
            <w:szCs w:val="22"/>
          </w:rPr>
          <w:t>Benjamin.Buckley@liverpool.ac.uk</w:t>
        </w:r>
      </w:hyperlink>
      <w:r w:rsidRPr="00550EF0">
        <w:rPr>
          <w:rFonts w:cstheme="minorHAnsi"/>
          <w:sz w:val="22"/>
          <w:szCs w:val="22"/>
        </w:rPr>
        <w:t>.</w:t>
      </w:r>
    </w:p>
    <w:p w14:paraId="4917ACB5" w14:textId="77777777" w:rsidR="00BE1652" w:rsidRPr="00550EF0" w:rsidRDefault="00320012" w:rsidP="00320012">
      <w:pPr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t>Phone: +44 (0)151 794 2000</w:t>
      </w:r>
    </w:p>
    <w:p w14:paraId="4915528E" w14:textId="77777777" w:rsidR="00FB0768" w:rsidRPr="00550EF0" w:rsidRDefault="00FB0768">
      <w:pPr>
        <w:rPr>
          <w:rFonts w:cstheme="minorHAnsi"/>
          <w:b/>
          <w:sz w:val="22"/>
          <w:szCs w:val="22"/>
        </w:rPr>
      </w:pPr>
    </w:p>
    <w:p w14:paraId="7773106D" w14:textId="712239EE" w:rsidR="00465137" w:rsidRPr="00550EF0" w:rsidRDefault="00465137" w:rsidP="00577EEF">
      <w:pPr>
        <w:spacing w:after="120"/>
        <w:rPr>
          <w:rFonts w:cstheme="minorHAnsi"/>
          <w:b/>
          <w:sz w:val="22"/>
          <w:szCs w:val="22"/>
        </w:rPr>
      </w:pPr>
      <w:r w:rsidRPr="00550EF0">
        <w:rPr>
          <w:rFonts w:cstheme="minorHAnsi"/>
          <w:b/>
          <w:sz w:val="22"/>
          <w:szCs w:val="22"/>
        </w:rPr>
        <w:t>Funding</w:t>
      </w:r>
    </w:p>
    <w:p w14:paraId="0A28436B" w14:textId="549CD7AA" w:rsidR="00465137" w:rsidRPr="00550EF0" w:rsidRDefault="00465137" w:rsidP="006B2810">
      <w:pPr>
        <w:spacing w:after="120" w:line="360" w:lineRule="auto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</w:pPr>
      <w:r w:rsidRPr="00550E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There was no specific funding received for this study. </w:t>
      </w:r>
      <w:proofErr w:type="spellStart"/>
      <w:r w:rsidRPr="00550E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TriNetX</w:t>
      </w:r>
      <w:proofErr w:type="spellEnd"/>
      <w:r w:rsidRPr="00550E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LLC funded the acquisition of the data used through use of the</w:t>
      </w:r>
      <w:r w:rsidR="007B2BF6" w:rsidRPr="00550E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network</w:t>
      </w:r>
      <w:r w:rsidRPr="00550E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database.</w:t>
      </w:r>
    </w:p>
    <w:p w14:paraId="7AF80275" w14:textId="77777777" w:rsidR="00465137" w:rsidRPr="00550EF0" w:rsidRDefault="00465137">
      <w:pPr>
        <w:rPr>
          <w:rFonts w:cstheme="minorHAnsi"/>
          <w:sz w:val="22"/>
          <w:szCs w:val="22"/>
        </w:rPr>
      </w:pPr>
    </w:p>
    <w:p w14:paraId="6581C62D" w14:textId="77777777" w:rsidR="00465137" w:rsidRPr="00550EF0" w:rsidRDefault="00465137" w:rsidP="00577EEF">
      <w:pPr>
        <w:spacing w:after="120"/>
        <w:rPr>
          <w:rFonts w:cstheme="minorHAnsi"/>
          <w:b/>
          <w:sz w:val="22"/>
          <w:szCs w:val="22"/>
        </w:rPr>
      </w:pPr>
      <w:r w:rsidRPr="00550EF0">
        <w:rPr>
          <w:rFonts w:cstheme="minorHAnsi"/>
          <w:b/>
          <w:sz w:val="22"/>
          <w:szCs w:val="22"/>
        </w:rPr>
        <w:t>Disclosures</w:t>
      </w:r>
    </w:p>
    <w:p w14:paraId="04E04E5A" w14:textId="77777777" w:rsidR="0081596B" w:rsidRDefault="00465137" w:rsidP="00BC7428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t xml:space="preserve">Benjamin JR Buckley has received funding from Bristol-Myers Squibb (BMS)/Pfizer. Stephanie L Harrison has received funding from BMS. Paula Underhill </w:t>
      </w:r>
      <w:r w:rsidR="00AF74F5" w:rsidRPr="00550EF0">
        <w:rPr>
          <w:rFonts w:cstheme="minorHAnsi"/>
          <w:sz w:val="22"/>
          <w:szCs w:val="22"/>
        </w:rPr>
        <w:t>is an</w:t>
      </w:r>
      <w:r w:rsidRPr="00550EF0">
        <w:rPr>
          <w:rFonts w:cstheme="minorHAnsi"/>
          <w:sz w:val="22"/>
          <w:szCs w:val="22"/>
        </w:rPr>
        <w:t xml:space="preserve"> employee of </w:t>
      </w:r>
      <w:proofErr w:type="spellStart"/>
      <w:r w:rsidRPr="00550EF0">
        <w:rPr>
          <w:rFonts w:cstheme="minorHAnsi"/>
          <w:sz w:val="22"/>
          <w:szCs w:val="22"/>
        </w:rPr>
        <w:t>TriNetX</w:t>
      </w:r>
      <w:proofErr w:type="spellEnd"/>
      <w:r w:rsidRPr="00550EF0">
        <w:rPr>
          <w:rFonts w:cstheme="minorHAnsi"/>
          <w:sz w:val="22"/>
          <w:szCs w:val="22"/>
        </w:rPr>
        <w:t xml:space="preserve"> LLC. Deirdre A Lane has received investigator-initiated educational grants from BMS, has been a speaker for Boehringer </w:t>
      </w:r>
      <w:proofErr w:type="spellStart"/>
      <w:r w:rsidRPr="00550EF0">
        <w:rPr>
          <w:rFonts w:cstheme="minorHAnsi"/>
          <w:sz w:val="22"/>
          <w:szCs w:val="22"/>
        </w:rPr>
        <w:t>Ingeheim</w:t>
      </w:r>
      <w:proofErr w:type="spellEnd"/>
      <w:r w:rsidRPr="00550EF0">
        <w:rPr>
          <w:rFonts w:cstheme="minorHAnsi"/>
          <w:sz w:val="22"/>
          <w:szCs w:val="22"/>
        </w:rPr>
        <w:t xml:space="preserve">, </w:t>
      </w:r>
      <w:r w:rsidR="0047396A" w:rsidRPr="00550EF0">
        <w:rPr>
          <w:rFonts w:cstheme="minorHAnsi"/>
          <w:sz w:val="22"/>
          <w:szCs w:val="22"/>
        </w:rPr>
        <w:t xml:space="preserve">Bayer, </w:t>
      </w:r>
      <w:r w:rsidRPr="00550EF0">
        <w:rPr>
          <w:rFonts w:cstheme="minorHAnsi"/>
          <w:sz w:val="22"/>
          <w:szCs w:val="22"/>
        </w:rPr>
        <w:t xml:space="preserve">and BMS/Pfizer and has consulted for BMS, Boehringer Ingelheim, and </w:t>
      </w:r>
      <w:r w:rsidRPr="00550EF0">
        <w:rPr>
          <w:rFonts w:cstheme="minorHAnsi"/>
          <w:sz w:val="22"/>
          <w:szCs w:val="22"/>
        </w:rPr>
        <w:lastRenderedPageBreak/>
        <w:t xml:space="preserve">Daiichi-Sankyo. Gregory YH Lip: consultant </w:t>
      </w:r>
      <w:r w:rsidR="00FB0768" w:rsidRPr="00550EF0">
        <w:rPr>
          <w:rFonts w:cstheme="minorHAnsi"/>
          <w:sz w:val="22"/>
          <w:szCs w:val="22"/>
        </w:rPr>
        <w:t>a</w:t>
      </w:r>
      <w:r w:rsidR="00022701" w:rsidRPr="00550EF0">
        <w:rPr>
          <w:rFonts w:cstheme="minorHAnsi"/>
          <w:sz w:val="22"/>
          <w:szCs w:val="22"/>
        </w:rPr>
        <w:t xml:space="preserve">nd speaker </w:t>
      </w:r>
      <w:r w:rsidRPr="00550EF0">
        <w:rPr>
          <w:rFonts w:cstheme="minorHAnsi"/>
          <w:sz w:val="22"/>
          <w:szCs w:val="22"/>
        </w:rPr>
        <w:t>for BMS/Pfizer, Medtronic, Boehringer Ingelheim, and Daiichi-Sankyo. No fees are directly received personally.</w:t>
      </w:r>
    </w:p>
    <w:p w14:paraId="055A9E58" w14:textId="77777777" w:rsidR="00AA229C" w:rsidRDefault="00AA229C" w:rsidP="00BC7428">
      <w:pPr>
        <w:spacing w:line="360" w:lineRule="auto"/>
        <w:rPr>
          <w:rFonts w:cstheme="minorHAnsi"/>
          <w:b/>
          <w:bCs/>
        </w:rPr>
      </w:pPr>
    </w:p>
    <w:p w14:paraId="19F61C6C" w14:textId="77777777" w:rsidR="00AA229C" w:rsidRDefault="00AA229C" w:rsidP="00BC7428">
      <w:pPr>
        <w:spacing w:line="360" w:lineRule="auto"/>
        <w:rPr>
          <w:rFonts w:cstheme="minorHAnsi"/>
          <w:b/>
          <w:bCs/>
        </w:rPr>
      </w:pPr>
    </w:p>
    <w:p w14:paraId="60774428" w14:textId="56807ADC" w:rsidR="0081596B" w:rsidRPr="0081596B" w:rsidRDefault="0081596B" w:rsidP="00BC7428">
      <w:pPr>
        <w:spacing w:line="360" w:lineRule="auto"/>
        <w:rPr>
          <w:rFonts w:cstheme="minorHAnsi"/>
          <w:b/>
          <w:bCs/>
        </w:rPr>
      </w:pPr>
      <w:r w:rsidRPr="0081596B">
        <w:rPr>
          <w:rFonts w:cstheme="minorHAnsi"/>
          <w:b/>
          <w:bCs/>
        </w:rPr>
        <w:t xml:space="preserve">Supplemental Material </w:t>
      </w:r>
    </w:p>
    <w:p w14:paraId="6450F812" w14:textId="77777777" w:rsidR="0081596B" w:rsidRDefault="0081596B" w:rsidP="0081596B">
      <w:pPr>
        <w:spacing w:line="360" w:lineRule="auto"/>
        <w:rPr>
          <w:rFonts w:cstheme="minorHAnsi"/>
        </w:rPr>
      </w:pPr>
      <w:r w:rsidRPr="0081596B">
        <w:rPr>
          <w:rFonts w:cstheme="minorHAnsi"/>
        </w:rPr>
        <w:t xml:space="preserve">Table S1. STROBE Statement </w:t>
      </w:r>
    </w:p>
    <w:p w14:paraId="07DC36FE" w14:textId="77777777" w:rsidR="0081596B" w:rsidRDefault="0081596B" w:rsidP="0081596B">
      <w:pPr>
        <w:spacing w:line="360" w:lineRule="auto"/>
        <w:rPr>
          <w:rFonts w:cstheme="minorHAnsi"/>
        </w:rPr>
      </w:pPr>
      <w:r w:rsidRPr="0081596B">
        <w:rPr>
          <w:rFonts w:cstheme="minorHAnsi"/>
        </w:rPr>
        <w:t xml:space="preserve">Supplement 2. Supplementary detail regarding methods </w:t>
      </w:r>
    </w:p>
    <w:p w14:paraId="37A8F522" w14:textId="77777777" w:rsidR="0081596B" w:rsidRDefault="0081596B" w:rsidP="0081596B">
      <w:pPr>
        <w:spacing w:line="360" w:lineRule="auto"/>
        <w:rPr>
          <w:rFonts w:cstheme="minorHAnsi"/>
        </w:rPr>
      </w:pPr>
      <w:r w:rsidRPr="0081596B">
        <w:rPr>
          <w:rFonts w:cstheme="minorHAnsi"/>
        </w:rPr>
        <w:t>Supplement 3: ICD-10-CM codes</w:t>
      </w:r>
    </w:p>
    <w:p w14:paraId="5AADE5F1" w14:textId="77777777" w:rsidR="0081596B" w:rsidRDefault="0081596B" w:rsidP="0081596B">
      <w:pPr>
        <w:spacing w:line="360" w:lineRule="auto"/>
        <w:rPr>
          <w:rFonts w:eastAsia="Calibri" w:cstheme="minorHAnsi"/>
        </w:rPr>
      </w:pPr>
      <w:r w:rsidRPr="0081596B">
        <w:rPr>
          <w:rFonts w:eastAsia="Calibri" w:cstheme="minorHAnsi"/>
        </w:rPr>
        <w:t>Table S2. Baseline characteristics</w:t>
      </w:r>
    </w:p>
    <w:p w14:paraId="71A8F870" w14:textId="77777777" w:rsidR="0081596B" w:rsidRDefault="0081596B" w:rsidP="0081596B">
      <w:pPr>
        <w:spacing w:line="360" w:lineRule="auto"/>
        <w:rPr>
          <w:rFonts w:eastAsia="Calibri" w:cstheme="minorHAnsi"/>
        </w:rPr>
      </w:pPr>
      <w:r w:rsidRPr="0081596B">
        <w:rPr>
          <w:rFonts w:eastAsia="Calibri" w:cstheme="minorHAnsi"/>
        </w:rPr>
        <w:t>Table S3. Baseline characteristics</w:t>
      </w:r>
    </w:p>
    <w:p w14:paraId="145E959D" w14:textId="77777777" w:rsidR="0081596B" w:rsidRDefault="0081596B" w:rsidP="0081596B">
      <w:pPr>
        <w:spacing w:line="360" w:lineRule="auto"/>
        <w:rPr>
          <w:rFonts w:eastAsia="Calibri" w:cstheme="minorHAnsi"/>
        </w:rPr>
      </w:pPr>
      <w:r w:rsidRPr="0081596B">
        <w:rPr>
          <w:rFonts w:eastAsia="Calibri" w:cstheme="minorHAnsi"/>
        </w:rPr>
        <w:t>Table S4. Baseline characteristics</w:t>
      </w:r>
    </w:p>
    <w:p w14:paraId="63CFEF65" w14:textId="77777777" w:rsidR="0081596B" w:rsidRDefault="0081596B" w:rsidP="0081596B">
      <w:pPr>
        <w:spacing w:line="360" w:lineRule="auto"/>
        <w:rPr>
          <w:rFonts w:eastAsia="Calibri" w:cstheme="minorHAnsi"/>
        </w:rPr>
      </w:pPr>
      <w:r w:rsidRPr="0081596B">
        <w:rPr>
          <w:rFonts w:eastAsia="Calibri" w:cstheme="minorHAnsi"/>
        </w:rPr>
        <w:t>Table S5. Baseline characteristics</w:t>
      </w:r>
    </w:p>
    <w:p w14:paraId="1D02E983" w14:textId="3EB5E99D" w:rsidR="0081596B" w:rsidRPr="0081596B" w:rsidRDefault="0081596B" w:rsidP="0081596B">
      <w:pPr>
        <w:spacing w:line="360" w:lineRule="auto"/>
        <w:rPr>
          <w:rFonts w:cstheme="minorHAnsi"/>
        </w:rPr>
      </w:pPr>
      <w:r w:rsidRPr="0081596B">
        <w:rPr>
          <w:rFonts w:eastAsia="Calibri" w:cstheme="minorHAnsi"/>
        </w:rPr>
        <w:t>Table S6. Baseline characteristics</w:t>
      </w:r>
    </w:p>
    <w:p w14:paraId="50DAB7D7" w14:textId="22C7811A" w:rsidR="00BB2D89" w:rsidRPr="00550EF0" w:rsidRDefault="00BE1652" w:rsidP="00BC7428">
      <w:pPr>
        <w:spacing w:line="360" w:lineRule="auto"/>
        <w:rPr>
          <w:rFonts w:cstheme="minorHAnsi"/>
          <w:sz w:val="22"/>
          <w:szCs w:val="22"/>
        </w:rPr>
      </w:pPr>
      <w:r w:rsidRPr="00550EF0">
        <w:rPr>
          <w:rFonts w:cstheme="minorHAnsi"/>
          <w:sz w:val="22"/>
          <w:szCs w:val="22"/>
        </w:rPr>
        <w:br w:type="page"/>
      </w:r>
    </w:p>
    <w:p w14:paraId="204BD612" w14:textId="7431A67E" w:rsidR="00BB2D89" w:rsidRPr="00550EF0" w:rsidRDefault="00BB2D89" w:rsidP="00BB2D89">
      <w:pPr>
        <w:jc w:val="both"/>
        <w:rPr>
          <w:rFonts w:cstheme="minorHAnsi"/>
          <w:b/>
          <w:bCs/>
        </w:rPr>
      </w:pPr>
      <w:r w:rsidRPr="00550EF0">
        <w:rPr>
          <w:rFonts w:cstheme="minorHAnsi"/>
          <w:b/>
          <w:bCs/>
        </w:rPr>
        <w:lastRenderedPageBreak/>
        <w:t xml:space="preserve">Abstract </w:t>
      </w:r>
    </w:p>
    <w:p w14:paraId="4713FC34" w14:textId="77777777" w:rsidR="00BC7428" w:rsidRPr="00550EF0" w:rsidRDefault="00BC7428" w:rsidP="00BC7428">
      <w:pPr>
        <w:spacing w:line="276" w:lineRule="auto"/>
        <w:jc w:val="both"/>
        <w:rPr>
          <w:rFonts w:cstheme="minorHAnsi"/>
          <w:b/>
          <w:bCs/>
        </w:rPr>
      </w:pPr>
      <w:r w:rsidRPr="00550EF0">
        <w:rPr>
          <w:rFonts w:cstheme="minorHAnsi"/>
          <w:b/>
          <w:bCs/>
        </w:rPr>
        <w:t>Background and purpose</w:t>
      </w:r>
    </w:p>
    <w:p w14:paraId="46066DE5" w14:textId="4F7F3841" w:rsidR="00D71338" w:rsidRPr="00550EF0" w:rsidRDefault="009142B1" w:rsidP="00BB2D89">
      <w:pPr>
        <w:jc w:val="both"/>
        <w:rPr>
          <w:rFonts w:cstheme="minorHAnsi"/>
        </w:rPr>
      </w:pPr>
      <w:r w:rsidRPr="009142B1">
        <w:rPr>
          <w:rFonts w:cstheme="minorHAnsi"/>
        </w:rPr>
        <w:t xml:space="preserve">The risk of major adverse cardiovascular events is substantially increased following a stroke. Although exercise-based cardiac rehabilitation has been shown to improve prognosis following cardiac events, it is not part of routine care for people following a stroke. We therefore investigated the association between cardiac rehabilitation and major adverse cardiovascular events for people following a stroke. </w:t>
      </w:r>
      <w:r w:rsidR="00D71338" w:rsidRPr="00550EF0">
        <w:rPr>
          <w:rFonts w:cstheme="minorHAnsi"/>
        </w:rPr>
        <w:t xml:space="preserve">Following a stroke, individuals have an increased risk of new-onset cardiovascular </w:t>
      </w:r>
      <w:r w:rsidR="00855580" w:rsidRPr="00550EF0">
        <w:rPr>
          <w:rFonts w:cstheme="minorHAnsi"/>
        </w:rPr>
        <w:t>complications</w:t>
      </w:r>
      <w:r w:rsidR="00D71338" w:rsidRPr="00550EF0">
        <w:rPr>
          <w:rFonts w:cstheme="minorHAnsi"/>
        </w:rPr>
        <w:t xml:space="preserve">. However, the incidence and </w:t>
      </w:r>
      <w:r w:rsidR="00855580" w:rsidRPr="00550EF0">
        <w:rPr>
          <w:rFonts w:cstheme="minorHAnsi"/>
        </w:rPr>
        <w:t xml:space="preserve">long-term </w:t>
      </w:r>
      <w:r w:rsidR="00D71338" w:rsidRPr="00550EF0">
        <w:rPr>
          <w:rFonts w:cstheme="minorHAnsi"/>
        </w:rPr>
        <w:t xml:space="preserve">clinical consequence of </w:t>
      </w:r>
      <w:r w:rsidR="0019763E" w:rsidRPr="00550EF0">
        <w:rPr>
          <w:rFonts w:cstheme="minorHAnsi"/>
        </w:rPr>
        <w:t>newly diagnosed</w:t>
      </w:r>
      <w:r w:rsidR="00D71338" w:rsidRPr="00550EF0">
        <w:rPr>
          <w:rFonts w:cstheme="minorHAnsi"/>
        </w:rPr>
        <w:t xml:space="preserve"> cardiovascular </w:t>
      </w:r>
      <w:r w:rsidR="00855580" w:rsidRPr="00550EF0">
        <w:rPr>
          <w:rFonts w:cstheme="minorHAnsi"/>
        </w:rPr>
        <w:t>complications</w:t>
      </w:r>
      <w:r w:rsidR="00831764" w:rsidRPr="00550EF0">
        <w:rPr>
          <w:rFonts w:cstheme="minorHAnsi"/>
        </w:rPr>
        <w:t xml:space="preserve"> following a stroke</w:t>
      </w:r>
      <w:r w:rsidR="00D71338" w:rsidRPr="00550EF0">
        <w:rPr>
          <w:rFonts w:cstheme="minorHAnsi"/>
        </w:rPr>
        <w:t xml:space="preserve"> is </w:t>
      </w:r>
      <w:r w:rsidR="0019763E" w:rsidRPr="00550EF0">
        <w:rPr>
          <w:rFonts w:cstheme="minorHAnsi"/>
        </w:rPr>
        <w:t>unclear</w:t>
      </w:r>
      <w:r w:rsidR="00D71338" w:rsidRPr="00550EF0">
        <w:rPr>
          <w:rFonts w:cstheme="minorHAnsi"/>
        </w:rPr>
        <w:t xml:space="preserve">. The aim of the present study was to investigate the incidence and long-term clinical outcomes of </w:t>
      </w:r>
      <w:r w:rsidR="0019763E" w:rsidRPr="00550EF0">
        <w:rPr>
          <w:rFonts w:cstheme="minorHAnsi"/>
        </w:rPr>
        <w:t>newly diagnosed</w:t>
      </w:r>
      <w:r w:rsidR="00D71338" w:rsidRPr="00550EF0">
        <w:rPr>
          <w:rFonts w:cstheme="minorHAnsi"/>
        </w:rPr>
        <w:t xml:space="preserve"> cardiovascular </w:t>
      </w:r>
      <w:r w:rsidR="004714E1" w:rsidRPr="00550EF0">
        <w:rPr>
          <w:rFonts w:cstheme="minorHAnsi"/>
        </w:rPr>
        <w:t>complications</w:t>
      </w:r>
      <w:r w:rsidR="00831764" w:rsidRPr="00550EF0">
        <w:rPr>
          <w:rFonts w:cstheme="minorHAnsi"/>
        </w:rPr>
        <w:t xml:space="preserve"> </w:t>
      </w:r>
      <w:r w:rsidR="00D71338" w:rsidRPr="00550EF0">
        <w:rPr>
          <w:rFonts w:cstheme="minorHAnsi"/>
        </w:rPr>
        <w:t xml:space="preserve">following </w:t>
      </w:r>
      <w:r w:rsidR="004714E1" w:rsidRPr="00550EF0">
        <w:rPr>
          <w:rFonts w:cstheme="minorHAnsi"/>
        </w:rPr>
        <w:t xml:space="preserve">incident </w:t>
      </w:r>
      <w:r w:rsidR="00BB2D89" w:rsidRPr="00550EF0">
        <w:rPr>
          <w:rFonts w:cstheme="minorHAnsi"/>
        </w:rPr>
        <w:t>ischaemic</w:t>
      </w:r>
      <w:r w:rsidR="00D71338" w:rsidRPr="00550EF0">
        <w:rPr>
          <w:rFonts w:cstheme="minorHAnsi"/>
        </w:rPr>
        <w:t xml:space="preserve"> stroke. </w:t>
      </w:r>
    </w:p>
    <w:p w14:paraId="7FB2C454" w14:textId="77777777" w:rsidR="00D71338" w:rsidRPr="00550EF0" w:rsidRDefault="00D71338" w:rsidP="00BB2D89">
      <w:pPr>
        <w:jc w:val="both"/>
        <w:rPr>
          <w:rFonts w:cstheme="minorHAnsi"/>
        </w:rPr>
      </w:pPr>
    </w:p>
    <w:p w14:paraId="0822B811" w14:textId="3239B782" w:rsidR="00D71338" w:rsidRPr="00550EF0" w:rsidRDefault="00BC7428" w:rsidP="00BB2D89">
      <w:pPr>
        <w:jc w:val="both"/>
        <w:rPr>
          <w:rFonts w:cstheme="minorHAnsi"/>
          <w:b/>
          <w:bCs/>
        </w:rPr>
      </w:pPr>
      <w:r w:rsidRPr="00550EF0">
        <w:rPr>
          <w:rFonts w:cstheme="minorHAnsi"/>
          <w:b/>
          <w:bCs/>
        </w:rPr>
        <w:t>Methods</w:t>
      </w:r>
    </w:p>
    <w:p w14:paraId="36FC06DE" w14:textId="1B8396B0" w:rsidR="00D71338" w:rsidRPr="00550EF0" w:rsidRDefault="00B34472" w:rsidP="00BB2D89">
      <w:pPr>
        <w:jc w:val="both"/>
        <w:rPr>
          <w:rFonts w:cstheme="minorHAnsi"/>
        </w:rPr>
      </w:pPr>
      <w:r w:rsidRPr="00550EF0">
        <w:rPr>
          <w:rFonts w:cstheme="minorHAnsi"/>
        </w:rPr>
        <w:t xml:space="preserve">A </w:t>
      </w:r>
      <w:r w:rsidR="00D71338" w:rsidRPr="00550EF0">
        <w:rPr>
          <w:rFonts w:cstheme="minorHAnsi"/>
        </w:rPr>
        <w:t xml:space="preserve">retrospective cohort study was conducted using anonymised electronic medical records from </w:t>
      </w:r>
      <w:r w:rsidR="00C4225A" w:rsidRPr="00550EF0">
        <w:rPr>
          <w:rFonts w:cstheme="minorHAnsi"/>
        </w:rPr>
        <w:t xml:space="preserve">53 </w:t>
      </w:r>
      <w:r w:rsidR="00D71338" w:rsidRPr="00550EF0">
        <w:rPr>
          <w:rFonts w:cstheme="minorHAnsi"/>
        </w:rPr>
        <w:t xml:space="preserve">participating healthcare organizations. </w:t>
      </w:r>
      <w:r w:rsidR="00630B15" w:rsidRPr="00550EF0">
        <w:rPr>
          <w:rFonts w:cstheme="minorHAnsi"/>
        </w:rPr>
        <w:t xml:space="preserve">Patients with </w:t>
      </w:r>
      <w:r w:rsidR="00FD7380" w:rsidRPr="00550EF0">
        <w:rPr>
          <w:rFonts w:cstheme="minorHAnsi"/>
        </w:rPr>
        <w:t>incident</w:t>
      </w:r>
      <w:r w:rsidR="00C4225A" w:rsidRPr="00550EF0">
        <w:rPr>
          <w:rFonts w:cstheme="minorHAnsi"/>
        </w:rPr>
        <w:t xml:space="preserve"> ischaemic</w:t>
      </w:r>
      <w:r w:rsidR="00FD7380" w:rsidRPr="00550EF0">
        <w:rPr>
          <w:rFonts w:cstheme="minorHAnsi"/>
        </w:rPr>
        <w:t xml:space="preserve"> </w:t>
      </w:r>
      <w:r w:rsidR="00D71338" w:rsidRPr="00550EF0">
        <w:rPr>
          <w:rFonts w:cstheme="minorHAnsi"/>
        </w:rPr>
        <w:t>stroke aged ≥18 years with 5-years of follow-up</w:t>
      </w:r>
      <w:r w:rsidR="00630B15" w:rsidRPr="00550EF0">
        <w:rPr>
          <w:rFonts w:cstheme="minorHAnsi"/>
        </w:rPr>
        <w:t xml:space="preserve"> were included</w:t>
      </w:r>
      <w:r w:rsidR="00D71338" w:rsidRPr="00550EF0">
        <w:rPr>
          <w:rFonts w:cstheme="minorHAnsi"/>
        </w:rPr>
        <w:t xml:space="preserve">. Patients who </w:t>
      </w:r>
      <w:r w:rsidR="00C4225A" w:rsidRPr="00550EF0">
        <w:rPr>
          <w:rFonts w:cstheme="minorHAnsi"/>
        </w:rPr>
        <w:t>were diagnosed with</w:t>
      </w:r>
      <w:r w:rsidR="00D71338" w:rsidRPr="00550EF0">
        <w:rPr>
          <w:rFonts w:cstheme="minorHAnsi"/>
        </w:rPr>
        <w:t xml:space="preserve"> new-onset cardiovascular </w:t>
      </w:r>
      <w:r w:rsidR="004714E1" w:rsidRPr="00550EF0">
        <w:rPr>
          <w:rFonts w:cstheme="minorHAnsi"/>
        </w:rPr>
        <w:t>complications</w:t>
      </w:r>
      <w:r w:rsidR="00D71338" w:rsidRPr="00550EF0">
        <w:rPr>
          <w:rFonts w:cstheme="minorHAnsi"/>
        </w:rPr>
        <w:t xml:space="preserve"> within 4-weeks</w:t>
      </w:r>
      <w:r w:rsidR="00E47637" w:rsidRPr="00550EF0">
        <w:rPr>
          <w:rFonts w:cstheme="minorHAnsi"/>
        </w:rPr>
        <w:t xml:space="preserve"> (exposure)</w:t>
      </w:r>
      <w:r w:rsidR="00D71338" w:rsidRPr="00550EF0">
        <w:rPr>
          <w:rFonts w:cstheme="minorHAnsi"/>
        </w:rPr>
        <w:t xml:space="preserve"> of </w:t>
      </w:r>
      <w:r w:rsidR="004714E1" w:rsidRPr="00550EF0">
        <w:rPr>
          <w:rFonts w:cstheme="minorHAnsi"/>
        </w:rPr>
        <w:t>incident</w:t>
      </w:r>
      <w:r w:rsidR="00D71338" w:rsidRPr="00550EF0">
        <w:rPr>
          <w:rFonts w:cstheme="minorHAnsi"/>
        </w:rPr>
        <w:t xml:space="preserve"> </w:t>
      </w:r>
      <w:r w:rsidR="00C4225A" w:rsidRPr="00550EF0">
        <w:rPr>
          <w:rFonts w:cstheme="minorHAnsi"/>
        </w:rPr>
        <w:t xml:space="preserve">ischaemic </w:t>
      </w:r>
      <w:r w:rsidR="00D71338" w:rsidRPr="00550EF0">
        <w:rPr>
          <w:rFonts w:cstheme="minorHAnsi"/>
        </w:rPr>
        <w:t xml:space="preserve">stroke were 1:1 propensity score-matched (age, sex, ethnicity, comorbidities, cardiovascular </w:t>
      </w:r>
      <w:r w:rsidR="0019763E" w:rsidRPr="00550EF0">
        <w:rPr>
          <w:rFonts w:cstheme="minorHAnsi"/>
        </w:rPr>
        <w:t>care</w:t>
      </w:r>
      <w:r w:rsidR="00D71338" w:rsidRPr="00550EF0">
        <w:rPr>
          <w:rFonts w:cstheme="minorHAnsi"/>
        </w:rPr>
        <w:t xml:space="preserve">) with </w:t>
      </w:r>
      <w:r w:rsidR="00C4225A" w:rsidRPr="00550EF0">
        <w:rPr>
          <w:rFonts w:cstheme="minorHAnsi"/>
        </w:rPr>
        <w:t xml:space="preserve">ischaemic </w:t>
      </w:r>
      <w:r w:rsidR="00D71338" w:rsidRPr="00550EF0">
        <w:rPr>
          <w:rFonts w:cstheme="minorHAnsi"/>
        </w:rPr>
        <w:t>stroke patients who</w:t>
      </w:r>
      <w:r w:rsidR="00C4225A" w:rsidRPr="00550EF0">
        <w:rPr>
          <w:rFonts w:cstheme="minorHAnsi"/>
        </w:rPr>
        <w:t xml:space="preserve"> were not diagnosed with </w:t>
      </w:r>
      <w:r w:rsidR="00D71338" w:rsidRPr="00550EF0">
        <w:rPr>
          <w:rFonts w:cstheme="minorHAnsi"/>
        </w:rPr>
        <w:t xml:space="preserve">a new-onset cardiovascular </w:t>
      </w:r>
      <w:r w:rsidR="004714E1" w:rsidRPr="00550EF0">
        <w:rPr>
          <w:rFonts w:cstheme="minorHAnsi"/>
        </w:rPr>
        <w:t>complication</w:t>
      </w:r>
      <w:r w:rsidR="00E47637" w:rsidRPr="00550EF0">
        <w:rPr>
          <w:rFonts w:cstheme="minorHAnsi"/>
        </w:rPr>
        <w:t xml:space="preserve"> (control)</w:t>
      </w:r>
      <w:r w:rsidR="00D71338" w:rsidRPr="00550EF0">
        <w:rPr>
          <w:rFonts w:cstheme="minorHAnsi"/>
        </w:rPr>
        <w:t>.</w:t>
      </w:r>
      <w:r w:rsidR="0019763E" w:rsidRPr="00550EF0">
        <w:rPr>
          <w:rFonts w:cstheme="minorHAnsi"/>
        </w:rPr>
        <w:t xml:space="preserve"> </w:t>
      </w:r>
      <w:r w:rsidR="00FD7380" w:rsidRPr="00550EF0">
        <w:rPr>
          <w:rFonts w:cstheme="minorHAnsi"/>
        </w:rPr>
        <w:t>Logistic regression models produced odds ratios (OR) with 95% confidence intervals (CIs) for 5-year incidence of</w:t>
      </w:r>
      <w:r w:rsidR="00D64862" w:rsidRPr="00550EF0">
        <w:rPr>
          <w:rFonts w:cstheme="minorHAnsi"/>
        </w:rPr>
        <w:t xml:space="preserve"> major adverse cardiovascular events</w:t>
      </w:r>
      <w:r w:rsidR="00FD7380" w:rsidRPr="00550EF0">
        <w:rPr>
          <w:rFonts w:cstheme="minorHAnsi"/>
        </w:rPr>
        <w:t xml:space="preserve"> </w:t>
      </w:r>
      <w:r w:rsidR="00D64862" w:rsidRPr="00550EF0">
        <w:rPr>
          <w:rFonts w:cstheme="minorHAnsi"/>
        </w:rPr>
        <w:t>(</w:t>
      </w:r>
      <w:r w:rsidR="00FD7380" w:rsidRPr="00550EF0">
        <w:rPr>
          <w:rFonts w:cstheme="minorHAnsi"/>
        </w:rPr>
        <w:t>MACE</w:t>
      </w:r>
      <w:r w:rsidR="0019763E" w:rsidRPr="00550EF0">
        <w:rPr>
          <w:rFonts w:cstheme="minorHAnsi"/>
        </w:rPr>
        <w:t xml:space="preserve">; </w:t>
      </w:r>
      <w:r w:rsidR="00BB2D89" w:rsidRPr="00550EF0">
        <w:rPr>
          <w:rFonts w:cstheme="minorHAnsi"/>
        </w:rPr>
        <w:t>acute coronary syndrome, atrial fibrillation/flutter, heart failure, ventricular fibrillation/flutter, and Takotsubo syndrome</w:t>
      </w:r>
      <w:r w:rsidR="0019763E" w:rsidRPr="00550EF0">
        <w:rPr>
          <w:rFonts w:cstheme="minorHAnsi"/>
        </w:rPr>
        <w:t>)</w:t>
      </w:r>
      <w:r w:rsidR="00FD7380" w:rsidRPr="00550EF0">
        <w:rPr>
          <w:rFonts w:cstheme="minorHAnsi"/>
        </w:rPr>
        <w:t xml:space="preserve">. </w:t>
      </w:r>
    </w:p>
    <w:p w14:paraId="7DA0504E" w14:textId="77777777" w:rsidR="00D71338" w:rsidRPr="00550EF0" w:rsidRDefault="00D71338" w:rsidP="00BB2D89">
      <w:pPr>
        <w:jc w:val="both"/>
        <w:rPr>
          <w:rFonts w:cstheme="minorHAnsi"/>
        </w:rPr>
      </w:pPr>
    </w:p>
    <w:p w14:paraId="0A35C27D" w14:textId="77777777" w:rsidR="00D71338" w:rsidRPr="00550EF0" w:rsidRDefault="00D71338" w:rsidP="00BB2D89">
      <w:pPr>
        <w:spacing w:after="120"/>
        <w:jc w:val="both"/>
        <w:rPr>
          <w:rFonts w:cstheme="minorHAnsi"/>
          <w:b/>
          <w:bCs/>
        </w:rPr>
      </w:pPr>
      <w:r w:rsidRPr="00550EF0">
        <w:rPr>
          <w:rFonts w:cstheme="minorHAnsi"/>
          <w:b/>
          <w:bCs/>
        </w:rPr>
        <w:t>Results</w:t>
      </w:r>
    </w:p>
    <w:p w14:paraId="4B72FC84" w14:textId="067D841A" w:rsidR="00D71338" w:rsidRPr="00550EF0" w:rsidRDefault="00D71338" w:rsidP="00BB2D89">
      <w:pPr>
        <w:jc w:val="both"/>
        <w:rPr>
          <w:rFonts w:cstheme="minorHAnsi"/>
        </w:rPr>
      </w:pPr>
      <w:r w:rsidRPr="00550EF0">
        <w:rPr>
          <w:rFonts w:cstheme="minorHAnsi"/>
        </w:rPr>
        <w:t>Of 365,383 stroke patients with 5-year follow-up</w:t>
      </w:r>
      <w:r w:rsidR="00C4225A" w:rsidRPr="00550EF0">
        <w:rPr>
          <w:rFonts w:cstheme="minorHAnsi"/>
        </w:rPr>
        <w:t>:</w:t>
      </w:r>
      <w:r w:rsidRPr="00550EF0">
        <w:rPr>
          <w:rFonts w:cstheme="minorHAnsi"/>
        </w:rPr>
        <w:t xml:space="preserve"> 11.1% developed acute coronary syndrome (ACS)</w:t>
      </w:r>
      <w:r w:rsidR="00C4225A" w:rsidRPr="00550EF0">
        <w:rPr>
          <w:rFonts w:cstheme="minorHAnsi"/>
        </w:rPr>
        <w:t>;</w:t>
      </w:r>
      <w:r w:rsidRPr="00550EF0">
        <w:rPr>
          <w:rFonts w:cstheme="minorHAnsi"/>
        </w:rPr>
        <w:t xml:space="preserve"> </w:t>
      </w:r>
      <w:r w:rsidR="006E790F" w:rsidRPr="00550EF0">
        <w:rPr>
          <w:rFonts w:cstheme="minorHAnsi"/>
        </w:rPr>
        <w:t>8.8% atrial fibrillation/flutter</w:t>
      </w:r>
      <w:r w:rsidR="00C4225A" w:rsidRPr="00550EF0">
        <w:rPr>
          <w:rFonts w:cstheme="minorHAnsi"/>
        </w:rPr>
        <w:t>;</w:t>
      </w:r>
      <w:r w:rsidR="006E790F" w:rsidRPr="00550EF0">
        <w:rPr>
          <w:rFonts w:cstheme="minorHAnsi"/>
        </w:rPr>
        <w:t xml:space="preserve"> </w:t>
      </w:r>
      <w:r w:rsidRPr="00550EF0">
        <w:rPr>
          <w:rFonts w:cstheme="minorHAnsi"/>
        </w:rPr>
        <w:t>6.4% heart failure</w:t>
      </w:r>
      <w:r w:rsidR="00C4225A" w:rsidRPr="00550EF0">
        <w:rPr>
          <w:rFonts w:cstheme="minorHAnsi"/>
        </w:rPr>
        <w:t>;</w:t>
      </w:r>
      <w:r w:rsidRPr="00550EF0">
        <w:rPr>
          <w:rFonts w:cstheme="minorHAnsi"/>
        </w:rPr>
        <w:t xml:space="preserve"> 1.2% severe ventricular arrythmia</w:t>
      </w:r>
      <w:r w:rsidR="00C4225A" w:rsidRPr="00550EF0">
        <w:rPr>
          <w:rFonts w:cstheme="minorHAnsi"/>
        </w:rPr>
        <w:t>s;</w:t>
      </w:r>
      <w:r w:rsidRPr="00550EF0">
        <w:rPr>
          <w:rFonts w:cstheme="minorHAnsi"/>
        </w:rPr>
        <w:t xml:space="preserve"> and 0.1% Takotsubo syndrome within 4-weeks of incident </w:t>
      </w:r>
      <w:r w:rsidR="00C4225A" w:rsidRPr="00550EF0">
        <w:rPr>
          <w:rFonts w:cstheme="minorHAnsi"/>
        </w:rPr>
        <w:t xml:space="preserve">ischaemic </w:t>
      </w:r>
      <w:r w:rsidRPr="00550EF0">
        <w:rPr>
          <w:rFonts w:cstheme="minorHAnsi"/>
        </w:rPr>
        <w:t xml:space="preserve">stroke. Following propensity score matching, odds of </w:t>
      </w:r>
      <w:r w:rsidR="00855580" w:rsidRPr="00550EF0">
        <w:rPr>
          <w:rFonts w:cstheme="minorHAnsi"/>
        </w:rPr>
        <w:t xml:space="preserve">5-year </w:t>
      </w:r>
      <w:r w:rsidRPr="00550EF0">
        <w:rPr>
          <w:rFonts w:cstheme="minorHAnsi"/>
        </w:rPr>
        <w:t xml:space="preserve">all-cause mortality were significantly higher in stroke patients </w:t>
      </w:r>
      <w:r w:rsidR="00CD6486" w:rsidRPr="00550EF0">
        <w:rPr>
          <w:rFonts w:cstheme="minorHAnsi"/>
        </w:rPr>
        <w:t>with</w:t>
      </w:r>
      <w:r w:rsidRPr="00550EF0">
        <w:rPr>
          <w:rFonts w:cstheme="minorHAnsi"/>
        </w:rPr>
        <w:t xml:space="preserve"> ACS (</w:t>
      </w:r>
      <w:r w:rsidR="00FD7380" w:rsidRPr="00550EF0">
        <w:rPr>
          <w:rFonts w:cstheme="minorHAnsi"/>
        </w:rPr>
        <w:t>OR</w:t>
      </w:r>
      <w:r w:rsidRPr="00550EF0">
        <w:rPr>
          <w:rFonts w:cstheme="minorHAnsi"/>
        </w:rPr>
        <w:t xml:space="preserve"> 1.49, 95% </w:t>
      </w:r>
      <w:r w:rsidR="00FD7380" w:rsidRPr="00550EF0">
        <w:rPr>
          <w:rFonts w:cstheme="minorHAnsi"/>
        </w:rPr>
        <w:t>CI</w:t>
      </w:r>
      <w:r w:rsidRPr="00550EF0">
        <w:rPr>
          <w:rFonts w:cstheme="minorHAnsi"/>
        </w:rPr>
        <w:t xml:space="preserve"> 1.44-1.54), </w:t>
      </w:r>
      <w:r w:rsidR="006E790F" w:rsidRPr="00550EF0">
        <w:rPr>
          <w:rFonts w:cstheme="minorHAnsi"/>
        </w:rPr>
        <w:t xml:space="preserve">atrial fibrillation/flutter (1.45, 1.40-1.50), </w:t>
      </w:r>
      <w:r w:rsidRPr="00550EF0">
        <w:rPr>
          <w:rFonts w:cstheme="minorHAnsi"/>
        </w:rPr>
        <w:t xml:space="preserve">heart failure (1.83, 1.76-1.91), </w:t>
      </w:r>
      <w:r w:rsidR="000A4DE8" w:rsidRPr="00550EF0">
        <w:rPr>
          <w:rFonts w:cstheme="minorHAnsi"/>
        </w:rPr>
        <w:t xml:space="preserve">and </w:t>
      </w:r>
      <w:r w:rsidRPr="00550EF0">
        <w:rPr>
          <w:rFonts w:cstheme="minorHAnsi"/>
        </w:rPr>
        <w:t>severe ventricular arr</w:t>
      </w:r>
      <w:r w:rsidR="00630B15" w:rsidRPr="00550EF0">
        <w:rPr>
          <w:rFonts w:cstheme="minorHAnsi"/>
        </w:rPr>
        <w:t>h</w:t>
      </w:r>
      <w:r w:rsidRPr="00550EF0">
        <w:rPr>
          <w:rFonts w:cstheme="minorHAnsi"/>
        </w:rPr>
        <w:t>ythmia</w:t>
      </w:r>
      <w:r w:rsidR="00CD6486" w:rsidRPr="00550EF0">
        <w:rPr>
          <w:rFonts w:cstheme="minorHAnsi"/>
        </w:rPr>
        <w:t>s</w:t>
      </w:r>
      <w:r w:rsidRPr="00550EF0">
        <w:rPr>
          <w:rFonts w:cstheme="minorHAnsi"/>
        </w:rPr>
        <w:t xml:space="preserve"> (2.08, 1.90-2.29)</w:t>
      </w:r>
      <w:r w:rsidR="00D64862" w:rsidRPr="00550EF0">
        <w:rPr>
          <w:rFonts w:cstheme="minorHAnsi"/>
        </w:rPr>
        <w:t>,</w:t>
      </w:r>
      <w:r w:rsidRPr="00550EF0">
        <w:rPr>
          <w:rFonts w:cstheme="minorHAnsi"/>
        </w:rPr>
        <w:t xml:space="preserve"> compared to matched </w:t>
      </w:r>
      <w:r w:rsidR="004714E1" w:rsidRPr="00550EF0">
        <w:rPr>
          <w:rFonts w:cstheme="minorHAnsi"/>
        </w:rPr>
        <w:t xml:space="preserve">controls. </w:t>
      </w:r>
      <w:r w:rsidRPr="00550EF0">
        <w:rPr>
          <w:rFonts w:cstheme="minorHAnsi"/>
        </w:rPr>
        <w:t xml:space="preserve">Odds of 5-year rehospitalisation and </w:t>
      </w:r>
      <w:r w:rsidR="00891F2D" w:rsidRPr="00550EF0">
        <w:rPr>
          <w:rFonts w:cstheme="minorHAnsi"/>
        </w:rPr>
        <w:t xml:space="preserve">acute </w:t>
      </w:r>
      <w:r w:rsidRPr="00550EF0">
        <w:rPr>
          <w:rFonts w:cstheme="minorHAnsi"/>
        </w:rPr>
        <w:t>myocardial infarction were</w:t>
      </w:r>
      <w:r w:rsidR="00891F2D" w:rsidRPr="00550EF0">
        <w:rPr>
          <w:rFonts w:cstheme="minorHAnsi"/>
        </w:rPr>
        <w:t xml:space="preserve"> also</w:t>
      </w:r>
      <w:r w:rsidRPr="00550EF0">
        <w:rPr>
          <w:rFonts w:cstheme="minorHAnsi"/>
        </w:rPr>
        <w:t xml:space="preserve"> significantly higher </w:t>
      </w:r>
      <w:r w:rsidR="00630B15" w:rsidRPr="00550EF0">
        <w:rPr>
          <w:rFonts w:cstheme="minorHAnsi"/>
        </w:rPr>
        <w:t>for</w:t>
      </w:r>
      <w:r w:rsidRPr="00550EF0">
        <w:rPr>
          <w:rFonts w:cstheme="minorHAnsi"/>
        </w:rPr>
        <w:t xml:space="preserve"> stroke patients </w:t>
      </w:r>
      <w:r w:rsidR="00CD6486" w:rsidRPr="00550EF0">
        <w:rPr>
          <w:rFonts w:cstheme="minorHAnsi"/>
        </w:rPr>
        <w:t>diagnosed with</w:t>
      </w:r>
      <w:r w:rsidRPr="00550EF0">
        <w:rPr>
          <w:rFonts w:cstheme="minorHAnsi"/>
        </w:rPr>
        <w:t xml:space="preserve"> </w:t>
      </w:r>
      <w:r w:rsidR="00FD7380" w:rsidRPr="00550EF0">
        <w:rPr>
          <w:rFonts w:cstheme="minorHAnsi"/>
        </w:rPr>
        <w:t>new-onset</w:t>
      </w:r>
      <w:r w:rsidRPr="00550EF0">
        <w:rPr>
          <w:rFonts w:cstheme="minorHAnsi"/>
        </w:rPr>
        <w:t xml:space="preserve"> cardiovascular </w:t>
      </w:r>
      <w:r w:rsidR="00891F2D" w:rsidRPr="00550EF0">
        <w:rPr>
          <w:rFonts w:cstheme="minorHAnsi"/>
        </w:rPr>
        <w:t>complications</w:t>
      </w:r>
      <w:r w:rsidRPr="00550EF0">
        <w:rPr>
          <w:rFonts w:cstheme="minorHAnsi"/>
        </w:rPr>
        <w:t xml:space="preserve">. </w:t>
      </w:r>
      <w:r w:rsidR="00D64862" w:rsidRPr="00550EF0">
        <w:rPr>
          <w:rFonts w:cstheme="minorHAnsi"/>
        </w:rPr>
        <w:t xml:space="preserve">Takotsubo syndrome was associated with significantly higher odds of </w:t>
      </w:r>
      <w:r w:rsidR="00630B15" w:rsidRPr="00550EF0">
        <w:rPr>
          <w:rFonts w:cstheme="minorHAnsi"/>
        </w:rPr>
        <w:t xml:space="preserve">5-year </w:t>
      </w:r>
      <w:r w:rsidR="00D64862" w:rsidRPr="00550EF0">
        <w:rPr>
          <w:rFonts w:cstheme="minorHAnsi"/>
        </w:rPr>
        <w:t xml:space="preserve">composite MACE (1.89, 1.29-2.77). </w:t>
      </w:r>
      <w:r w:rsidR="00FD7380" w:rsidRPr="00550EF0">
        <w:rPr>
          <w:rFonts w:cstheme="minorHAnsi"/>
        </w:rPr>
        <w:t>A</w:t>
      </w:r>
      <w:r w:rsidRPr="00550EF0">
        <w:rPr>
          <w:rFonts w:cstheme="minorHAnsi"/>
        </w:rPr>
        <w:t xml:space="preserve">trial fibrillation/flutter was the only </w:t>
      </w:r>
      <w:r w:rsidR="00FD7380" w:rsidRPr="00550EF0">
        <w:rPr>
          <w:rFonts w:cstheme="minorHAnsi"/>
        </w:rPr>
        <w:t xml:space="preserve">new-onset </w:t>
      </w:r>
      <w:r w:rsidR="006E790F" w:rsidRPr="00550EF0">
        <w:rPr>
          <w:rFonts w:cstheme="minorHAnsi"/>
        </w:rPr>
        <w:t xml:space="preserve">cardiac </w:t>
      </w:r>
      <w:r w:rsidR="004714E1" w:rsidRPr="00550EF0">
        <w:rPr>
          <w:rFonts w:cstheme="minorHAnsi"/>
        </w:rPr>
        <w:t>complication</w:t>
      </w:r>
      <w:r w:rsidRPr="00550EF0">
        <w:rPr>
          <w:rFonts w:cstheme="minorHAnsi"/>
        </w:rPr>
        <w:t xml:space="preserve"> </w:t>
      </w:r>
      <w:r w:rsidR="006E790F" w:rsidRPr="00550EF0">
        <w:rPr>
          <w:rFonts w:cstheme="minorHAnsi"/>
        </w:rPr>
        <w:t>associated with</w:t>
      </w:r>
      <w:r w:rsidR="00891F2D" w:rsidRPr="00550EF0">
        <w:rPr>
          <w:rFonts w:cstheme="minorHAnsi"/>
        </w:rPr>
        <w:t xml:space="preserve"> significantly</w:t>
      </w:r>
      <w:r w:rsidR="006E790F" w:rsidRPr="00550EF0">
        <w:rPr>
          <w:rFonts w:cstheme="minorHAnsi"/>
        </w:rPr>
        <w:t xml:space="preserve"> higher</w:t>
      </w:r>
      <w:r w:rsidRPr="00550EF0">
        <w:rPr>
          <w:rFonts w:cstheme="minorHAnsi"/>
        </w:rPr>
        <w:t xml:space="preserve"> odds of recurrent </w:t>
      </w:r>
      <w:r w:rsidR="00CD6486" w:rsidRPr="00550EF0">
        <w:rPr>
          <w:rFonts w:cstheme="minorHAnsi"/>
        </w:rPr>
        <w:t xml:space="preserve">ischaemic </w:t>
      </w:r>
      <w:r w:rsidRPr="00550EF0">
        <w:rPr>
          <w:rFonts w:cstheme="minorHAnsi"/>
        </w:rPr>
        <w:t xml:space="preserve">stroke at 5-years (1.10, 1.07-1.14). </w:t>
      </w:r>
    </w:p>
    <w:p w14:paraId="154E3C42" w14:textId="77777777" w:rsidR="00D71338" w:rsidRPr="00550EF0" w:rsidRDefault="00D71338" w:rsidP="00BB2D89">
      <w:pPr>
        <w:jc w:val="both"/>
        <w:rPr>
          <w:rFonts w:cstheme="minorHAnsi"/>
        </w:rPr>
      </w:pPr>
    </w:p>
    <w:p w14:paraId="756A5D75" w14:textId="548D883B" w:rsidR="00D71338" w:rsidRPr="00550EF0" w:rsidRDefault="00D71338" w:rsidP="00BB2D89">
      <w:pPr>
        <w:jc w:val="both"/>
        <w:rPr>
          <w:rFonts w:cstheme="minorHAnsi"/>
          <w:b/>
          <w:bCs/>
        </w:rPr>
      </w:pPr>
      <w:r w:rsidRPr="00550EF0">
        <w:rPr>
          <w:rFonts w:cstheme="minorHAnsi"/>
          <w:b/>
          <w:bCs/>
        </w:rPr>
        <w:t>Conclusions</w:t>
      </w:r>
    </w:p>
    <w:p w14:paraId="0C903529" w14:textId="3A28D6EC" w:rsidR="00D71338" w:rsidRPr="00550EF0" w:rsidRDefault="002F6D6A" w:rsidP="00BB2D89">
      <w:pPr>
        <w:jc w:val="both"/>
        <w:rPr>
          <w:rFonts w:cstheme="minorHAnsi"/>
        </w:rPr>
      </w:pPr>
      <w:r w:rsidRPr="00550EF0">
        <w:rPr>
          <w:rFonts w:cstheme="minorHAnsi"/>
        </w:rPr>
        <w:t>New-onset</w:t>
      </w:r>
      <w:r w:rsidR="00D71338" w:rsidRPr="00550EF0">
        <w:rPr>
          <w:rFonts w:cstheme="minorHAnsi"/>
        </w:rPr>
        <w:t xml:space="preserve"> </w:t>
      </w:r>
      <w:r w:rsidRPr="00550EF0">
        <w:rPr>
          <w:rFonts w:cstheme="minorHAnsi"/>
        </w:rPr>
        <w:t xml:space="preserve">cardiovascular </w:t>
      </w:r>
      <w:r w:rsidR="00855580" w:rsidRPr="00550EF0">
        <w:rPr>
          <w:rFonts w:cstheme="minorHAnsi"/>
        </w:rPr>
        <w:t>complications</w:t>
      </w:r>
      <w:r w:rsidR="00D71338" w:rsidRPr="00550EF0">
        <w:rPr>
          <w:rFonts w:cstheme="minorHAnsi"/>
        </w:rPr>
        <w:t xml:space="preserve"> </w:t>
      </w:r>
      <w:r w:rsidR="00CD6486" w:rsidRPr="00550EF0">
        <w:rPr>
          <w:rFonts w:cstheme="minorHAnsi"/>
        </w:rPr>
        <w:t xml:space="preserve">diagnosed </w:t>
      </w:r>
      <w:r w:rsidR="00D71338" w:rsidRPr="00550EF0">
        <w:rPr>
          <w:rFonts w:cstheme="minorHAnsi"/>
        </w:rPr>
        <w:t>following a</w:t>
      </w:r>
      <w:r w:rsidR="00CD6486" w:rsidRPr="00550EF0">
        <w:rPr>
          <w:rFonts w:cstheme="minorHAnsi"/>
        </w:rPr>
        <w:t>n ischaemic</w:t>
      </w:r>
      <w:r w:rsidR="00D71338" w:rsidRPr="00550EF0">
        <w:rPr>
          <w:rFonts w:cstheme="minorHAnsi"/>
        </w:rPr>
        <w:t xml:space="preserve"> stroke </w:t>
      </w:r>
      <w:r w:rsidR="00BB2D89" w:rsidRPr="00550EF0">
        <w:rPr>
          <w:rFonts w:cstheme="minorHAnsi"/>
        </w:rPr>
        <w:t>are</w:t>
      </w:r>
      <w:r w:rsidR="00D71338" w:rsidRPr="00550EF0">
        <w:rPr>
          <w:rFonts w:cstheme="minorHAnsi"/>
        </w:rPr>
        <w:t xml:space="preserve"> very common and associate with significantly worse </w:t>
      </w:r>
      <w:r w:rsidR="0021588C" w:rsidRPr="00550EF0">
        <w:rPr>
          <w:rFonts w:cstheme="minorHAnsi"/>
        </w:rPr>
        <w:t>5-year</w:t>
      </w:r>
      <w:r w:rsidR="00D71338" w:rsidRPr="00550EF0">
        <w:rPr>
          <w:rFonts w:cstheme="minorHAnsi"/>
        </w:rPr>
        <w:t xml:space="preserve"> </w:t>
      </w:r>
      <w:r w:rsidR="00855580" w:rsidRPr="00550EF0">
        <w:rPr>
          <w:rFonts w:cstheme="minorHAnsi"/>
        </w:rPr>
        <w:t>prognosis</w:t>
      </w:r>
      <w:r w:rsidR="00CD6486" w:rsidRPr="00550EF0">
        <w:rPr>
          <w:rFonts w:cstheme="minorHAnsi"/>
        </w:rPr>
        <w:t xml:space="preserve"> in terms of MACE</w:t>
      </w:r>
      <w:r w:rsidR="00D71338" w:rsidRPr="00550EF0">
        <w:rPr>
          <w:rFonts w:cstheme="minorHAnsi"/>
        </w:rPr>
        <w:t xml:space="preserve">. </w:t>
      </w:r>
      <w:r w:rsidR="00891F2D" w:rsidRPr="00550EF0">
        <w:rPr>
          <w:rFonts w:cstheme="minorHAnsi"/>
        </w:rPr>
        <w:t xml:space="preserve">People with stroke and newly diagnosed cardiovascular complications </w:t>
      </w:r>
      <w:r w:rsidR="009D5E2C" w:rsidRPr="00550EF0">
        <w:rPr>
          <w:rFonts w:cstheme="minorHAnsi"/>
        </w:rPr>
        <w:t>had</w:t>
      </w:r>
      <w:r w:rsidR="00891F2D" w:rsidRPr="00550EF0">
        <w:rPr>
          <w:rFonts w:cstheme="minorHAnsi"/>
        </w:rPr>
        <w:t xml:space="preserve"> &gt;50% </w:t>
      </w:r>
      <w:r w:rsidR="009D5E2C" w:rsidRPr="00550EF0">
        <w:rPr>
          <w:rFonts w:cstheme="minorHAnsi"/>
        </w:rPr>
        <w:t>prevalence</w:t>
      </w:r>
      <w:r w:rsidR="00891F2D" w:rsidRPr="00550EF0">
        <w:rPr>
          <w:rFonts w:cstheme="minorHAnsi"/>
        </w:rPr>
        <w:t xml:space="preserve"> of recurrent stroke at 5-years. </w:t>
      </w:r>
    </w:p>
    <w:p w14:paraId="7E2A6463" w14:textId="035AF6D4" w:rsidR="00B31FA0" w:rsidRDefault="00B31FA0" w:rsidP="00320012"/>
    <w:p w14:paraId="7DDC96E9" w14:textId="75DE8683" w:rsidR="00911E76" w:rsidRDefault="00911E76">
      <w:r>
        <w:br w:type="page"/>
      </w:r>
    </w:p>
    <w:p w14:paraId="1CE7056B" w14:textId="4FF2A873" w:rsidR="00B31FA0" w:rsidRDefault="00B31FA0" w:rsidP="00320012">
      <w:pPr>
        <w:rPr>
          <w:b/>
          <w:bCs/>
        </w:rPr>
      </w:pPr>
      <w:r w:rsidRPr="00B31FA0">
        <w:rPr>
          <w:b/>
          <w:bCs/>
        </w:rPr>
        <w:lastRenderedPageBreak/>
        <w:t>Non-standard Abbreviations and Acronyms</w:t>
      </w:r>
    </w:p>
    <w:p w14:paraId="2B353033" w14:textId="0ADA97A0" w:rsidR="00B31FA0" w:rsidRDefault="00B31FA0" w:rsidP="00320012"/>
    <w:p w14:paraId="7EF78B12" w14:textId="52A82956" w:rsidR="00B31FA0" w:rsidRDefault="00B31FA0" w:rsidP="00320012">
      <w:r>
        <w:t>ACS; Acute coronary syndrome</w:t>
      </w:r>
    </w:p>
    <w:p w14:paraId="1846999E" w14:textId="45F4F9E6" w:rsidR="00B31FA0" w:rsidRDefault="00B31FA0" w:rsidP="00320012">
      <w:r>
        <w:t>CI; Confidence interval</w:t>
      </w:r>
    </w:p>
    <w:p w14:paraId="6223D348" w14:textId="386ABC8A" w:rsidR="00B31FA0" w:rsidRPr="00B31FA0" w:rsidRDefault="00B31FA0" w:rsidP="00320012">
      <w:r w:rsidRPr="00550EF0">
        <w:rPr>
          <w:rFonts w:cstheme="minorHAnsi"/>
        </w:rPr>
        <w:t>ICD-10-CM</w:t>
      </w:r>
      <w:r>
        <w:rPr>
          <w:rFonts w:cstheme="minorHAnsi"/>
        </w:rPr>
        <w:t xml:space="preserve">; </w:t>
      </w:r>
      <w:r w:rsidRPr="00550EF0">
        <w:rPr>
          <w:rFonts w:cstheme="minorHAnsi"/>
        </w:rPr>
        <w:t>International Classification of Diseases, Tenth Revision, Clinical Modification</w:t>
      </w:r>
    </w:p>
    <w:p w14:paraId="41BD3913" w14:textId="1BE006CA" w:rsidR="00B31FA0" w:rsidRPr="00B31FA0" w:rsidRDefault="00B31FA0" w:rsidP="00320012">
      <w:r w:rsidRPr="00B31FA0">
        <w:t>MACE; Major adverse cardiovascular events</w:t>
      </w:r>
    </w:p>
    <w:p w14:paraId="5364EAAB" w14:textId="5210F22D" w:rsidR="00B31FA0" w:rsidRPr="00B31FA0" w:rsidRDefault="00B31FA0" w:rsidP="00320012">
      <w:proofErr w:type="gramStart"/>
      <w:r w:rsidRPr="00B31FA0">
        <w:t>OR;</w:t>
      </w:r>
      <w:proofErr w:type="gramEnd"/>
      <w:r w:rsidRPr="00B31FA0">
        <w:t xml:space="preserve"> Odds ratio</w:t>
      </w:r>
    </w:p>
    <w:p w14:paraId="3ED5FEDB" w14:textId="46747E9F" w:rsidR="00320012" w:rsidRPr="00550EF0" w:rsidRDefault="00320012" w:rsidP="00320012">
      <w:r w:rsidRPr="00550EF0">
        <w:br w:type="page"/>
      </w:r>
    </w:p>
    <w:p w14:paraId="7BBD057A" w14:textId="6D322183" w:rsidR="005E43B0" w:rsidRPr="00550EF0" w:rsidRDefault="00320012" w:rsidP="00BB2D89">
      <w:pPr>
        <w:spacing w:after="120"/>
        <w:rPr>
          <w:b/>
        </w:rPr>
      </w:pPr>
      <w:r w:rsidRPr="00550EF0">
        <w:rPr>
          <w:b/>
        </w:rPr>
        <w:lastRenderedPageBreak/>
        <w:t xml:space="preserve">Background </w:t>
      </w:r>
    </w:p>
    <w:p w14:paraId="0E8A2B8B" w14:textId="28338413" w:rsidR="004714E1" w:rsidRPr="00550EF0" w:rsidRDefault="00CC1C18" w:rsidP="00CC1C18">
      <w:pPr>
        <w:spacing w:line="360" w:lineRule="auto"/>
        <w:jc w:val="both"/>
      </w:pPr>
      <w:r w:rsidRPr="00550EF0">
        <w:t>New-onset cardiovascular</w:t>
      </w:r>
      <w:r w:rsidR="005E43B0" w:rsidRPr="00550EF0">
        <w:t xml:space="preserve"> complications are a major medical challenge following </w:t>
      </w:r>
      <w:r w:rsidRPr="00550EF0">
        <w:t>ischaemic</w:t>
      </w:r>
      <w:r w:rsidR="005E43B0" w:rsidRPr="00550EF0">
        <w:t xml:space="preserve"> stroke</w:t>
      </w:r>
      <w:r w:rsidR="00560160" w:rsidRPr="00550EF0">
        <w:t>.</w:t>
      </w:r>
      <w:r w:rsidRPr="00550EF0">
        <w:fldChar w:fldCharType="begin">
          <w:fldData xml:space="preserve">PEVuZE5vdGU+PENpdGU+PEF1dGhvcj5LdW1hcjwvQXV0aG9yPjxZZWFyPjIwMTA8L1llYXI+PFJl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</w:fldData>
        </w:fldChar>
      </w:r>
      <w:r w:rsidR="0081596B">
        <w:instrText xml:space="preserve"> ADDIN EN.CITE </w:instrText>
      </w:r>
      <w:r w:rsidR="0081596B">
        <w:fldChar w:fldCharType="begin">
          <w:fldData xml:space="preserve">PEVuZE5vdGU+PENpdGU+PEF1dGhvcj5LdW1hcjwvQXV0aG9yPjxZZWFyPjIwMTA8L1llYXI+PFJl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</w:fldData>
        </w:fldChar>
      </w:r>
      <w:r w:rsidR="0081596B">
        <w:instrText xml:space="preserve"> ADDIN EN.CITE.DATA </w:instrText>
      </w:r>
      <w:r w:rsidR="0081596B">
        <w:fldChar w:fldCharType="end"/>
      </w:r>
      <w:r w:rsidRPr="00550EF0">
        <w:fldChar w:fldCharType="separate"/>
      </w:r>
      <w:r w:rsidR="0081596B" w:rsidRPr="0081596B">
        <w:rPr>
          <w:noProof/>
          <w:vertAlign w:val="superscript"/>
        </w:rPr>
        <w:t>1, 2</w:t>
      </w:r>
      <w:r w:rsidRPr="00550EF0">
        <w:fldChar w:fldCharType="end"/>
      </w:r>
      <w:r w:rsidRPr="00550EF0">
        <w:t xml:space="preserve"> </w:t>
      </w:r>
      <w:r w:rsidR="00560160" w:rsidRPr="00550EF0">
        <w:t>One</w:t>
      </w:r>
      <w:r w:rsidR="00155207" w:rsidRPr="00550EF0">
        <w:t xml:space="preserve"> </w:t>
      </w:r>
      <w:r w:rsidRPr="00550EF0">
        <w:t>randomised controlled trial report</w:t>
      </w:r>
      <w:r w:rsidR="00560160" w:rsidRPr="00550EF0">
        <w:t>ed</w:t>
      </w:r>
      <w:r w:rsidR="00155207" w:rsidRPr="00550EF0">
        <w:t xml:space="preserve"> up to</w:t>
      </w:r>
      <w:r w:rsidRPr="00550EF0">
        <w:t xml:space="preserve"> 20% of isch</w:t>
      </w:r>
      <w:r w:rsidR="00560160" w:rsidRPr="00550EF0">
        <w:t>a</w:t>
      </w:r>
      <w:r w:rsidRPr="00550EF0">
        <w:t xml:space="preserve">emic stroke patients </w:t>
      </w:r>
      <w:r w:rsidR="004D72AB" w:rsidRPr="00550EF0">
        <w:t>are diagnosed with new-onset</w:t>
      </w:r>
      <w:r w:rsidRPr="00550EF0">
        <w:t xml:space="preserve"> major adverse cardiovascular events (MACE) including acute coronary syndrome</w:t>
      </w:r>
      <w:r w:rsidR="00630B15" w:rsidRPr="00550EF0">
        <w:t xml:space="preserve"> (ACS)</w:t>
      </w:r>
      <w:r w:rsidRPr="00550EF0">
        <w:t>, heart failure, and arrhythmia</w:t>
      </w:r>
      <w:r w:rsidR="004D72AB" w:rsidRPr="00550EF0">
        <w:t>s</w:t>
      </w:r>
      <w:r w:rsidR="00560160" w:rsidRPr="00550EF0">
        <w:t xml:space="preserve"> within the acute </w:t>
      </w:r>
      <w:r w:rsidR="005D1847" w:rsidRPr="00550EF0">
        <w:t>stroke phase</w:t>
      </w:r>
      <w:r w:rsidRPr="00550EF0">
        <w:t>.</w:t>
      </w:r>
      <w:r w:rsidRPr="00550EF0">
        <w:fldChar w:fldCharType="begin">
          <w:fldData xml:space="preserve">PEVuZE5vdGU+PENpdGU+PEF1dGhvcj5Qcm9zc2VyPC9BdXRob3I+PFllYXI+MjAwNzwvWWVhcj48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</w:fldData>
        </w:fldChar>
      </w:r>
      <w:r w:rsidR="0081596B">
        <w:instrText xml:space="preserve"> ADDIN EN.CITE </w:instrText>
      </w:r>
      <w:r w:rsidR="0081596B">
        <w:fldChar w:fldCharType="begin">
          <w:fldData xml:space="preserve">PEVuZE5vdGU+PENpdGU+PEF1dGhvcj5Qcm9zc2VyPC9BdXRob3I+PFllYXI+MjAwNzwvWWVhcj48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</w:fldData>
        </w:fldChar>
      </w:r>
      <w:r w:rsidR="0081596B">
        <w:instrText xml:space="preserve"> ADDIN EN.CITE.DATA </w:instrText>
      </w:r>
      <w:r w:rsidR="0081596B">
        <w:fldChar w:fldCharType="end"/>
      </w:r>
      <w:r w:rsidRPr="00550EF0">
        <w:fldChar w:fldCharType="separate"/>
      </w:r>
      <w:r w:rsidRPr="00550EF0">
        <w:rPr>
          <w:noProof/>
          <w:vertAlign w:val="superscript"/>
        </w:rPr>
        <w:t>3</w:t>
      </w:r>
      <w:r w:rsidRPr="00550EF0">
        <w:fldChar w:fldCharType="end"/>
      </w:r>
      <w:r w:rsidRPr="00550EF0">
        <w:t xml:space="preserve"> Importantly, </w:t>
      </w:r>
      <w:r w:rsidR="004D72AB" w:rsidRPr="00550EF0">
        <w:t xml:space="preserve">these </w:t>
      </w:r>
      <w:r w:rsidRPr="00550EF0">
        <w:t xml:space="preserve">new-onset cardiovascular complications following </w:t>
      </w:r>
      <w:r w:rsidR="00155207" w:rsidRPr="00550EF0">
        <w:t xml:space="preserve">an </w:t>
      </w:r>
      <w:r w:rsidRPr="00550EF0">
        <w:t xml:space="preserve">ischaemic stroke </w:t>
      </w:r>
      <w:r w:rsidR="00B43CA0" w:rsidRPr="00550EF0">
        <w:t xml:space="preserve">are </w:t>
      </w:r>
      <w:r w:rsidRPr="00550EF0">
        <w:t>associate</w:t>
      </w:r>
      <w:r w:rsidR="00B43CA0" w:rsidRPr="00550EF0">
        <w:t>d</w:t>
      </w:r>
      <w:r w:rsidRPr="00550EF0">
        <w:t xml:space="preserve"> with poor functional prognosis and</w:t>
      </w:r>
      <w:r w:rsidR="00155207" w:rsidRPr="00550EF0">
        <w:t xml:space="preserve"> increased</w:t>
      </w:r>
      <w:r w:rsidRPr="00550EF0">
        <w:t xml:space="preserve"> </w:t>
      </w:r>
      <w:r w:rsidR="00155207" w:rsidRPr="00550EF0">
        <w:t>mortality in the weeks following the cerebral event.</w:t>
      </w:r>
      <w:r w:rsidR="00155207" w:rsidRPr="00550EF0">
        <w:fldChar w:fldCharType="begin">
          <w:fldData xml:space="preserve">PEVuZE5vdGU+PENpdGU+PEF1dGhvcj5Qcm9zc2VyPC9BdXRob3I+PFllYXI+MjAwNzwvWWVhcj48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</w:fldData>
        </w:fldChar>
      </w:r>
      <w:r w:rsidR="0081596B">
        <w:instrText xml:space="preserve"> ADDIN EN.CITE </w:instrText>
      </w:r>
      <w:r w:rsidR="0081596B">
        <w:fldChar w:fldCharType="begin">
          <w:fldData xml:space="preserve">PEVuZE5vdGU+PENpdGU+PEF1dGhvcj5Qcm9zc2VyPC9BdXRob3I+PFllYXI+MjAwNzwvWWVhcj48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</w:fldData>
        </w:fldChar>
      </w:r>
      <w:r w:rsidR="0081596B">
        <w:instrText xml:space="preserve"> ADDIN EN.CITE.DATA </w:instrText>
      </w:r>
      <w:r w:rsidR="0081596B">
        <w:fldChar w:fldCharType="end"/>
      </w:r>
      <w:r w:rsidR="00155207" w:rsidRPr="00550EF0">
        <w:fldChar w:fldCharType="separate"/>
      </w:r>
      <w:r w:rsidR="00155207" w:rsidRPr="00550EF0">
        <w:rPr>
          <w:noProof/>
          <w:vertAlign w:val="superscript"/>
        </w:rPr>
        <w:t>3</w:t>
      </w:r>
      <w:r w:rsidR="00155207" w:rsidRPr="00550EF0">
        <w:fldChar w:fldCharType="end"/>
      </w:r>
      <w:r w:rsidR="00155207" w:rsidRPr="00550EF0">
        <w:t xml:space="preserve"> </w:t>
      </w:r>
    </w:p>
    <w:p w14:paraId="70491FC6" w14:textId="77777777" w:rsidR="004714E1" w:rsidRPr="00550EF0" w:rsidRDefault="004714E1" w:rsidP="00CC1C18">
      <w:pPr>
        <w:spacing w:line="360" w:lineRule="auto"/>
        <w:jc w:val="both"/>
      </w:pPr>
    </w:p>
    <w:p w14:paraId="6788C173" w14:textId="1CBFF3C3" w:rsidR="004714E1" w:rsidRPr="00550EF0" w:rsidRDefault="00155207" w:rsidP="00CC1C18">
      <w:pPr>
        <w:spacing w:line="360" w:lineRule="auto"/>
        <w:jc w:val="both"/>
      </w:pPr>
      <w:r w:rsidRPr="00550EF0">
        <w:t xml:space="preserve">An increasing body </w:t>
      </w:r>
      <w:r w:rsidR="00B43CA0" w:rsidRPr="00550EF0">
        <w:t xml:space="preserve">of </w:t>
      </w:r>
      <w:r w:rsidRPr="00550EF0">
        <w:t xml:space="preserve">evidence suggests that the varying new-onset cardiovascular complications </w:t>
      </w:r>
      <w:r w:rsidR="0054343E" w:rsidRPr="00550EF0">
        <w:t>which</w:t>
      </w:r>
      <w:r w:rsidRPr="00550EF0">
        <w:t xml:space="preserve"> present following a stroke likely share the same underlying mechanisms, that is, autonomic and inflammatory mechanisms mediated by damage to the brain-heart axis.</w:t>
      </w:r>
      <w:r w:rsidRPr="00550EF0">
        <w:fldChar w:fldCharType="begin"/>
      </w:r>
      <w:r w:rsidR="00D1473A" w:rsidRPr="00550EF0">
        <w:instrText xml:space="preserve"> ADDIN EN.CITE &lt;EndNote&gt;&lt;Cite&gt;&lt;Author&gt;Sposato Luciano&lt;/Author&gt;&lt;Year&gt;2020&lt;/Year&gt;&lt;RecNum&gt;2195&lt;/RecNum&gt;&lt;DisplayText&gt;&lt;style face="superscript"&gt;4&lt;/style&gt;&lt;/DisplayText&gt;&lt;record&gt;&lt;rec-number&gt;2195&lt;/rec-number&gt;&lt;foreign-keys&gt;&lt;key app="EN" db-id="09tweeax9tpw2aetw5vpzvtkdt9s2ep52zrs" timestamp="1607077092"&gt;2195&lt;/key&gt;&lt;/foreign-keys&gt;&lt;ref-type name="Journal Article"&gt;17&lt;/ref-type&gt;&lt;contributors&gt;&lt;authors&gt;&lt;author&gt;Sposato Luciano, A.&lt;/author&gt;&lt;author&gt;Hilz Max, J.&lt;/author&gt;&lt;author&gt;Aspberg, Sara&lt;/author&gt;&lt;author&gt;Murthy Santosh, B.&lt;/author&gt;&lt;author&gt;Bahit, M. Cecilia&lt;/author&gt;&lt;author&gt;Hsieh, Cheng-Yang&lt;/author&gt;&lt;author&gt;Sheppard Mary, N.&lt;/author&gt;&lt;author&gt;Scheitz Jan, F.&lt;/author&gt;&lt;author&gt;null, null&lt;/author&gt;&lt;/authors&gt;&lt;/contributors&gt;&lt;titles&gt;&lt;title&gt;Post-Stroke Cardiovascular Complications and Neurogenic Cardiac Injury&lt;/title&gt;&lt;secondary-title&gt;Journal of the American College of Cardiology&lt;/secondary-title&gt;&lt;/titles&gt;&lt;periodical&gt;&lt;full-title&gt;Journal of the American College of Cardiology&lt;/full-title&gt;&lt;/periodical&gt;&lt;pages&gt;2768-2785&lt;/pages&gt;&lt;volume&gt;76&lt;/volume&gt;&lt;number&gt;23&lt;/number&gt;&lt;dates&gt;&lt;year&gt;2020&lt;/year&gt;&lt;pub-dates&gt;&lt;date&gt;2020/12/08&lt;/date&gt;&lt;/pub-dates&gt;&lt;/dates&gt;&lt;publisher&gt;American College of Cardiology Foundation&lt;/publisher&gt;&lt;urls&gt;&lt;related-urls&gt;&lt;url&gt;https://doi.org/10.1016/j.jacc.2020.10.009&lt;/url&gt;&lt;/related-urls&gt;&lt;/urls&gt;&lt;electronic-resource-num&gt;10.1016/j.jacc.2020.10.009&lt;/electronic-resource-num&gt;&lt;access-date&gt;2020/12/04&lt;/access-date&gt;&lt;/record&gt;&lt;/Cite&gt;&lt;/EndNote&gt;</w:instrText>
      </w:r>
      <w:r w:rsidRPr="00550EF0">
        <w:fldChar w:fldCharType="separate"/>
      </w:r>
      <w:r w:rsidRPr="00550EF0">
        <w:rPr>
          <w:noProof/>
          <w:vertAlign w:val="superscript"/>
        </w:rPr>
        <w:t>4</w:t>
      </w:r>
      <w:r w:rsidRPr="00550EF0">
        <w:fldChar w:fldCharType="end"/>
      </w:r>
      <w:r w:rsidRPr="00550EF0">
        <w:t xml:space="preserve"> </w:t>
      </w:r>
      <w:r w:rsidR="00052DED" w:rsidRPr="00550EF0">
        <w:t>The brain-heart axis is</w:t>
      </w:r>
      <w:r w:rsidR="005D1847" w:rsidRPr="00550EF0">
        <w:t xml:space="preserve"> therefore</w:t>
      </w:r>
      <w:r w:rsidR="00052DED" w:rsidRPr="00550EF0">
        <w:t xml:space="preserve"> implicated in post-stroke cardiovascular complications known as the stroke-heart syndrome, sudden cardiac death, and Takotsubo syndrome, among other neurocardiogenic syndromes.</w:t>
      </w:r>
      <w:r w:rsidR="005D1847" w:rsidRPr="00550EF0">
        <w:t xml:space="preserve"> A</w:t>
      </w:r>
      <w:r w:rsidR="00855580" w:rsidRPr="00550EF0">
        <w:t xml:space="preserve">n </w:t>
      </w:r>
      <w:r w:rsidR="005D1847" w:rsidRPr="00550EF0">
        <w:t xml:space="preserve">official </w:t>
      </w:r>
      <w:r w:rsidR="00D30F6F" w:rsidRPr="00550EF0">
        <w:t>n</w:t>
      </w:r>
      <w:r w:rsidR="005D1847" w:rsidRPr="00550EF0">
        <w:t>euro</w:t>
      </w:r>
      <w:r w:rsidR="00B43CA0" w:rsidRPr="00550EF0">
        <w:t>-</w:t>
      </w:r>
      <w:r w:rsidR="005D1847" w:rsidRPr="00550EF0">
        <w:t>cardiology working group</w:t>
      </w:r>
      <w:r w:rsidR="0054343E" w:rsidRPr="00550EF0">
        <w:t xml:space="preserve"> (World Stroke Organization Brain &amp; Heart Task Force)</w:t>
      </w:r>
      <w:r w:rsidR="00D30F6F" w:rsidRPr="00550EF0">
        <w:t xml:space="preserve"> was </w:t>
      </w:r>
      <w:r w:rsidR="00855580" w:rsidRPr="00550EF0">
        <w:t xml:space="preserve">recently </w:t>
      </w:r>
      <w:r w:rsidR="00D30F6F" w:rsidRPr="00550EF0">
        <w:t>established</w:t>
      </w:r>
      <w:r w:rsidR="00D1473A" w:rsidRPr="00550EF0">
        <w:t xml:space="preserve">, which </w:t>
      </w:r>
      <w:r w:rsidR="00D30F6F" w:rsidRPr="00550EF0">
        <w:t>highlights the need</w:t>
      </w:r>
      <w:r w:rsidR="00855580" w:rsidRPr="00550EF0">
        <w:t xml:space="preserve"> and commitment</w:t>
      </w:r>
      <w:r w:rsidR="00D30F6F" w:rsidRPr="00550EF0">
        <w:t xml:space="preserve"> for multidisciplinary clinical and research collaborations to improve care and outcomes for conditions such as the </w:t>
      </w:r>
      <w:r w:rsidR="005D1847" w:rsidRPr="00550EF0">
        <w:t>stroke-heart syndrome</w:t>
      </w:r>
      <w:r w:rsidR="00D30F6F" w:rsidRPr="00550EF0">
        <w:t>.</w:t>
      </w:r>
      <w:r w:rsidR="00D1473A" w:rsidRPr="00550EF0">
        <w:fldChar w:fldCharType="begin"/>
      </w:r>
      <w:r w:rsidR="0081596B">
        <w:instrText xml:space="preserve"> ADDIN EN.CITE &lt;EndNote&gt;&lt;Cite&gt;&lt;Author&gt;Sposato&lt;/Author&gt;&lt;Year&gt;2021&lt;/Year&gt;&lt;RecNum&gt;8098&lt;/RecNum&gt;&lt;DisplayText&gt;&lt;style face="superscript"&gt;5&lt;/style&gt;&lt;/DisplayText&gt;&lt;record&gt;&lt;rec-number&gt;8098&lt;/rec-number&gt;&lt;foreign-keys&gt;&lt;key app="EN" db-id="09tweeax9tpw2aetw5vpzvtkdt9s2ep52zrs" timestamp="1619695689"&gt;8098&lt;/key&gt;&lt;/foreign-keys&gt;&lt;ref-type name="Journal Article"&gt;17&lt;/ref-type&gt;&lt;contributors&gt;&lt;authors&gt;&lt;author&gt;Sposato, Luciano A.&lt;/author&gt;&lt;author&gt;Aspberg, Sara&lt;/author&gt;&lt;author&gt;Scheitz, Jan F.&lt;/author&gt;&lt;author&gt;Fisher, Marc&lt;/author&gt;&lt;/authors&gt;&lt;/contributors&gt;&lt;titles&gt;&lt;title&gt;The World Stroke Organization Brain &amp;amp; Heart Task Force: collaborations between stroke physicians and cardiologists&lt;/title&gt;&lt;secondary-title&gt;European Heart Journal&lt;/secondary-title&gt;&lt;/titles&gt;&lt;periodical&gt;&lt;full-title&gt;European Heart Journal&lt;/full-title&gt;&lt;/periodical&gt;&lt;dates&gt;&lt;year&gt;2021&lt;/year&gt;&lt;/dates&gt;&lt;isbn&gt;0195-668X&lt;/isbn&gt;&lt;urls&gt;&lt;related-urls&gt;&lt;url&gt;https://doi.org/10.1093/eurheartj/ehab198&lt;/url&gt;&lt;/related-urls&gt;&lt;/urls&gt;&lt;electronic-resource-num&gt;10.1093/eurheartj/ehab198&lt;/electronic-resource-num&gt;&lt;access-date&gt;4/29/2021&lt;/access-date&gt;&lt;/record&gt;&lt;/Cite&gt;&lt;/EndNote&gt;</w:instrText>
      </w:r>
      <w:r w:rsidR="00D1473A" w:rsidRPr="00550EF0">
        <w:fldChar w:fldCharType="separate"/>
      </w:r>
      <w:r w:rsidR="00D1473A" w:rsidRPr="00550EF0">
        <w:rPr>
          <w:noProof/>
          <w:vertAlign w:val="superscript"/>
        </w:rPr>
        <w:t>5</w:t>
      </w:r>
      <w:r w:rsidR="00D1473A" w:rsidRPr="00550EF0">
        <w:fldChar w:fldCharType="end"/>
      </w:r>
      <w:r w:rsidR="00D30F6F" w:rsidRPr="00550EF0">
        <w:t xml:space="preserve"> </w:t>
      </w:r>
    </w:p>
    <w:p w14:paraId="1C4C0A84" w14:textId="77777777" w:rsidR="00052DED" w:rsidRPr="00550EF0" w:rsidRDefault="00052DED" w:rsidP="00CC1C18">
      <w:pPr>
        <w:spacing w:line="360" w:lineRule="auto"/>
        <w:jc w:val="both"/>
      </w:pPr>
    </w:p>
    <w:p w14:paraId="548BA309" w14:textId="52086D6C" w:rsidR="00155207" w:rsidRPr="00550EF0" w:rsidRDefault="004714E1" w:rsidP="00CC1C18">
      <w:pPr>
        <w:spacing w:line="360" w:lineRule="auto"/>
        <w:jc w:val="both"/>
      </w:pPr>
      <w:r w:rsidRPr="00550EF0">
        <w:t>Although some</w:t>
      </w:r>
      <w:r w:rsidR="00155207" w:rsidRPr="00550EF0">
        <w:t xml:space="preserve"> studies have </w:t>
      </w:r>
      <w:r w:rsidRPr="00550EF0">
        <w:t xml:space="preserve">demonstrated that the stroke-heart syndrome </w:t>
      </w:r>
      <w:r w:rsidR="00155207" w:rsidRPr="00550EF0">
        <w:t>associat</w:t>
      </w:r>
      <w:r w:rsidRPr="00550EF0">
        <w:t>es</w:t>
      </w:r>
      <w:r w:rsidR="00155207" w:rsidRPr="00550EF0">
        <w:t xml:space="preserve"> </w:t>
      </w:r>
      <w:r w:rsidRPr="00550EF0">
        <w:t xml:space="preserve">with </w:t>
      </w:r>
      <w:r w:rsidR="00155207" w:rsidRPr="00550EF0">
        <w:t>unfavourable short-term</w:t>
      </w:r>
      <w:r w:rsidR="005D1847" w:rsidRPr="00550EF0">
        <w:t xml:space="preserve"> (acute)</w:t>
      </w:r>
      <w:r w:rsidR="00155207" w:rsidRPr="00550EF0">
        <w:t xml:space="preserve"> prognosis</w:t>
      </w:r>
      <w:r w:rsidRPr="00550EF0">
        <w:t>,</w:t>
      </w:r>
      <w:r w:rsidR="00155207" w:rsidRPr="00550EF0">
        <w:t xml:space="preserve"> long-term consequences, including secondary cardiac events and </w:t>
      </w:r>
      <w:r w:rsidRPr="00550EF0">
        <w:t>mortality</w:t>
      </w:r>
      <w:r w:rsidR="00155207" w:rsidRPr="00550EF0">
        <w:t xml:space="preserve">, </w:t>
      </w:r>
      <w:r w:rsidRPr="00550EF0">
        <w:t>have not been previously</w:t>
      </w:r>
      <w:r w:rsidR="00155207" w:rsidRPr="00550EF0">
        <w:t xml:space="preserve"> described. </w:t>
      </w:r>
      <w:r w:rsidR="00B43CA0" w:rsidRPr="00550EF0">
        <w:t>Therefore, t</w:t>
      </w:r>
      <w:r w:rsidRPr="00550EF0">
        <w:t xml:space="preserve">he aim of the present study was to investigate the incidence and long-term clinical outcomes of new-onset cardiovascular </w:t>
      </w:r>
      <w:r w:rsidR="00330547" w:rsidRPr="00550EF0">
        <w:t>complications</w:t>
      </w:r>
      <w:r w:rsidR="004D72AB" w:rsidRPr="00550EF0">
        <w:t xml:space="preserve"> diagnosed</w:t>
      </w:r>
      <w:r w:rsidRPr="00550EF0">
        <w:t xml:space="preserve"> following incident ischaemic stroke.</w:t>
      </w:r>
      <w:r w:rsidR="003B0D67">
        <w:t xml:space="preserve"> It is hoped that by understanding </w:t>
      </w:r>
      <w:r w:rsidR="009F1D4E">
        <w:t>the</w:t>
      </w:r>
      <w:r w:rsidR="003B0D67">
        <w:t xml:space="preserve"> incidence and impact of stroke-heart syndrome, more targeted preventive and rehabilitation </w:t>
      </w:r>
      <w:r w:rsidR="009F1D4E">
        <w:t>strategies</w:t>
      </w:r>
      <w:r w:rsidR="003B0D67">
        <w:t xml:space="preserve"> can be developed for people following stroke.</w:t>
      </w:r>
      <w:r w:rsidR="009F1D4E">
        <w:fldChar w:fldCharType="begin">
          <w:fldData xml:space="preserve">PEVuZE5vdGU+PENpdGU+PEF1dGhvcj5CdWNrbGV5PC9BdXRob3I+PFllYXI+MjAyMTwvWWVhcj48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</w:fldData>
        </w:fldChar>
      </w:r>
      <w:r w:rsidR="009F1D4E">
        <w:instrText xml:space="preserve"> ADDIN EN.CITE </w:instrText>
      </w:r>
      <w:r w:rsidR="009F1D4E">
        <w:fldChar w:fldCharType="begin">
          <w:fldData xml:space="preserve">PEVuZE5vdGU+PENpdGU+PEF1dGhvcj5CdWNrbGV5PC9BdXRob3I+PFllYXI+MjAyMTwvWWVhcj48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</w:fldData>
        </w:fldChar>
      </w:r>
      <w:r w:rsidR="009F1D4E">
        <w:instrText xml:space="preserve"> ADDIN EN.CITE.DATA </w:instrText>
      </w:r>
      <w:r w:rsidR="009F1D4E">
        <w:fldChar w:fldCharType="end"/>
      </w:r>
      <w:r w:rsidR="009F1D4E">
        <w:fldChar w:fldCharType="separate"/>
      </w:r>
      <w:r w:rsidR="009F1D4E" w:rsidRPr="009F1D4E">
        <w:rPr>
          <w:noProof/>
          <w:vertAlign w:val="superscript"/>
        </w:rPr>
        <w:t>6</w:t>
      </w:r>
      <w:r w:rsidR="009F1D4E">
        <w:fldChar w:fldCharType="end"/>
      </w:r>
    </w:p>
    <w:p w14:paraId="46088D5C" w14:textId="77777777" w:rsidR="002F6D6A" w:rsidRPr="00550EF0" w:rsidRDefault="002F6D6A"/>
    <w:p w14:paraId="0F167797" w14:textId="77777777" w:rsidR="006E790F" w:rsidRPr="00550EF0" w:rsidRDefault="006E790F">
      <w:pPr>
        <w:rPr>
          <w:b/>
        </w:rPr>
      </w:pPr>
    </w:p>
    <w:p w14:paraId="3CD0D432" w14:textId="703A7E91" w:rsidR="001E1844" w:rsidRPr="00550EF0" w:rsidRDefault="001E1844" w:rsidP="00C47034">
      <w:pPr>
        <w:spacing w:after="120"/>
        <w:rPr>
          <w:b/>
        </w:rPr>
      </w:pPr>
      <w:r w:rsidRPr="00550EF0">
        <w:rPr>
          <w:b/>
        </w:rPr>
        <w:t>Methods</w:t>
      </w:r>
    </w:p>
    <w:p w14:paraId="2AF48D87" w14:textId="77777777" w:rsidR="00B31FA0" w:rsidRPr="00550EF0" w:rsidRDefault="00B31FA0" w:rsidP="00B31FA0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 xml:space="preserve">To gain access to </w:t>
      </w:r>
      <w:proofErr w:type="spellStart"/>
      <w:r w:rsidRPr="00550EF0">
        <w:rPr>
          <w:rFonts w:cstheme="minorHAnsi"/>
        </w:rPr>
        <w:t>TriNetX</w:t>
      </w:r>
      <w:proofErr w:type="spellEnd"/>
      <w:r w:rsidRPr="00550EF0">
        <w:rPr>
          <w:rFonts w:cstheme="minorHAnsi"/>
        </w:rPr>
        <w:t xml:space="preserve"> data, a request can be made (https://live.trinetx.com), but costs may be incurred, a data sharing agreement would be necessary, and no patient identifiable information can be obtained.</w:t>
      </w:r>
    </w:p>
    <w:p w14:paraId="488A1875" w14:textId="77777777" w:rsidR="00B31FA0" w:rsidRDefault="00B31FA0" w:rsidP="00C47034">
      <w:pPr>
        <w:spacing w:line="360" w:lineRule="auto"/>
        <w:jc w:val="both"/>
        <w:rPr>
          <w:rFonts w:cstheme="minorHAnsi"/>
        </w:rPr>
      </w:pPr>
    </w:p>
    <w:p w14:paraId="3152EADA" w14:textId="50AAA08E" w:rsidR="00C47034" w:rsidRPr="00550EF0" w:rsidRDefault="00C47034" w:rsidP="00C47034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 xml:space="preserve">This retrospective observational study utilised </w:t>
      </w:r>
      <w:r w:rsidR="00F2285B" w:rsidRPr="00550EF0">
        <w:rPr>
          <w:rFonts w:cstheme="minorHAnsi"/>
        </w:rPr>
        <w:t xml:space="preserve">complete case, </w:t>
      </w:r>
      <w:r w:rsidRPr="00550EF0">
        <w:rPr>
          <w:rFonts w:cstheme="minorHAnsi"/>
        </w:rPr>
        <w:t xml:space="preserve">anonymised data within </w:t>
      </w:r>
      <w:proofErr w:type="spellStart"/>
      <w:r w:rsidRPr="00550EF0">
        <w:rPr>
          <w:rFonts w:cstheme="minorHAnsi"/>
        </w:rPr>
        <w:t>TriNetX</w:t>
      </w:r>
      <w:proofErr w:type="spellEnd"/>
      <w:r w:rsidRPr="00550EF0">
        <w:rPr>
          <w:rFonts w:cstheme="minorHAnsi"/>
        </w:rPr>
        <w:t xml:space="preserve">, a global federated health research network with access to electronic medical records (EMRs) from participating academic medical centres, specialty physician practices, and community hospitals, predominantly in the United States. As a federated network, research studies using </w:t>
      </w:r>
      <w:proofErr w:type="spellStart"/>
      <w:r w:rsidRPr="00550EF0">
        <w:rPr>
          <w:rFonts w:cstheme="minorHAnsi"/>
        </w:rPr>
        <w:t>TriNetX</w:t>
      </w:r>
      <w:proofErr w:type="spellEnd"/>
      <w:r w:rsidRPr="00550EF0">
        <w:rPr>
          <w:rFonts w:cstheme="minorHAnsi"/>
        </w:rPr>
        <w:t xml:space="preserve"> do not require ethical approval or patient informed consent as no identifiable information is received. The </w:t>
      </w:r>
      <w:proofErr w:type="spellStart"/>
      <w:r w:rsidRPr="00550EF0">
        <w:rPr>
          <w:rFonts w:cstheme="minorHAnsi"/>
        </w:rPr>
        <w:t>TriNetX</w:t>
      </w:r>
      <w:proofErr w:type="spellEnd"/>
      <w:r w:rsidRPr="00550EF0">
        <w:rPr>
          <w:rFonts w:cstheme="minorHAnsi"/>
        </w:rPr>
        <w:t xml:space="preserve"> network was searched on August 1, </w:t>
      </w:r>
      <w:proofErr w:type="gramStart"/>
      <w:r w:rsidRPr="00550EF0">
        <w:rPr>
          <w:rFonts w:cstheme="minorHAnsi"/>
        </w:rPr>
        <w:t>2021</w:t>
      </w:r>
      <w:proofErr w:type="gramEnd"/>
      <w:r w:rsidRPr="00550EF0">
        <w:rPr>
          <w:rFonts w:cstheme="minorHAnsi"/>
        </w:rPr>
        <w:t xml:space="preserve"> and de-identified datasets were analysed that included data from 2002-202</w:t>
      </w:r>
      <w:r w:rsidR="000F4529" w:rsidRPr="00550EF0">
        <w:rPr>
          <w:rFonts w:cstheme="minorHAnsi"/>
        </w:rPr>
        <w:t>1</w:t>
      </w:r>
      <w:r w:rsidRPr="00550EF0">
        <w:rPr>
          <w:rFonts w:cstheme="minorHAnsi"/>
        </w:rPr>
        <w:t xml:space="preserve"> with at least 5-years of follow-up (i.e. index event</w:t>
      </w:r>
      <w:r w:rsidR="004D72AB" w:rsidRPr="00550EF0">
        <w:rPr>
          <w:rFonts w:cstheme="minorHAnsi"/>
        </w:rPr>
        <w:t xml:space="preserve"> (incident ischaemic stroke)</w:t>
      </w:r>
      <w:r w:rsidRPr="00550EF0">
        <w:rPr>
          <w:rFonts w:cstheme="minorHAnsi"/>
        </w:rPr>
        <w:t xml:space="preserve"> </w:t>
      </w:r>
      <w:r w:rsidR="00DC2457" w:rsidRPr="00550EF0">
        <w:rPr>
          <w:rFonts w:cstheme="minorHAnsi"/>
        </w:rPr>
        <w:t>occurred</w:t>
      </w:r>
      <w:r w:rsidRPr="00550EF0">
        <w:rPr>
          <w:rFonts w:cstheme="minorHAnsi"/>
        </w:rPr>
        <w:t xml:space="preserve"> at least five years ago). </w:t>
      </w:r>
      <w:r w:rsidRPr="00550EF0">
        <w:rPr>
          <w:rFonts w:cstheme="minorHAnsi"/>
          <w:lang w:val="en-AU"/>
        </w:rPr>
        <w:t xml:space="preserve">This study is reported as per the Strengthening the Reporting of Observational Studies in Epidemiology (STROBE) guidelines (Table </w:t>
      </w:r>
      <w:r w:rsidR="0081596B">
        <w:rPr>
          <w:rFonts w:cstheme="minorHAnsi"/>
          <w:lang w:val="en-AU"/>
        </w:rPr>
        <w:t>S</w:t>
      </w:r>
      <w:r w:rsidRPr="00550EF0">
        <w:rPr>
          <w:rFonts w:cstheme="minorHAnsi"/>
          <w:lang w:val="en-AU"/>
        </w:rPr>
        <w:t>1).</w:t>
      </w:r>
      <w:r w:rsidR="005D670C" w:rsidRPr="00550EF0">
        <w:rPr>
          <w:rFonts w:cstheme="minorHAnsi"/>
        </w:rPr>
        <w:t xml:space="preserve"> More detailed information regarding the </w:t>
      </w:r>
      <w:r w:rsidR="00891F2D" w:rsidRPr="00550EF0">
        <w:rPr>
          <w:rFonts w:cstheme="minorHAnsi"/>
        </w:rPr>
        <w:t xml:space="preserve">online </w:t>
      </w:r>
      <w:r w:rsidR="005D670C" w:rsidRPr="00550EF0">
        <w:rPr>
          <w:rFonts w:cstheme="minorHAnsi"/>
        </w:rPr>
        <w:t>database and methods</w:t>
      </w:r>
      <w:r w:rsidR="00891F2D" w:rsidRPr="00550EF0">
        <w:rPr>
          <w:rFonts w:cstheme="minorHAnsi"/>
        </w:rPr>
        <w:t xml:space="preserve"> used</w:t>
      </w:r>
      <w:r w:rsidR="005D670C" w:rsidRPr="00550EF0">
        <w:rPr>
          <w:rFonts w:cstheme="minorHAnsi"/>
        </w:rPr>
        <w:t xml:space="preserve"> can be found </w:t>
      </w:r>
      <w:r w:rsidR="00891F2D" w:rsidRPr="00550EF0">
        <w:rPr>
          <w:rFonts w:cstheme="minorHAnsi"/>
        </w:rPr>
        <w:t>with</w:t>
      </w:r>
      <w:r w:rsidR="005D670C" w:rsidRPr="00550EF0">
        <w:rPr>
          <w:rFonts w:cstheme="minorHAnsi"/>
        </w:rPr>
        <w:t>in Supplement 2</w:t>
      </w:r>
      <w:r w:rsidR="00891F2D" w:rsidRPr="00550EF0">
        <w:rPr>
          <w:rFonts w:cstheme="minorHAnsi"/>
        </w:rPr>
        <w:t xml:space="preserve"> of the supplementary file</w:t>
      </w:r>
      <w:r w:rsidR="005D670C" w:rsidRPr="00550EF0">
        <w:rPr>
          <w:rFonts w:cstheme="minorHAnsi"/>
        </w:rPr>
        <w:t xml:space="preserve">. </w:t>
      </w:r>
    </w:p>
    <w:p w14:paraId="03DF1587" w14:textId="20498B7A" w:rsidR="00C47034" w:rsidRPr="00550EF0" w:rsidRDefault="00C47034" w:rsidP="00C47034">
      <w:pPr>
        <w:spacing w:line="360" w:lineRule="auto"/>
        <w:jc w:val="both"/>
        <w:rPr>
          <w:rFonts w:cstheme="minorHAnsi"/>
        </w:rPr>
      </w:pPr>
    </w:p>
    <w:p w14:paraId="7DCD0C81" w14:textId="665C7BC1" w:rsidR="00C47034" w:rsidRPr="00550EF0" w:rsidRDefault="00C47034" w:rsidP="00C47034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>Patients with a</w:t>
      </w:r>
      <w:r w:rsidR="00C4225A" w:rsidRPr="00550EF0">
        <w:rPr>
          <w:rFonts w:cstheme="minorHAnsi"/>
        </w:rPr>
        <w:t>n incident acute ischaemic</w:t>
      </w:r>
      <w:r w:rsidRPr="00550EF0">
        <w:rPr>
          <w:rFonts w:cstheme="minorHAnsi"/>
        </w:rPr>
        <w:t xml:space="preserve"> stroke, aged ≥18 years with at least 5-year</w:t>
      </w:r>
      <w:r w:rsidR="00B43CA0" w:rsidRPr="00550EF0">
        <w:rPr>
          <w:rFonts w:cstheme="minorHAnsi"/>
        </w:rPr>
        <w:t>s</w:t>
      </w:r>
      <w:r w:rsidRPr="00550EF0">
        <w:rPr>
          <w:rFonts w:cstheme="minorHAnsi"/>
        </w:rPr>
        <w:t xml:space="preserve"> follow-up were identified from</w:t>
      </w:r>
      <w:r w:rsidR="00BD00D7" w:rsidRPr="00550EF0">
        <w:rPr>
          <w:rFonts w:cstheme="minorHAnsi"/>
        </w:rPr>
        <w:t xml:space="preserve"> the first instance of an</w:t>
      </w:r>
      <w:r w:rsidRPr="00550EF0">
        <w:rPr>
          <w:rFonts w:cstheme="minorHAnsi"/>
        </w:rPr>
        <w:t xml:space="preserve"> International Classification of Diseases, Tenth Revision, Clinical Modification (ICD-10-CM) code I63 (Cerebral infarction).</w:t>
      </w:r>
      <w:r w:rsidR="00816EBB" w:rsidRPr="00550EF0">
        <w:rPr>
          <w:rFonts w:cstheme="minorHAnsi"/>
        </w:rPr>
        <w:t xml:space="preserve"> The complete dataset including index event and all outcomes</w:t>
      </w:r>
      <w:r w:rsidR="00281CD8" w:rsidRPr="00550EF0">
        <w:rPr>
          <w:rFonts w:cstheme="minorHAnsi"/>
        </w:rPr>
        <w:t xml:space="preserve"> spanned 200</w:t>
      </w:r>
      <w:r w:rsidR="000F4529" w:rsidRPr="00550EF0">
        <w:rPr>
          <w:rFonts w:cstheme="minorHAnsi"/>
        </w:rPr>
        <w:t>2</w:t>
      </w:r>
      <w:r w:rsidR="00281CD8" w:rsidRPr="00550EF0">
        <w:rPr>
          <w:rFonts w:cstheme="minorHAnsi"/>
        </w:rPr>
        <w:t xml:space="preserve"> to 2021.</w:t>
      </w:r>
      <w:r w:rsidR="00330547" w:rsidRPr="00550EF0">
        <w:rPr>
          <w:rFonts w:cstheme="minorHAnsi"/>
        </w:rPr>
        <w:t xml:space="preserve"> The ischaemic stroke cohort was stratified by new</w:t>
      </w:r>
      <w:r w:rsidR="00C42AB4" w:rsidRPr="00550EF0">
        <w:rPr>
          <w:rFonts w:cstheme="minorHAnsi"/>
        </w:rPr>
        <w:t>ly diagnosed</w:t>
      </w:r>
      <w:r w:rsidR="00330547" w:rsidRPr="00550EF0">
        <w:rPr>
          <w:rFonts w:cstheme="minorHAnsi"/>
        </w:rPr>
        <w:t>, post-stroke cardiovascular complications.</w:t>
      </w:r>
      <w:r w:rsidRPr="00550EF0">
        <w:rPr>
          <w:rFonts w:cstheme="minorHAnsi"/>
        </w:rPr>
        <w:t xml:space="preserve"> </w:t>
      </w:r>
      <w:r w:rsidR="00C4225A" w:rsidRPr="00550EF0">
        <w:rPr>
          <w:rFonts w:cstheme="minorHAnsi"/>
        </w:rPr>
        <w:t>New</w:t>
      </w:r>
      <w:r w:rsidR="007B4094" w:rsidRPr="00550EF0">
        <w:rPr>
          <w:rFonts w:cstheme="minorHAnsi"/>
        </w:rPr>
        <w:t>ly diagnosed</w:t>
      </w:r>
      <w:r w:rsidR="00C4225A" w:rsidRPr="00550EF0">
        <w:rPr>
          <w:rFonts w:cstheme="minorHAnsi"/>
        </w:rPr>
        <w:t xml:space="preserve"> cardiovascular complications</w:t>
      </w:r>
      <w:r w:rsidR="00277588" w:rsidRPr="00550EF0">
        <w:rPr>
          <w:rFonts w:cstheme="minorHAnsi"/>
        </w:rPr>
        <w:t xml:space="preserve"> (within 4-weeks of </w:t>
      </w:r>
      <w:r w:rsidR="00DC2457" w:rsidRPr="00550EF0">
        <w:rPr>
          <w:rFonts w:cstheme="minorHAnsi"/>
        </w:rPr>
        <w:t>ischaemic</w:t>
      </w:r>
      <w:r w:rsidR="00277588" w:rsidRPr="00550EF0">
        <w:rPr>
          <w:rFonts w:cstheme="minorHAnsi"/>
        </w:rPr>
        <w:t xml:space="preserve"> stroke) </w:t>
      </w:r>
      <w:r w:rsidR="00DC2457" w:rsidRPr="00550EF0">
        <w:rPr>
          <w:rFonts w:cstheme="minorHAnsi"/>
        </w:rPr>
        <w:t>were</w:t>
      </w:r>
      <w:r w:rsidR="00277588" w:rsidRPr="00550EF0">
        <w:rPr>
          <w:rFonts w:cstheme="minorHAnsi"/>
        </w:rPr>
        <w:t xml:space="preserve"> identified via ICD-10-CM codes: </w:t>
      </w:r>
      <w:r w:rsidRPr="00550EF0">
        <w:rPr>
          <w:rFonts w:cstheme="minorHAnsi"/>
        </w:rPr>
        <w:t>I20-I25 (Ischaemic heart diseases</w:t>
      </w:r>
      <w:r w:rsidR="00277588" w:rsidRPr="00550EF0">
        <w:rPr>
          <w:rFonts w:cstheme="minorHAnsi"/>
        </w:rPr>
        <w:t xml:space="preserve">) [i.e., ACS], </w:t>
      </w:r>
      <w:r w:rsidRPr="00550EF0">
        <w:rPr>
          <w:rFonts w:cstheme="minorHAnsi"/>
        </w:rPr>
        <w:t>I48 (Atrial fibrillation/flutter)</w:t>
      </w:r>
      <w:r w:rsidR="00277588" w:rsidRPr="00550EF0">
        <w:rPr>
          <w:rFonts w:cstheme="minorHAnsi"/>
        </w:rPr>
        <w:t xml:space="preserve">, </w:t>
      </w:r>
      <w:r w:rsidRPr="00550EF0">
        <w:rPr>
          <w:rFonts w:cstheme="minorHAnsi"/>
        </w:rPr>
        <w:t>I50 (Heart failure)</w:t>
      </w:r>
      <w:r w:rsidR="00277588" w:rsidRPr="00550EF0">
        <w:rPr>
          <w:rFonts w:cstheme="minorHAnsi"/>
        </w:rPr>
        <w:t xml:space="preserve">, </w:t>
      </w:r>
      <w:r w:rsidRPr="00550EF0">
        <w:rPr>
          <w:rFonts w:cstheme="minorHAnsi"/>
        </w:rPr>
        <w:t>I49.0 (Ventricular fibrillation/flutter) and I47.2 (ventricular tachycardia)</w:t>
      </w:r>
      <w:r w:rsidR="00277588" w:rsidRPr="00550EF0">
        <w:rPr>
          <w:rFonts w:cstheme="minorHAnsi"/>
        </w:rPr>
        <w:t xml:space="preserve"> [i.e., severe ventricular arrhythmia</w:t>
      </w:r>
      <w:r w:rsidR="00DC2457" w:rsidRPr="00550EF0">
        <w:rPr>
          <w:rFonts w:cstheme="minorHAnsi"/>
        </w:rPr>
        <w:t>s</w:t>
      </w:r>
      <w:r w:rsidR="00277588" w:rsidRPr="00550EF0">
        <w:rPr>
          <w:rFonts w:cstheme="minorHAnsi"/>
        </w:rPr>
        <w:t xml:space="preserve">], and I51.81 (Takotsubo syndrome). For propensity score matching, these cardiovascular </w:t>
      </w:r>
      <w:r w:rsidR="00330547" w:rsidRPr="00550EF0">
        <w:rPr>
          <w:rFonts w:cstheme="minorHAnsi"/>
        </w:rPr>
        <w:t>complications</w:t>
      </w:r>
      <w:r w:rsidR="00277588" w:rsidRPr="00550EF0">
        <w:rPr>
          <w:rFonts w:cstheme="minorHAnsi"/>
        </w:rPr>
        <w:t xml:space="preserve"> were excluded in the controls. At the time of the search, 53 </w:t>
      </w:r>
      <w:r w:rsidR="00C4225A" w:rsidRPr="00550EF0">
        <w:rPr>
          <w:rFonts w:cstheme="minorHAnsi"/>
        </w:rPr>
        <w:t xml:space="preserve">(primarily US-based) </w:t>
      </w:r>
      <w:r w:rsidR="00277588" w:rsidRPr="00550EF0">
        <w:rPr>
          <w:rFonts w:cstheme="minorHAnsi"/>
        </w:rPr>
        <w:t>participating healthcare organisations had data available for patients who met the study inclusion criteria.</w:t>
      </w:r>
    </w:p>
    <w:p w14:paraId="6340CDC4" w14:textId="4822BCAF" w:rsidR="00277588" w:rsidRPr="00550EF0" w:rsidRDefault="00277588" w:rsidP="00C47034">
      <w:pPr>
        <w:spacing w:line="360" w:lineRule="auto"/>
        <w:jc w:val="both"/>
        <w:rPr>
          <w:rFonts w:cstheme="minorHAnsi"/>
        </w:rPr>
      </w:pPr>
    </w:p>
    <w:p w14:paraId="4EC832FC" w14:textId="2957DDD8" w:rsidR="00277588" w:rsidRPr="00550EF0" w:rsidRDefault="00277588" w:rsidP="00277588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 xml:space="preserve">Baseline characteristics were compared using chi-squared tests or independent-sample t-tests. Propensity score matching was used to control for differences in the comparison cohorts. Using logistic regression, patients </w:t>
      </w:r>
      <w:r w:rsidR="00DC2457" w:rsidRPr="00550EF0">
        <w:rPr>
          <w:rFonts w:cstheme="minorHAnsi"/>
        </w:rPr>
        <w:t xml:space="preserve">diagnosed with </w:t>
      </w:r>
      <w:r w:rsidRPr="00550EF0">
        <w:rPr>
          <w:rFonts w:cstheme="minorHAnsi"/>
        </w:rPr>
        <w:t>a</w:t>
      </w:r>
      <w:r w:rsidR="00DC2457" w:rsidRPr="00550EF0">
        <w:rPr>
          <w:rFonts w:cstheme="minorHAnsi"/>
        </w:rPr>
        <w:t xml:space="preserve"> new-onset</w:t>
      </w:r>
      <w:r w:rsidRPr="00550EF0">
        <w:rPr>
          <w:rFonts w:cstheme="minorHAnsi"/>
        </w:rPr>
        <w:t xml:space="preserve"> cardiovascular </w:t>
      </w:r>
      <w:r w:rsidR="00330547" w:rsidRPr="00550EF0">
        <w:rPr>
          <w:rFonts w:cstheme="minorHAnsi"/>
        </w:rPr>
        <w:t>complication</w:t>
      </w:r>
      <w:r w:rsidRPr="00550EF0">
        <w:rPr>
          <w:rFonts w:cstheme="minorHAnsi"/>
        </w:rPr>
        <w:t xml:space="preserve"> within 4-weeks of </w:t>
      </w:r>
      <w:r w:rsidR="00DC2457" w:rsidRPr="00550EF0">
        <w:rPr>
          <w:rFonts w:cstheme="minorHAnsi"/>
        </w:rPr>
        <w:t xml:space="preserve">an incident ischaemic </w:t>
      </w:r>
      <w:r w:rsidRPr="00550EF0">
        <w:rPr>
          <w:rFonts w:cstheme="minorHAnsi"/>
        </w:rPr>
        <w:t xml:space="preserve">stroke were 1:1 propensity score-matched to patients </w:t>
      </w:r>
      <w:r w:rsidR="00DC2457" w:rsidRPr="00550EF0">
        <w:rPr>
          <w:rFonts w:cstheme="minorHAnsi"/>
        </w:rPr>
        <w:t>without a new-onset</w:t>
      </w:r>
      <w:r w:rsidRPr="00550EF0">
        <w:rPr>
          <w:rFonts w:cstheme="minorHAnsi"/>
        </w:rPr>
        <w:t xml:space="preserve"> cardiovascular </w:t>
      </w:r>
      <w:r w:rsidR="00330547" w:rsidRPr="00550EF0">
        <w:rPr>
          <w:rFonts w:cstheme="minorHAnsi"/>
        </w:rPr>
        <w:t>complication</w:t>
      </w:r>
      <w:r w:rsidRPr="00550EF0">
        <w:rPr>
          <w:rFonts w:cstheme="minorHAnsi"/>
        </w:rPr>
        <w:t xml:space="preserve"> </w:t>
      </w:r>
      <w:r w:rsidR="00BF5E2F" w:rsidRPr="00550EF0">
        <w:rPr>
          <w:rFonts w:cstheme="minorHAnsi"/>
        </w:rPr>
        <w:t>post-stroke</w:t>
      </w:r>
      <w:r w:rsidR="00330547" w:rsidRPr="00550EF0">
        <w:rPr>
          <w:rFonts w:cstheme="minorHAnsi"/>
        </w:rPr>
        <w:t xml:space="preserve"> for</w:t>
      </w:r>
      <w:r w:rsidRPr="00550EF0">
        <w:rPr>
          <w:rFonts w:cstheme="minorHAnsi"/>
        </w:rPr>
        <w:t xml:space="preserve"> age, sex, ethnicity, hypertensive diseases, ischaemic heart diseases</w:t>
      </w:r>
      <w:r w:rsidR="00925672" w:rsidRPr="00550EF0">
        <w:rPr>
          <w:rFonts w:cstheme="minorHAnsi"/>
        </w:rPr>
        <w:t xml:space="preserve"> (except for ACS cohort)</w:t>
      </w:r>
      <w:r w:rsidRPr="00550EF0">
        <w:rPr>
          <w:rFonts w:cstheme="minorHAnsi"/>
        </w:rPr>
        <w:t>,</w:t>
      </w:r>
      <w:r w:rsidR="00925672" w:rsidRPr="00550EF0">
        <w:rPr>
          <w:rFonts w:cstheme="minorHAnsi"/>
        </w:rPr>
        <w:t xml:space="preserve"> </w:t>
      </w:r>
      <w:r w:rsidR="00925672" w:rsidRPr="00550EF0">
        <w:rPr>
          <w:rFonts w:cstheme="minorHAnsi"/>
        </w:rPr>
        <w:lastRenderedPageBreak/>
        <w:t>cerebrovascular diseases (e.g., haemorrhage, transient ischaemic attack, sequelae of cerebrovascular disease),</w:t>
      </w:r>
      <w:r w:rsidRPr="00550EF0">
        <w:rPr>
          <w:rFonts w:cstheme="minorHAnsi"/>
        </w:rPr>
        <w:t xml:space="preserve"> heart failure</w:t>
      </w:r>
      <w:r w:rsidR="00925672" w:rsidRPr="00550EF0">
        <w:rPr>
          <w:rFonts w:cstheme="minorHAnsi"/>
        </w:rPr>
        <w:t xml:space="preserve"> (except for heart failure cohort)</w:t>
      </w:r>
      <w:r w:rsidRPr="00550EF0">
        <w:rPr>
          <w:rFonts w:cstheme="minorHAnsi"/>
        </w:rPr>
        <w:t>,</w:t>
      </w:r>
      <w:r w:rsidR="00925672" w:rsidRPr="00550EF0">
        <w:rPr>
          <w:rFonts w:cstheme="minorHAnsi"/>
        </w:rPr>
        <w:t xml:space="preserve"> pulmonary heart disease/disease of the pulmonary circulation,</w:t>
      </w:r>
      <w:r w:rsidRPr="00550EF0">
        <w:rPr>
          <w:rFonts w:cstheme="minorHAnsi"/>
        </w:rPr>
        <w:t xml:space="preserve"> diabetes mellitus, cardiovascular procedures (including electrocardiography, echocardiography, catheterization, cardiac devices, and electrophysiological procedures), and cardiovascular medications (including beta-blockers, antiarrhythmics, diuretics, antilipemic agents, antianginals, calcium channel blockers, and ACE inhibitors). These variables were chosen because they </w:t>
      </w:r>
      <w:r w:rsidR="00DC2457" w:rsidRPr="00550EF0">
        <w:rPr>
          <w:rFonts w:cstheme="minorHAnsi"/>
        </w:rPr>
        <w:t>may impact</w:t>
      </w:r>
      <w:r w:rsidRPr="00550EF0">
        <w:rPr>
          <w:rFonts w:cstheme="minorHAnsi"/>
        </w:rPr>
        <w:t xml:space="preserve"> </w:t>
      </w:r>
      <w:r w:rsidR="00DC2457" w:rsidRPr="00550EF0">
        <w:rPr>
          <w:rFonts w:cstheme="minorHAnsi"/>
        </w:rPr>
        <w:t>clinical outcomes</w:t>
      </w:r>
      <w:r w:rsidRPr="00550EF0">
        <w:rPr>
          <w:rFonts w:cstheme="minorHAnsi"/>
        </w:rPr>
        <w:t xml:space="preserve">. Following propensity score matching, logistic regression produced odds ratios (OR) with 95% confidence intervals (CIs) for </w:t>
      </w:r>
      <w:r w:rsidR="00925672" w:rsidRPr="00550EF0">
        <w:rPr>
          <w:rFonts w:cstheme="minorHAnsi"/>
        </w:rPr>
        <w:t>5</w:t>
      </w:r>
      <w:r w:rsidRPr="00550EF0">
        <w:rPr>
          <w:rFonts w:cstheme="minorHAnsi"/>
        </w:rPr>
        <w:t>-year incidence of MACE (all-cause mortality,</w:t>
      </w:r>
      <w:r w:rsidR="00925672" w:rsidRPr="00550EF0">
        <w:rPr>
          <w:rFonts w:cstheme="minorHAnsi"/>
        </w:rPr>
        <w:t xml:space="preserve"> rehospitalisation</w:t>
      </w:r>
      <w:r w:rsidRPr="00550EF0">
        <w:rPr>
          <w:rFonts w:cstheme="minorHAnsi"/>
        </w:rPr>
        <w:t>,</w:t>
      </w:r>
      <w:r w:rsidR="00925672" w:rsidRPr="00550EF0">
        <w:rPr>
          <w:rFonts w:cstheme="minorHAnsi"/>
        </w:rPr>
        <w:t xml:space="preserve"> incident</w:t>
      </w:r>
      <w:r w:rsidRPr="00550EF0">
        <w:rPr>
          <w:rFonts w:cstheme="minorHAnsi"/>
        </w:rPr>
        <w:t xml:space="preserve"> acute myocardial infarction</w:t>
      </w:r>
      <w:r w:rsidR="00925672" w:rsidRPr="00550EF0">
        <w:rPr>
          <w:rFonts w:cstheme="minorHAnsi"/>
        </w:rPr>
        <w:t>, recurrent stroke,</w:t>
      </w:r>
      <w:r w:rsidRPr="00550EF0">
        <w:rPr>
          <w:rFonts w:cstheme="minorHAnsi"/>
        </w:rPr>
        <w:t xml:space="preserve"> and incident atrial fibrillation</w:t>
      </w:r>
      <w:r w:rsidR="00925672" w:rsidRPr="00550EF0">
        <w:rPr>
          <w:rFonts w:cstheme="minorHAnsi"/>
        </w:rPr>
        <w:t>/flutter</w:t>
      </w:r>
      <w:r w:rsidRPr="00550EF0">
        <w:rPr>
          <w:rFonts w:cstheme="minorHAnsi"/>
        </w:rPr>
        <w:t>), comparing</w:t>
      </w:r>
      <w:r w:rsidR="00925672" w:rsidRPr="00550EF0">
        <w:rPr>
          <w:rFonts w:cstheme="minorHAnsi"/>
        </w:rPr>
        <w:t xml:space="preserve"> stroke patients with</w:t>
      </w:r>
      <w:r w:rsidRPr="00550EF0">
        <w:rPr>
          <w:rFonts w:cstheme="minorHAnsi"/>
        </w:rPr>
        <w:t xml:space="preserve"> </w:t>
      </w:r>
      <w:r w:rsidR="005303BF" w:rsidRPr="00550EF0">
        <w:rPr>
          <w:rFonts w:cstheme="minorHAnsi"/>
        </w:rPr>
        <w:t>new-onset</w:t>
      </w:r>
      <w:r w:rsidR="00925672" w:rsidRPr="00550EF0">
        <w:rPr>
          <w:rFonts w:cstheme="minorHAnsi"/>
        </w:rPr>
        <w:t xml:space="preserve"> cardiovascular </w:t>
      </w:r>
      <w:r w:rsidR="00330547" w:rsidRPr="00550EF0">
        <w:rPr>
          <w:rFonts w:cstheme="minorHAnsi"/>
        </w:rPr>
        <w:t>complications</w:t>
      </w:r>
      <w:r w:rsidR="00925672" w:rsidRPr="00550EF0">
        <w:rPr>
          <w:rFonts w:cstheme="minorHAnsi"/>
        </w:rPr>
        <w:t xml:space="preserve"> </w:t>
      </w:r>
      <w:r w:rsidRPr="00550EF0">
        <w:rPr>
          <w:rFonts w:cstheme="minorHAnsi"/>
        </w:rPr>
        <w:t>with propensity matched controls</w:t>
      </w:r>
      <w:r w:rsidR="00BF5E2F" w:rsidRPr="00550EF0">
        <w:rPr>
          <w:rFonts w:cstheme="minorHAnsi"/>
        </w:rPr>
        <w:t xml:space="preserve"> (without new-onset post-stroke cardiovascular </w:t>
      </w:r>
      <w:r w:rsidR="00330547" w:rsidRPr="00550EF0">
        <w:rPr>
          <w:rFonts w:cstheme="minorHAnsi"/>
        </w:rPr>
        <w:t>complications</w:t>
      </w:r>
      <w:r w:rsidR="00BF5E2F" w:rsidRPr="00550EF0">
        <w:rPr>
          <w:rFonts w:cstheme="minorHAnsi"/>
        </w:rPr>
        <w:t>)</w:t>
      </w:r>
      <w:r w:rsidRPr="00550EF0">
        <w:rPr>
          <w:rFonts w:cstheme="minorHAnsi"/>
        </w:rPr>
        <w:t>.</w:t>
      </w:r>
      <w:r w:rsidR="00D64862" w:rsidRPr="00550EF0">
        <w:rPr>
          <w:rFonts w:cstheme="minorHAnsi"/>
        </w:rPr>
        <w:t xml:space="preserve"> For the Takotsubo syndrome cohort comparisons, a composite of </w:t>
      </w:r>
      <w:r w:rsidR="00E20F5A" w:rsidRPr="00550EF0">
        <w:rPr>
          <w:rFonts w:cstheme="minorHAnsi"/>
        </w:rPr>
        <w:t xml:space="preserve">5-year </w:t>
      </w:r>
      <w:r w:rsidR="00D64862" w:rsidRPr="00550EF0">
        <w:rPr>
          <w:rFonts w:cstheme="minorHAnsi"/>
        </w:rPr>
        <w:t>MACE</w:t>
      </w:r>
      <w:r w:rsidR="00E20F5A" w:rsidRPr="00550EF0">
        <w:rPr>
          <w:rFonts w:cstheme="minorHAnsi"/>
        </w:rPr>
        <w:t xml:space="preserve"> was used due to a relatively small sample size. </w:t>
      </w:r>
      <w:r w:rsidRPr="00550EF0">
        <w:rPr>
          <w:rFonts w:cstheme="minorHAnsi"/>
        </w:rPr>
        <w:t xml:space="preserve"> Statistical significance was set at P&lt;0.05.</w:t>
      </w:r>
    </w:p>
    <w:p w14:paraId="77AD4F4D" w14:textId="77777777" w:rsidR="00277588" w:rsidRPr="00550EF0" w:rsidRDefault="00277588" w:rsidP="00C47034">
      <w:pPr>
        <w:spacing w:line="360" w:lineRule="auto"/>
        <w:jc w:val="both"/>
        <w:rPr>
          <w:rFonts w:cstheme="minorHAnsi"/>
        </w:rPr>
      </w:pPr>
    </w:p>
    <w:p w14:paraId="2323195B" w14:textId="77777777" w:rsidR="00925672" w:rsidRPr="00550EF0" w:rsidRDefault="00320012" w:rsidP="00D52E9F">
      <w:pPr>
        <w:spacing w:after="120"/>
        <w:rPr>
          <w:b/>
        </w:rPr>
      </w:pPr>
      <w:r w:rsidRPr="00550EF0">
        <w:rPr>
          <w:b/>
        </w:rPr>
        <w:t>Results</w:t>
      </w:r>
    </w:p>
    <w:p w14:paraId="160FEFDF" w14:textId="1D53D9DA" w:rsidR="00D52E9F" w:rsidRPr="00550EF0" w:rsidRDefault="00D52E9F" w:rsidP="00D52E9F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>In total, 365,383 patients with incident</w:t>
      </w:r>
      <w:r w:rsidR="00DC2457" w:rsidRPr="00550EF0">
        <w:rPr>
          <w:rFonts w:cstheme="minorHAnsi"/>
        </w:rPr>
        <w:t xml:space="preserve"> ischaemic</w:t>
      </w:r>
      <w:r w:rsidRPr="00550EF0">
        <w:rPr>
          <w:rFonts w:cstheme="minorHAnsi"/>
        </w:rPr>
        <w:t xml:space="preserve"> stroke were identified from 53 </w:t>
      </w:r>
      <w:r w:rsidR="00F4197D" w:rsidRPr="00550EF0">
        <w:rPr>
          <w:rFonts w:cstheme="minorHAnsi"/>
        </w:rPr>
        <w:t xml:space="preserve">(primarily </w:t>
      </w:r>
      <w:r w:rsidRPr="00550EF0">
        <w:rPr>
          <w:rFonts w:cstheme="minorHAnsi"/>
        </w:rPr>
        <w:t>US</w:t>
      </w:r>
      <w:r w:rsidR="00F4197D" w:rsidRPr="00550EF0">
        <w:rPr>
          <w:rFonts w:cstheme="minorHAnsi"/>
        </w:rPr>
        <w:t>)</w:t>
      </w:r>
      <w:r w:rsidRPr="00550EF0">
        <w:rPr>
          <w:rFonts w:cstheme="minorHAnsi"/>
        </w:rPr>
        <w:t xml:space="preserve"> healthcare organisations with 5-year follow-up. Of which, </w:t>
      </w:r>
      <w:r w:rsidR="00151560" w:rsidRPr="00550EF0">
        <w:rPr>
          <w:rFonts w:cstheme="minorHAnsi"/>
        </w:rPr>
        <w:t>11.1%</w:t>
      </w:r>
      <w:r w:rsidR="00F4197D" w:rsidRPr="00550EF0">
        <w:rPr>
          <w:rFonts w:cstheme="minorHAnsi"/>
        </w:rPr>
        <w:t xml:space="preserve"> </w:t>
      </w:r>
      <w:r w:rsidR="00151560" w:rsidRPr="00550EF0">
        <w:rPr>
          <w:rFonts w:cstheme="minorHAnsi"/>
        </w:rPr>
        <w:t>developed ACS, 8.8% atrial fibrillation/flutter, 6.4% heart failure, 1.2% severe ventricular arrythmia, and 0.1% Takotsubo syndrome within 4-weeks following stroke</w:t>
      </w:r>
      <w:r w:rsidR="000A4DE8" w:rsidRPr="00550EF0">
        <w:rPr>
          <w:rFonts w:cstheme="minorHAnsi"/>
        </w:rPr>
        <w:t xml:space="preserve"> (Table 1)</w:t>
      </w:r>
      <w:r w:rsidR="00151560" w:rsidRPr="00550EF0">
        <w:rPr>
          <w:rFonts w:cstheme="minorHAnsi"/>
        </w:rPr>
        <w:t>.</w:t>
      </w:r>
      <w:r w:rsidR="00BF5E2F" w:rsidRPr="00550EF0">
        <w:rPr>
          <w:rFonts w:cstheme="minorHAnsi"/>
        </w:rPr>
        <w:t xml:space="preserve"> </w:t>
      </w:r>
      <w:r w:rsidRPr="00550EF0">
        <w:rPr>
          <w:rFonts w:cstheme="minorHAnsi"/>
        </w:rPr>
        <w:t xml:space="preserve">Following propensity score matching, there were </w:t>
      </w:r>
      <w:r w:rsidRPr="00550EF0">
        <w:rPr>
          <w:rFonts w:cstheme="minorHAnsi"/>
          <w:i/>
          <w:iCs/>
        </w:rPr>
        <w:t>n</w:t>
      </w:r>
      <w:r w:rsidRPr="00550EF0">
        <w:rPr>
          <w:rFonts w:cstheme="minorHAnsi"/>
        </w:rPr>
        <w:t>=</w:t>
      </w:r>
      <w:r w:rsidR="00E63328" w:rsidRPr="00550EF0">
        <w:rPr>
          <w:rFonts w:cstheme="minorHAnsi"/>
        </w:rPr>
        <w:t>8</w:t>
      </w:r>
      <w:r w:rsidR="00151560" w:rsidRPr="00550EF0">
        <w:rPr>
          <w:rFonts w:cstheme="minorHAnsi"/>
        </w:rPr>
        <w:t>0,</w:t>
      </w:r>
      <w:r w:rsidR="00E63328" w:rsidRPr="00550EF0">
        <w:rPr>
          <w:rFonts w:cstheme="minorHAnsi"/>
        </w:rPr>
        <w:t xml:space="preserve">988 </w:t>
      </w:r>
      <w:r w:rsidR="006A04F7" w:rsidRPr="00550EF0">
        <w:rPr>
          <w:rFonts w:cstheme="minorHAnsi"/>
        </w:rPr>
        <w:t xml:space="preserve">patients </w:t>
      </w:r>
      <w:r w:rsidR="00E63328" w:rsidRPr="00550EF0">
        <w:rPr>
          <w:rFonts w:cstheme="minorHAnsi"/>
        </w:rPr>
        <w:t>in</w:t>
      </w:r>
      <w:r w:rsidR="006A04F7" w:rsidRPr="00550EF0">
        <w:rPr>
          <w:rFonts w:cstheme="minorHAnsi"/>
        </w:rPr>
        <w:t xml:space="preserve"> </w:t>
      </w:r>
      <w:r w:rsidR="00151560" w:rsidRPr="00550EF0">
        <w:rPr>
          <w:rFonts w:cstheme="minorHAnsi"/>
        </w:rPr>
        <w:t xml:space="preserve">ACS, 32,012 in atrial fibrillation/flutter, </w:t>
      </w:r>
      <w:r w:rsidR="00E63328" w:rsidRPr="00550EF0">
        <w:rPr>
          <w:rFonts w:cstheme="minorHAnsi"/>
        </w:rPr>
        <w:t>46,990</w:t>
      </w:r>
      <w:r w:rsidR="00151560" w:rsidRPr="00550EF0">
        <w:rPr>
          <w:rFonts w:cstheme="minorHAnsi"/>
        </w:rPr>
        <w:t xml:space="preserve"> in heart failure, </w:t>
      </w:r>
      <w:r w:rsidR="00E63328" w:rsidRPr="00550EF0">
        <w:rPr>
          <w:rFonts w:cstheme="minorHAnsi"/>
        </w:rPr>
        <w:t>8,918</w:t>
      </w:r>
      <w:r w:rsidR="00151560" w:rsidRPr="00550EF0">
        <w:rPr>
          <w:rFonts w:cstheme="minorHAnsi"/>
        </w:rPr>
        <w:t xml:space="preserve"> in severe ventricular arrhythmia, and </w:t>
      </w:r>
      <w:r w:rsidR="00E63328" w:rsidRPr="00550EF0">
        <w:rPr>
          <w:rFonts w:cstheme="minorHAnsi"/>
        </w:rPr>
        <w:t>676</w:t>
      </w:r>
      <w:r w:rsidR="00151560" w:rsidRPr="00550EF0">
        <w:rPr>
          <w:rFonts w:cstheme="minorHAnsi"/>
        </w:rPr>
        <w:t xml:space="preserve"> in Takotsubo syndrome cohort comparisons.</w:t>
      </w:r>
      <w:r w:rsidRPr="00550EF0">
        <w:rPr>
          <w:rFonts w:cstheme="minorHAnsi"/>
        </w:rPr>
        <w:t xml:space="preserve"> </w:t>
      </w:r>
      <w:r w:rsidR="00151560" w:rsidRPr="00550EF0">
        <w:rPr>
          <w:rFonts w:cstheme="minorHAnsi"/>
        </w:rPr>
        <w:t xml:space="preserve">The </w:t>
      </w:r>
      <w:r w:rsidR="006A04F7" w:rsidRPr="00550EF0">
        <w:rPr>
          <w:rFonts w:cstheme="minorHAnsi"/>
        </w:rPr>
        <w:t>cohort</w:t>
      </w:r>
      <w:r w:rsidR="005303BF" w:rsidRPr="00550EF0">
        <w:rPr>
          <w:rFonts w:cstheme="minorHAnsi"/>
        </w:rPr>
        <w:t>s were</w:t>
      </w:r>
      <w:r w:rsidRPr="00550EF0">
        <w:rPr>
          <w:rFonts w:cstheme="minorHAnsi"/>
        </w:rPr>
        <w:t xml:space="preserve"> </w:t>
      </w:r>
      <w:r w:rsidR="00151560" w:rsidRPr="00550EF0">
        <w:rPr>
          <w:rFonts w:cstheme="minorHAnsi"/>
        </w:rPr>
        <w:t xml:space="preserve">overall </w:t>
      </w:r>
      <w:r w:rsidRPr="00550EF0">
        <w:rPr>
          <w:rFonts w:cstheme="minorHAnsi"/>
        </w:rPr>
        <w:t>well-matched for age, sex,</w:t>
      </w:r>
      <w:r w:rsidR="00151560" w:rsidRPr="00550EF0">
        <w:rPr>
          <w:rFonts w:cstheme="minorHAnsi"/>
        </w:rPr>
        <w:t xml:space="preserve"> ethnicity,</w:t>
      </w:r>
      <w:r w:rsidRPr="00550EF0">
        <w:rPr>
          <w:rFonts w:cstheme="minorHAnsi"/>
        </w:rPr>
        <w:t xml:space="preserve"> included comorbidities,</w:t>
      </w:r>
      <w:r w:rsidR="00151560" w:rsidRPr="00550EF0">
        <w:rPr>
          <w:rFonts w:cstheme="minorHAnsi"/>
        </w:rPr>
        <w:t xml:space="preserve"> and</w:t>
      </w:r>
      <w:r w:rsidRPr="00550EF0">
        <w:rPr>
          <w:rFonts w:cstheme="minorHAnsi"/>
        </w:rPr>
        <w:t xml:space="preserve"> cardiovascular </w:t>
      </w:r>
      <w:r w:rsidR="00151560" w:rsidRPr="00550EF0">
        <w:rPr>
          <w:rFonts w:cstheme="minorHAnsi"/>
        </w:rPr>
        <w:t xml:space="preserve">care </w:t>
      </w:r>
      <w:r w:rsidRPr="00550EF0">
        <w:rPr>
          <w:rFonts w:cstheme="minorHAnsi"/>
        </w:rPr>
        <w:t>(Table</w:t>
      </w:r>
      <w:r w:rsidR="00151560" w:rsidRPr="00550EF0">
        <w:rPr>
          <w:rFonts w:cstheme="minorHAnsi"/>
        </w:rPr>
        <w:t>s</w:t>
      </w:r>
      <w:r w:rsidRPr="00550EF0">
        <w:rPr>
          <w:rFonts w:cstheme="minorHAnsi"/>
        </w:rPr>
        <w:t xml:space="preserve"> </w:t>
      </w:r>
      <w:r w:rsidR="0081596B">
        <w:rPr>
          <w:rFonts w:cstheme="minorHAnsi"/>
        </w:rPr>
        <w:t>S</w:t>
      </w:r>
      <w:r w:rsidRPr="00550EF0">
        <w:rPr>
          <w:rFonts w:cstheme="minorHAnsi"/>
        </w:rPr>
        <w:t>2</w:t>
      </w:r>
      <w:r w:rsidR="00151560" w:rsidRPr="00550EF0">
        <w:rPr>
          <w:rFonts w:cstheme="minorHAnsi"/>
        </w:rPr>
        <w:t>-</w:t>
      </w:r>
      <w:r w:rsidR="0081596B">
        <w:rPr>
          <w:rFonts w:cstheme="minorHAnsi"/>
        </w:rPr>
        <w:t>S</w:t>
      </w:r>
      <w:r w:rsidR="00151560" w:rsidRPr="00550EF0">
        <w:rPr>
          <w:rFonts w:cstheme="minorHAnsi"/>
        </w:rPr>
        <w:t>6</w:t>
      </w:r>
      <w:r w:rsidRPr="00550EF0">
        <w:rPr>
          <w:rFonts w:cstheme="minorHAnsi"/>
        </w:rPr>
        <w:t>).</w:t>
      </w:r>
    </w:p>
    <w:p w14:paraId="14ED1AE6" w14:textId="672D9922" w:rsidR="00BF5E2F" w:rsidRPr="00550EF0" w:rsidRDefault="00BF5E2F" w:rsidP="00D52E9F">
      <w:pPr>
        <w:spacing w:line="360" w:lineRule="auto"/>
        <w:jc w:val="both"/>
        <w:rPr>
          <w:rFonts w:cstheme="minorHAnsi"/>
        </w:rPr>
      </w:pPr>
    </w:p>
    <w:p w14:paraId="34DC2DE7" w14:textId="1384B22C" w:rsidR="0053169C" w:rsidRPr="00550EF0" w:rsidRDefault="00BF5E2F" w:rsidP="00D52E9F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 xml:space="preserve">Using the propensity score matched cohorts, </w:t>
      </w:r>
      <w:r w:rsidR="000A4DE8" w:rsidRPr="00550EF0">
        <w:rPr>
          <w:rFonts w:cstheme="minorHAnsi"/>
        </w:rPr>
        <w:t>5-year mortality was significantly higher with stroke patients who developed ACS (OR 1.49, 95%CI 1.44-1.54), atrial fibrillation/flutter (OR 1.45, 95%CI 1.40-1.50), heart failure (OR 1.83, 95%CI 1.76-1.91)</w:t>
      </w:r>
      <w:r w:rsidR="009F11B7" w:rsidRPr="00550EF0">
        <w:rPr>
          <w:rFonts w:cstheme="minorHAnsi"/>
        </w:rPr>
        <w:t xml:space="preserve"> </w:t>
      </w:r>
      <w:r w:rsidR="000A4DE8" w:rsidRPr="00550EF0">
        <w:rPr>
          <w:rFonts w:cstheme="minorHAnsi"/>
        </w:rPr>
        <w:t xml:space="preserve">, severe ventricular arrythmia (OR 2.08, 95%CI 1.90-2.29), and Takotsubo syndrome (OR 1.89, 95%CI 1.29-2.77), compared to propensity score matched stroke patients who did not develop new-onset cardiovascular </w:t>
      </w:r>
      <w:r w:rsidR="00330547" w:rsidRPr="00550EF0">
        <w:rPr>
          <w:rFonts w:cstheme="minorHAnsi"/>
        </w:rPr>
        <w:t>complications</w:t>
      </w:r>
      <w:r w:rsidR="000A4DE8" w:rsidRPr="00550EF0">
        <w:rPr>
          <w:rFonts w:cstheme="minorHAnsi"/>
        </w:rPr>
        <w:t xml:space="preserve"> (Table 1). </w:t>
      </w:r>
    </w:p>
    <w:p w14:paraId="241CC2D6" w14:textId="77777777" w:rsidR="0053169C" w:rsidRPr="00550EF0" w:rsidRDefault="0053169C" w:rsidP="00D52E9F">
      <w:pPr>
        <w:spacing w:line="360" w:lineRule="auto"/>
        <w:jc w:val="both"/>
        <w:rPr>
          <w:rFonts w:cstheme="minorHAnsi"/>
        </w:rPr>
      </w:pPr>
    </w:p>
    <w:p w14:paraId="26F5E829" w14:textId="75B6AD98" w:rsidR="0053169C" w:rsidRPr="00550EF0" w:rsidRDefault="00E55BB5" w:rsidP="00D52E9F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lastRenderedPageBreak/>
        <w:t xml:space="preserve">The </w:t>
      </w:r>
      <w:r w:rsidR="000A4DE8" w:rsidRPr="00550EF0">
        <w:rPr>
          <w:rFonts w:cstheme="minorHAnsi"/>
        </w:rPr>
        <w:t xml:space="preserve">5-year rehospitalisation </w:t>
      </w:r>
      <w:r w:rsidRPr="00550EF0">
        <w:rPr>
          <w:rFonts w:cstheme="minorHAnsi"/>
        </w:rPr>
        <w:t xml:space="preserve">rate </w:t>
      </w:r>
      <w:r w:rsidR="000A4DE8" w:rsidRPr="00550EF0">
        <w:rPr>
          <w:rFonts w:cstheme="minorHAnsi"/>
        </w:rPr>
        <w:t xml:space="preserve">was significantly higher </w:t>
      </w:r>
      <w:r w:rsidRPr="00550EF0">
        <w:rPr>
          <w:rFonts w:cstheme="minorHAnsi"/>
        </w:rPr>
        <w:t xml:space="preserve">among those </w:t>
      </w:r>
      <w:r w:rsidR="000A4DE8" w:rsidRPr="00550EF0">
        <w:rPr>
          <w:rFonts w:cstheme="minorHAnsi"/>
        </w:rPr>
        <w:t>with</w:t>
      </w:r>
      <w:r w:rsidR="00D64862" w:rsidRPr="00550EF0">
        <w:rPr>
          <w:rFonts w:cstheme="minorHAnsi"/>
        </w:rPr>
        <w:t xml:space="preserve"> a</w:t>
      </w:r>
      <w:r w:rsidRPr="00550EF0">
        <w:rPr>
          <w:rFonts w:cstheme="minorHAnsi"/>
        </w:rPr>
        <w:t>ny</w:t>
      </w:r>
      <w:r w:rsidR="00D64862" w:rsidRPr="00550EF0">
        <w:rPr>
          <w:rFonts w:cstheme="minorHAnsi"/>
        </w:rPr>
        <w:t xml:space="preserve"> new-onset cardiovascular condition post-stroke</w:t>
      </w:r>
      <w:r w:rsidR="000A4DE8" w:rsidRPr="00550EF0">
        <w:rPr>
          <w:rFonts w:cstheme="minorHAnsi"/>
        </w:rPr>
        <w:t xml:space="preserve">, compared to </w:t>
      </w:r>
      <w:r w:rsidR="00D64862" w:rsidRPr="00550EF0">
        <w:rPr>
          <w:rFonts w:cstheme="minorHAnsi"/>
        </w:rPr>
        <w:t>those without</w:t>
      </w:r>
      <w:r w:rsidR="000A4DE8" w:rsidRPr="00550EF0">
        <w:rPr>
          <w:rFonts w:cstheme="minorHAnsi"/>
        </w:rPr>
        <w:t>.</w:t>
      </w:r>
      <w:r w:rsidR="00D64862" w:rsidRPr="00550EF0">
        <w:rPr>
          <w:rFonts w:cstheme="minorHAnsi"/>
        </w:rPr>
        <w:t xml:space="preserve"> Atrial fibrillation/flutter, heart failure, and severe ventricular arrythmia were associated with significantly higher odds of an acute myocardial infarction at 5-years compared to matched post-stroke controls. </w:t>
      </w:r>
    </w:p>
    <w:p w14:paraId="7B7DCA3A" w14:textId="77777777" w:rsidR="0053169C" w:rsidRPr="00550EF0" w:rsidRDefault="0053169C" w:rsidP="00D52E9F">
      <w:pPr>
        <w:spacing w:line="360" w:lineRule="auto"/>
        <w:jc w:val="both"/>
        <w:rPr>
          <w:rFonts w:cstheme="minorHAnsi"/>
        </w:rPr>
      </w:pPr>
    </w:p>
    <w:p w14:paraId="7F4B2A22" w14:textId="4A4F96E2" w:rsidR="000A4DE8" w:rsidRPr="00550EF0" w:rsidRDefault="00D64862" w:rsidP="00D52E9F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 xml:space="preserve">Only atrial fibrillation/flutter was associated with significantly higher odds of recurrent </w:t>
      </w:r>
      <w:r w:rsidR="00F6758E" w:rsidRPr="00550EF0">
        <w:rPr>
          <w:rFonts w:cstheme="minorHAnsi"/>
        </w:rPr>
        <w:t xml:space="preserve">ischaemic </w:t>
      </w:r>
      <w:r w:rsidRPr="00550EF0">
        <w:rPr>
          <w:rFonts w:cstheme="minorHAnsi"/>
        </w:rPr>
        <w:t xml:space="preserve">stroke at 5-years (1.10, 1.07-1.14), compared to post-stroke patients without atrial fibrillation/flutter. Takotsubo syndrome was associated with significantly higher odds of a composite outcome of MACE (mortality, rehospitalisation, recurrent stroke, and acute myocardial infarction), compared to matched post-stroke controls without Takotsubo syndrome (1.89, 1.29-2.77). </w:t>
      </w:r>
      <w:r w:rsidR="0053169C" w:rsidRPr="00550EF0">
        <w:rPr>
          <w:rFonts w:cstheme="minorHAnsi"/>
        </w:rPr>
        <w:t xml:space="preserve"> </w:t>
      </w:r>
      <w:r w:rsidRPr="00550EF0">
        <w:rPr>
          <w:rFonts w:cstheme="minorHAnsi"/>
        </w:rPr>
        <w:t xml:space="preserve">Please refer to </w:t>
      </w:r>
      <w:r w:rsidRPr="00550EF0">
        <w:rPr>
          <w:rFonts w:cstheme="minorHAnsi"/>
          <w:b/>
          <w:bCs/>
        </w:rPr>
        <w:t>Table 1</w:t>
      </w:r>
      <w:r w:rsidRPr="00550EF0">
        <w:rPr>
          <w:rFonts w:cstheme="minorHAnsi"/>
        </w:rPr>
        <w:t xml:space="preserve"> for full presentation of results. </w:t>
      </w:r>
    </w:p>
    <w:p w14:paraId="6A5C466C" w14:textId="787A9A8E" w:rsidR="009F11B7" w:rsidRPr="00550EF0" w:rsidRDefault="009F11B7" w:rsidP="00D52E9F">
      <w:pPr>
        <w:spacing w:line="360" w:lineRule="auto"/>
        <w:jc w:val="both"/>
        <w:rPr>
          <w:rFonts w:cstheme="minorHAnsi"/>
        </w:rPr>
      </w:pPr>
    </w:p>
    <w:p w14:paraId="12883140" w14:textId="05B470A2" w:rsidR="009F11B7" w:rsidRPr="00550EF0" w:rsidRDefault="009F11B7" w:rsidP="00D52E9F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>Of note, all cohorts with a newly diagnosed cardiovascular complication within 4-weeks of an ischaemic stroke presented</w:t>
      </w:r>
      <w:r w:rsidR="009D5E2C" w:rsidRPr="00550EF0">
        <w:rPr>
          <w:rFonts w:cstheme="minorHAnsi"/>
        </w:rPr>
        <w:t xml:space="preserve"> with</w:t>
      </w:r>
      <w:r w:rsidRPr="00550EF0">
        <w:rPr>
          <w:rFonts w:cstheme="minorHAnsi"/>
        </w:rPr>
        <w:t xml:space="preserve"> &gt;50% </w:t>
      </w:r>
      <w:r w:rsidR="00AB575F">
        <w:rPr>
          <w:rFonts w:cstheme="minorHAnsi"/>
        </w:rPr>
        <w:t>prevalence</w:t>
      </w:r>
      <w:r w:rsidRPr="00550EF0">
        <w:rPr>
          <w:rFonts w:cstheme="minorHAnsi"/>
        </w:rPr>
        <w:t xml:space="preserve"> of recurrent stroke at 5-years follow-up. </w:t>
      </w:r>
    </w:p>
    <w:p w14:paraId="4C34894E" w14:textId="77777777" w:rsidR="003A4442" w:rsidRPr="00550EF0" w:rsidRDefault="003A4442" w:rsidP="00920DEF"/>
    <w:p w14:paraId="09935FC4" w14:textId="5FBF66CC" w:rsidR="00052DED" w:rsidRPr="00550EF0" w:rsidRDefault="00641CD9" w:rsidP="00641CD9">
      <w:pPr>
        <w:spacing w:after="120"/>
        <w:rPr>
          <w:b/>
          <w:bCs/>
        </w:rPr>
      </w:pPr>
      <w:r w:rsidRPr="00550EF0">
        <w:rPr>
          <w:b/>
          <w:bCs/>
        </w:rPr>
        <w:t>Limitations</w:t>
      </w:r>
    </w:p>
    <w:p w14:paraId="10C46BDD" w14:textId="68F820CC" w:rsidR="00EF6AAD" w:rsidRPr="00550EF0" w:rsidRDefault="00AE6823" w:rsidP="00AE6823">
      <w:pPr>
        <w:spacing w:line="360" w:lineRule="auto"/>
        <w:jc w:val="both"/>
        <w:rPr>
          <w:rFonts w:cstheme="minorHAnsi"/>
        </w:rPr>
      </w:pPr>
      <w:r w:rsidRPr="00550EF0">
        <w:t>The Centre for Stroke Research Berlin has proposed criteria for stroke-heart syndrome including a broad range of clinical presentations such as repolarisation changes, cardiac arrhythmia, exacerbation of heart failure, Takotsubo syndrome, and acute myocardial infarction (to name a few).</w:t>
      </w:r>
      <w:r w:rsidRPr="00550EF0">
        <w:fldChar w:fldCharType="begin"/>
      </w:r>
      <w:r w:rsidR="0081596B">
        <w:instrText xml:space="preserve"> ADDIN EN.CITE &lt;EndNote&gt;&lt;Cite&gt;&lt;Author&gt;Scheitz&lt;/Author&gt;&lt;Year&gt;2018&lt;/Year&gt;&lt;RecNum&gt;8267&lt;/RecNum&gt;&lt;DisplayText&gt;&lt;style face="superscript"&gt;2&lt;/style&gt;&lt;/DisplayText&gt;&lt;record&gt;&lt;rec-number&gt;8267&lt;/rec-number&gt;&lt;foreign-keys&gt;&lt;key app="EN" db-id="09tweeax9tpw2aetw5vpzvtkdt9s2ep52zrs" timestamp="1629906022"&gt;8267&lt;/key&gt;&lt;/foreign-keys&gt;&lt;ref-type name="Journal Article"&gt;17&lt;/ref-type&gt;&lt;contributors&gt;&lt;authors&gt;&lt;author&gt;Scheitz, Jan F.&lt;/author&gt;&lt;author&gt;Nolte, Christian H.&lt;/author&gt;&lt;author&gt;Doehner, Wolfram&lt;/author&gt;&lt;author&gt;Hachinski, Vladimir&lt;/author&gt;&lt;author&gt;Endres, Matthias&lt;/author&gt;&lt;/authors&gt;&lt;/contributors&gt;&lt;titles&gt;&lt;title&gt;Stroke–heart syndrome: clinical presentation and underlying mechanisms&lt;/title&gt;&lt;secondary-title&gt;The Lancet Neurology&lt;/secondary-title&gt;&lt;/titles&gt;&lt;periodical&gt;&lt;full-title&gt;The Lancet Neurology&lt;/full-title&gt;&lt;/periodical&gt;&lt;pages&gt;1109-1120&lt;/pages&gt;&lt;volume&gt;17&lt;/volume&gt;&lt;number&gt;12&lt;/number&gt;&lt;dates&gt;&lt;year&gt;2018&lt;/year&gt;&lt;pub-dates&gt;&lt;date&gt;2018/12/01/&lt;/date&gt;&lt;/pub-dates&gt;&lt;/dates&gt;&lt;isbn&gt;1474-4422&lt;/isbn&gt;&lt;urls&gt;&lt;related-urls&gt;&lt;url&gt;https://www.sciencedirect.com/science/article/pii/S1474442218303363&lt;/url&gt;&lt;/related-urls&gt;&lt;/urls&gt;&lt;electronic-resource-num&gt;https://doi.org/10.1016/S1474-4422(18)30336-3&lt;/electronic-resource-num&gt;&lt;/record&gt;&lt;/Cite&gt;&lt;/EndNote&gt;</w:instrText>
      </w:r>
      <w:r w:rsidRPr="00550EF0">
        <w:fldChar w:fldCharType="separate"/>
      </w:r>
      <w:r w:rsidRPr="00550EF0">
        <w:rPr>
          <w:noProof/>
          <w:vertAlign w:val="superscript"/>
        </w:rPr>
        <w:t>2</w:t>
      </w:r>
      <w:r w:rsidRPr="00550EF0">
        <w:fldChar w:fldCharType="end"/>
      </w:r>
      <w:r w:rsidRPr="00550EF0">
        <w:t xml:space="preserve"> </w:t>
      </w:r>
      <w:r w:rsidR="00560160" w:rsidRPr="00550EF0">
        <w:rPr>
          <w:rFonts w:cstheme="minorHAnsi"/>
        </w:rPr>
        <w:t xml:space="preserve">Elevations in cardiac biomarkers (i.e., cardiac troponin and brain natriuretic peptide) are among the most studied manifestations of stroke–heart syndrome yet are not included in the present paper. </w:t>
      </w:r>
      <w:r w:rsidRPr="00550EF0">
        <w:t>Instead, we focussed on more substantial cardiovascular complications</w:t>
      </w:r>
      <w:r w:rsidR="00F6758E" w:rsidRPr="00550EF0">
        <w:t>,</w:t>
      </w:r>
      <w:r w:rsidR="00560160" w:rsidRPr="00550EF0">
        <w:t xml:space="preserve"> </w:t>
      </w:r>
      <w:r w:rsidR="00F6758E" w:rsidRPr="00550EF0">
        <w:t xml:space="preserve">newly diagnosed </w:t>
      </w:r>
      <w:r w:rsidR="00560160" w:rsidRPr="00550EF0">
        <w:t xml:space="preserve">within 4-weeks of an incident </w:t>
      </w:r>
      <w:r w:rsidR="00F6758E" w:rsidRPr="00550EF0">
        <w:t xml:space="preserve">ischaemic </w:t>
      </w:r>
      <w:r w:rsidR="00560160" w:rsidRPr="00550EF0">
        <w:t>stroke.</w:t>
      </w:r>
      <w:r w:rsidRPr="00550EF0">
        <w:t xml:space="preserve"> </w:t>
      </w:r>
      <w:r w:rsidRPr="00550EF0">
        <w:rPr>
          <w:rFonts w:cstheme="minorHAnsi"/>
        </w:rPr>
        <w:t>T</w:t>
      </w:r>
      <w:r w:rsidR="00EF6AAD" w:rsidRPr="00550EF0">
        <w:rPr>
          <w:rFonts w:cstheme="minorHAnsi"/>
        </w:rPr>
        <w:t>he characterisation of stroke and cardiovascular complications were based on ICD codes from EMRs and reporting of conditions with ICD codes may vary by healthcare organisation.</w:t>
      </w:r>
      <w:r w:rsidR="00EF6AAD" w:rsidRPr="00550EF0">
        <w:rPr>
          <w:rFonts w:cstheme="minorHAnsi"/>
        </w:rPr>
        <w:fldChar w:fldCharType="begin">
          <w:fldData xml:space="preserve">PEVuZE5vdGU+PENpdGU+PEF1dGhvcj5DaG9uZzwvQXV0aG9yPjxZZWFyPjIwMTE8L1llYXI+PFJl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=
</w:fldData>
        </w:fldChar>
      </w:r>
      <w:r w:rsidR="009F1D4E">
        <w:rPr>
          <w:rFonts w:cstheme="minorHAnsi"/>
        </w:rPr>
        <w:instrText xml:space="preserve"> ADDIN EN.CITE </w:instrText>
      </w:r>
      <w:r w:rsidR="009F1D4E">
        <w:rPr>
          <w:rFonts w:cstheme="minorHAnsi"/>
        </w:rPr>
        <w:fldChar w:fldCharType="begin">
          <w:fldData xml:space="preserve">PEVuZE5vdGU+PENpdGU+PEF1dGhvcj5DaG9uZzwvQXV0aG9yPjxZZWFyPjIwMTE8L1llYXI+PFJl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=
</w:fldData>
        </w:fldChar>
      </w:r>
      <w:r w:rsidR="009F1D4E">
        <w:rPr>
          <w:rFonts w:cstheme="minorHAnsi"/>
        </w:rPr>
        <w:instrText xml:space="preserve"> ADDIN EN.CITE.DATA </w:instrText>
      </w:r>
      <w:r w:rsidR="009F1D4E">
        <w:rPr>
          <w:rFonts w:cstheme="minorHAnsi"/>
        </w:rPr>
      </w:r>
      <w:r w:rsidR="009F1D4E">
        <w:rPr>
          <w:rFonts w:cstheme="minorHAnsi"/>
        </w:rPr>
        <w:fldChar w:fldCharType="end"/>
      </w:r>
      <w:r w:rsidR="00EF6AAD" w:rsidRPr="00550EF0">
        <w:rPr>
          <w:rFonts w:cstheme="minorHAnsi"/>
        </w:rPr>
      </w:r>
      <w:r w:rsidR="00EF6AAD" w:rsidRPr="00550EF0">
        <w:rPr>
          <w:rFonts w:cstheme="minorHAnsi"/>
        </w:rPr>
        <w:fldChar w:fldCharType="separate"/>
      </w:r>
      <w:r w:rsidR="009F1D4E" w:rsidRPr="009F1D4E">
        <w:rPr>
          <w:rFonts w:cstheme="minorHAnsi"/>
          <w:noProof/>
          <w:vertAlign w:val="superscript"/>
        </w:rPr>
        <w:t>7</w:t>
      </w:r>
      <w:r w:rsidR="00EF6AAD" w:rsidRPr="00550EF0">
        <w:rPr>
          <w:rFonts w:cstheme="minorHAnsi"/>
        </w:rPr>
        <w:fldChar w:fldCharType="end"/>
      </w:r>
      <w:r w:rsidR="000B3270" w:rsidRPr="00550EF0">
        <w:rPr>
          <w:rFonts w:cstheme="minorHAnsi"/>
        </w:rPr>
        <w:t xml:space="preserve"> </w:t>
      </w:r>
      <w:r w:rsidR="00663CE0" w:rsidRPr="00550EF0">
        <w:rPr>
          <w:rFonts w:cstheme="minorHAnsi"/>
        </w:rPr>
        <w:t xml:space="preserve">Although we used the first instance of an electronic medical record of ischaemic stroke, it is possible that if a stroke occurred outside of the </w:t>
      </w:r>
      <w:proofErr w:type="spellStart"/>
      <w:r w:rsidR="00663CE0" w:rsidRPr="00550EF0">
        <w:rPr>
          <w:rFonts w:cstheme="minorHAnsi"/>
        </w:rPr>
        <w:t>TriNetX</w:t>
      </w:r>
      <w:proofErr w:type="spellEnd"/>
      <w:r w:rsidR="00663CE0" w:rsidRPr="00550EF0">
        <w:rPr>
          <w:rFonts w:cstheme="minorHAnsi"/>
        </w:rPr>
        <w:t xml:space="preserve"> network it may not be captured.</w:t>
      </w:r>
      <w:r w:rsidR="00F2285B" w:rsidRPr="00550EF0">
        <w:rPr>
          <w:rFonts w:cstheme="minorHAnsi"/>
        </w:rPr>
        <w:t xml:space="preserve"> We used a complete</w:t>
      </w:r>
      <w:r w:rsidR="0081596B">
        <w:rPr>
          <w:rFonts w:cstheme="minorHAnsi"/>
        </w:rPr>
        <w:t>-</w:t>
      </w:r>
      <w:r w:rsidR="00F2285B" w:rsidRPr="00550EF0">
        <w:rPr>
          <w:rFonts w:cstheme="minorHAnsi"/>
        </w:rPr>
        <w:t>case analys</w:t>
      </w:r>
      <w:r w:rsidR="0081596B">
        <w:rPr>
          <w:rFonts w:cstheme="minorHAnsi"/>
        </w:rPr>
        <w:t>i</w:t>
      </w:r>
      <w:r w:rsidR="00F2285B" w:rsidRPr="00550EF0">
        <w:rPr>
          <w:rFonts w:cstheme="minorHAnsi"/>
        </w:rPr>
        <w:t>s and were unable to access incomplete cases.</w:t>
      </w:r>
      <w:r w:rsidR="00663CE0" w:rsidRPr="00550EF0">
        <w:rPr>
          <w:rFonts w:cstheme="minorHAnsi"/>
        </w:rPr>
        <w:t xml:space="preserve"> </w:t>
      </w:r>
      <w:r w:rsidR="001B5147" w:rsidRPr="00550EF0">
        <w:rPr>
          <w:rFonts w:cstheme="minorHAnsi"/>
        </w:rPr>
        <w:t>The 5-year MACE</w:t>
      </w:r>
      <w:r w:rsidR="00AC3FAD" w:rsidRPr="00550EF0">
        <w:rPr>
          <w:rFonts w:cstheme="minorHAnsi"/>
        </w:rPr>
        <w:t xml:space="preserve"> rate</w:t>
      </w:r>
      <w:r w:rsidR="001B5147" w:rsidRPr="00550EF0">
        <w:rPr>
          <w:rFonts w:cstheme="minorHAnsi"/>
        </w:rPr>
        <w:t xml:space="preserve"> may at first seem relatively high compared to previous work. For example, i</w:t>
      </w:r>
      <w:r w:rsidR="000B3270" w:rsidRPr="00550EF0">
        <w:rPr>
          <w:rFonts w:cstheme="minorHAnsi"/>
        </w:rPr>
        <w:t xml:space="preserve">t has been previously shown that post-stroke acute myocardial infarction </w:t>
      </w:r>
      <w:r w:rsidR="00A13015" w:rsidRPr="00550EF0">
        <w:rPr>
          <w:rFonts w:cstheme="minorHAnsi"/>
        </w:rPr>
        <w:t xml:space="preserve">has a ~2% </w:t>
      </w:r>
      <w:r w:rsidR="006A46FE" w:rsidRPr="00550EF0">
        <w:rPr>
          <w:rFonts w:cstheme="minorHAnsi"/>
        </w:rPr>
        <w:t>incidence</w:t>
      </w:r>
      <w:r w:rsidR="003C7B11" w:rsidRPr="00550EF0">
        <w:rPr>
          <w:rFonts w:cstheme="minorHAnsi"/>
        </w:rPr>
        <w:t xml:space="preserve"> (at 1-year)</w:t>
      </w:r>
      <w:r w:rsidR="00A13015" w:rsidRPr="00550EF0">
        <w:rPr>
          <w:rFonts w:cstheme="minorHAnsi"/>
        </w:rPr>
        <w:t xml:space="preserve">, </w:t>
      </w:r>
      <w:r w:rsidR="000B3270" w:rsidRPr="00550EF0">
        <w:rPr>
          <w:rFonts w:cstheme="minorHAnsi"/>
        </w:rPr>
        <w:t xml:space="preserve">which is substantially </w:t>
      </w:r>
      <w:r w:rsidR="00A13015" w:rsidRPr="00550EF0">
        <w:rPr>
          <w:rFonts w:cstheme="minorHAnsi"/>
        </w:rPr>
        <w:t>lower</w:t>
      </w:r>
      <w:r w:rsidR="000B3270" w:rsidRPr="00550EF0">
        <w:rPr>
          <w:rFonts w:cstheme="minorHAnsi"/>
        </w:rPr>
        <w:t xml:space="preserve"> than the </w:t>
      </w:r>
      <w:r w:rsidR="003C7B11" w:rsidRPr="00550EF0">
        <w:rPr>
          <w:rFonts w:cstheme="minorHAnsi"/>
        </w:rPr>
        <w:t xml:space="preserve">5-year </w:t>
      </w:r>
      <w:r w:rsidR="006A46FE" w:rsidRPr="00550EF0">
        <w:rPr>
          <w:rFonts w:cstheme="minorHAnsi"/>
        </w:rPr>
        <w:t>incidence</w:t>
      </w:r>
      <w:r w:rsidR="000B3270" w:rsidRPr="00550EF0">
        <w:rPr>
          <w:rFonts w:cstheme="minorHAnsi"/>
        </w:rPr>
        <w:t xml:space="preserve"> </w:t>
      </w:r>
      <w:r w:rsidR="000A32B8" w:rsidRPr="00550EF0">
        <w:rPr>
          <w:rFonts w:cstheme="minorHAnsi"/>
        </w:rPr>
        <w:t>seen</w:t>
      </w:r>
      <w:r w:rsidR="000B3270" w:rsidRPr="00550EF0">
        <w:rPr>
          <w:rFonts w:cstheme="minorHAnsi"/>
        </w:rPr>
        <w:t xml:space="preserve"> in our paper (</w:t>
      </w:r>
      <w:r w:rsidR="000A32B8" w:rsidRPr="00550EF0">
        <w:rPr>
          <w:rFonts w:cstheme="minorHAnsi"/>
        </w:rPr>
        <w:t xml:space="preserve">up to </w:t>
      </w:r>
      <w:r w:rsidR="000B3270" w:rsidRPr="00550EF0">
        <w:rPr>
          <w:rFonts w:cstheme="minorHAnsi"/>
        </w:rPr>
        <w:t>~15%</w:t>
      </w:r>
      <w:r w:rsidR="000A32B8" w:rsidRPr="00550EF0">
        <w:rPr>
          <w:rFonts w:cstheme="minorHAnsi"/>
        </w:rPr>
        <w:t xml:space="preserve"> in people with stroke and newly diagnosed heart failure within 4-weeks</w:t>
      </w:r>
      <w:r w:rsidR="003C7B11" w:rsidRPr="00550EF0">
        <w:rPr>
          <w:rFonts w:cstheme="minorHAnsi"/>
        </w:rPr>
        <w:t xml:space="preserve"> of </w:t>
      </w:r>
      <w:r w:rsidR="003C7B11" w:rsidRPr="00550EF0">
        <w:rPr>
          <w:rFonts w:cstheme="minorHAnsi"/>
        </w:rPr>
        <w:lastRenderedPageBreak/>
        <w:t>stroke</w:t>
      </w:r>
      <w:r w:rsidR="000B3270" w:rsidRPr="00550EF0">
        <w:rPr>
          <w:rFonts w:cstheme="minorHAnsi"/>
        </w:rPr>
        <w:t>).</w:t>
      </w:r>
      <w:r w:rsidR="00A13015" w:rsidRPr="00550EF0">
        <w:rPr>
          <w:rFonts w:cstheme="minorHAnsi"/>
        </w:rPr>
        <w:t xml:space="preserve"> However,</w:t>
      </w:r>
      <w:r w:rsidR="000B3270" w:rsidRPr="00550EF0">
        <w:rPr>
          <w:rFonts w:cstheme="minorHAnsi"/>
        </w:rPr>
        <w:t xml:space="preserve"> </w:t>
      </w:r>
      <w:r w:rsidR="00A13015" w:rsidRPr="00550EF0">
        <w:rPr>
          <w:rFonts w:cstheme="minorHAnsi"/>
        </w:rPr>
        <w:t>i</w:t>
      </w:r>
      <w:r w:rsidR="000B3270" w:rsidRPr="00550EF0">
        <w:rPr>
          <w:rFonts w:cstheme="minorHAnsi"/>
        </w:rPr>
        <w:t xml:space="preserve">t is important to highlight that </w:t>
      </w:r>
      <w:r w:rsidR="000A32B8" w:rsidRPr="00550EF0">
        <w:rPr>
          <w:rFonts w:cstheme="minorHAnsi"/>
        </w:rPr>
        <w:t xml:space="preserve">we investigated 5-year outcomes in people with stroke and 4-week cardiovascular complications, thereby focussing on a higher risk subgroup of stroke survivors. The </w:t>
      </w:r>
      <w:r w:rsidR="00AC3FAD" w:rsidRPr="00550EF0">
        <w:rPr>
          <w:rFonts w:cstheme="minorHAnsi"/>
        </w:rPr>
        <w:t>incidence</w:t>
      </w:r>
      <w:r w:rsidR="000A32B8" w:rsidRPr="00550EF0">
        <w:rPr>
          <w:rFonts w:cstheme="minorHAnsi"/>
        </w:rPr>
        <w:t xml:space="preserve"> of acute myocardial infarction in the entire stroke cohort was 5%</w:t>
      </w:r>
      <w:r w:rsidR="000B3270" w:rsidRPr="00550EF0">
        <w:rPr>
          <w:rFonts w:cstheme="minorHAnsi"/>
        </w:rPr>
        <w:t>. Importantly,</w:t>
      </w:r>
      <w:r w:rsidR="00EF6AAD" w:rsidRPr="00550EF0">
        <w:rPr>
          <w:rFonts w:cstheme="minorHAnsi"/>
        </w:rPr>
        <w:t xml:space="preserve"> we were not able to determine the severity</w:t>
      </w:r>
      <w:r w:rsidR="008173C3" w:rsidRPr="00550EF0">
        <w:rPr>
          <w:rFonts w:cstheme="minorHAnsi"/>
        </w:rPr>
        <w:t>/location</w:t>
      </w:r>
      <w:r w:rsidR="00EF6AAD" w:rsidRPr="00550EF0">
        <w:rPr>
          <w:rFonts w:cstheme="minorHAnsi"/>
        </w:rPr>
        <w:t xml:space="preserve"> of stroke and any impact this ha</w:t>
      </w:r>
      <w:r w:rsidR="00F6758E" w:rsidRPr="00550EF0">
        <w:rPr>
          <w:rFonts w:cstheme="minorHAnsi"/>
        </w:rPr>
        <w:t>d</w:t>
      </w:r>
      <w:r w:rsidR="00EF6AAD" w:rsidRPr="00550EF0">
        <w:rPr>
          <w:rFonts w:cstheme="minorHAnsi"/>
        </w:rPr>
        <w:t xml:space="preserve"> on </w:t>
      </w:r>
      <w:r w:rsidR="00F6758E" w:rsidRPr="00550EF0">
        <w:rPr>
          <w:rFonts w:cstheme="minorHAnsi"/>
        </w:rPr>
        <w:t>outcomes</w:t>
      </w:r>
      <w:r w:rsidR="00EF6AAD" w:rsidRPr="00550EF0">
        <w:rPr>
          <w:rFonts w:cstheme="minorHAnsi"/>
        </w:rPr>
        <w:t xml:space="preserve">. </w:t>
      </w:r>
      <w:r w:rsidR="00F6758E" w:rsidRPr="00550EF0">
        <w:rPr>
          <w:rFonts w:cstheme="minorHAnsi"/>
        </w:rPr>
        <w:t>Perhaps most notably, d</w:t>
      </w:r>
      <w:r w:rsidR="00EF6AAD" w:rsidRPr="00550EF0">
        <w:rPr>
          <w:rFonts w:cstheme="minorHAnsi"/>
        </w:rPr>
        <w:t>istinguishing stroke–heart syndrome from (otherwise unknown) concomitant or preceding</w:t>
      </w:r>
      <w:r w:rsidR="00560160" w:rsidRPr="00550EF0">
        <w:rPr>
          <w:rFonts w:cstheme="minorHAnsi"/>
        </w:rPr>
        <w:t xml:space="preserve"> cardiovascular </w:t>
      </w:r>
      <w:r w:rsidR="00330547" w:rsidRPr="00550EF0">
        <w:rPr>
          <w:rFonts w:cstheme="minorHAnsi"/>
        </w:rPr>
        <w:t>complications</w:t>
      </w:r>
      <w:r w:rsidR="00EF6AAD" w:rsidRPr="00550EF0">
        <w:rPr>
          <w:rFonts w:cstheme="minorHAnsi"/>
        </w:rPr>
        <w:t xml:space="preserve"> is </w:t>
      </w:r>
      <w:r w:rsidR="00F6758E" w:rsidRPr="00550EF0">
        <w:rPr>
          <w:rFonts w:cstheme="minorHAnsi"/>
        </w:rPr>
        <w:t>challenging,</w:t>
      </w:r>
      <w:r w:rsidR="00EF6AAD" w:rsidRPr="00550EF0">
        <w:rPr>
          <w:rFonts w:cstheme="minorHAnsi"/>
        </w:rPr>
        <w:t xml:space="preserve"> and</w:t>
      </w:r>
      <w:r w:rsidR="00F6758E" w:rsidRPr="00550EF0">
        <w:rPr>
          <w:rFonts w:cstheme="minorHAnsi"/>
        </w:rPr>
        <w:t xml:space="preserve"> reverse causation</w:t>
      </w:r>
      <w:r w:rsidR="00EF6AAD" w:rsidRPr="00550EF0">
        <w:rPr>
          <w:rFonts w:cstheme="minorHAnsi"/>
        </w:rPr>
        <w:t xml:space="preserve"> may have impacted the results</w:t>
      </w:r>
      <w:r w:rsidR="00560160" w:rsidRPr="00550EF0">
        <w:rPr>
          <w:rFonts w:cstheme="minorHAnsi"/>
        </w:rPr>
        <w:t xml:space="preserve"> </w:t>
      </w:r>
      <w:r w:rsidR="00F6758E" w:rsidRPr="00550EF0">
        <w:rPr>
          <w:rFonts w:cstheme="minorHAnsi"/>
        </w:rPr>
        <w:t>of</w:t>
      </w:r>
      <w:r w:rsidR="00560160" w:rsidRPr="00550EF0">
        <w:rPr>
          <w:rFonts w:cstheme="minorHAnsi"/>
        </w:rPr>
        <w:t xml:space="preserve"> this study</w:t>
      </w:r>
      <w:r w:rsidR="00EF6AAD" w:rsidRPr="00550EF0">
        <w:rPr>
          <w:rFonts w:cstheme="minorHAnsi"/>
        </w:rPr>
        <w:t>.</w:t>
      </w:r>
      <w:r w:rsidR="00F6758E" w:rsidRPr="00550EF0">
        <w:rPr>
          <w:rFonts w:cstheme="minorHAnsi"/>
        </w:rPr>
        <w:t xml:space="preserve"> For example, whether the new-onset cardiovascular complications, </w:t>
      </w:r>
      <w:r w:rsidR="00F6758E" w:rsidRPr="00550EF0">
        <w:rPr>
          <w:rFonts w:cstheme="minorHAnsi"/>
          <w:i/>
          <w:iCs/>
        </w:rPr>
        <w:t>diagnosed</w:t>
      </w:r>
      <w:r w:rsidR="00F6758E" w:rsidRPr="00550EF0">
        <w:rPr>
          <w:rFonts w:cstheme="minorHAnsi"/>
        </w:rPr>
        <w:t xml:space="preserve"> after ischaemic stroke, were caused by stroke, or contributed to the stroke is unclear.</w:t>
      </w:r>
      <w:r w:rsidR="00560160" w:rsidRPr="00550EF0">
        <w:rPr>
          <w:rFonts w:cstheme="minorHAnsi"/>
        </w:rPr>
        <w:t xml:space="preserve"> Indeed, prospective research is needed to </w:t>
      </w:r>
      <w:r w:rsidR="00BC7428" w:rsidRPr="00550EF0">
        <w:rPr>
          <w:rFonts w:cstheme="minorHAnsi"/>
        </w:rPr>
        <w:t>infer</w:t>
      </w:r>
      <w:r w:rsidR="00560160" w:rsidRPr="00550EF0">
        <w:rPr>
          <w:rFonts w:cstheme="minorHAnsi"/>
        </w:rPr>
        <w:t xml:space="preserve"> causation, </w:t>
      </w:r>
      <w:r w:rsidR="00BC7428" w:rsidRPr="00550EF0">
        <w:rPr>
          <w:rFonts w:cstheme="minorHAnsi"/>
        </w:rPr>
        <w:t>albeit</w:t>
      </w:r>
      <w:r w:rsidR="00F6758E" w:rsidRPr="00550EF0">
        <w:rPr>
          <w:rFonts w:cstheme="minorHAnsi"/>
        </w:rPr>
        <w:t xml:space="preserve"> a challenging endeavour</w:t>
      </w:r>
      <w:r w:rsidR="00BC7428" w:rsidRPr="00550EF0">
        <w:rPr>
          <w:rFonts w:cstheme="minorHAnsi"/>
        </w:rPr>
        <w:t xml:space="preserve"> in a stroke population</w:t>
      </w:r>
      <w:r w:rsidR="00560160" w:rsidRPr="00550EF0">
        <w:rPr>
          <w:rFonts w:cstheme="minorHAnsi"/>
        </w:rPr>
        <w:t>.</w:t>
      </w:r>
      <w:r w:rsidR="00F6758E" w:rsidRPr="00550EF0">
        <w:rPr>
          <w:rFonts w:cstheme="minorHAnsi"/>
        </w:rPr>
        <w:t xml:space="preserve"> </w:t>
      </w:r>
      <w:r w:rsidR="007532D7" w:rsidRPr="00550EF0">
        <w:rPr>
          <w:rFonts w:cstheme="minorHAnsi"/>
        </w:rPr>
        <w:t xml:space="preserve"> </w:t>
      </w:r>
    </w:p>
    <w:p w14:paraId="1342A0EE" w14:textId="77777777" w:rsidR="00641CD9" w:rsidRPr="00550EF0" w:rsidRDefault="00641CD9"/>
    <w:p w14:paraId="455F2727" w14:textId="77777777" w:rsidR="006E790F" w:rsidRPr="00550EF0" w:rsidRDefault="006E790F" w:rsidP="00641CD9">
      <w:pPr>
        <w:spacing w:after="120"/>
        <w:rPr>
          <w:b/>
          <w:bCs/>
        </w:rPr>
      </w:pPr>
      <w:r w:rsidRPr="00550EF0">
        <w:rPr>
          <w:b/>
          <w:bCs/>
        </w:rPr>
        <w:t>Conclusion</w:t>
      </w:r>
    </w:p>
    <w:p w14:paraId="04F5C7BC" w14:textId="1068582F" w:rsidR="006E790F" w:rsidRPr="00550EF0" w:rsidRDefault="00641CD9" w:rsidP="007C0208">
      <w:pPr>
        <w:spacing w:line="360" w:lineRule="auto"/>
        <w:jc w:val="both"/>
        <w:rPr>
          <w:rFonts w:cstheme="minorHAnsi"/>
        </w:rPr>
      </w:pPr>
      <w:r w:rsidRPr="00550EF0">
        <w:rPr>
          <w:rFonts w:cstheme="minorHAnsi"/>
        </w:rPr>
        <w:t xml:space="preserve">New-onset cardiovascular </w:t>
      </w:r>
      <w:r w:rsidR="00330547" w:rsidRPr="00550EF0">
        <w:rPr>
          <w:rFonts w:cstheme="minorHAnsi"/>
        </w:rPr>
        <w:t>complications</w:t>
      </w:r>
      <w:r w:rsidR="00562A6D" w:rsidRPr="00550EF0">
        <w:rPr>
          <w:rFonts w:cstheme="minorHAnsi"/>
        </w:rPr>
        <w:t xml:space="preserve"> diagnosed</w:t>
      </w:r>
      <w:r w:rsidRPr="00550EF0">
        <w:rPr>
          <w:rFonts w:cstheme="minorHAnsi"/>
        </w:rPr>
        <w:t xml:space="preserve"> following a</w:t>
      </w:r>
      <w:r w:rsidR="00855580" w:rsidRPr="00550EF0">
        <w:rPr>
          <w:rFonts w:cstheme="minorHAnsi"/>
        </w:rPr>
        <w:t xml:space="preserve"> </w:t>
      </w:r>
      <w:r w:rsidRPr="00550EF0">
        <w:rPr>
          <w:rFonts w:cstheme="minorHAnsi"/>
        </w:rPr>
        <w:t xml:space="preserve">stroke are very common and </w:t>
      </w:r>
      <w:r w:rsidR="00E55BB5" w:rsidRPr="00550EF0">
        <w:rPr>
          <w:rFonts w:cstheme="minorHAnsi"/>
        </w:rPr>
        <w:t xml:space="preserve">are </w:t>
      </w:r>
      <w:r w:rsidRPr="00550EF0">
        <w:rPr>
          <w:rFonts w:cstheme="minorHAnsi"/>
        </w:rPr>
        <w:t>associate</w:t>
      </w:r>
      <w:r w:rsidR="00E55BB5" w:rsidRPr="00550EF0">
        <w:rPr>
          <w:rFonts w:cstheme="minorHAnsi"/>
        </w:rPr>
        <w:t>d</w:t>
      </w:r>
      <w:r w:rsidRPr="00550EF0">
        <w:rPr>
          <w:rFonts w:cstheme="minorHAnsi"/>
        </w:rPr>
        <w:t xml:space="preserve"> with significantly worse</w:t>
      </w:r>
      <w:r w:rsidR="00855580" w:rsidRPr="00550EF0">
        <w:rPr>
          <w:rFonts w:cstheme="minorHAnsi"/>
        </w:rPr>
        <w:t xml:space="preserve"> long-term</w:t>
      </w:r>
      <w:r w:rsidRPr="00550EF0">
        <w:rPr>
          <w:rFonts w:cstheme="minorHAnsi"/>
        </w:rPr>
        <w:t xml:space="preserve"> prognosis in terms of</w:t>
      </w:r>
      <w:r w:rsidR="00855580" w:rsidRPr="00550EF0">
        <w:rPr>
          <w:rFonts w:cstheme="minorHAnsi"/>
        </w:rPr>
        <w:t xml:space="preserve"> 5-year</w:t>
      </w:r>
      <w:r w:rsidRPr="00550EF0">
        <w:rPr>
          <w:rFonts w:cstheme="minorHAnsi"/>
        </w:rPr>
        <w:t xml:space="preserve"> MACE. Further</w:t>
      </w:r>
      <w:r w:rsidR="00855580" w:rsidRPr="00550EF0">
        <w:rPr>
          <w:rFonts w:cstheme="minorHAnsi"/>
        </w:rPr>
        <w:t xml:space="preserve"> multidisciplinary</w:t>
      </w:r>
      <w:r w:rsidRPr="00550EF0">
        <w:rPr>
          <w:rFonts w:cstheme="minorHAnsi"/>
        </w:rPr>
        <w:t xml:space="preserve"> research is needed to</w:t>
      </w:r>
      <w:r w:rsidR="00562A6D" w:rsidRPr="00550EF0">
        <w:rPr>
          <w:rFonts w:cstheme="minorHAnsi"/>
        </w:rPr>
        <w:t>: improve causal inference</w:t>
      </w:r>
      <w:r w:rsidR="00195EE1" w:rsidRPr="00550EF0">
        <w:rPr>
          <w:rFonts w:cstheme="minorHAnsi"/>
        </w:rPr>
        <w:t>s</w:t>
      </w:r>
      <w:r w:rsidR="00562A6D" w:rsidRPr="00550EF0">
        <w:rPr>
          <w:rFonts w:cstheme="minorHAnsi"/>
        </w:rPr>
        <w:t xml:space="preserve"> </w:t>
      </w:r>
      <w:r w:rsidR="00195EE1" w:rsidRPr="00550EF0">
        <w:rPr>
          <w:rFonts w:cstheme="minorHAnsi"/>
        </w:rPr>
        <w:t>within</w:t>
      </w:r>
      <w:r w:rsidR="00562A6D" w:rsidRPr="00550EF0">
        <w:rPr>
          <w:rFonts w:cstheme="minorHAnsi"/>
        </w:rPr>
        <w:t xml:space="preserve"> stroke-heart syndrome</w:t>
      </w:r>
      <w:r w:rsidR="00195EE1" w:rsidRPr="00550EF0">
        <w:rPr>
          <w:rFonts w:cstheme="minorHAnsi"/>
        </w:rPr>
        <w:t xml:space="preserve"> research;</w:t>
      </w:r>
      <w:r w:rsidR="00855580" w:rsidRPr="00550EF0">
        <w:rPr>
          <w:rFonts w:cstheme="minorHAnsi"/>
        </w:rPr>
        <w:t xml:space="preserve"> </w:t>
      </w:r>
      <w:r w:rsidR="007C0208" w:rsidRPr="00550EF0">
        <w:rPr>
          <w:rFonts w:cstheme="minorHAnsi"/>
        </w:rPr>
        <w:t>create and validate a</w:t>
      </w:r>
      <w:r w:rsidRPr="00550EF0">
        <w:rPr>
          <w:rFonts w:cstheme="minorHAnsi"/>
        </w:rPr>
        <w:t xml:space="preserve"> </w:t>
      </w:r>
      <w:r w:rsidR="001F7822" w:rsidRPr="00550EF0">
        <w:rPr>
          <w:rFonts w:cstheme="minorHAnsi"/>
        </w:rPr>
        <w:t>risk</w:t>
      </w:r>
      <w:r w:rsidR="007C0208" w:rsidRPr="00550EF0">
        <w:rPr>
          <w:rFonts w:cstheme="minorHAnsi"/>
        </w:rPr>
        <w:t xml:space="preserve"> prediction score</w:t>
      </w:r>
      <w:r w:rsidR="001F7822" w:rsidRPr="00550EF0">
        <w:rPr>
          <w:rFonts w:cstheme="minorHAnsi"/>
        </w:rPr>
        <w:t xml:space="preserve"> </w:t>
      </w:r>
      <w:r w:rsidR="007C0208" w:rsidRPr="00550EF0">
        <w:rPr>
          <w:rFonts w:cstheme="minorHAnsi"/>
        </w:rPr>
        <w:t>for</w:t>
      </w:r>
      <w:r w:rsidRPr="00550EF0">
        <w:rPr>
          <w:rFonts w:cstheme="minorHAnsi"/>
        </w:rPr>
        <w:t xml:space="preserve"> develop</w:t>
      </w:r>
      <w:r w:rsidR="001F7822" w:rsidRPr="00550EF0">
        <w:rPr>
          <w:rFonts w:cstheme="minorHAnsi"/>
        </w:rPr>
        <w:t>ing</w:t>
      </w:r>
      <w:r w:rsidRPr="00550EF0">
        <w:rPr>
          <w:rFonts w:cstheme="minorHAnsi"/>
        </w:rPr>
        <w:t xml:space="preserve"> new-onset cardiovascular complications post-</w:t>
      </w:r>
      <w:r w:rsidR="00855580" w:rsidRPr="00550EF0">
        <w:rPr>
          <w:rFonts w:cstheme="minorHAnsi"/>
        </w:rPr>
        <w:t>stroke</w:t>
      </w:r>
      <w:r w:rsidR="00195EE1" w:rsidRPr="00550EF0">
        <w:rPr>
          <w:rFonts w:cstheme="minorHAnsi"/>
        </w:rPr>
        <w:t>;</w:t>
      </w:r>
      <w:r w:rsidR="00855580" w:rsidRPr="00550EF0">
        <w:rPr>
          <w:rFonts w:cstheme="minorHAnsi"/>
        </w:rPr>
        <w:t xml:space="preserve"> and</w:t>
      </w:r>
      <w:r w:rsidRPr="00550EF0">
        <w:rPr>
          <w:rFonts w:cstheme="minorHAnsi"/>
        </w:rPr>
        <w:t xml:space="preserve"> </w:t>
      </w:r>
      <w:r w:rsidR="00855580" w:rsidRPr="00550EF0">
        <w:rPr>
          <w:rFonts w:cstheme="minorHAnsi"/>
        </w:rPr>
        <w:t>d</w:t>
      </w:r>
      <w:r w:rsidRPr="00550EF0">
        <w:rPr>
          <w:rFonts w:cstheme="minorHAnsi"/>
        </w:rPr>
        <w:t>evelop</w:t>
      </w:r>
      <w:r w:rsidR="00AC3FAD" w:rsidRPr="00550EF0">
        <w:rPr>
          <w:rFonts w:cstheme="minorHAnsi"/>
        </w:rPr>
        <w:t xml:space="preserve"> and test</w:t>
      </w:r>
      <w:r w:rsidRPr="00550EF0">
        <w:rPr>
          <w:rFonts w:cstheme="minorHAnsi"/>
        </w:rPr>
        <w:t xml:space="preserve"> specific</w:t>
      </w:r>
      <w:r w:rsidR="00AC3FAD" w:rsidRPr="00550EF0">
        <w:rPr>
          <w:rFonts w:cstheme="minorHAnsi"/>
        </w:rPr>
        <w:t>, personalised</w:t>
      </w:r>
      <w:r w:rsidRPr="00550EF0">
        <w:rPr>
          <w:rFonts w:cstheme="minorHAnsi"/>
        </w:rPr>
        <w:t xml:space="preserve"> therapeutic </w:t>
      </w:r>
      <w:r w:rsidR="00AC3FAD" w:rsidRPr="00550EF0">
        <w:rPr>
          <w:rFonts w:cstheme="minorHAnsi"/>
        </w:rPr>
        <w:t>interventions</w:t>
      </w:r>
      <w:r w:rsidR="00855580" w:rsidRPr="00550EF0">
        <w:rPr>
          <w:rFonts w:cstheme="minorHAnsi"/>
        </w:rPr>
        <w:t xml:space="preserve"> for </w:t>
      </w:r>
      <w:r w:rsidR="00195EE1" w:rsidRPr="00550EF0">
        <w:rPr>
          <w:rFonts w:cstheme="minorHAnsi"/>
        </w:rPr>
        <w:t xml:space="preserve">patients with </w:t>
      </w:r>
      <w:r w:rsidR="00855580" w:rsidRPr="00550EF0">
        <w:rPr>
          <w:rFonts w:cstheme="minorHAnsi"/>
        </w:rPr>
        <w:t>stroke-heart syndrome</w:t>
      </w:r>
      <w:r w:rsidRPr="00550EF0">
        <w:rPr>
          <w:rFonts w:cstheme="minorHAnsi"/>
        </w:rPr>
        <w:t xml:space="preserve">. </w:t>
      </w:r>
    </w:p>
    <w:p w14:paraId="48415262" w14:textId="33BA9C1F" w:rsidR="00D71338" w:rsidRPr="00550EF0" w:rsidRDefault="00D71338">
      <w:pPr>
        <w:rPr>
          <w:b/>
          <w:bCs/>
        </w:rPr>
      </w:pPr>
      <w:r w:rsidRPr="00550EF0">
        <w:rPr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XSpec="center" w:tblpY="821"/>
        <w:tblW w:w="5968" w:type="pct"/>
        <w:tblLook w:val="04A0" w:firstRow="1" w:lastRow="0" w:firstColumn="1" w:lastColumn="0" w:noHBand="0" w:noVBand="1"/>
      </w:tblPr>
      <w:tblGrid>
        <w:gridCol w:w="709"/>
        <w:gridCol w:w="142"/>
        <w:gridCol w:w="2411"/>
        <w:gridCol w:w="2833"/>
        <w:gridCol w:w="1560"/>
        <w:gridCol w:w="1416"/>
        <w:gridCol w:w="1702"/>
      </w:tblGrid>
      <w:tr w:rsidR="00D71338" w:rsidRPr="00550EF0" w14:paraId="7D5AFDF1" w14:textId="77777777" w:rsidTr="00E01696">
        <w:trPr>
          <w:trHeight w:val="1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F872DA" w14:textId="6FF5E071" w:rsidR="00D71338" w:rsidRPr="00550EF0" w:rsidRDefault="00D71338" w:rsidP="00B63475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Table </w:t>
            </w:r>
            <w:r w:rsidR="008C6DF6" w:rsidRPr="00550EF0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Pr="00550EF0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Pr="00550EF0">
              <w:rPr>
                <w:rFonts w:cstheme="minorHAnsi"/>
                <w:sz w:val="22"/>
                <w:szCs w:val="22"/>
              </w:rPr>
              <w:t xml:space="preserve"> Incidence of post-stroke cardiovascular complications and associated</w:t>
            </w:r>
            <w:r w:rsidR="00461422" w:rsidRPr="00550EF0">
              <w:rPr>
                <w:rFonts w:cstheme="minorHAnsi"/>
                <w:sz w:val="22"/>
                <w:szCs w:val="22"/>
              </w:rPr>
              <w:t xml:space="preserve"> 5-year</w:t>
            </w:r>
            <w:r w:rsidRPr="00550EF0">
              <w:rPr>
                <w:rFonts w:cstheme="minorHAnsi"/>
                <w:sz w:val="22"/>
                <w:szCs w:val="22"/>
              </w:rPr>
              <w:t xml:space="preserve"> MACE</w:t>
            </w:r>
            <w:r w:rsidR="00E55BB5" w:rsidRPr="00550EF0">
              <w:rPr>
                <w:rFonts w:cstheme="minorHAnsi"/>
                <w:sz w:val="22"/>
                <w:szCs w:val="22"/>
              </w:rPr>
              <w:t>,</w:t>
            </w:r>
            <w:r w:rsidRPr="00550EF0">
              <w:rPr>
                <w:rFonts w:cstheme="minorHAnsi"/>
                <w:sz w:val="22"/>
                <w:szCs w:val="22"/>
              </w:rPr>
              <w:t xml:space="preserve"> comparing patients with/without presentation of</w:t>
            </w:r>
            <w:r w:rsidR="00461422" w:rsidRPr="00550EF0">
              <w:rPr>
                <w:rFonts w:cstheme="minorHAnsi"/>
                <w:sz w:val="22"/>
                <w:szCs w:val="22"/>
              </w:rPr>
              <w:t xml:space="preserve"> acute</w:t>
            </w:r>
            <w:r w:rsidRPr="00550EF0">
              <w:rPr>
                <w:rFonts w:cstheme="minorHAnsi"/>
                <w:sz w:val="22"/>
                <w:szCs w:val="22"/>
              </w:rPr>
              <w:t xml:space="preserve"> cardiovascular complications following incident stroke. </w:t>
            </w:r>
          </w:p>
        </w:tc>
      </w:tr>
      <w:tr w:rsidR="00D71338" w:rsidRPr="00550EF0" w14:paraId="1981039A" w14:textId="77777777" w:rsidTr="00B130AE">
        <w:trPr>
          <w:trHeight w:val="565"/>
        </w:trPr>
        <w:tc>
          <w:tcPr>
            <w:tcW w:w="151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F8940A" w14:textId="727FD728" w:rsidR="00F027E2" w:rsidRPr="00550EF0" w:rsidRDefault="00D71338" w:rsidP="00F027E2">
            <w:pPr>
              <w:jc w:val="center"/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</w:pPr>
            <w:r w:rsidRPr="00550EF0">
              <w:rPr>
                <w:rFonts w:cstheme="minorHAnsi"/>
                <w:b/>
                <w:bCs/>
                <w:sz w:val="22"/>
                <w:szCs w:val="22"/>
              </w:rPr>
              <w:t>Acute cardiovascular complications</w:t>
            </w:r>
            <w:r w:rsidR="00097868" w:rsidRPr="00550EF0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  <w:p w14:paraId="58B11BCF" w14:textId="1D84B622" w:rsidR="00F027E2" w:rsidRPr="00550EF0" w:rsidRDefault="00F027E2" w:rsidP="00B6347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ABE85D" w14:textId="1E4611F3" w:rsidR="00D71338" w:rsidRPr="00550EF0" w:rsidRDefault="00F027E2" w:rsidP="0009786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bCs/>
                <w:sz w:val="22"/>
                <w:szCs w:val="22"/>
              </w:rPr>
              <w:t>MACE</w:t>
            </w:r>
            <w:r w:rsidR="00097868" w:rsidRPr="00550EF0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50EF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856B76" w14:textId="7198ED60" w:rsidR="00E63328" w:rsidRPr="00550EF0" w:rsidRDefault="00C50093" w:rsidP="00B63475">
            <w:pPr>
              <w:tabs>
                <w:tab w:val="center" w:pos="810"/>
              </w:tabs>
              <w:jc w:val="center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550EF0">
              <w:rPr>
                <w:rFonts w:cstheme="minorHAnsi"/>
                <w:b/>
                <w:i/>
                <w:iCs/>
                <w:sz w:val="22"/>
                <w:szCs w:val="22"/>
              </w:rPr>
              <w:t>n</w:t>
            </w:r>
            <w:r w:rsidRPr="00550EF0">
              <w:rPr>
                <w:rFonts w:cstheme="minorHAnsi"/>
                <w:b/>
                <w:sz w:val="22"/>
                <w:szCs w:val="22"/>
              </w:rPr>
              <w:t>=</w:t>
            </w:r>
            <w:r w:rsidR="00E63328" w:rsidRPr="00550EF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97868" w:rsidRPr="00550EF0">
              <w:rPr>
                <w:rFonts w:cstheme="minorHAnsi"/>
                <w:b/>
                <w:sz w:val="22"/>
                <w:szCs w:val="22"/>
              </w:rPr>
              <w:t xml:space="preserve">acute </w:t>
            </w:r>
            <w:r w:rsidR="00E63328" w:rsidRPr="00550EF0">
              <w:rPr>
                <w:rFonts w:cstheme="minorHAnsi"/>
                <w:b/>
                <w:sz w:val="22"/>
                <w:szCs w:val="22"/>
              </w:rPr>
              <w:t xml:space="preserve">cardiovascular </w:t>
            </w:r>
            <w:r w:rsidR="00330547" w:rsidRPr="00550EF0">
              <w:rPr>
                <w:rFonts w:cstheme="minorHAnsi"/>
                <w:b/>
                <w:sz w:val="22"/>
                <w:szCs w:val="22"/>
              </w:rPr>
              <w:t>complications</w:t>
            </w:r>
            <w:r w:rsidRPr="00550EF0">
              <w:rPr>
                <w:rFonts w:cstheme="minorHAnsi"/>
                <w:b/>
                <w:sz w:val="22"/>
                <w:szCs w:val="22"/>
              </w:rPr>
              <w:t xml:space="preserve"> vs without</w:t>
            </w:r>
            <w:r w:rsidR="00E63328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</w:p>
          <w:p w14:paraId="7C233552" w14:textId="77777777" w:rsidR="00E63328" w:rsidRPr="00550EF0" w:rsidRDefault="00E63328" w:rsidP="00B63475">
            <w:pPr>
              <w:tabs>
                <w:tab w:val="center" w:pos="81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DFE2EEC" w14:textId="16F899F2" w:rsidR="00D71338" w:rsidRPr="00550EF0" w:rsidRDefault="00D71338" w:rsidP="00B63475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bCs/>
                <w:sz w:val="22"/>
                <w:szCs w:val="22"/>
              </w:rPr>
              <w:t xml:space="preserve">% </w:t>
            </w:r>
            <w:r w:rsidR="00B130AE" w:rsidRPr="00550EF0">
              <w:rPr>
                <w:rFonts w:cstheme="minorHAnsi"/>
                <w:b/>
                <w:bCs/>
                <w:sz w:val="22"/>
                <w:szCs w:val="22"/>
              </w:rPr>
              <w:t>Events</w:t>
            </w:r>
            <w:r w:rsidRPr="00550EF0">
              <w:rPr>
                <w:rFonts w:cstheme="minorHAnsi"/>
                <w:b/>
                <w:bCs/>
                <w:sz w:val="22"/>
                <w:szCs w:val="22"/>
              </w:rPr>
              <w:t xml:space="preserve"> (MACE)</w:t>
            </w:r>
            <w:r w:rsidRPr="00550EF0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AE63B" w14:textId="77777777" w:rsidR="00D71338" w:rsidRPr="00550EF0" w:rsidRDefault="00D71338" w:rsidP="00B63475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bCs/>
                <w:sz w:val="22"/>
                <w:szCs w:val="22"/>
              </w:rPr>
              <w:t>Odds Ratio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3F3EBF" w14:textId="77777777" w:rsidR="00D71338" w:rsidRPr="00550EF0" w:rsidRDefault="00D71338" w:rsidP="00B6347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bCs/>
                <w:sz w:val="22"/>
                <w:szCs w:val="22"/>
                <w:lang w:val="en-GB"/>
              </w:rPr>
              <w:t>95% CI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571302" w14:textId="77777777" w:rsidR="00D71338" w:rsidRPr="00550EF0" w:rsidRDefault="00D71338" w:rsidP="00B6347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550EF0">
              <w:rPr>
                <w:rFonts w:cstheme="minorHAnsi"/>
                <w:b/>
                <w:bCs/>
                <w:sz w:val="22"/>
                <w:szCs w:val="22"/>
              </w:rPr>
              <w:t>-value</w:t>
            </w:r>
          </w:p>
        </w:tc>
      </w:tr>
      <w:tr w:rsidR="006E790F" w:rsidRPr="00550EF0" w14:paraId="5CA7B782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A80C1" w14:textId="6A88274F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ACS</w:t>
            </w:r>
            <w:r w:rsidR="00F027E2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r w:rsidR="00C50093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C50093" w:rsidRPr="00550EF0">
              <w:rPr>
                <w:rFonts w:cstheme="minorHAnsi"/>
                <w:bCs/>
                <w:sz w:val="22"/>
                <w:szCs w:val="22"/>
              </w:rPr>
              <w:t>(</w:t>
            </w:r>
            <w:r w:rsidR="00C50093" w:rsidRPr="00550EF0">
              <w:rPr>
                <w:rFonts w:cstheme="minorHAnsi"/>
                <w:sz w:val="22"/>
                <w:szCs w:val="22"/>
              </w:rPr>
              <w:t>11.1%)</w:t>
            </w:r>
          </w:p>
        </w:tc>
        <w:tc>
          <w:tcPr>
            <w:tcW w:w="13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3A6977" w14:textId="03948712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(40,497 vs 324,886)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ECF617" w14:textId="77777777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A98D80" w14:textId="77777777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A6235F" w14:textId="77777777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790F" w:rsidRPr="00550EF0" w14:paraId="535A7D9D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D4B2" w14:textId="554D74BA" w:rsidR="006E790F" w:rsidRPr="00550EF0" w:rsidRDefault="006E790F" w:rsidP="00144E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All-cause mortality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8628" w14:textId="397C31F5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25.3 vs 18.5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900A" w14:textId="6C954663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8B80" w14:textId="35BA419F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1.44, 1.54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8C5C" w14:textId="45743BC4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6E790F" w:rsidRPr="00550EF0" w14:paraId="4E98840E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6264" w14:textId="1C3E8FB6" w:rsidR="006E790F" w:rsidRPr="00550EF0" w:rsidRDefault="006E790F" w:rsidP="00144E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Hospitalisation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6E99" w14:textId="19A6EB70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41.6 vs 38.3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9601" w14:textId="33A2F876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1.15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ADEE" w14:textId="0E22995E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1.12, 1.18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702F" w14:textId="60625E19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6E790F" w:rsidRPr="00550EF0" w14:paraId="184E0BB6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533A3C" w14:textId="271BED58" w:rsidR="006E790F" w:rsidRPr="00550EF0" w:rsidRDefault="006E790F" w:rsidP="00144E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Recurrent stroke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EDEF1B" w14:textId="58601343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55.7 vs 56.5</w:t>
            </w:r>
          </w:p>
        </w:tc>
        <w:tc>
          <w:tcPr>
            <w:tcW w:w="72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FABA72" w14:textId="78CFE34D" w:rsidR="006E790F" w:rsidRPr="00550EF0" w:rsidRDefault="006E790F" w:rsidP="00144ECE">
            <w:pPr>
              <w:tabs>
                <w:tab w:val="center" w:pos="81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0.97</w:t>
            </w:r>
          </w:p>
        </w:tc>
        <w:tc>
          <w:tcPr>
            <w:tcW w:w="65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CF86E0" w14:textId="5A500BBD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0.95, 1.00</w:t>
            </w: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760296" w14:textId="4BDF3AC9" w:rsidR="006E790F" w:rsidRPr="00550EF0" w:rsidRDefault="006E790F" w:rsidP="00144EC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0.04</w:t>
            </w:r>
          </w:p>
        </w:tc>
      </w:tr>
      <w:tr w:rsidR="00E63328" w:rsidRPr="00550EF0" w14:paraId="7BFF21EC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61F7266" w14:textId="0D7AD945" w:rsidR="00E63328" w:rsidRPr="00550EF0" w:rsidRDefault="00E63328" w:rsidP="00144EC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AF/flutter</w:t>
            </w:r>
            <w:r w:rsidR="00F027E2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r w:rsidR="00C50093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C50093" w:rsidRPr="00550EF0">
              <w:rPr>
                <w:rFonts w:cstheme="minorHAnsi"/>
                <w:bCs/>
                <w:sz w:val="22"/>
                <w:szCs w:val="22"/>
              </w:rPr>
              <w:t>(8.8%)</w:t>
            </w:r>
          </w:p>
        </w:tc>
        <w:tc>
          <w:tcPr>
            <w:tcW w:w="131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F747226" w14:textId="343DCB08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(32,012 vs 333,371)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4BCD08" w14:textId="77777777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40592B5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DA0BAF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63328" w:rsidRPr="00550EF0" w14:paraId="33E8DF31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2BF1" w14:textId="756D1398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All-cause mortality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7C2A" w14:textId="6E0FC588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29.7 vs 22.6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3944" w14:textId="6E19D4DC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7AFA9" w14:textId="7007EFD5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1.40, 1.50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A495" w14:textId="7B88BE94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7F205724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097C" w14:textId="7495AB1F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Hospitalisation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AF3F" w14:textId="631410CE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44.2 vs 37.9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A528" w14:textId="13D5A646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1.30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BBE2" w14:textId="06589371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1.26, 1.34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AA76" w14:textId="0F1CF885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0E2CD08D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FD90" w14:textId="2CD2BCAC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Recurrent stroke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4A90" w14:textId="19F2CDB1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57.2 vs 54.8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5A91" w14:textId="12C9C536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47DE" w14:textId="619F6E26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1.07, 1.14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C54C" w14:textId="3C519739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38C20132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FCE404" w14:textId="4D9F628D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AMI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C45A2D" w14:textId="60DC48EF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4.9 vs 5.1</w:t>
            </w:r>
          </w:p>
        </w:tc>
        <w:tc>
          <w:tcPr>
            <w:tcW w:w="72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C43968" w14:textId="7DE6E637" w:rsidR="00E63328" w:rsidRPr="00550EF0" w:rsidRDefault="00E63328" w:rsidP="00144ECE">
            <w:pPr>
              <w:tabs>
                <w:tab w:val="center" w:pos="81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0.97</w:t>
            </w:r>
          </w:p>
        </w:tc>
        <w:tc>
          <w:tcPr>
            <w:tcW w:w="65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DB0213" w14:textId="1E1AD3AE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0.91, 1.05</w:t>
            </w: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EB950E" w14:textId="06376BE4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0.49</w:t>
            </w:r>
          </w:p>
        </w:tc>
      </w:tr>
      <w:tr w:rsidR="00E63328" w:rsidRPr="00550EF0" w14:paraId="028CC915" w14:textId="77777777" w:rsidTr="00E01696">
        <w:trPr>
          <w:trHeight w:val="422"/>
        </w:trPr>
        <w:tc>
          <w:tcPr>
            <w:tcW w:w="151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291C76" w14:textId="421BF2D5" w:rsidR="00E63328" w:rsidRPr="00550EF0" w:rsidRDefault="00C50093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H</w:t>
            </w:r>
            <w:r w:rsidR="00A77911" w:rsidRPr="00550EF0">
              <w:rPr>
                <w:rFonts w:cstheme="minorHAnsi"/>
                <w:b/>
                <w:sz w:val="22"/>
                <w:szCs w:val="22"/>
              </w:rPr>
              <w:t>eart failure</w:t>
            </w:r>
            <w:r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1 </w:t>
            </w:r>
            <w:r w:rsidRPr="00550EF0">
              <w:rPr>
                <w:rFonts w:cstheme="minorHAnsi"/>
                <w:bCs/>
                <w:sz w:val="22"/>
                <w:szCs w:val="22"/>
              </w:rPr>
              <w:t>(</w:t>
            </w:r>
            <w:r w:rsidRPr="00550EF0">
              <w:rPr>
                <w:rFonts w:cstheme="minorHAnsi"/>
                <w:sz w:val="22"/>
                <w:szCs w:val="22"/>
              </w:rPr>
              <w:t>6.4%)</w:t>
            </w:r>
          </w:p>
        </w:tc>
        <w:tc>
          <w:tcPr>
            <w:tcW w:w="131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035D501" w14:textId="453F9B83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(23,498 vs 341,884)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C393DD6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B06169B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9E14B2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63328" w:rsidRPr="00550EF0" w14:paraId="2666DA5D" w14:textId="77777777" w:rsidTr="00E01696">
        <w:trPr>
          <w:trHeight w:val="16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EAFD" w14:textId="3D8D848D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All-cause mortality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5ED3D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31.2 vs 19.9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1B59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1.83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4E52D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1.76, 1.91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9988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41BCE340" w14:textId="77777777" w:rsidTr="00E01696">
        <w:trPr>
          <w:trHeight w:val="63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E119" w14:textId="7922DEB9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Hospitalisation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6895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49.0 vs 40.1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D034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3DF2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1.39, 1.49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4BB3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3EEE1F2A" w14:textId="77777777" w:rsidTr="00E01696">
        <w:trPr>
          <w:trHeight w:val="104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E432" w14:textId="49C766AD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Recurrent stroke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12C1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56.7 vs 57.2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3F9F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7182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0.94, 1.01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4B4A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0.21</w:t>
            </w:r>
          </w:p>
        </w:tc>
      </w:tr>
      <w:tr w:rsidR="00E63328" w:rsidRPr="00550EF0" w14:paraId="4E0F1F2D" w14:textId="77777777" w:rsidTr="00E01696">
        <w:trPr>
          <w:trHeight w:val="329"/>
        </w:trPr>
        <w:tc>
          <w:tcPr>
            <w:tcW w:w="15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2E5A76" w14:textId="76948BFE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AMI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51304B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15.2 vs 7.1</w:t>
            </w:r>
          </w:p>
        </w:tc>
        <w:tc>
          <w:tcPr>
            <w:tcW w:w="72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B67567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2.35</w:t>
            </w:r>
          </w:p>
        </w:tc>
        <w:tc>
          <w:tcPr>
            <w:tcW w:w="65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C2C72F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2.21, 2.50</w:t>
            </w: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603CF3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C50093" w:rsidRPr="00550EF0" w14:paraId="55BFEBEC" w14:textId="77777777" w:rsidTr="00E01696">
        <w:trPr>
          <w:gridBefore w:val="1"/>
          <w:wBefore w:w="329" w:type="pct"/>
          <w:trHeight w:val="329"/>
        </w:trPr>
        <w:tc>
          <w:tcPr>
            <w:tcW w:w="118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460DAF" w14:textId="1E8608AC" w:rsidR="00C50093" w:rsidRPr="00550EF0" w:rsidRDefault="00C50093" w:rsidP="00144EC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HF</w:t>
            </w:r>
            <w:r w:rsidR="00A77911" w:rsidRPr="00550EF0">
              <w:rPr>
                <w:rFonts w:cstheme="minorHAnsi"/>
                <w:b/>
                <w:sz w:val="22"/>
                <w:szCs w:val="22"/>
              </w:rPr>
              <w:t>r</w:t>
            </w:r>
            <w:r w:rsidRPr="00550EF0">
              <w:rPr>
                <w:rFonts w:cstheme="minorHAnsi"/>
                <w:b/>
                <w:sz w:val="22"/>
                <w:szCs w:val="22"/>
              </w:rPr>
              <w:t>EF</w:t>
            </w:r>
            <w:r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r w:rsidR="0048498D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48498D" w:rsidRPr="00550EF0">
              <w:rPr>
                <w:rFonts w:cstheme="minorHAnsi"/>
                <w:bCs/>
                <w:sz w:val="22"/>
                <w:szCs w:val="22"/>
              </w:rPr>
              <w:t>(2.2%)</w:t>
            </w:r>
          </w:p>
        </w:tc>
        <w:tc>
          <w:tcPr>
            <w:tcW w:w="131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287D374" w14:textId="32532ECB" w:rsidR="00C50093" w:rsidRPr="00550EF0" w:rsidRDefault="0048498D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(8,637)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C80407" w14:textId="77777777" w:rsidR="00C50093" w:rsidRPr="00550EF0" w:rsidRDefault="00C50093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4F2FD4" w14:textId="77777777" w:rsidR="00C50093" w:rsidRPr="00550EF0" w:rsidRDefault="00C50093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3EA7CBC" w14:textId="77777777" w:rsidR="00C50093" w:rsidRPr="00550EF0" w:rsidRDefault="00C50093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50093" w:rsidRPr="00550EF0" w14:paraId="13B642AD" w14:textId="77777777" w:rsidTr="00E01696">
        <w:trPr>
          <w:gridBefore w:val="1"/>
          <w:wBefore w:w="329" w:type="pct"/>
          <w:trHeight w:val="329"/>
        </w:trPr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9C58" w14:textId="09EE582A" w:rsidR="00C50093" w:rsidRPr="00550EF0" w:rsidRDefault="00C50093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All-cause mortality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AD1D" w14:textId="702293D6" w:rsidR="00C50093" w:rsidRPr="00550EF0" w:rsidRDefault="0048498D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33.7 vs 19.8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26E0" w14:textId="1B5CB780" w:rsidR="00C50093" w:rsidRPr="00550EF0" w:rsidRDefault="0048498D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2.06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243C" w14:textId="740A42D2" w:rsidR="00C50093" w:rsidRPr="00550EF0" w:rsidRDefault="0048498D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1.92, 2.06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E8DD" w14:textId="036953F8" w:rsidR="00C50093" w:rsidRPr="00550EF0" w:rsidRDefault="0048498D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C50093" w:rsidRPr="00550EF0" w14:paraId="32A7A468" w14:textId="77777777" w:rsidTr="00E01696">
        <w:trPr>
          <w:gridBefore w:val="1"/>
          <w:wBefore w:w="329" w:type="pct"/>
          <w:trHeight w:val="329"/>
        </w:trPr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98E6" w14:textId="17B909FE" w:rsidR="00C50093" w:rsidRPr="00550EF0" w:rsidRDefault="00C50093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Hospitalisation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E9647" w14:textId="631C2789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47.6 vs 38.3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231E" w14:textId="20727F21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2386" w14:textId="63B1A2BB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1.38, 1.55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7531" w14:textId="34766FA5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C50093" w:rsidRPr="00550EF0" w14:paraId="4A441999" w14:textId="77777777" w:rsidTr="00E01696">
        <w:trPr>
          <w:gridBefore w:val="1"/>
          <w:wBefore w:w="329" w:type="pct"/>
          <w:trHeight w:val="329"/>
        </w:trPr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F349" w14:textId="30C11ABC" w:rsidR="00C50093" w:rsidRPr="00550EF0" w:rsidRDefault="00C50093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Recurrent stroke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18A1" w14:textId="2155D9A2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57.09 vs 56.8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9B8D" w14:textId="6DF7B833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3982" w14:textId="6049F670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0.95, 1.07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D611" w14:textId="3DF724BE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0.74</w:t>
            </w:r>
          </w:p>
        </w:tc>
      </w:tr>
      <w:tr w:rsidR="00C50093" w:rsidRPr="00550EF0" w14:paraId="753AC75C" w14:textId="77777777" w:rsidTr="00E01696">
        <w:trPr>
          <w:gridBefore w:val="1"/>
          <w:wBefore w:w="329" w:type="pct"/>
          <w:trHeight w:val="329"/>
        </w:trPr>
        <w:tc>
          <w:tcPr>
            <w:tcW w:w="118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161791" w14:textId="3BCB8822" w:rsidR="00C50093" w:rsidRPr="00550EF0" w:rsidRDefault="00C50093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AMI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92D4B1" w14:textId="2F682CD7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21.1 vs 8.9</w:t>
            </w:r>
          </w:p>
        </w:tc>
        <w:tc>
          <w:tcPr>
            <w:tcW w:w="72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F65AED" w14:textId="5B38A30F" w:rsidR="00C50093" w:rsidRPr="00550EF0" w:rsidRDefault="006F5085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2.73</w:t>
            </w:r>
          </w:p>
        </w:tc>
        <w:tc>
          <w:tcPr>
            <w:tcW w:w="65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0AFAA8" w14:textId="2C1CC456" w:rsidR="00C50093" w:rsidRPr="00550EF0" w:rsidRDefault="009334C1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2.50, 2.99</w:t>
            </w: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3EE096" w14:textId="4D9F6621" w:rsidR="00C50093" w:rsidRPr="00550EF0" w:rsidRDefault="009334C1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A77911" w:rsidRPr="00550EF0" w14:paraId="3E3B7D82" w14:textId="77777777" w:rsidTr="00B130AE">
        <w:trPr>
          <w:gridBefore w:val="2"/>
          <w:wBefore w:w="395" w:type="pct"/>
          <w:trHeight w:val="329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CFFBC" w14:textId="6770FB03" w:rsidR="00A77911" w:rsidRPr="00550EF0" w:rsidRDefault="00A77911" w:rsidP="00144EC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HFpEF</w:t>
            </w:r>
            <w:r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r w:rsidR="00822DB7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822DB7" w:rsidRPr="00550EF0">
              <w:rPr>
                <w:rFonts w:cstheme="minorHAnsi"/>
                <w:bCs/>
                <w:sz w:val="22"/>
                <w:szCs w:val="22"/>
              </w:rPr>
              <w:t>(1.8%)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C6E" w14:textId="56CD8AF9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(7,083)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EFB2" w14:textId="77777777" w:rsidR="00A77911" w:rsidRPr="00550EF0" w:rsidRDefault="00A77911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638C" w14:textId="77777777" w:rsidR="00A77911" w:rsidRPr="00550EF0" w:rsidRDefault="00A77911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AA35" w14:textId="77777777" w:rsidR="00A77911" w:rsidRPr="00550EF0" w:rsidRDefault="00A77911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77911" w:rsidRPr="00550EF0" w14:paraId="0EE32F9E" w14:textId="77777777" w:rsidTr="00B130AE">
        <w:trPr>
          <w:gridBefore w:val="2"/>
          <w:wBefore w:w="395" w:type="pct"/>
          <w:trHeight w:val="329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BE4B" w14:textId="7CA242B9" w:rsidR="00A77911" w:rsidRPr="00550EF0" w:rsidRDefault="00A77911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All-cause mortality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0376" w14:textId="7174BAAD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31.8 vs 22.7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92E5" w14:textId="17C8FAE3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1.59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2A8A" w14:textId="37539C7F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1.48, 1.72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D7AF" w14:textId="3D372C85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A77911" w:rsidRPr="00550EF0" w14:paraId="7C16B311" w14:textId="77777777" w:rsidTr="00B130AE">
        <w:trPr>
          <w:gridBefore w:val="2"/>
          <w:wBefore w:w="395" w:type="pct"/>
          <w:trHeight w:val="329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681C" w14:textId="77E6C04B" w:rsidR="00A77911" w:rsidRPr="00550EF0" w:rsidRDefault="00A77911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Hospitalisation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DE5A" w14:textId="54C25158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51.7 vs 40.9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F6EB" w14:textId="51AE717A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1.54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4F25" w14:textId="24C7D1F7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1.45, 1.65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F3A3" w14:textId="5617695F" w:rsidR="00A77911" w:rsidRPr="00550EF0" w:rsidRDefault="00822DB7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A77911" w:rsidRPr="00550EF0" w14:paraId="63CA2E30" w14:textId="77777777" w:rsidTr="00B130AE">
        <w:trPr>
          <w:gridBefore w:val="2"/>
          <w:wBefore w:w="395" w:type="pct"/>
          <w:trHeight w:val="329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80F3" w14:textId="6A6BFEA5" w:rsidR="00A77911" w:rsidRPr="00550EF0" w:rsidRDefault="00A77911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Recurrent stroke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A1CC" w14:textId="13F92F28" w:rsidR="00A77911" w:rsidRPr="00550EF0" w:rsidRDefault="00721EE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60.8 vs 57.5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FFCD" w14:textId="5992BD23" w:rsidR="00A77911" w:rsidRPr="00550EF0" w:rsidRDefault="00721EE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1.15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3C81" w14:textId="53896FD0" w:rsidR="00A77911" w:rsidRPr="00550EF0" w:rsidRDefault="00721EE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1.07, 1.23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0352" w14:textId="6A40A8FA" w:rsidR="00A77911" w:rsidRPr="00550EF0" w:rsidRDefault="00721EE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A77911" w:rsidRPr="00550EF0" w14:paraId="2C660F55" w14:textId="77777777" w:rsidTr="00B130AE">
        <w:trPr>
          <w:gridBefore w:val="2"/>
          <w:wBefore w:w="395" w:type="pct"/>
          <w:trHeight w:val="329"/>
        </w:trPr>
        <w:tc>
          <w:tcPr>
            <w:tcW w:w="111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5AD9A0" w14:textId="0A3259BF" w:rsidR="00A77911" w:rsidRPr="00550EF0" w:rsidRDefault="00A77911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AMI</w:t>
            </w:r>
            <w:r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5BC86F" w14:textId="49C6B9B1" w:rsidR="00A77911" w:rsidRPr="00550EF0" w:rsidRDefault="00207324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13.5</w:t>
            </w:r>
            <w:r w:rsidR="00144ECE" w:rsidRPr="00550EF0">
              <w:rPr>
                <w:rFonts w:cstheme="minorHAnsi"/>
                <w:sz w:val="22"/>
                <w:szCs w:val="22"/>
              </w:rPr>
              <w:t xml:space="preserve"> vs 9.4</w:t>
            </w:r>
          </w:p>
        </w:tc>
        <w:tc>
          <w:tcPr>
            <w:tcW w:w="72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252717" w14:textId="489083B3" w:rsidR="00A77911" w:rsidRPr="00550EF0" w:rsidRDefault="00144ECE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1.51</w:t>
            </w:r>
          </w:p>
        </w:tc>
        <w:tc>
          <w:tcPr>
            <w:tcW w:w="65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594BE2" w14:textId="76EEC2D0" w:rsidR="00A77911" w:rsidRPr="00550EF0" w:rsidRDefault="00144ECE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1.36, 1.67</w:t>
            </w: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C11598" w14:textId="623063CE" w:rsidR="00A77911" w:rsidRPr="00550EF0" w:rsidRDefault="00144ECE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20D5B823" w14:textId="77777777" w:rsidTr="00E01696">
        <w:trPr>
          <w:trHeight w:val="104"/>
        </w:trPr>
        <w:tc>
          <w:tcPr>
            <w:tcW w:w="151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B4F4F1" w14:textId="6D6EDCFA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VT/VF</w:t>
            </w:r>
            <w:r w:rsidR="00F027E2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r w:rsidR="00C50093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C50093" w:rsidRPr="00550EF0">
              <w:rPr>
                <w:rFonts w:cstheme="minorHAnsi"/>
                <w:bCs/>
                <w:sz w:val="22"/>
                <w:szCs w:val="22"/>
              </w:rPr>
              <w:t>(</w:t>
            </w:r>
            <w:r w:rsidR="00C50093" w:rsidRPr="00550EF0">
              <w:rPr>
                <w:rFonts w:cstheme="minorHAnsi"/>
                <w:sz w:val="22"/>
                <w:szCs w:val="22"/>
              </w:rPr>
              <w:t>1.2%)</w:t>
            </w:r>
          </w:p>
        </w:tc>
        <w:tc>
          <w:tcPr>
            <w:tcW w:w="131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25A270" w14:textId="7571B152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(4,459 vs 360,923)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BD550D9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8B441C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C0E31E" w14:textId="7777777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63328" w:rsidRPr="00550EF0" w14:paraId="1E6CDAF1" w14:textId="77777777" w:rsidTr="00E01696">
        <w:trPr>
          <w:trHeight w:val="104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E012" w14:textId="79D41AB5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All-cause mortality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E5B5" w14:textId="52EE1F4C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35.9 vs 21.2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426C" w14:textId="14337630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2.08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F1D7" w14:textId="1549BF2B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1.90, 2.29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9F51" w14:textId="4937A325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24097300" w14:textId="77777777" w:rsidTr="00E01696">
        <w:trPr>
          <w:trHeight w:val="104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A51D" w14:textId="59118452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Hospitalisation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2193" w14:textId="5ADB3008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48.4 vs 43.7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EEA8" w14:textId="25CE8570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1.21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4606" w14:textId="7EE1EE0E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1.11, 1.31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2759" w14:textId="3C767D28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1C7360AA" w14:textId="77777777" w:rsidTr="00E01696">
        <w:trPr>
          <w:trHeight w:val="104"/>
        </w:trPr>
        <w:tc>
          <w:tcPr>
            <w:tcW w:w="15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8F89" w14:textId="100E2438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Recurrent stroke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27A6" w14:textId="725D764E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53.2 vs 57.7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03F1" w14:textId="069070DF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0.84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F8F6" w14:textId="6E46C917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0.77, 0.91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C8FD" w14:textId="2C9D6C65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0D685703" w14:textId="77777777" w:rsidTr="00E01696">
        <w:trPr>
          <w:trHeight w:val="104"/>
        </w:trPr>
        <w:tc>
          <w:tcPr>
            <w:tcW w:w="15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500991" w14:textId="48A99C40" w:rsidR="00E63328" w:rsidRPr="00550EF0" w:rsidRDefault="00E63328" w:rsidP="00144ECE">
            <w:pPr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AMI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8BAECE" w14:textId="6E771D2E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8.8 vs 6.3</w:t>
            </w:r>
          </w:p>
        </w:tc>
        <w:tc>
          <w:tcPr>
            <w:tcW w:w="72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BDF856" w14:textId="6AA76EF6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1.42</w:t>
            </w:r>
          </w:p>
        </w:tc>
        <w:tc>
          <w:tcPr>
            <w:tcW w:w="65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ED03D6" w14:textId="3458B9F2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1.19, 1.70</w:t>
            </w: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B907AE" w14:textId="4AE245F1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E63328" w:rsidRPr="00550EF0" w14:paraId="10934D7A" w14:textId="77777777" w:rsidTr="00E01696">
        <w:trPr>
          <w:trHeight w:val="114"/>
        </w:trPr>
        <w:tc>
          <w:tcPr>
            <w:tcW w:w="151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DEB56D" w14:textId="512046EC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b/>
                <w:sz w:val="22"/>
                <w:szCs w:val="22"/>
              </w:rPr>
              <w:t>Takotsubo syndrome</w:t>
            </w:r>
            <w:r w:rsidR="00F027E2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r w:rsidR="00A77911" w:rsidRPr="00550EF0">
              <w:rPr>
                <w:rFonts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="00A77911" w:rsidRPr="00550EF0">
              <w:rPr>
                <w:rFonts w:cstheme="minorHAnsi"/>
                <w:bCs/>
                <w:sz w:val="22"/>
                <w:szCs w:val="22"/>
              </w:rPr>
              <w:t>(</w:t>
            </w:r>
            <w:r w:rsidR="00A77911" w:rsidRPr="00550EF0">
              <w:rPr>
                <w:rFonts w:cstheme="minorHAnsi"/>
                <w:sz w:val="22"/>
                <w:szCs w:val="22"/>
              </w:rPr>
              <w:t>0.1%)</w:t>
            </w:r>
          </w:p>
        </w:tc>
        <w:tc>
          <w:tcPr>
            <w:tcW w:w="131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8E2FE4C" w14:textId="387C0937" w:rsidR="00210F04" w:rsidRPr="00550EF0" w:rsidRDefault="00210F04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(338 vs 364,494</w:t>
            </w:r>
            <w:r w:rsidR="00144ECE" w:rsidRPr="00550EF0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429270" w14:textId="3F8D9446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F88A95" w14:textId="68848921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CE9634D" w14:textId="4E4C8484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63328" w:rsidRPr="00550EF0" w14:paraId="4974DC21" w14:textId="77777777" w:rsidTr="00E01696">
        <w:trPr>
          <w:trHeight w:val="100"/>
        </w:trPr>
        <w:tc>
          <w:tcPr>
            <w:tcW w:w="151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60BDA6" w14:textId="4150D6CE" w:rsidR="00317482" w:rsidRPr="00550EF0" w:rsidRDefault="00E63328" w:rsidP="00144ECE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550EF0">
              <w:rPr>
                <w:rFonts w:cstheme="minorHAnsi"/>
                <w:sz w:val="22"/>
                <w:szCs w:val="22"/>
              </w:rPr>
              <w:t>MACE</w:t>
            </w:r>
            <w:r w:rsidR="00F027E2" w:rsidRPr="00550EF0">
              <w:rPr>
                <w:rFonts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842B4" w14:textId="1BF403EF" w:rsidR="00E63328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84.3 vs 74.0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03AC1D" w14:textId="342EF05D" w:rsidR="00317482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EE9B44" w14:textId="07C7ED44" w:rsidR="00317482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1.29, 2.77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C76B87" w14:textId="1BE5F623" w:rsidR="00317482" w:rsidRPr="00550EF0" w:rsidRDefault="00E63328" w:rsidP="00144E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50EF0">
              <w:rPr>
                <w:rFonts w:cstheme="minorHAnsi"/>
                <w:sz w:val="22"/>
                <w:szCs w:val="22"/>
              </w:rPr>
              <w:t>&lt;0.001</w:t>
            </w:r>
          </w:p>
        </w:tc>
      </w:tr>
      <w:tr w:rsidR="00E63328" w:rsidRPr="00550EF0" w14:paraId="1392C322" w14:textId="77777777" w:rsidTr="00E01696">
        <w:trPr>
          <w:trHeight w:val="16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7F96F9" w14:textId="13651EE6" w:rsidR="00E63328" w:rsidRPr="00550EF0" w:rsidRDefault="00E63328" w:rsidP="00B63475">
            <w:pPr>
              <w:rPr>
                <w:rFonts w:cstheme="minorHAnsi"/>
                <w:sz w:val="20"/>
                <w:szCs w:val="20"/>
              </w:rPr>
            </w:pPr>
            <w:r w:rsidRPr="00550EF0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550EF0">
              <w:rPr>
                <w:rFonts w:cstheme="minorHAnsi"/>
                <w:sz w:val="20"/>
                <w:szCs w:val="20"/>
              </w:rPr>
              <w:t>Incidence of first occurrence of cardiovascular complications within 4 weeks of incident stroke presented as % of total population (</w:t>
            </w:r>
            <w:r w:rsidRPr="00550EF0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Pr="00550EF0">
              <w:rPr>
                <w:rFonts w:cstheme="minorHAnsi"/>
                <w:sz w:val="20"/>
                <w:szCs w:val="20"/>
              </w:rPr>
              <w:t xml:space="preserve">=with vs </w:t>
            </w:r>
            <w:r w:rsidRPr="00550EF0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Pr="00550EF0">
              <w:rPr>
                <w:rFonts w:cstheme="minorHAnsi"/>
                <w:sz w:val="20"/>
                <w:szCs w:val="20"/>
              </w:rPr>
              <w:t xml:space="preserve">=without cardiovascular complication). Sample sizes for pre-post propensity score matched cohorts are presented in baseline characteristics tables. </w:t>
            </w:r>
          </w:p>
          <w:p w14:paraId="0ECFBF3A" w14:textId="6420D9C1" w:rsidR="00E63328" w:rsidRPr="00550EF0" w:rsidRDefault="00E63328" w:rsidP="00B63475">
            <w:pPr>
              <w:rPr>
                <w:rFonts w:cstheme="minorHAnsi"/>
                <w:sz w:val="20"/>
                <w:szCs w:val="20"/>
              </w:rPr>
            </w:pPr>
            <w:r w:rsidRPr="00550EF0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50EF0">
              <w:rPr>
                <w:rFonts w:cstheme="minorHAnsi"/>
                <w:sz w:val="20"/>
                <w:szCs w:val="20"/>
              </w:rPr>
              <w:t>Associated MACE 5-years following incident stroke comparing</w:t>
            </w:r>
            <w:r w:rsidR="00097868" w:rsidRPr="00550EF0">
              <w:rPr>
                <w:rFonts w:cstheme="minorHAnsi"/>
                <w:sz w:val="20"/>
                <w:szCs w:val="20"/>
              </w:rPr>
              <w:t xml:space="preserve"> 1:1 propensity </w:t>
            </w:r>
            <w:proofErr w:type="gramStart"/>
            <w:r w:rsidR="00097868" w:rsidRPr="00550EF0">
              <w:rPr>
                <w:rFonts w:cstheme="minorHAnsi"/>
                <w:sz w:val="20"/>
                <w:szCs w:val="20"/>
              </w:rPr>
              <w:t>score</w:t>
            </w:r>
            <w:proofErr w:type="gramEnd"/>
            <w:r w:rsidR="00097868" w:rsidRPr="00550EF0">
              <w:rPr>
                <w:rFonts w:cstheme="minorHAnsi"/>
                <w:sz w:val="20"/>
                <w:szCs w:val="20"/>
              </w:rPr>
              <w:t xml:space="preserve"> matched </w:t>
            </w:r>
            <w:r w:rsidRPr="00550EF0">
              <w:rPr>
                <w:rFonts w:cstheme="minorHAnsi"/>
                <w:sz w:val="20"/>
                <w:szCs w:val="20"/>
              </w:rPr>
              <w:t xml:space="preserve">populations with/without </w:t>
            </w:r>
            <w:r w:rsidR="00097868" w:rsidRPr="00550EF0">
              <w:rPr>
                <w:rFonts w:cstheme="minorHAnsi"/>
                <w:sz w:val="20"/>
                <w:szCs w:val="20"/>
              </w:rPr>
              <w:t xml:space="preserve">acute </w:t>
            </w:r>
            <w:r w:rsidRPr="00550EF0">
              <w:rPr>
                <w:rFonts w:cstheme="minorHAnsi"/>
                <w:sz w:val="20"/>
                <w:szCs w:val="20"/>
              </w:rPr>
              <w:t xml:space="preserve">cardiovascular complications following incident stroke. </w:t>
            </w:r>
          </w:p>
          <w:p w14:paraId="52E7D5B5" w14:textId="77777777" w:rsidR="00E63328" w:rsidRPr="00550EF0" w:rsidRDefault="00E63328" w:rsidP="00B63475">
            <w:pPr>
              <w:rPr>
                <w:rFonts w:cstheme="minorHAnsi"/>
                <w:sz w:val="20"/>
                <w:szCs w:val="20"/>
              </w:rPr>
            </w:pPr>
            <w:r w:rsidRPr="00550EF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50EF0">
              <w:rPr>
                <w:rFonts w:cstheme="minorHAnsi"/>
                <w:sz w:val="20"/>
                <w:szCs w:val="20"/>
              </w:rPr>
              <w:t xml:space="preserve">Composite outcome presented (MACE; all-cause mortality, hospitalisation, recurrent stroke, and AMI) due to relatively small sample size. </w:t>
            </w:r>
          </w:p>
          <w:p w14:paraId="22FE5F17" w14:textId="68D6E6EF" w:rsidR="00E63328" w:rsidRPr="00550EF0" w:rsidRDefault="00E63328" w:rsidP="00B63475">
            <w:pPr>
              <w:rPr>
                <w:rFonts w:cstheme="minorHAnsi"/>
                <w:sz w:val="21"/>
                <w:szCs w:val="21"/>
              </w:rPr>
            </w:pPr>
            <w:r w:rsidRPr="00550EF0">
              <w:rPr>
                <w:rFonts w:cstheme="minorHAnsi"/>
                <w:sz w:val="20"/>
                <w:szCs w:val="20"/>
              </w:rPr>
              <w:t xml:space="preserve">MACE; major adverse cardiovascular event (mortality, hospitalisation, stroke, AMI), 95% CI; 95% confidence interval, </w:t>
            </w:r>
            <w:proofErr w:type="spellStart"/>
            <w:r w:rsidR="00721EE8" w:rsidRPr="00550EF0">
              <w:rPr>
                <w:rFonts w:cstheme="minorHAnsi"/>
                <w:sz w:val="20"/>
                <w:szCs w:val="20"/>
              </w:rPr>
              <w:t>HFrEF</w:t>
            </w:r>
            <w:proofErr w:type="spellEnd"/>
            <w:r w:rsidR="00721EE8" w:rsidRPr="00550EF0">
              <w:rPr>
                <w:rFonts w:cstheme="minorHAnsi"/>
                <w:sz w:val="20"/>
                <w:szCs w:val="20"/>
              </w:rPr>
              <w:t xml:space="preserve">; heart failure with reduced ejection fraction, </w:t>
            </w:r>
            <w:proofErr w:type="spellStart"/>
            <w:r w:rsidR="00721EE8" w:rsidRPr="00550EF0">
              <w:rPr>
                <w:rFonts w:cstheme="minorHAnsi"/>
                <w:sz w:val="20"/>
                <w:szCs w:val="20"/>
              </w:rPr>
              <w:t>HFpEF</w:t>
            </w:r>
            <w:proofErr w:type="spellEnd"/>
            <w:r w:rsidR="00721EE8" w:rsidRPr="00550EF0">
              <w:rPr>
                <w:rFonts w:cstheme="minorHAnsi"/>
                <w:sz w:val="20"/>
                <w:szCs w:val="20"/>
              </w:rPr>
              <w:t xml:space="preserve">; heart failure with preserved ejection fraction, </w:t>
            </w:r>
            <w:r w:rsidRPr="00550EF0">
              <w:rPr>
                <w:rFonts w:cstheme="minorHAnsi"/>
                <w:sz w:val="20"/>
                <w:szCs w:val="20"/>
              </w:rPr>
              <w:t>AMI; acute myocardial infarction, ACS; acute coronary syndrome, VT/VF; Ventricular tachycardia/ventricular fibrillation, AF/flutter; atrial fibrillation/atrial flutter.</w:t>
            </w:r>
          </w:p>
        </w:tc>
      </w:tr>
    </w:tbl>
    <w:p w14:paraId="2207C8AA" w14:textId="77777777" w:rsidR="00D71338" w:rsidRPr="00550EF0" w:rsidRDefault="00D71338"/>
    <w:p w14:paraId="2612BF5C" w14:textId="77777777" w:rsidR="00D71338" w:rsidRPr="00550EF0" w:rsidRDefault="00D71338"/>
    <w:p w14:paraId="78A4DCBC" w14:textId="77777777" w:rsidR="003A4442" w:rsidRPr="00550EF0" w:rsidRDefault="003A4442" w:rsidP="00920DEF">
      <w:pPr>
        <w:sectPr w:rsidR="003A4442" w:rsidRPr="00550EF0" w:rsidSect="000B3270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07A13DE" w14:textId="4ED1234F" w:rsidR="00CC1C18" w:rsidRPr="00550EF0" w:rsidRDefault="00AE6823" w:rsidP="00EE0CF0">
      <w:r w:rsidRPr="00550EF0">
        <w:rPr>
          <w:b/>
          <w:bCs/>
        </w:rPr>
        <w:lastRenderedPageBreak/>
        <w:t>References</w:t>
      </w:r>
    </w:p>
    <w:p w14:paraId="7ACADC6A" w14:textId="77777777" w:rsidR="00CC1C18" w:rsidRPr="00550EF0" w:rsidRDefault="00CC1C18" w:rsidP="00EE0CF0"/>
    <w:p w14:paraId="7318637F" w14:textId="77777777" w:rsidR="009F1D4E" w:rsidRPr="009F1D4E" w:rsidRDefault="00CC1C18" w:rsidP="009F1D4E">
      <w:pPr>
        <w:pStyle w:val="EndNoteBibliography"/>
        <w:ind w:left="720" w:hanging="720"/>
        <w:rPr>
          <w:noProof/>
        </w:rPr>
      </w:pPr>
      <w:r w:rsidRPr="00550EF0">
        <w:fldChar w:fldCharType="begin"/>
      </w:r>
      <w:r w:rsidRPr="00550EF0">
        <w:instrText xml:space="preserve"> ADDIN EN.REFLIST </w:instrText>
      </w:r>
      <w:r w:rsidRPr="00550EF0">
        <w:fldChar w:fldCharType="separate"/>
      </w:r>
      <w:r w:rsidR="009F1D4E" w:rsidRPr="009F1D4E">
        <w:rPr>
          <w:noProof/>
        </w:rPr>
        <w:t>1.</w:t>
      </w:r>
      <w:r w:rsidR="009F1D4E" w:rsidRPr="009F1D4E">
        <w:rPr>
          <w:noProof/>
        </w:rPr>
        <w:tab/>
        <w:t xml:space="preserve">Kumar S, Selim MH, Caplan LR. Medical complications after stroke. </w:t>
      </w:r>
      <w:r w:rsidR="009F1D4E" w:rsidRPr="009F1D4E">
        <w:rPr>
          <w:i/>
          <w:noProof/>
        </w:rPr>
        <w:t>The Lancet Neurology</w:t>
      </w:r>
      <w:r w:rsidR="009F1D4E" w:rsidRPr="009F1D4E">
        <w:rPr>
          <w:noProof/>
        </w:rPr>
        <w:t>. 2010;9:105-118</w:t>
      </w:r>
    </w:p>
    <w:p w14:paraId="5706CCF5" w14:textId="77777777" w:rsidR="009F1D4E" w:rsidRPr="009F1D4E" w:rsidRDefault="009F1D4E" w:rsidP="009F1D4E">
      <w:pPr>
        <w:pStyle w:val="EndNoteBibliography"/>
        <w:ind w:left="720" w:hanging="720"/>
        <w:rPr>
          <w:noProof/>
        </w:rPr>
      </w:pPr>
      <w:r w:rsidRPr="009F1D4E">
        <w:rPr>
          <w:noProof/>
        </w:rPr>
        <w:t>2.</w:t>
      </w:r>
      <w:r w:rsidRPr="009F1D4E">
        <w:rPr>
          <w:noProof/>
        </w:rPr>
        <w:tab/>
        <w:t xml:space="preserve">Scheitz JF, Nolte CH, Doehner W, Hachinski V, Endres M. Stroke–heart syndrome: Clinical presentation and underlying mechanisms. </w:t>
      </w:r>
      <w:r w:rsidRPr="009F1D4E">
        <w:rPr>
          <w:i/>
          <w:noProof/>
        </w:rPr>
        <w:t>The Lancet Neurology</w:t>
      </w:r>
      <w:r w:rsidRPr="009F1D4E">
        <w:rPr>
          <w:noProof/>
        </w:rPr>
        <w:t>. 2018;17:1109-1120</w:t>
      </w:r>
    </w:p>
    <w:p w14:paraId="64DCA800" w14:textId="77777777" w:rsidR="009F1D4E" w:rsidRPr="009F1D4E" w:rsidRDefault="009F1D4E" w:rsidP="009F1D4E">
      <w:pPr>
        <w:pStyle w:val="EndNoteBibliography"/>
        <w:ind w:left="720" w:hanging="720"/>
        <w:rPr>
          <w:noProof/>
        </w:rPr>
      </w:pPr>
      <w:r w:rsidRPr="009F1D4E">
        <w:rPr>
          <w:noProof/>
        </w:rPr>
        <w:t>3.</w:t>
      </w:r>
      <w:r w:rsidRPr="009F1D4E">
        <w:rPr>
          <w:noProof/>
        </w:rPr>
        <w:tab/>
        <w:t xml:space="preserve">Prosser J, MacGregor L, Lees KR, Diener HC, Hacke W, Davis S. Predictors of early cardiac morbidity and mortality after ischemic stroke. </w:t>
      </w:r>
      <w:r w:rsidRPr="009F1D4E">
        <w:rPr>
          <w:i/>
          <w:noProof/>
        </w:rPr>
        <w:t>Stroke</w:t>
      </w:r>
      <w:r w:rsidRPr="009F1D4E">
        <w:rPr>
          <w:noProof/>
        </w:rPr>
        <w:t>. 2007;38:2295-2302</w:t>
      </w:r>
    </w:p>
    <w:p w14:paraId="17483EDB" w14:textId="77777777" w:rsidR="009F1D4E" w:rsidRPr="009F1D4E" w:rsidRDefault="009F1D4E" w:rsidP="009F1D4E">
      <w:pPr>
        <w:pStyle w:val="EndNoteBibliography"/>
        <w:ind w:left="720" w:hanging="720"/>
        <w:rPr>
          <w:noProof/>
        </w:rPr>
      </w:pPr>
      <w:r w:rsidRPr="009F1D4E">
        <w:rPr>
          <w:noProof/>
        </w:rPr>
        <w:t>4.</w:t>
      </w:r>
      <w:r w:rsidRPr="009F1D4E">
        <w:rPr>
          <w:noProof/>
        </w:rPr>
        <w:tab/>
        <w:t xml:space="preserve">Sposato Luciano A, Hilz Max J, Aspberg S, Murthy Santosh B, Bahit MC, Hsieh C-Y, et al. Post-stroke cardiovascular complications and neurogenic cardiac injury. </w:t>
      </w:r>
      <w:r w:rsidRPr="009F1D4E">
        <w:rPr>
          <w:i/>
          <w:noProof/>
        </w:rPr>
        <w:t>Journal of the American College of Cardiology</w:t>
      </w:r>
      <w:r w:rsidRPr="009F1D4E">
        <w:rPr>
          <w:noProof/>
        </w:rPr>
        <w:t>. 2020;76:2768-2785</w:t>
      </w:r>
    </w:p>
    <w:p w14:paraId="5EDF0BAB" w14:textId="77777777" w:rsidR="009F1D4E" w:rsidRPr="009F1D4E" w:rsidRDefault="009F1D4E" w:rsidP="009F1D4E">
      <w:pPr>
        <w:pStyle w:val="EndNoteBibliography"/>
        <w:ind w:left="720" w:hanging="720"/>
        <w:rPr>
          <w:noProof/>
        </w:rPr>
      </w:pPr>
      <w:r w:rsidRPr="009F1D4E">
        <w:rPr>
          <w:noProof/>
        </w:rPr>
        <w:t>5.</w:t>
      </w:r>
      <w:r w:rsidRPr="009F1D4E">
        <w:rPr>
          <w:noProof/>
        </w:rPr>
        <w:tab/>
        <w:t xml:space="preserve">Sposato LA, Aspberg S, Scheitz JF, Fisher M. The world stroke organization brain &amp; heart task force: Collaborations between stroke physicians and cardiologists. </w:t>
      </w:r>
      <w:r w:rsidRPr="009F1D4E">
        <w:rPr>
          <w:i/>
          <w:noProof/>
        </w:rPr>
        <w:t>European Heart Journal</w:t>
      </w:r>
      <w:r w:rsidRPr="009F1D4E">
        <w:rPr>
          <w:noProof/>
        </w:rPr>
        <w:t>. 2021</w:t>
      </w:r>
    </w:p>
    <w:p w14:paraId="2C3185AA" w14:textId="77777777" w:rsidR="009F1D4E" w:rsidRPr="009F1D4E" w:rsidRDefault="009F1D4E" w:rsidP="009F1D4E">
      <w:pPr>
        <w:pStyle w:val="EndNoteBibliography"/>
        <w:ind w:left="720" w:hanging="720"/>
        <w:rPr>
          <w:noProof/>
        </w:rPr>
      </w:pPr>
      <w:r w:rsidRPr="009F1D4E">
        <w:rPr>
          <w:noProof/>
        </w:rPr>
        <w:t>6.</w:t>
      </w:r>
      <w:r w:rsidRPr="009F1D4E">
        <w:rPr>
          <w:noProof/>
        </w:rPr>
        <w:tab/>
        <w:t xml:space="preserve">Buckley BJR, Harrison SL, Fazio-Eynullayeva E, Underhill P, Lane DA, Thijssen DHJ, et al. Exercise-based cardiac rehabilitation associates with lower major adverse cardiovascular events in people with stroke. </w:t>
      </w:r>
      <w:r w:rsidRPr="009F1D4E">
        <w:rPr>
          <w:i/>
          <w:noProof/>
        </w:rPr>
        <w:t>Cerebrovasc Dis</w:t>
      </w:r>
      <w:r w:rsidRPr="009F1D4E">
        <w:rPr>
          <w:noProof/>
        </w:rPr>
        <w:t>. 2021:1-5</w:t>
      </w:r>
    </w:p>
    <w:p w14:paraId="39D66915" w14:textId="77777777" w:rsidR="009F1D4E" w:rsidRPr="009F1D4E" w:rsidRDefault="009F1D4E" w:rsidP="009F1D4E">
      <w:pPr>
        <w:pStyle w:val="EndNoteBibliography"/>
        <w:ind w:left="720" w:hanging="720"/>
        <w:rPr>
          <w:noProof/>
        </w:rPr>
      </w:pPr>
      <w:r w:rsidRPr="009F1D4E">
        <w:rPr>
          <w:noProof/>
        </w:rPr>
        <w:t>7.</w:t>
      </w:r>
      <w:r w:rsidRPr="009F1D4E">
        <w:rPr>
          <w:noProof/>
        </w:rPr>
        <w:tab/>
        <w:t xml:space="preserve">Chong WF, Ding YY, Heng BH. A comparison of comorbidities obtained from hospital administrative data and medical charts in older patients with pneumonia. </w:t>
      </w:r>
      <w:r w:rsidRPr="009F1D4E">
        <w:rPr>
          <w:i/>
          <w:noProof/>
        </w:rPr>
        <w:t>BMC Health Serv Res</w:t>
      </w:r>
      <w:r w:rsidRPr="009F1D4E">
        <w:rPr>
          <w:noProof/>
        </w:rPr>
        <w:t>. 2011;11:105-105</w:t>
      </w:r>
    </w:p>
    <w:p w14:paraId="0EEBB7DE" w14:textId="2485BDFD" w:rsidR="001E1844" w:rsidRDefault="00CC1C18" w:rsidP="00EE0CF0">
      <w:r w:rsidRPr="00550EF0">
        <w:fldChar w:fldCharType="end"/>
      </w:r>
    </w:p>
    <w:p w14:paraId="7D300DA7" w14:textId="69387EF8" w:rsidR="000B3270" w:rsidRDefault="000B3270"/>
    <w:sectPr w:rsidR="000B3270" w:rsidSect="000B327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80A7" w14:textId="77777777" w:rsidR="00362244" w:rsidRDefault="00362244" w:rsidP="0018756F">
      <w:r>
        <w:separator/>
      </w:r>
    </w:p>
  </w:endnote>
  <w:endnote w:type="continuationSeparator" w:id="0">
    <w:p w14:paraId="2F615EDD" w14:textId="77777777" w:rsidR="00362244" w:rsidRDefault="00362244" w:rsidP="001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5632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431621" w14:textId="569EB37B" w:rsidR="00B34472" w:rsidRDefault="00B34472" w:rsidP="00630B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16ED9" w14:textId="77777777" w:rsidR="00B34472" w:rsidRDefault="00B34472" w:rsidP="00187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571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06FA7" w14:textId="42E2C62D" w:rsidR="00B34472" w:rsidRDefault="00B34472" w:rsidP="00630B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37F99237" w14:textId="77777777" w:rsidR="00B34472" w:rsidRDefault="00B34472" w:rsidP="001875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5D00" w14:textId="77777777" w:rsidR="00362244" w:rsidRDefault="00362244" w:rsidP="0018756F">
      <w:r>
        <w:separator/>
      </w:r>
    </w:p>
  </w:footnote>
  <w:footnote w:type="continuationSeparator" w:id="0">
    <w:p w14:paraId="650AFBAF" w14:textId="77777777" w:rsidR="00362244" w:rsidRDefault="00362244" w:rsidP="0018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0EBF"/>
    <w:multiLevelType w:val="hybridMultilevel"/>
    <w:tmpl w:val="3DE26DFE"/>
    <w:lvl w:ilvl="0" w:tplc="2D463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tweeax9tpw2aetw5vpzvtkdt9s2ep52zrs&quot;&gt;BB Endnote Library&lt;record-ids&gt;&lt;item&gt;2195&lt;/item&gt;&lt;item&gt;8098&lt;/item&gt;&lt;item&gt;8266&lt;/item&gt;&lt;item&gt;8267&lt;/item&gt;&lt;item&gt;8268&lt;/item&gt;&lt;item&gt;8642&lt;/item&gt;&lt;/record-ids&gt;&lt;/item&gt;&lt;/Libraries&gt;"/>
  </w:docVars>
  <w:rsids>
    <w:rsidRoot w:val="00EE0CF0"/>
    <w:rsid w:val="00010192"/>
    <w:rsid w:val="0002146A"/>
    <w:rsid w:val="00022701"/>
    <w:rsid w:val="00022DCF"/>
    <w:rsid w:val="00051E73"/>
    <w:rsid w:val="00052DED"/>
    <w:rsid w:val="00054F79"/>
    <w:rsid w:val="00066E1A"/>
    <w:rsid w:val="00094187"/>
    <w:rsid w:val="00097868"/>
    <w:rsid w:val="000A1B1C"/>
    <w:rsid w:val="000A32B8"/>
    <w:rsid w:val="000A4DE8"/>
    <w:rsid w:val="000B1697"/>
    <w:rsid w:val="000B1716"/>
    <w:rsid w:val="000B3270"/>
    <w:rsid w:val="000C2EF6"/>
    <w:rsid w:val="000E05C1"/>
    <w:rsid w:val="000E4EE3"/>
    <w:rsid w:val="000F4529"/>
    <w:rsid w:val="000F47C0"/>
    <w:rsid w:val="001123ED"/>
    <w:rsid w:val="00123830"/>
    <w:rsid w:val="00123A14"/>
    <w:rsid w:val="00143804"/>
    <w:rsid w:val="00144ECE"/>
    <w:rsid w:val="00151560"/>
    <w:rsid w:val="001546E4"/>
    <w:rsid w:val="00155207"/>
    <w:rsid w:val="00183159"/>
    <w:rsid w:val="001834BD"/>
    <w:rsid w:val="0018756F"/>
    <w:rsid w:val="00195268"/>
    <w:rsid w:val="00195EE1"/>
    <w:rsid w:val="0019763E"/>
    <w:rsid w:val="001A5328"/>
    <w:rsid w:val="001B2F01"/>
    <w:rsid w:val="001B5147"/>
    <w:rsid w:val="001E1844"/>
    <w:rsid w:val="001E25DA"/>
    <w:rsid w:val="001F34D6"/>
    <w:rsid w:val="001F7822"/>
    <w:rsid w:val="002025BF"/>
    <w:rsid w:val="00207324"/>
    <w:rsid w:val="00210F04"/>
    <w:rsid w:val="0021588C"/>
    <w:rsid w:val="00216BDE"/>
    <w:rsid w:val="0021754F"/>
    <w:rsid w:val="00220E8A"/>
    <w:rsid w:val="00224613"/>
    <w:rsid w:val="002356FA"/>
    <w:rsid w:val="00242B50"/>
    <w:rsid w:val="002449B5"/>
    <w:rsid w:val="002530C4"/>
    <w:rsid w:val="00253819"/>
    <w:rsid w:val="00275931"/>
    <w:rsid w:val="002772A1"/>
    <w:rsid w:val="00277588"/>
    <w:rsid w:val="00280413"/>
    <w:rsid w:val="00281CD8"/>
    <w:rsid w:val="00282023"/>
    <w:rsid w:val="002974E5"/>
    <w:rsid w:val="002A7498"/>
    <w:rsid w:val="002C3AEF"/>
    <w:rsid w:val="002F6D6A"/>
    <w:rsid w:val="003159C2"/>
    <w:rsid w:val="00317482"/>
    <w:rsid w:val="00320012"/>
    <w:rsid w:val="0032142B"/>
    <w:rsid w:val="00330547"/>
    <w:rsid w:val="0033242D"/>
    <w:rsid w:val="00351A28"/>
    <w:rsid w:val="00361AD6"/>
    <w:rsid w:val="00362244"/>
    <w:rsid w:val="00395ADC"/>
    <w:rsid w:val="003A2A71"/>
    <w:rsid w:val="003A38C3"/>
    <w:rsid w:val="003A4442"/>
    <w:rsid w:val="003B0D67"/>
    <w:rsid w:val="003B3C2D"/>
    <w:rsid w:val="003B7637"/>
    <w:rsid w:val="003C7B11"/>
    <w:rsid w:val="003E7B1B"/>
    <w:rsid w:val="003F788F"/>
    <w:rsid w:val="00437DC7"/>
    <w:rsid w:val="00441562"/>
    <w:rsid w:val="0044185B"/>
    <w:rsid w:val="0044565E"/>
    <w:rsid w:val="00450D44"/>
    <w:rsid w:val="00461422"/>
    <w:rsid w:val="00462D1B"/>
    <w:rsid w:val="00465137"/>
    <w:rsid w:val="004714E1"/>
    <w:rsid w:val="0047396A"/>
    <w:rsid w:val="0048498D"/>
    <w:rsid w:val="00486F46"/>
    <w:rsid w:val="004B598A"/>
    <w:rsid w:val="004C1856"/>
    <w:rsid w:val="004D4FDE"/>
    <w:rsid w:val="004D72AB"/>
    <w:rsid w:val="004E077E"/>
    <w:rsid w:val="004F00CC"/>
    <w:rsid w:val="0050500A"/>
    <w:rsid w:val="00520A70"/>
    <w:rsid w:val="005303BF"/>
    <w:rsid w:val="0053169C"/>
    <w:rsid w:val="0053193F"/>
    <w:rsid w:val="00533BCA"/>
    <w:rsid w:val="0054343E"/>
    <w:rsid w:val="005442FD"/>
    <w:rsid w:val="00550EF0"/>
    <w:rsid w:val="00551498"/>
    <w:rsid w:val="00560160"/>
    <w:rsid w:val="00562A6D"/>
    <w:rsid w:val="00562D99"/>
    <w:rsid w:val="0056322C"/>
    <w:rsid w:val="00566444"/>
    <w:rsid w:val="00567047"/>
    <w:rsid w:val="005706C5"/>
    <w:rsid w:val="00577EEF"/>
    <w:rsid w:val="00592EBD"/>
    <w:rsid w:val="00596344"/>
    <w:rsid w:val="005A058C"/>
    <w:rsid w:val="005A2666"/>
    <w:rsid w:val="005D1847"/>
    <w:rsid w:val="005D670C"/>
    <w:rsid w:val="005E262D"/>
    <w:rsid w:val="005E28AB"/>
    <w:rsid w:val="005E43B0"/>
    <w:rsid w:val="005F4755"/>
    <w:rsid w:val="0061373F"/>
    <w:rsid w:val="006275C4"/>
    <w:rsid w:val="00630B15"/>
    <w:rsid w:val="00641CD9"/>
    <w:rsid w:val="006513C6"/>
    <w:rsid w:val="00653839"/>
    <w:rsid w:val="00663CE0"/>
    <w:rsid w:val="0066429A"/>
    <w:rsid w:val="00670ADC"/>
    <w:rsid w:val="00671AFF"/>
    <w:rsid w:val="006917B0"/>
    <w:rsid w:val="0069542A"/>
    <w:rsid w:val="006A04F7"/>
    <w:rsid w:val="006A46FE"/>
    <w:rsid w:val="006B2810"/>
    <w:rsid w:val="006C43C8"/>
    <w:rsid w:val="006C5298"/>
    <w:rsid w:val="006E790F"/>
    <w:rsid w:val="006F44A0"/>
    <w:rsid w:val="006F5085"/>
    <w:rsid w:val="0071192A"/>
    <w:rsid w:val="00721EE8"/>
    <w:rsid w:val="007257E0"/>
    <w:rsid w:val="00733180"/>
    <w:rsid w:val="007332FA"/>
    <w:rsid w:val="007532D7"/>
    <w:rsid w:val="00761A1E"/>
    <w:rsid w:val="00766C11"/>
    <w:rsid w:val="007B2BF6"/>
    <w:rsid w:val="007B4094"/>
    <w:rsid w:val="007C0208"/>
    <w:rsid w:val="007D1E83"/>
    <w:rsid w:val="0080718D"/>
    <w:rsid w:val="00810C2D"/>
    <w:rsid w:val="0081596B"/>
    <w:rsid w:val="00816EBB"/>
    <w:rsid w:val="008173C3"/>
    <w:rsid w:val="00822DB7"/>
    <w:rsid w:val="00831764"/>
    <w:rsid w:val="00855580"/>
    <w:rsid w:val="008726CE"/>
    <w:rsid w:val="0088275D"/>
    <w:rsid w:val="00883271"/>
    <w:rsid w:val="00891F2D"/>
    <w:rsid w:val="008B1526"/>
    <w:rsid w:val="008B4B4B"/>
    <w:rsid w:val="008C6DF6"/>
    <w:rsid w:val="008D46B9"/>
    <w:rsid w:val="008D6BF1"/>
    <w:rsid w:val="008E182F"/>
    <w:rsid w:val="008E4EB3"/>
    <w:rsid w:val="008F51C4"/>
    <w:rsid w:val="00911E76"/>
    <w:rsid w:val="009142B1"/>
    <w:rsid w:val="00920DEF"/>
    <w:rsid w:val="00925672"/>
    <w:rsid w:val="009315F4"/>
    <w:rsid w:val="009316E7"/>
    <w:rsid w:val="009334C1"/>
    <w:rsid w:val="00980B49"/>
    <w:rsid w:val="009834D8"/>
    <w:rsid w:val="00984385"/>
    <w:rsid w:val="00996D56"/>
    <w:rsid w:val="009A4DBC"/>
    <w:rsid w:val="009A76F9"/>
    <w:rsid w:val="009B5C6F"/>
    <w:rsid w:val="009C683B"/>
    <w:rsid w:val="009D39BF"/>
    <w:rsid w:val="009D5E2C"/>
    <w:rsid w:val="009E1A05"/>
    <w:rsid w:val="009F06B6"/>
    <w:rsid w:val="009F11B7"/>
    <w:rsid w:val="009F1D4E"/>
    <w:rsid w:val="00A0492F"/>
    <w:rsid w:val="00A11549"/>
    <w:rsid w:val="00A13015"/>
    <w:rsid w:val="00A23D38"/>
    <w:rsid w:val="00A4481A"/>
    <w:rsid w:val="00A45DCC"/>
    <w:rsid w:val="00A476B7"/>
    <w:rsid w:val="00A63D6B"/>
    <w:rsid w:val="00A71B06"/>
    <w:rsid w:val="00A77911"/>
    <w:rsid w:val="00A815F7"/>
    <w:rsid w:val="00AA229C"/>
    <w:rsid w:val="00AA709C"/>
    <w:rsid w:val="00AA7804"/>
    <w:rsid w:val="00AB575F"/>
    <w:rsid w:val="00AB651F"/>
    <w:rsid w:val="00AC3FAD"/>
    <w:rsid w:val="00AD3DAC"/>
    <w:rsid w:val="00AE6823"/>
    <w:rsid w:val="00AE6DEF"/>
    <w:rsid w:val="00AF74F5"/>
    <w:rsid w:val="00B01003"/>
    <w:rsid w:val="00B026F5"/>
    <w:rsid w:val="00B02E48"/>
    <w:rsid w:val="00B130AE"/>
    <w:rsid w:val="00B14E63"/>
    <w:rsid w:val="00B17BF7"/>
    <w:rsid w:val="00B31FA0"/>
    <w:rsid w:val="00B34472"/>
    <w:rsid w:val="00B43CA0"/>
    <w:rsid w:val="00B5491A"/>
    <w:rsid w:val="00B624D6"/>
    <w:rsid w:val="00B63475"/>
    <w:rsid w:val="00B64BDD"/>
    <w:rsid w:val="00B65927"/>
    <w:rsid w:val="00B851BB"/>
    <w:rsid w:val="00BA381D"/>
    <w:rsid w:val="00BA5B5E"/>
    <w:rsid w:val="00BA682D"/>
    <w:rsid w:val="00BB04A0"/>
    <w:rsid w:val="00BB2D89"/>
    <w:rsid w:val="00BC09DD"/>
    <w:rsid w:val="00BC7428"/>
    <w:rsid w:val="00BC76D7"/>
    <w:rsid w:val="00BD00D7"/>
    <w:rsid w:val="00BD28DE"/>
    <w:rsid w:val="00BE1652"/>
    <w:rsid w:val="00BE2D2A"/>
    <w:rsid w:val="00BE3068"/>
    <w:rsid w:val="00BF5E2F"/>
    <w:rsid w:val="00C02F39"/>
    <w:rsid w:val="00C103F8"/>
    <w:rsid w:val="00C14FE1"/>
    <w:rsid w:val="00C16E45"/>
    <w:rsid w:val="00C32815"/>
    <w:rsid w:val="00C37198"/>
    <w:rsid w:val="00C4225A"/>
    <w:rsid w:val="00C42AB4"/>
    <w:rsid w:val="00C4416D"/>
    <w:rsid w:val="00C47034"/>
    <w:rsid w:val="00C50093"/>
    <w:rsid w:val="00C71B4A"/>
    <w:rsid w:val="00C74233"/>
    <w:rsid w:val="00C763F2"/>
    <w:rsid w:val="00C90BE1"/>
    <w:rsid w:val="00CC17DA"/>
    <w:rsid w:val="00CC1C18"/>
    <w:rsid w:val="00CD565D"/>
    <w:rsid w:val="00CD6305"/>
    <w:rsid w:val="00CD6486"/>
    <w:rsid w:val="00CE147B"/>
    <w:rsid w:val="00CE377A"/>
    <w:rsid w:val="00CF347B"/>
    <w:rsid w:val="00CF4D53"/>
    <w:rsid w:val="00D07D6C"/>
    <w:rsid w:val="00D1473A"/>
    <w:rsid w:val="00D15641"/>
    <w:rsid w:val="00D30F6F"/>
    <w:rsid w:val="00D331C0"/>
    <w:rsid w:val="00D37020"/>
    <w:rsid w:val="00D52E9F"/>
    <w:rsid w:val="00D57BF4"/>
    <w:rsid w:val="00D64862"/>
    <w:rsid w:val="00D71338"/>
    <w:rsid w:val="00D80A66"/>
    <w:rsid w:val="00DB5CF7"/>
    <w:rsid w:val="00DC16F6"/>
    <w:rsid w:val="00DC2457"/>
    <w:rsid w:val="00DC5EBB"/>
    <w:rsid w:val="00DF6455"/>
    <w:rsid w:val="00E01696"/>
    <w:rsid w:val="00E01D1B"/>
    <w:rsid w:val="00E169C5"/>
    <w:rsid w:val="00E20F5A"/>
    <w:rsid w:val="00E250B1"/>
    <w:rsid w:val="00E32B99"/>
    <w:rsid w:val="00E418BA"/>
    <w:rsid w:val="00E43202"/>
    <w:rsid w:val="00E4513A"/>
    <w:rsid w:val="00E47637"/>
    <w:rsid w:val="00E55BB5"/>
    <w:rsid w:val="00E57DC6"/>
    <w:rsid w:val="00E63328"/>
    <w:rsid w:val="00E659BE"/>
    <w:rsid w:val="00EA186B"/>
    <w:rsid w:val="00ED165B"/>
    <w:rsid w:val="00ED228A"/>
    <w:rsid w:val="00EE0CF0"/>
    <w:rsid w:val="00EF6AAD"/>
    <w:rsid w:val="00F027E2"/>
    <w:rsid w:val="00F101C6"/>
    <w:rsid w:val="00F164A8"/>
    <w:rsid w:val="00F16E0D"/>
    <w:rsid w:val="00F17928"/>
    <w:rsid w:val="00F2285B"/>
    <w:rsid w:val="00F3387E"/>
    <w:rsid w:val="00F4197D"/>
    <w:rsid w:val="00F45B39"/>
    <w:rsid w:val="00F51770"/>
    <w:rsid w:val="00F5241A"/>
    <w:rsid w:val="00F65AEF"/>
    <w:rsid w:val="00F6758E"/>
    <w:rsid w:val="00F77E6B"/>
    <w:rsid w:val="00FA1159"/>
    <w:rsid w:val="00FA420A"/>
    <w:rsid w:val="00FB0768"/>
    <w:rsid w:val="00FD7380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0FAF5"/>
  <w15:chartTrackingRefBased/>
  <w15:docId w15:val="{2C1E4441-DDDE-1C44-A19C-88712B0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A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20DE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56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C1C18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1C18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1C18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C1C18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052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6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6F"/>
  </w:style>
  <w:style w:type="paragraph" w:styleId="Footer">
    <w:name w:val="footer"/>
    <w:basedOn w:val="Normal"/>
    <w:link w:val="FooterChar"/>
    <w:uiPriority w:val="99"/>
    <w:unhideWhenUsed/>
    <w:rsid w:val="00187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6F"/>
  </w:style>
  <w:style w:type="character" w:styleId="PageNumber">
    <w:name w:val="page number"/>
    <w:basedOn w:val="DefaultParagraphFont"/>
    <w:uiPriority w:val="99"/>
    <w:semiHidden/>
    <w:unhideWhenUsed/>
    <w:rsid w:val="0018756F"/>
  </w:style>
  <w:style w:type="character" w:styleId="LineNumber">
    <w:name w:val="line number"/>
    <w:basedOn w:val="DefaultParagraphFont"/>
    <w:uiPriority w:val="99"/>
    <w:semiHidden/>
    <w:unhideWhenUsed/>
    <w:rsid w:val="000B3270"/>
  </w:style>
  <w:style w:type="paragraph" w:customStyle="1" w:styleId="TableNote">
    <w:name w:val="TableNote"/>
    <w:basedOn w:val="Normal"/>
    <w:rsid w:val="0081596B"/>
    <w:pPr>
      <w:spacing w:line="300" w:lineRule="exac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Buckley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FDF7F-1C30-344B-8A1D-D321BE2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Buckley</dc:creator>
  <cp:keywords/>
  <dc:description/>
  <cp:lastModifiedBy>Ben Buckley</cp:lastModifiedBy>
  <cp:revision>7</cp:revision>
  <dcterms:created xsi:type="dcterms:W3CDTF">2022-02-17T17:14:00Z</dcterms:created>
  <dcterms:modified xsi:type="dcterms:W3CDTF">2022-02-23T19:50:00Z</dcterms:modified>
</cp:coreProperties>
</file>