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77418" w14:textId="77777777" w:rsidR="00BF3D8E" w:rsidRDefault="00B11315">
      <w:pPr>
        <w:spacing w:line="360" w:lineRule="auto"/>
        <w:rPr>
          <w:rFonts w:ascii="Arial" w:eastAsia="Arial" w:hAnsi="Arial" w:cs="Arial"/>
          <w:b/>
          <w:sz w:val="22"/>
          <w:szCs w:val="22"/>
        </w:rPr>
      </w:pPr>
      <w:r>
        <w:rPr>
          <w:rFonts w:ascii="Arial" w:eastAsia="Arial" w:hAnsi="Arial" w:cs="Arial"/>
          <w:b/>
          <w:sz w:val="22"/>
          <w:szCs w:val="22"/>
        </w:rPr>
        <w:t xml:space="preserve">Host identity matters – up to a point: the community context of </w:t>
      </w:r>
      <w:r>
        <w:rPr>
          <w:rFonts w:ascii="Arial" w:eastAsia="Arial" w:hAnsi="Arial" w:cs="Arial"/>
          <w:b/>
          <w:i/>
          <w:sz w:val="22"/>
          <w:szCs w:val="22"/>
        </w:rPr>
        <w:t xml:space="preserve">Batrachochytrium dendrobatidis </w:t>
      </w:r>
      <w:r>
        <w:rPr>
          <w:rFonts w:ascii="Arial" w:eastAsia="Arial" w:hAnsi="Arial" w:cs="Arial"/>
          <w:b/>
          <w:sz w:val="22"/>
          <w:szCs w:val="22"/>
        </w:rPr>
        <w:t>transmission</w:t>
      </w:r>
    </w:p>
    <w:p w14:paraId="5D9D865F" w14:textId="77777777" w:rsidR="00BF3D8E" w:rsidRDefault="00BF3D8E">
      <w:pPr>
        <w:spacing w:line="360" w:lineRule="auto"/>
        <w:jc w:val="center"/>
        <w:rPr>
          <w:rFonts w:ascii="Arial" w:eastAsia="Arial" w:hAnsi="Arial" w:cs="Arial"/>
          <w:b/>
          <w:sz w:val="22"/>
          <w:szCs w:val="22"/>
        </w:rPr>
      </w:pPr>
    </w:p>
    <w:p w14:paraId="7F38D98D" w14:textId="4BB2AF5E" w:rsidR="00BF3D8E" w:rsidRDefault="00B11315">
      <w:pPr>
        <w:spacing w:line="360" w:lineRule="auto"/>
        <w:rPr>
          <w:rFonts w:ascii="Arial" w:eastAsia="Arial" w:hAnsi="Arial" w:cs="Arial"/>
          <w:sz w:val="22"/>
          <w:szCs w:val="22"/>
        </w:rPr>
      </w:pPr>
      <w:r>
        <w:rPr>
          <w:rFonts w:ascii="Arial" w:eastAsia="Arial" w:hAnsi="Arial" w:cs="Arial"/>
          <w:sz w:val="22"/>
          <w:szCs w:val="22"/>
        </w:rPr>
        <w:t>David R Daversa</w:t>
      </w:r>
      <w:r>
        <w:rPr>
          <w:rFonts w:ascii="Arial" w:eastAsia="Arial" w:hAnsi="Arial" w:cs="Arial"/>
          <w:sz w:val="22"/>
          <w:szCs w:val="22"/>
          <w:vertAlign w:val="superscript"/>
        </w:rPr>
        <w:t>1,2,3</w:t>
      </w:r>
      <w:r>
        <w:rPr>
          <w:rFonts w:ascii="Arial" w:eastAsia="Arial" w:hAnsi="Arial" w:cs="Arial"/>
          <w:sz w:val="22"/>
          <w:szCs w:val="22"/>
        </w:rPr>
        <w:t>, Jaime Bosch</w:t>
      </w:r>
      <w:proofErr w:type="gramStart"/>
      <w:r>
        <w:rPr>
          <w:rFonts w:ascii="Arial" w:eastAsia="Arial" w:hAnsi="Arial" w:cs="Arial"/>
          <w:sz w:val="22"/>
          <w:szCs w:val="22"/>
          <w:vertAlign w:val="superscript"/>
        </w:rPr>
        <w:t>4,5,</w:t>
      </w:r>
      <w:r>
        <w:rPr>
          <w:rFonts w:ascii="Arial" w:eastAsia="Arial" w:hAnsi="Arial" w:cs="Arial"/>
          <w:sz w:val="22"/>
          <w:szCs w:val="22"/>
        </w:rPr>
        <w:t>,</w:t>
      </w:r>
      <w:proofErr w:type="gramEnd"/>
      <w:r>
        <w:rPr>
          <w:rFonts w:ascii="Arial" w:eastAsia="Arial" w:hAnsi="Arial" w:cs="Arial"/>
          <w:sz w:val="22"/>
          <w:szCs w:val="22"/>
        </w:rPr>
        <w:t xml:space="preserve"> Andrea Manica</w:t>
      </w:r>
      <w:r w:rsidRPr="00710B79">
        <w:rPr>
          <w:rFonts w:ascii="Arial" w:eastAsia="Arial" w:hAnsi="Arial" w:cs="Arial"/>
          <w:sz w:val="22"/>
          <w:szCs w:val="22"/>
          <w:vertAlign w:val="superscript"/>
        </w:rPr>
        <w:t>6</w:t>
      </w:r>
      <w:r>
        <w:rPr>
          <w:rFonts w:ascii="Arial" w:eastAsia="Arial" w:hAnsi="Arial" w:cs="Arial"/>
          <w:sz w:val="22"/>
          <w:szCs w:val="22"/>
        </w:rPr>
        <w:t>, Trenton WJ Garner</w:t>
      </w:r>
      <w:r>
        <w:rPr>
          <w:rFonts w:ascii="Arial" w:eastAsia="Arial" w:hAnsi="Arial" w:cs="Arial"/>
          <w:sz w:val="22"/>
          <w:szCs w:val="22"/>
          <w:vertAlign w:val="superscript"/>
        </w:rPr>
        <w:t>2</w:t>
      </w:r>
      <w:r>
        <w:rPr>
          <w:rFonts w:ascii="Arial" w:eastAsia="Arial" w:hAnsi="Arial" w:cs="Arial"/>
          <w:sz w:val="22"/>
          <w:szCs w:val="22"/>
        </w:rPr>
        <w:t>, Andy Fenton</w:t>
      </w:r>
      <w:r>
        <w:rPr>
          <w:rFonts w:ascii="Arial" w:eastAsia="Arial" w:hAnsi="Arial" w:cs="Arial"/>
          <w:sz w:val="22"/>
          <w:szCs w:val="22"/>
          <w:vertAlign w:val="superscript"/>
        </w:rPr>
        <w:t xml:space="preserve">3 </w:t>
      </w:r>
    </w:p>
    <w:p w14:paraId="42FEFDC5" w14:textId="77777777" w:rsidR="00BF3D8E" w:rsidRDefault="00BF3D8E">
      <w:pPr>
        <w:spacing w:line="360" w:lineRule="auto"/>
        <w:rPr>
          <w:rFonts w:ascii="Arial" w:eastAsia="Arial" w:hAnsi="Arial" w:cs="Arial"/>
          <w:b/>
          <w:sz w:val="22"/>
          <w:szCs w:val="22"/>
        </w:rPr>
      </w:pPr>
    </w:p>
    <w:p w14:paraId="526DE0CE" w14:textId="10587033" w:rsidR="001C3658" w:rsidRPr="001C3658" w:rsidRDefault="008B492F" w:rsidP="001C3658">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 xml:space="preserve">La </w:t>
      </w:r>
      <w:proofErr w:type="spellStart"/>
      <w:r>
        <w:rPr>
          <w:rFonts w:ascii="Arial" w:eastAsia="Arial" w:hAnsi="Arial" w:cs="Arial"/>
          <w:sz w:val="22"/>
          <w:szCs w:val="22"/>
        </w:rPr>
        <w:t>Kretz</w:t>
      </w:r>
      <w:proofErr w:type="spellEnd"/>
      <w:r>
        <w:rPr>
          <w:rFonts w:ascii="Arial" w:eastAsia="Arial" w:hAnsi="Arial" w:cs="Arial"/>
          <w:sz w:val="22"/>
          <w:szCs w:val="22"/>
        </w:rPr>
        <w:t xml:space="preserve"> </w:t>
      </w:r>
      <w:proofErr w:type="spellStart"/>
      <w:r>
        <w:rPr>
          <w:rFonts w:ascii="Arial" w:eastAsia="Arial" w:hAnsi="Arial" w:cs="Arial"/>
          <w:sz w:val="22"/>
          <w:szCs w:val="22"/>
        </w:rPr>
        <w:t>Center</w:t>
      </w:r>
      <w:proofErr w:type="spellEnd"/>
      <w:r>
        <w:rPr>
          <w:rFonts w:ascii="Arial" w:eastAsia="Arial" w:hAnsi="Arial" w:cs="Arial"/>
          <w:sz w:val="22"/>
          <w:szCs w:val="22"/>
        </w:rPr>
        <w:t xml:space="preserve"> for California Conservation Science, </w:t>
      </w:r>
      <w:r w:rsidR="00B11315">
        <w:rPr>
          <w:rFonts w:ascii="Arial" w:eastAsia="Arial" w:hAnsi="Arial" w:cs="Arial"/>
          <w:sz w:val="22"/>
          <w:szCs w:val="22"/>
        </w:rPr>
        <w:t>Institute of the Environment and Sustainability, University of California, Los Angeles</w:t>
      </w:r>
    </w:p>
    <w:p w14:paraId="5F3CEA9C" w14:textId="77777777" w:rsidR="00BF3D8E" w:rsidRDefault="00B11315">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Institute of Zoology, Zoological Society of London, Regents Park, London, NW1 4RW, UK</w:t>
      </w:r>
    </w:p>
    <w:p w14:paraId="3F01517E" w14:textId="77777777" w:rsidR="00BF3D8E" w:rsidRDefault="00B11315">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Institute of Infection, Veterinary &amp; Ecological Sciences, Biosciences Building, University of Liverpool, Crown Street, Liverpool L69 7ZB, UK</w:t>
      </w:r>
    </w:p>
    <w:p w14:paraId="093A981E" w14:textId="27965BA0" w:rsidR="00BF3D8E" w:rsidRPr="004D3E38" w:rsidRDefault="00B11315" w:rsidP="004D3E38">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 xml:space="preserve">Biodiversity Research Institute (University of Oviedo-Principality of Asturias-CSIC), Gonzalo Gutiérrez </w:t>
      </w:r>
      <w:proofErr w:type="spellStart"/>
      <w:r>
        <w:rPr>
          <w:rFonts w:ascii="Arial" w:eastAsia="Arial" w:hAnsi="Arial" w:cs="Arial"/>
          <w:sz w:val="22"/>
          <w:szCs w:val="22"/>
        </w:rPr>
        <w:t>Quirós</w:t>
      </w:r>
      <w:proofErr w:type="spellEnd"/>
      <w:r>
        <w:rPr>
          <w:rFonts w:ascii="Arial" w:eastAsia="Arial" w:hAnsi="Arial" w:cs="Arial"/>
          <w:sz w:val="22"/>
          <w:szCs w:val="22"/>
        </w:rPr>
        <w:t xml:space="preserve"> s/n, </w:t>
      </w:r>
      <w:proofErr w:type="spellStart"/>
      <w:r>
        <w:rPr>
          <w:rFonts w:ascii="Arial" w:eastAsia="Arial" w:hAnsi="Arial" w:cs="Arial"/>
          <w:sz w:val="22"/>
          <w:szCs w:val="22"/>
        </w:rPr>
        <w:t>Edificio</w:t>
      </w:r>
      <w:proofErr w:type="spellEnd"/>
      <w:r>
        <w:rPr>
          <w:rFonts w:ascii="Arial" w:eastAsia="Arial" w:hAnsi="Arial" w:cs="Arial"/>
          <w:sz w:val="22"/>
          <w:szCs w:val="22"/>
        </w:rPr>
        <w:t xml:space="preserve"> de </w:t>
      </w:r>
      <w:proofErr w:type="spellStart"/>
      <w:r>
        <w:rPr>
          <w:rFonts w:ascii="Arial" w:eastAsia="Arial" w:hAnsi="Arial" w:cs="Arial"/>
          <w:sz w:val="22"/>
          <w:szCs w:val="22"/>
        </w:rPr>
        <w:t>Investigación</w:t>
      </w:r>
      <w:proofErr w:type="spellEnd"/>
      <w:r>
        <w:rPr>
          <w:rFonts w:ascii="Arial" w:eastAsia="Arial" w:hAnsi="Arial" w:cs="Arial"/>
          <w:sz w:val="22"/>
          <w:szCs w:val="22"/>
        </w:rPr>
        <w:t xml:space="preserve">, 33600 </w:t>
      </w:r>
      <w:proofErr w:type="spellStart"/>
      <w:r>
        <w:rPr>
          <w:rFonts w:ascii="Arial" w:eastAsia="Arial" w:hAnsi="Arial" w:cs="Arial"/>
          <w:sz w:val="22"/>
          <w:szCs w:val="22"/>
        </w:rPr>
        <w:t>Mieres</w:t>
      </w:r>
      <w:proofErr w:type="spellEnd"/>
      <w:r>
        <w:rPr>
          <w:rFonts w:ascii="Arial" w:eastAsia="Arial" w:hAnsi="Arial" w:cs="Arial"/>
          <w:sz w:val="22"/>
          <w:szCs w:val="22"/>
        </w:rPr>
        <w:t>, Spain</w:t>
      </w:r>
    </w:p>
    <w:p w14:paraId="27EA7AEF" w14:textId="77777777" w:rsidR="00BF3D8E" w:rsidRPr="004D3E38" w:rsidRDefault="00B11315">
      <w:pPr>
        <w:numPr>
          <w:ilvl w:val="0"/>
          <w:numId w:val="4"/>
        </w:numPr>
        <w:spacing w:line="360" w:lineRule="auto"/>
        <w:jc w:val="both"/>
        <w:rPr>
          <w:rFonts w:ascii="Arial" w:eastAsia="Arial" w:hAnsi="Arial" w:cs="Arial"/>
          <w:sz w:val="22"/>
          <w:szCs w:val="22"/>
          <w:lang w:val="es-ES"/>
        </w:rPr>
      </w:pPr>
      <w:r w:rsidRPr="004D3E38">
        <w:rPr>
          <w:rFonts w:ascii="Arial" w:eastAsia="Arial" w:hAnsi="Arial" w:cs="Arial"/>
          <w:sz w:val="22"/>
          <w:szCs w:val="22"/>
          <w:lang w:val="es-ES"/>
        </w:rPr>
        <w:t xml:space="preserve">Centro de Investigación, Seguimiento y Evaluación, Parque Nacional de la Sierra de Guadarrama, Cta. M-604, Km 27.6, 28740 </w:t>
      </w:r>
      <w:proofErr w:type="spellStart"/>
      <w:r w:rsidRPr="004D3E38">
        <w:rPr>
          <w:rFonts w:ascii="Arial" w:eastAsia="Arial" w:hAnsi="Arial" w:cs="Arial"/>
          <w:sz w:val="22"/>
          <w:szCs w:val="22"/>
          <w:lang w:val="es-ES"/>
        </w:rPr>
        <w:t>Rascafría</w:t>
      </w:r>
      <w:proofErr w:type="spellEnd"/>
      <w:r w:rsidRPr="004D3E38">
        <w:rPr>
          <w:rFonts w:ascii="Arial" w:eastAsia="Arial" w:hAnsi="Arial" w:cs="Arial"/>
          <w:sz w:val="22"/>
          <w:szCs w:val="22"/>
          <w:lang w:val="es-ES"/>
        </w:rPr>
        <w:t xml:space="preserve">, </w:t>
      </w:r>
      <w:proofErr w:type="spellStart"/>
      <w:r w:rsidRPr="004D3E38">
        <w:rPr>
          <w:rFonts w:ascii="Arial" w:eastAsia="Arial" w:hAnsi="Arial" w:cs="Arial"/>
          <w:sz w:val="22"/>
          <w:szCs w:val="22"/>
          <w:lang w:val="es-ES"/>
        </w:rPr>
        <w:t>Spain</w:t>
      </w:r>
      <w:proofErr w:type="spellEnd"/>
    </w:p>
    <w:p w14:paraId="697AF9F7" w14:textId="77777777" w:rsidR="00BF3D8E" w:rsidRDefault="00B11315">
      <w:pPr>
        <w:numPr>
          <w:ilvl w:val="0"/>
          <w:numId w:val="4"/>
        </w:numPr>
        <w:spacing w:line="360" w:lineRule="auto"/>
        <w:jc w:val="both"/>
        <w:rPr>
          <w:rFonts w:ascii="Arial" w:eastAsia="Arial" w:hAnsi="Arial" w:cs="Arial"/>
          <w:sz w:val="22"/>
          <w:szCs w:val="22"/>
        </w:rPr>
      </w:pPr>
      <w:r>
        <w:rPr>
          <w:rFonts w:ascii="Arial" w:eastAsia="Arial" w:hAnsi="Arial" w:cs="Arial"/>
          <w:sz w:val="22"/>
          <w:szCs w:val="22"/>
        </w:rPr>
        <w:t>Department of Zoology, University of Cambridge, Downing Street, Cambridge, CB2 3EJ, UK</w:t>
      </w:r>
    </w:p>
    <w:p w14:paraId="2DD45C16" w14:textId="77777777" w:rsidR="00BF3D8E" w:rsidRDefault="00BF3D8E">
      <w:pPr>
        <w:spacing w:line="360" w:lineRule="auto"/>
        <w:jc w:val="both"/>
        <w:rPr>
          <w:rFonts w:ascii="Arial" w:eastAsia="Arial" w:hAnsi="Arial" w:cs="Arial"/>
          <w:sz w:val="22"/>
          <w:szCs w:val="22"/>
        </w:rPr>
      </w:pPr>
    </w:p>
    <w:p w14:paraId="176E2F7E" w14:textId="77777777" w:rsidR="001C3658" w:rsidRDefault="001C3658">
      <w:pPr>
        <w:spacing w:line="360" w:lineRule="auto"/>
        <w:jc w:val="both"/>
        <w:rPr>
          <w:rFonts w:ascii="Arial" w:eastAsia="Arial" w:hAnsi="Arial" w:cs="Arial"/>
          <w:b/>
          <w:sz w:val="22"/>
          <w:szCs w:val="22"/>
        </w:rPr>
      </w:pPr>
    </w:p>
    <w:p w14:paraId="789DC5FC" w14:textId="35914F04" w:rsidR="001C3658" w:rsidRDefault="001C3658" w:rsidP="001C3658">
      <w:pPr>
        <w:spacing w:line="360" w:lineRule="auto"/>
        <w:jc w:val="both"/>
        <w:rPr>
          <w:rFonts w:ascii="Arial" w:eastAsia="Arial" w:hAnsi="Arial" w:cs="Arial"/>
          <w:b/>
          <w:sz w:val="22"/>
          <w:szCs w:val="22"/>
        </w:rPr>
      </w:pPr>
      <w:r>
        <w:rPr>
          <w:rFonts w:ascii="Arial" w:eastAsia="Arial" w:hAnsi="Arial" w:cs="Arial"/>
          <w:b/>
          <w:sz w:val="22"/>
          <w:szCs w:val="22"/>
        </w:rPr>
        <w:t xml:space="preserve">Corresponding author email:  </w:t>
      </w:r>
      <w:r w:rsidRPr="001C3658">
        <w:rPr>
          <w:rFonts w:ascii="Arial" w:eastAsia="Arial" w:hAnsi="Arial" w:cs="Arial"/>
          <w:bCs/>
          <w:sz w:val="22"/>
          <w:szCs w:val="22"/>
        </w:rPr>
        <w:t>ddaversa@gmail.com</w:t>
      </w:r>
    </w:p>
    <w:p w14:paraId="35A4DADA" w14:textId="77777777" w:rsidR="001C3658" w:rsidRDefault="001C3658">
      <w:pPr>
        <w:spacing w:line="360" w:lineRule="auto"/>
        <w:jc w:val="both"/>
        <w:rPr>
          <w:rFonts w:ascii="Arial" w:eastAsia="Arial" w:hAnsi="Arial" w:cs="Arial"/>
          <w:b/>
          <w:sz w:val="22"/>
          <w:szCs w:val="22"/>
        </w:rPr>
      </w:pPr>
    </w:p>
    <w:p w14:paraId="46DD8C49" w14:textId="2291277E" w:rsidR="00BF3D8E" w:rsidRDefault="00B11315">
      <w:pPr>
        <w:spacing w:line="360" w:lineRule="auto"/>
        <w:jc w:val="both"/>
        <w:rPr>
          <w:rFonts w:ascii="Arial" w:eastAsia="Arial" w:hAnsi="Arial" w:cs="Arial"/>
          <w:sz w:val="22"/>
          <w:szCs w:val="22"/>
        </w:rPr>
      </w:pPr>
      <w:r>
        <w:rPr>
          <w:rFonts w:ascii="Arial" w:eastAsia="Arial" w:hAnsi="Arial" w:cs="Arial"/>
          <w:b/>
          <w:sz w:val="22"/>
          <w:szCs w:val="22"/>
        </w:rPr>
        <w:t>Article type:</w:t>
      </w:r>
      <w:r>
        <w:rPr>
          <w:rFonts w:ascii="Arial" w:eastAsia="Arial" w:hAnsi="Arial" w:cs="Arial"/>
          <w:sz w:val="22"/>
          <w:szCs w:val="22"/>
        </w:rPr>
        <w:t xml:space="preserve"> major article</w:t>
      </w:r>
    </w:p>
    <w:p w14:paraId="3C5BB39F" w14:textId="106C9B04" w:rsidR="00BF3D8E" w:rsidRDefault="00BF3D8E">
      <w:pPr>
        <w:spacing w:line="360" w:lineRule="auto"/>
        <w:jc w:val="both"/>
        <w:rPr>
          <w:rFonts w:ascii="Arial" w:eastAsia="Arial" w:hAnsi="Arial" w:cs="Arial"/>
          <w:sz w:val="22"/>
          <w:szCs w:val="22"/>
        </w:rPr>
      </w:pPr>
    </w:p>
    <w:p w14:paraId="03BE4E3D" w14:textId="1643B5EA" w:rsidR="003D7E41" w:rsidRPr="003D7E41" w:rsidRDefault="001C3658" w:rsidP="003D7E41">
      <w:pPr>
        <w:rPr>
          <w:rFonts w:ascii="Arial" w:eastAsia="Arial" w:hAnsi="Arial" w:cs="Arial"/>
          <w:sz w:val="22"/>
          <w:szCs w:val="22"/>
          <w:lang w:val="it-IT"/>
        </w:rPr>
      </w:pPr>
      <w:proofErr w:type="spellStart"/>
      <w:proofErr w:type="gramStart"/>
      <w:r w:rsidRPr="003D7E41">
        <w:rPr>
          <w:rFonts w:ascii="Arial" w:eastAsia="Arial" w:hAnsi="Arial" w:cs="Arial"/>
          <w:b/>
          <w:bCs/>
          <w:sz w:val="22"/>
          <w:szCs w:val="22"/>
          <w:lang w:val="it-IT"/>
        </w:rPr>
        <w:t>ORCIDs</w:t>
      </w:r>
      <w:proofErr w:type="spellEnd"/>
      <w:r w:rsidRPr="003D7E41">
        <w:rPr>
          <w:rFonts w:ascii="Arial" w:eastAsia="Arial" w:hAnsi="Arial" w:cs="Arial"/>
          <w:sz w:val="22"/>
          <w:szCs w:val="22"/>
          <w:lang w:val="it-IT"/>
        </w:rPr>
        <w:t xml:space="preserve">:  </w:t>
      </w:r>
      <w:proofErr w:type="spellStart"/>
      <w:r w:rsidRPr="003D7E41">
        <w:rPr>
          <w:rFonts w:ascii="Arial" w:eastAsia="Arial" w:hAnsi="Arial" w:cs="Arial"/>
          <w:sz w:val="22"/>
          <w:szCs w:val="22"/>
          <w:lang w:val="it-IT"/>
        </w:rPr>
        <w:t>Daversa</w:t>
      </w:r>
      <w:proofErr w:type="spellEnd"/>
      <w:proofErr w:type="gramEnd"/>
      <w:r w:rsidRPr="003D7E41">
        <w:rPr>
          <w:rFonts w:ascii="Arial" w:eastAsia="Arial" w:hAnsi="Arial" w:cs="Arial"/>
          <w:sz w:val="22"/>
          <w:szCs w:val="22"/>
          <w:lang w:val="it-IT"/>
        </w:rPr>
        <w:t xml:space="preserve">, </w:t>
      </w:r>
      <w:r w:rsidR="008C5B69" w:rsidRPr="003D7E41">
        <w:rPr>
          <w:rFonts w:ascii="Arial" w:eastAsia="Times New Roman" w:hAnsi="Arial" w:cs="Arial"/>
          <w:sz w:val="22"/>
          <w:szCs w:val="22"/>
          <w:lang w:val="it-IT"/>
        </w:rPr>
        <w:t>https://orcid.org/</w:t>
      </w:r>
      <w:r w:rsidR="008C5B69" w:rsidRPr="003D7E41">
        <w:rPr>
          <w:rFonts w:ascii="Arial" w:eastAsia="Arial" w:hAnsi="Arial" w:cs="Arial"/>
          <w:sz w:val="22"/>
          <w:szCs w:val="22"/>
          <w:lang w:val="it-IT"/>
        </w:rPr>
        <w:t xml:space="preserve">0000-0002-8984-8897; Bosch, </w:t>
      </w:r>
      <w:r w:rsidR="003D7E41" w:rsidRPr="003D7E41">
        <w:rPr>
          <w:rFonts w:ascii="Arial" w:eastAsia="Arial" w:hAnsi="Arial" w:cs="Arial"/>
          <w:sz w:val="22"/>
          <w:szCs w:val="22"/>
          <w:lang w:val="it-IT"/>
        </w:rPr>
        <w:t>https://orcid.org/0000-0002-0099-7934; Manica, https://orcid.org/</w:t>
      </w:r>
      <w:r w:rsidR="003D7E41" w:rsidRPr="003D7E41">
        <w:rPr>
          <w:rFonts w:ascii="Arial" w:eastAsia="Arial" w:hAnsi="Arial" w:cs="Arial"/>
          <w:sz w:val="22"/>
          <w:szCs w:val="22"/>
          <w:lang w:val="it-IT"/>
        </w:rPr>
        <w:br/>
        <w:t xml:space="preserve">0000-0003-1895-450X; </w:t>
      </w:r>
      <w:proofErr w:type="spellStart"/>
      <w:r w:rsidR="003D7E41" w:rsidRPr="003D7E41">
        <w:rPr>
          <w:rFonts w:ascii="Arial" w:eastAsia="Arial" w:hAnsi="Arial" w:cs="Arial"/>
          <w:sz w:val="22"/>
          <w:szCs w:val="22"/>
          <w:lang w:val="it-IT"/>
        </w:rPr>
        <w:t>Garner</w:t>
      </w:r>
      <w:proofErr w:type="spellEnd"/>
      <w:r w:rsidR="003D7E41" w:rsidRPr="003D7E41">
        <w:rPr>
          <w:rFonts w:ascii="Arial" w:eastAsia="Arial" w:hAnsi="Arial" w:cs="Arial"/>
          <w:sz w:val="22"/>
          <w:szCs w:val="22"/>
          <w:lang w:val="it-IT"/>
        </w:rPr>
        <w:t>, https://orcid.org/0000-0002-0336-9706; Fenton, https://orcid.org/0000-0002-7676-917X</w:t>
      </w:r>
    </w:p>
    <w:p w14:paraId="1E3134AD" w14:textId="36CC25EB" w:rsidR="003D7E41" w:rsidRPr="003D7E41" w:rsidRDefault="003D7E41" w:rsidP="003D7E41">
      <w:pPr>
        <w:rPr>
          <w:rFonts w:ascii="Arial" w:eastAsia="Arial" w:hAnsi="Arial" w:cs="Arial"/>
          <w:sz w:val="22"/>
          <w:szCs w:val="22"/>
          <w:lang w:val="it-IT"/>
        </w:rPr>
      </w:pPr>
    </w:p>
    <w:p w14:paraId="3C1AB82C" w14:textId="60BE9DF2" w:rsidR="003D7E41" w:rsidRPr="003D7E41" w:rsidRDefault="003D7E41" w:rsidP="003D7E41">
      <w:pPr>
        <w:rPr>
          <w:rFonts w:ascii="Arial" w:eastAsia="Arial" w:hAnsi="Arial" w:cs="Arial"/>
          <w:sz w:val="22"/>
          <w:szCs w:val="22"/>
          <w:lang w:val="it-IT"/>
        </w:rPr>
      </w:pPr>
    </w:p>
    <w:p w14:paraId="5DE2459D" w14:textId="68184CAB" w:rsidR="008C5B69" w:rsidRPr="003D7E41" w:rsidRDefault="008C5B69" w:rsidP="008C5B69">
      <w:pPr>
        <w:rPr>
          <w:rFonts w:ascii="Arial" w:eastAsia="Arial" w:hAnsi="Arial" w:cs="Arial"/>
          <w:sz w:val="22"/>
          <w:szCs w:val="22"/>
          <w:lang w:val="it-IT"/>
        </w:rPr>
      </w:pPr>
    </w:p>
    <w:p w14:paraId="137C4E9A" w14:textId="4C958E1F" w:rsidR="001C3658" w:rsidRPr="003D7E41" w:rsidRDefault="001C3658" w:rsidP="001C3658">
      <w:pPr>
        <w:rPr>
          <w:rFonts w:ascii="Times New Roman" w:eastAsia="Times New Roman" w:hAnsi="Times New Roman" w:cs="Times New Roman"/>
          <w:lang w:val="it-IT"/>
        </w:rPr>
      </w:pPr>
    </w:p>
    <w:p w14:paraId="3183964F" w14:textId="22E02285" w:rsidR="001C3658" w:rsidRPr="003D7E41" w:rsidRDefault="001C3658">
      <w:pPr>
        <w:spacing w:line="360" w:lineRule="auto"/>
        <w:jc w:val="both"/>
        <w:rPr>
          <w:rFonts w:ascii="Arial" w:eastAsia="Arial" w:hAnsi="Arial" w:cs="Arial"/>
          <w:sz w:val="22"/>
          <w:szCs w:val="22"/>
          <w:lang w:val="it-IT"/>
        </w:rPr>
      </w:pPr>
    </w:p>
    <w:p w14:paraId="2506B234" w14:textId="77777777" w:rsidR="00BF3D8E" w:rsidRDefault="00B11315">
      <w:pPr>
        <w:spacing w:line="360" w:lineRule="auto"/>
        <w:jc w:val="both"/>
        <w:rPr>
          <w:rFonts w:ascii="Arial" w:eastAsia="Arial" w:hAnsi="Arial" w:cs="Arial"/>
          <w:sz w:val="22"/>
          <w:szCs w:val="22"/>
        </w:rPr>
      </w:pPr>
      <w:r>
        <w:rPr>
          <w:rFonts w:ascii="Arial" w:eastAsia="Arial" w:hAnsi="Arial" w:cs="Arial"/>
          <w:b/>
          <w:sz w:val="22"/>
          <w:szCs w:val="22"/>
        </w:rPr>
        <w:t>Key words:</w:t>
      </w:r>
      <w:r>
        <w:rPr>
          <w:rFonts w:ascii="Arial" w:eastAsia="Arial" w:hAnsi="Arial" w:cs="Arial"/>
          <w:sz w:val="22"/>
          <w:szCs w:val="22"/>
        </w:rPr>
        <w:t xml:space="preserve"> disease ecology, multi-host transmission, community ecology, chytridiomycosis, Invasion biology</w:t>
      </w:r>
    </w:p>
    <w:p w14:paraId="0CEF4DC2" w14:textId="77777777" w:rsidR="00BF3D8E" w:rsidRDefault="00BF3D8E">
      <w:pPr>
        <w:spacing w:line="360" w:lineRule="auto"/>
        <w:jc w:val="both"/>
        <w:rPr>
          <w:rFonts w:ascii="Arial" w:eastAsia="Arial" w:hAnsi="Arial" w:cs="Arial"/>
          <w:sz w:val="22"/>
          <w:szCs w:val="22"/>
        </w:rPr>
      </w:pPr>
    </w:p>
    <w:p w14:paraId="75CB0C1E" w14:textId="77777777" w:rsidR="00BF3D8E" w:rsidRDefault="00BF3D8E">
      <w:pPr>
        <w:spacing w:line="360" w:lineRule="auto"/>
        <w:jc w:val="both"/>
        <w:rPr>
          <w:rFonts w:ascii="Arial" w:eastAsia="Arial" w:hAnsi="Arial" w:cs="Arial"/>
          <w:sz w:val="22"/>
          <w:szCs w:val="22"/>
        </w:rPr>
      </w:pPr>
    </w:p>
    <w:p w14:paraId="65A4A636" w14:textId="3F9774D7" w:rsidR="00BF3D8E" w:rsidRDefault="00BF3D8E" w:rsidP="00875BF7">
      <w:pPr>
        <w:spacing w:line="480" w:lineRule="auto"/>
        <w:rPr>
          <w:rFonts w:ascii="Arial" w:eastAsia="Arial" w:hAnsi="Arial" w:cs="Arial"/>
          <w:sz w:val="22"/>
          <w:szCs w:val="22"/>
        </w:rPr>
      </w:pPr>
    </w:p>
    <w:p w14:paraId="78895063" w14:textId="77777777" w:rsidR="00BF3D8E" w:rsidRDefault="00B11315">
      <w:pPr>
        <w:spacing w:line="360" w:lineRule="auto"/>
        <w:rPr>
          <w:rFonts w:ascii="Arial" w:eastAsia="Arial" w:hAnsi="Arial" w:cs="Arial"/>
          <w:b/>
          <w:sz w:val="22"/>
          <w:szCs w:val="22"/>
        </w:rPr>
      </w:pPr>
      <w:r>
        <w:br w:type="page"/>
      </w:r>
    </w:p>
    <w:p w14:paraId="46DDDFF3" w14:textId="77777777" w:rsidR="00BF3D8E" w:rsidRDefault="00B11315" w:rsidP="005D447A">
      <w:pPr>
        <w:spacing w:line="480" w:lineRule="auto"/>
        <w:jc w:val="center"/>
        <w:rPr>
          <w:rFonts w:ascii="Arial" w:eastAsia="Arial" w:hAnsi="Arial" w:cs="Arial"/>
          <w:b/>
          <w:sz w:val="22"/>
          <w:szCs w:val="22"/>
        </w:rPr>
      </w:pPr>
      <w:r>
        <w:rPr>
          <w:rFonts w:ascii="Arial" w:eastAsia="Arial" w:hAnsi="Arial" w:cs="Arial"/>
          <w:b/>
          <w:sz w:val="22"/>
          <w:szCs w:val="22"/>
        </w:rPr>
        <w:lastRenderedPageBreak/>
        <w:t>Abstract</w:t>
      </w:r>
    </w:p>
    <w:p w14:paraId="1D9F66C5" w14:textId="30DDFC4C" w:rsidR="00A75502" w:rsidRPr="00A75502" w:rsidRDefault="0086605E">
      <w:pPr>
        <w:spacing w:line="480" w:lineRule="auto"/>
        <w:ind w:firstLine="720"/>
        <w:rPr>
          <w:rFonts w:ascii="Arial" w:eastAsia="Arial" w:hAnsi="Arial" w:cs="Arial"/>
          <w:sz w:val="22"/>
          <w:szCs w:val="22"/>
        </w:rPr>
      </w:pPr>
      <w:r>
        <w:rPr>
          <w:rFonts w:ascii="Arial" w:eastAsia="Arial" w:hAnsi="Arial" w:cs="Arial"/>
          <w:sz w:val="22"/>
          <w:szCs w:val="22"/>
        </w:rPr>
        <w:t xml:space="preserve">The level of detail on host communities </w:t>
      </w:r>
      <w:r w:rsidR="00F40174">
        <w:rPr>
          <w:rFonts w:ascii="Arial" w:eastAsia="Arial" w:hAnsi="Arial" w:cs="Arial"/>
          <w:sz w:val="22"/>
          <w:szCs w:val="22"/>
        </w:rPr>
        <w:t>needed</w:t>
      </w:r>
      <w:r>
        <w:rPr>
          <w:rFonts w:ascii="Arial" w:eastAsia="Arial" w:hAnsi="Arial" w:cs="Arial"/>
          <w:sz w:val="22"/>
          <w:szCs w:val="22"/>
        </w:rPr>
        <w:t xml:space="preserve"> to understand</w:t>
      </w:r>
      <w:r w:rsidR="007B0D74">
        <w:rPr>
          <w:rFonts w:ascii="Arial" w:eastAsia="Arial" w:hAnsi="Arial" w:cs="Arial"/>
          <w:sz w:val="22"/>
          <w:szCs w:val="22"/>
        </w:rPr>
        <w:t xml:space="preserve"> multi-host parasite</w:t>
      </w:r>
      <w:r>
        <w:rPr>
          <w:rFonts w:ascii="Arial" w:eastAsia="Arial" w:hAnsi="Arial" w:cs="Arial"/>
          <w:sz w:val="22"/>
          <w:szCs w:val="22"/>
        </w:rPr>
        <w:t xml:space="preserve"> invasions is </w:t>
      </w:r>
      <w:r w:rsidR="00C260D7">
        <w:rPr>
          <w:rFonts w:ascii="Arial" w:eastAsia="Arial" w:hAnsi="Arial" w:cs="Arial"/>
          <w:sz w:val="22"/>
          <w:szCs w:val="22"/>
        </w:rPr>
        <w:t>an unresolved issue</w:t>
      </w:r>
      <w:r>
        <w:rPr>
          <w:rFonts w:ascii="Arial" w:eastAsia="Arial" w:hAnsi="Arial" w:cs="Arial"/>
          <w:sz w:val="22"/>
          <w:szCs w:val="22"/>
        </w:rPr>
        <w:t xml:space="preserve"> in disease ecology. Coarse community metrics that ignore </w:t>
      </w:r>
      <w:r w:rsidR="00614161">
        <w:rPr>
          <w:rFonts w:ascii="Arial" w:eastAsia="Arial" w:hAnsi="Arial" w:cs="Arial"/>
          <w:sz w:val="22"/>
          <w:szCs w:val="22"/>
        </w:rPr>
        <w:t>functional differences</w:t>
      </w:r>
      <w:r w:rsidR="00037D89">
        <w:rPr>
          <w:rFonts w:ascii="Arial" w:eastAsia="Arial" w:hAnsi="Arial" w:cs="Arial"/>
          <w:sz w:val="22"/>
          <w:szCs w:val="22"/>
        </w:rPr>
        <w:t xml:space="preserve"> between</w:t>
      </w:r>
      <w:r>
        <w:rPr>
          <w:rFonts w:ascii="Arial" w:eastAsia="Arial" w:hAnsi="Arial" w:cs="Arial"/>
          <w:sz w:val="22"/>
          <w:szCs w:val="22"/>
        </w:rPr>
        <w:t xml:space="preserve"> hosts, like host species richness, can be good predictors of invasion outcomes. </w:t>
      </w:r>
      <w:r w:rsidRPr="00417BBC">
        <w:rPr>
          <w:rFonts w:ascii="Arial" w:eastAsia="Arial" w:hAnsi="Arial" w:cs="Arial"/>
          <w:sz w:val="22"/>
          <w:szCs w:val="22"/>
        </w:rPr>
        <w:t xml:space="preserve">Yet, </w:t>
      </w:r>
      <w:r w:rsidR="00037D89" w:rsidRPr="00417BBC">
        <w:rPr>
          <w:rFonts w:ascii="Arial" w:eastAsia="Arial" w:hAnsi="Arial" w:cs="Arial"/>
          <w:sz w:val="22"/>
          <w:szCs w:val="22"/>
        </w:rPr>
        <w:t xml:space="preserve">if </w:t>
      </w:r>
      <w:r w:rsidR="007B0D74" w:rsidRPr="00417BBC">
        <w:rPr>
          <w:rFonts w:ascii="Arial" w:eastAsia="Arial" w:hAnsi="Arial" w:cs="Arial"/>
          <w:sz w:val="22"/>
          <w:szCs w:val="22"/>
        </w:rPr>
        <w:t xml:space="preserve">host species </w:t>
      </w:r>
      <w:r w:rsidR="00037D89" w:rsidRPr="00417BBC">
        <w:rPr>
          <w:rFonts w:ascii="Arial" w:eastAsia="Arial" w:hAnsi="Arial" w:cs="Arial"/>
          <w:sz w:val="22"/>
          <w:szCs w:val="22"/>
        </w:rPr>
        <w:t xml:space="preserve">vary in the extent to which they </w:t>
      </w:r>
      <w:r w:rsidR="007B0D74" w:rsidRPr="00417BBC">
        <w:rPr>
          <w:rFonts w:ascii="Arial" w:eastAsia="Arial" w:hAnsi="Arial" w:cs="Arial"/>
          <w:sz w:val="22"/>
          <w:szCs w:val="22"/>
        </w:rPr>
        <w:t>maintain and transmit infections</w:t>
      </w:r>
      <w:r w:rsidR="00037D89" w:rsidRPr="00417BBC">
        <w:rPr>
          <w:rFonts w:ascii="Arial" w:eastAsia="Arial" w:hAnsi="Arial" w:cs="Arial"/>
          <w:sz w:val="22"/>
          <w:szCs w:val="22"/>
        </w:rPr>
        <w:t>, then explicit</w:t>
      </w:r>
      <w:r w:rsidR="0079333A" w:rsidRPr="00417BBC">
        <w:rPr>
          <w:rFonts w:ascii="Arial" w:eastAsia="Arial" w:hAnsi="Arial" w:cs="Arial"/>
          <w:sz w:val="22"/>
          <w:szCs w:val="22"/>
        </w:rPr>
        <w:t xml:space="preserve">ly accounting for those differences </w:t>
      </w:r>
      <w:r w:rsidR="007B0D74" w:rsidRPr="00417BBC">
        <w:rPr>
          <w:rFonts w:ascii="Arial" w:eastAsia="Arial" w:hAnsi="Arial" w:cs="Arial"/>
          <w:sz w:val="22"/>
          <w:szCs w:val="22"/>
        </w:rPr>
        <w:t xml:space="preserve">may </w:t>
      </w:r>
      <w:r w:rsidR="0079333A" w:rsidRPr="00417BBC">
        <w:rPr>
          <w:rFonts w:ascii="Arial" w:eastAsia="Arial" w:hAnsi="Arial" w:cs="Arial"/>
          <w:sz w:val="22"/>
          <w:szCs w:val="22"/>
        </w:rPr>
        <w:t>be important</w:t>
      </w:r>
      <w:r>
        <w:rPr>
          <w:rFonts w:ascii="Arial" w:eastAsia="Arial" w:hAnsi="Arial" w:cs="Arial"/>
          <w:sz w:val="22"/>
          <w:szCs w:val="22"/>
        </w:rPr>
        <w:t xml:space="preserve">. </w:t>
      </w:r>
      <w:r w:rsidR="00B11315">
        <w:rPr>
          <w:rFonts w:ascii="Arial" w:eastAsia="Arial" w:hAnsi="Arial" w:cs="Arial"/>
          <w:sz w:val="22"/>
          <w:szCs w:val="22"/>
        </w:rPr>
        <w:t xml:space="preserve">Through controlled mesocosm experiments and modelling, we show that </w:t>
      </w:r>
      <w:r w:rsidR="0079333A">
        <w:rPr>
          <w:rFonts w:ascii="Arial" w:eastAsia="Arial" w:hAnsi="Arial" w:cs="Arial"/>
          <w:sz w:val="22"/>
          <w:szCs w:val="22"/>
        </w:rPr>
        <w:t xml:space="preserve">interspecific </w:t>
      </w:r>
      <w:r w:rsidR="00B11315">
        <w:rPr>
          <w:rFonts w:ascii="Arial" w:eastAsia="Arial" w:hAnsi="Arial" w:cs="Arial"/>
          <w:sz w:val="22"/>
          <w:szCs w:val="22"/>
        </w:rPr>
        <w:t>differen</w:t>
      </w:r>
      <w:r w:rsidR="0079333A">
        <w:rPr>
          <w:rFonts w:ascii="Arial" w:eastAsia="Arial" w:hAnsi="Arial" w:cs="Arial"/>
          <w:sz w:val="22"/>
          <w:szCs w:val="22"/>
        </w:rPr>
        <w:t>ces between</w:t>
      </w:r>
      <w:r w:rsidR="00B11315">
        <w:rPr>
          <w:rFonts w:ascii="Arial" w:eastAsia="Arial" w:hAnsi="Arial" w:cs="Arial"/>
          <w:sz w:val="22"/>
          <w:szCs w:val="22"/>
        </w:rPr>
        <w:t xml:space="preserve"> host species </w:t>
      </w:r>
      <w:r w:rsidR="0079333A">
        <w:rPr>
          <w:rFonts w:ascii="Arial" w:eastAsia="Arial" w:hAnsi="Arial" w:cs="Arial"/>
          <w:sz w:val="22"/>
          <w:szCs w:val="22"/>
        </w:rPr>
        <w:t xml:space="preserve">are important for community-wide </w:t>
      </w:r>
      <w:r w:rsidR="00B11315">
        <w:rPr>
          <w:rFonts w:ascii="Arial" w:eastAsia="Arial" w:hAnsi="Arial" w:cs="Arial"/>
          <w:sz w:val="22"/>
          <w:szCs w:val="22"/>
        </w:rPr>
        <w:t xml:space="preserve">infection dynamics of the </w:t>
      </w:r>
      <w:r w:rsidR="007B0D74">
        <w:rPr>
          <w:rFonts w:ascii="Arial" w:eastAsia="Arial" w:hAnsi="Arial" w:cs="Arial"/>
          <w:sz w:val="22"/>
          <w:szCs w:val="22"/>
        </w:rPr>
        <w:t xml:space="preserve">multi-host </w:t>
      </w:r>
      <w:r w:rsidR="00B11315">
        <w:rPr>
          <w:rFonts w:ascii="Arial" w:eastAsia="Arial" w:hAnsi="Arial" w:cs="Arial"/>
          <w:sz w:val="22"/>
          <w:szCs w:val="22"/>
        </w:rPr>
        <w:t xml:space="preserve">fungal parasite of amphibians, </w:t>
      </w:r>
      <w:r w:rsidR="00B11315">
        <w:rPr>
          <w:rFonts w:ascii="Arial" w:eastAsia="Arial" w:hAnsi="Arial" w:cs="Arial"/>
          <w:i/>
          <w:sz w:val="22"/>
          <w:szCs w:val="22"/>
        </w:rPr>
        <w:t>Batrachochytrium dendrobatidis (Bd)</w:t>
      </w:r>
      <w:r w:rsidR="00B11315">
        <w:rPr>
          <w:rFonts w:ascii="Arial" w:eastAsia="Arial" w:hAnsi="Arial" w:cs="Arial"/>
          <w:sz w:val="22"/>
          <w:szCs w:val="22"/>
        </w:rPr>
        <w:t>, but only up to a point. The most abundant host species in our system, fire salamander larvae (</w:t>
      </w:r>
      <w:r w:rsidR="00B11315">
        <w:rPr>
          <w:rFonts w:ascii="Arial" w:eastAsia="Arial" w:hAnsi="Arial" w:cs="Arial"/>
          <w:i/>
          <w:sz w:val="22"/>
          <w:szCs w:val="22"/>
        </w:rPr>
        <w:t xml:space="preserve">Salamandra </w:t>
      </w:r>
      <w:proofErr w:type="spellStart"/>
      <w:r w:rsidR="00B11315">
        <w:rPr>
          <w:rFonts w:ascii="Arial" w:eastAsia="Arial" w:hAnsi="Arial" w:cs="Arial"/>
          <w:i/>
          <w:sz w:val="22"/>
          <w:szCs w:val="22"/>
        </w:rPr>
        <w:t>salamandra</w:t>
      </w:r>
      <w:proofErr w:type="spellEnd"/>
      <w:r w:rsidR="00B11315">
        <w:rPr>
          <w:rFonts w:ascii="Arial" w:eastAsia="Arial" w:hAnsi="Arial" w:cs="Arial"/>
          <w:sz w:val="22"/>
          <w:szCs w:val="22"/>
        </w:rPr>
        <w:t xml:space="preserve">), </w:t>
      </w:r>
      <w:r w:rsidR="006E33FA">
        <w:rPr>
          <w:rFonts w:ascii="Arial" w:eastAsia="Arial" w:hAnsi="Arial" w:cs="Arial"/>
          <w:sz w:val="22"/>
          <w:szCs w:val="22"/>
        </w:rPr>
        <w:t>did not</w:t>
      </w:r>
      <w:r w:rsidR="00B11315">
        <w:rPr>
          <w:rFonts w:ascii="Arial" w:eastAsia="Arial" w:hAnsi="Arial" w:cs="Arial"/>
          <w:sz w:val="22"/>
          <w:szCs w:val="22"/>
        </w:rPr>
        <w:t xml:space="preserve"> maintai</w:t>
      </w:r>
      <w:r w:rsidR="006E33FA">
        <w:rPr>
          <w:rFonts w:ascii="Arial" w:eastAsia="Arial" w:hAnsi="Arial" w:cs="Arial"/>
          <w:sz w:val="22"/>
          <w:szCs w:val="22"/>
        </w:rPr>
        <w:t>n</w:t>
      </w:r>
      <w:r w:rsidR="00B11315">
        <w:rPr>
          <w:rFonts w:ascii="Arial" w:eastAsia="Arial" w:hAnsi="Arial" w:cs="Arial"/>
          <w:sz w:val="22"/>
          <w:szCs w:val="22"/>
        </w:rPr>
        <w:t xml:space="preserve"> </w:t>
      </w:r>
      <w:r w:rsidR="006E33FA">
        <w:rPr>
          <w:rFonts w:ascii="Arial" w:eastAsia="Arial" w:hAnsi="Arial" w:cs="Arial"/>
          <w:sz w:val="22"/>
          <w:szCs w:val="22"/>
        </w:rPr>
        <w:t>or</w:t>
      </w:r>
      <w:r w:rsidR="00B11315">
        <w:rPr>
          <w:rFonts w:ascii="Arial" w:eastAsia="Arial" w:hAnsi="Arial" w:cs="Arial"/>
          <w:sz w:val="22"/>
          <w:szCs w:val="22"/>
        </w:rPr>
        <w:t xml:space="preserve"> transmit</w:t>
      </w:r>
      <w:r w:rsidR="006E33FA">
        <w:rPr>
          <w:rFonts w:ascii="Arial" w:eastAsia="Arial" w:hAnsi="Arial" w:cs="Arial"/>
          <w:sz w:val="22"/>
          <w:szCs w:val="22"/>
        </w:rPr>
        <w:t xml:space="preserve"> i</w:t>
      </w:r>
      <w:r w:rsidR="00B11315">
        <w:rPr>
          <w:rFonts w:ascii="Arial" w:eastAsia="Arial" w:hAnsi="Arial" w:cs="Arial"/>
          <w:sz w:val="22"/>
          <w:szCs w:val="22"/>
        </w:rPr>
        <w:t>nfections. Rather, two less abundant ‘auxiliary’ host species, Iberian tree frog (</w:t>
      </w:r>
      <w:proofErr w:type="spellStart"/>
      <w:r w:rsidR="00B11315">
        <w:rPr>
          <w:rFonts w:ascii="Arial" w:eastAsia="Arial" w:hAnsi="Arial" w:cs="Arial"/>
          <w:i/>
          <w:sz w:val="22"/>
          <w:szCs w:val="22"/>
        </w:rPr>
        <w:t>Hyla</w:t>
      </w:r>
      <w:proofErr w:type="spellEnd"/>
      <w:r w:rsidR="00B11315">
        <w:rPr>
          <w:rFonts w:ascii="Arial" w:eastAsia="Arial" w:hAnsi="Arial" w:cs="Arial"/>
          <w:i/>
          <w:sz w:val="22"/>
          <w:szCs w:val="22"/>
        </w:rPr>
        <w:t xml:space="preserve"> </w:t>
      </w:r>
      <w:proofErr w:type="spellStart"/>
      <w:r w:rsidR="00B11315">
        <w:rPr>
          <w:rFonts w:ascii="Arial" w:eastAsia="Arial" w:hAnsi="Arial" w:cs="Arial"/>
          <w:i/>
          <w:sz w:val="22"/>
          <w:szCs w:val="22"/>
        </w:rPr>
        <w:t>molleri</w:t>
      </w:r>
      <w:proofErr w:type="spellEnd"/>
      <w:r w:rsidR="00B11315">
        <w:rPr>
          <w:rFonts w:ascii="Arial" w:eastAsia="Arial" w:hAnsi="Arial" w:cs="Arial"/>
          <w:sz w:val="22"/>
          <w:szCs w:val="22"/>
        </w:rPr>
        <w:t>) and spiny toad (</w:t>
      </w:r>
      <w:r w:rsidR="00B11315">
        <w:rPr>
          <w:rFonts w:ascii="Arial" w:eastAsia="Arial" w:hAnsi="Arial" w:cs="Arial"/>
          <w:i/>
          <w:sz w:val="22"/>
          <w:szCs w:val="22"/>
        </w:rPr>
        <w:t xml:space="preserve">Bufo </w:t>
      </w:r>
      <w:proofErr w:type="spellStart"/>
      <w:r w:rsidR="00B11315">
        <w:rPr>
          <w:rFonts w:ascii="Arial" w:eastAsia="Arial" w:hAnsi="Arial" w:cs="Arial"/>
          <w:i/>
          <w:sz w:val="22"/>
          <w:szCs w:val="22"/>
        </w:rPr>
        <w:t>spinosus</w:t>
      </w:r>
      <w:proofErr w:type="spellEnd"/>
      <w:r w:rsidR="00B11315">
        <w:rPr>
          <w:rFonts w:ascii="Arial" w:eastAsia="Arial" w:hAnsi="Arial" w:cs="Arial"/>
          <w:sz w:val="22"/>
          <w:szCs w:val="22"/>
        </w:rPr>
        <w:t>)</w:t>
      </w:r>
      <w:r w:rsidR="00B11315">
        <w:rPr>
          <w:rFonts w:ascii="Arial" w:eastAsia="Arial" w:hAnsi="Arial" w:cs="Arial"/>
          <w:i/>
          <w:sz w:val="22"/>
          <w:szCs w:val="22"/>
        </w:rPr>
        <w:t xml:space="preserve"> </w:t>
      </w:r>
      <w:r w:rsidR="00B11315">
        <w:rPr>
          <w:rFonts w:ascii="Arial" w:eastAsia="Arial" w:hAnsi="Arial" w:cs="Arial"/>
          <w:sz w:val="22"/>
          <w:szCs w:val="22"/>
        </w:rPr>
        <w:t xml:space="preserve">larvae, </w:t>
      </w:r>
      <w:r w:rsidR="006E33FA">
        <w:rPr>
          <w:rFonts w:ascii="Arial" w:eastAsia="Arial" w:hAnsi="Arial" w:cs="Arial"/>
          <w:sz w:val="22"/>
          <w:szCs w:val="22"/>
        </w:rPr>
        <w:t>maintained and transmitted</w:t>
      </w:r>
      <w:r w:rsidR="00B11315">
        <w:rPr>
          <w:rFonts w:ascii="Arial" w:eastAsia="Arial" w:hAnsi="Arial" w:cs="Arial"/>
          <w:sz w:val="22"/>
          <w:szCs w:val="22"/>
        </w:rPr>
        <w:t xml:space="preserve"> </w:t>
      </w:r>
      <w:r w:rsidR="00B11315">
        <w:rPr>
          <w:rFonts w:ascii="Arial" w:eastAsia="Arial" w:hAnsi="Arial" w:cs="Arial"/>
          <w:i/>
          <w:sz w:val="22"/>
          <w:szCs w:val="22"/>
        </w:rPr>
        <w:t>Bd</w:t>
      </w:r>
      <w:r w:rsidR="00B11315">
        <w:rPr>
          <w:rFonts w:ascii="Arial" w:eastAsia="Arial" w:hAnsi="Arial" w:cs="Arial"/>
          <w:sz w:val="22"/>
          <w:szCs w:val="22"/>
        </w:rPr>
        <w:t>.</w:t>
      </w:r>
      <w:r w:rsidR="007B0D74">
        <w:rPr>
          <w:rFonts w:ascii="Arial" w:eastAsia="Arial" w:hAnsi="Arial" w:cs="Arial"/>
          <w:sz w:val="22"/>
          <w:szCs w:val="22"/>
        </w:rPr>
        <w:t xml:space="preserve"> </w:t>
      </w:r>
      <w:r w:rsidR="006E33FA">
        <w:rPr>
          <w:rFonts w:ascii="Arial" w:eastAsia="Arial" w:hAnsi="Arial" w:cs="Arial"/>
          <w:sz w:val="22"/>
          <w:szCs w:val="22"/>
        </w:rPr>
        <w:t>F</w:t>
      </w:r>
      <w:r w:rsidR="007B0D74">
        <w:rPr>
          <w:rFonts w:ascii="Arial" w:eastAsia="Arial" w:hAnsi="Arial" w:cs="Arial"/>
          <w:sz w:val="22"/>
          <w:szCs w:val="22"/>
        </w:rPr>
        <w:t xml:space="preserve">rogs had the highest mean rates of </w:t>
      </w:r>
      <w:r w:rsidR="007B0D74" w:rsidRPr="00751A2C">
        <w:rPr>
          <w:rFonts w:ascii="Arial" w:eastAsia="Arial" w:hAnsi="Arial" w:cs="Arial"/>
          <w:i/>
          <w:iCs/>
          <w:sz w:val="22"/>
          <w:szCs w:val="22"/>
        </w:rPr>
        <w:t>Bd</w:t>
      </w:r>
      <w:r w:rsidR="007B0D74">
        <w:rPr>
          <w:rFonts w:ascii="Arial" w:eastAsia="Arial" w:hAnsi="Arial" w:cs="Arial"/>
          <w:sz w:val="22"/>
          <w:szCs w:val="22"/>
        </w:rPr>
        <w:t xml:space="preserve"> shedding, giving them the highest contributions to R</w:t>
      </w:r>
      <w:r w:rsidR="007B0D74" w:rsidRPr="00751A2C">
        <w:rPr>
          <w:rFonts w:ascii="Arial" w:eastAsia="Arial" w:hAnsi="Arial" w:cs="Arial"/>
          <w:sz w:val="22"/>
          <w:szCs w:val="22"/>
          <w:vertAlign w:val="subscript"/>
        </w:rPr>
        <w:t>0</w:t>
      </w:r>
      <w:r w:rsidR="007B0D74">
        <w:rPr>
          <w:rFonts w:ascii="Arial" w:eastAsia="Arial" w:hAnsi="Arial" w:cs="Arial"/>
          <w:sz w:val="22"/>
          <w:szCs w:val="22"/>
        </w:rPr>
        <w:t>. Toad contributions to R</w:t>
      </w:r>
      <w:r w:rsidR="007B0D74" w:rsidRPr="00751A2C">
        <w:rPr>
          <w:rFonts w:ascii="Arial" w:eastAsia="Arial" w:hAnsi="Arial" w:cs="Arial"/>
          <w:sz w:val="22"/>
          <w:szCs w:val="22"/>
          <w:vertAlign w:val="subscript"/>
        </w:rPr>
        <w:t>0</w:t>
      </w:r>
      <w:r w:rsidR="007B0D74">
        <w:rPr>
          <w:rFonts w:ascii="Arial" w:eastAsia="Arial" w:hAnsi="Arial" w:cs="Arial"/>
          <w:sz w:val="22"/>
          <w:szCs w:val="22"/>
        </w:rPr>
        <w:t xml:space="preserve"> were substantial however, and when examining community-level patterns of infection and transmission, the effects of frog</w:t>
      </w:r>
      <w:r w:rsidR="00124793">
        <w:rPr>
          <w:rFonts w:ascii="Arial" w:eastAsia="Arial" w:hAnsi="Arial" w:cs="Arial"/>
          <w:sz w:val="22"/>
          <w:szCs w:val="22"/>
        </w:rPr>
        <w:t>s</w:t>
      </w:r>
      <w:r w:rsidR="007B0D74">
        <w:rPr>
          <w:rFonts w:ascii="Arial" w:eastAsia="Arial" w:hAnsi="Arial" w:cs="Arial"/>
          <w:sz w:val="22"/>
          <w:szCs w:val="22"/>
        </w:rPr>
        <w:t xml:space="preserve"> and toad</w:t>
      </w:r>
      <w:r w:rsidR="00124793">
        <w:rPr>
          <w:rFonts w:ascii="Arial" w:eastAsia="Arial" w:hAnsi="Arial" w:cs="Arial"/>
          <w:sz w:val="22"/>
          <w:szCs w:val="22"/>
        </w:rPr>
        <w:t xml:space="preserve">s </w:t>
      </w:r>
      <w:r w:rsidR="007B0D74">
        <w:rPr>
          <w:rFonts w:ascii="Arial" w:eastAsia="Arial" w:hAnsi="Arial" w:cs="Arial"/>
          <w:sz w:val="22"/>
          <w:szCs w:val="22"/>
        </w:rPr>
        <w:t>were similar</w:t>
      </w:r>
      <w:r w:rsidR="00B11315">
        <w:rPr>
          <w:rFonts w:ascii="Arial" w:eastAsia="Arial" w:hAnsi="Arial" w:cs="Arial"/>
          <w:sz w:val="22"/>
          <w:szCs w:val="22"/>
        </w:rPr>
        <w:t>.</w:t>
      </w:r>
      <w:r w:rsidR="00751A2C">
        <w:rPr>
          <w:rFonts w:ascii="Arial" w:eastAsia="Arial" w:hAnsi="Arial" w:cs="Arial"/>
          <w:sz w:val="22"/>
          <w:szCs w:val="22"/>
        </w:rPr>
        <w:t xml:space="preserve"> </w:t>
      </w:r>
      <w:r w:rsidR="007B0D74">
        <w:rPr>
          <w:rFonts w:ascii="Arial" w:eastAsia="Arial" w:hAnsi="Arial" w:cs="Arial"/>
          <w:sz w:val="22"/>
          <w:szCs w:val="22"/>
        </w:rPr>
        <w:t xml:space="preserve">Specifying more than </w:t>
      </w:r>
      <w:r w:rsidR="00576B78">
        <w:rPr>
          <w:rFonts w:ascii="Arial" w:eastAsia="Arial" w:hAnsi="Arial" w:cs="Arial"/>
          <w:sz w:val="22"/>
          <w:szCs w:val="22"/>
        </w:rPr>
        <w:t xml:space="preserve">just </w:t>
      </w:r>
      <w:r w:rsidR="007B0D74">
        <w:rPr>
          <w:rFonts w:ascii="Arial" w:eastAsia="Arial" w:hAnsi="Arial" w:cs="Arial"/>
          <w:sz w:val="22"/>
          <w:szCs w:val="22"/>
        </w:rPr>
        <w:t xml:space="preserve">host species richness to distinguish </w:t>
      </w:r>
      <w:r w:rsidR="00B11315">
        <w:rPr>
          <w:rFonts w:ascii="Arial" w:eastAsia="Arial" w:hAnsi="Arial" w:cs="Arial"/>
          <w:sz w:val="22"/>
          <w:szCs w:val="22"/>
        </w:rPr>
        <w:t xml:space="preserve">salamanders from auxiliary host species was critical for predicting community-level </w:t>
      </w:r>
      <w:r w:rsidR="006E33FA" w:rsidRPr="006E33FA">
        <w:rPr>
          <w:rFonts w:ascii="Arial" w:eastAsia="Arial" w:hAnsi="Arial" w:cs="Arial"/>
          <w:i/>
          <w:iCs/>
          <w:sz w:val="22"/>
          <w:szCs w:val="22"/>
        </w:rPr>
        <w:t>Bd</w:t>
      </w:r>
      <w:r w:rsidR="006E33FA">
        <w:rPr>
          <w:rFonts w:ascii="Arial" w:eastAsia="Arial" w:hAnsi="Arial" w:cs="Arial"/>
          <w:sz w:val="22"/>
          <w:szCs w:val="22"/>
        </w:rPr>
        <w:t xml:space="preserve"> </w:t>
      </w:r>
      <w:r w:rsidR="00B11315">
        <w:rPr>
          <w:rFonts w:ascii="Arial" w:eastAsia="Arial" w:hAnsi="Arial" w:cs="Arial"/>
          <w:sz w:val="22"/>
          <w:szCs w:val="22"/>
        </w:rPr>
        <w:t xml:space="preserve">prevalence and </w:t>
      </w:r>
      <w:r w:rsidR="006E33FA">
        <w:rPr>
          <w:rFonts w:ascii="Arial" w:eastAsia="Arial" w:hAnsi="Arial" w:cs="Arial"/>
          <w:sz w:val="22"/>
          <w:szCs w:val="22"/>
        </w:rPr>
        <w:t>transmission</w:t>
      </w:r>
      <w:r w:rsidR="007B0D74">
        <w:rPr>
          <w:rFonts w:ascii="Arial" w:eastAsia="Arial" w:hAnsi="Arial" w:cs="Arial"/>
          <w:sz w:val="22"/>
          <w:szCs w:val="22"/>
        </w:rPr>
        <w:t>.</w:t>
      </w:r>
      <w:r w:rsidR="00B11315">
        <w:rPr>
          <w:rFonts w:ascii="Arial" w:eastAsia="Arial" w:hAnsi="Arial" w:cs="Arial"/>
          <w:sz w:val="22"/>
          <w:szCs w:val="22"/>
        </w:rPr>
        <w:t xml:space="preserve"> </w:t>
      </w:r>
      <w:r w:rsidR="007B0D74">
        <w:rPr>
          <w:rFonts w:ascii="Arial" w:eastAsia="Arial" w:hAnsi="Arial" w:cs="Arial"/>
          <w:sz w:val="22"/>
          <w:szCs w:val="22"/>
        </w:rPr>
        <w:t>D</w:t>
      </w:r>
      <w:r w:rsidR="00B11315">
        <w:rPr>
          <w:rFonts w:ascii="Arial" w:eastAsia="Arial" w:hAnsi="Arial" w:cs="Arial"/>
          <w:sz w:val="22"/>
          <w:szCs w:val="22"/>
        </w:rPr>
        <w:t xml:space="preserve">istinguishing </w:t>
      </w:r>
      <w:r w:rsidR="00390778">
        <w:rPr>
          <w:rFonts w:ascii="Arial" w:eastAsia="Arial" w:hAnsi="Arial" w:cs="Arial"/>
          <w:sz w:val="22"/>
          <w:szCs w:val="22"/>
        </w:rPr>
        <w:t>frogs from toads</w:t>
      </w:r>
      <w:r w:rsidR="00961E50">
        <w:rPr>
          <w:rFonts w:ascii="Arial" w:eastAsia="Arial" w:hAnsi="Arial" w:cs="Arial"/>
          <w:sz w:val="22"/>
          <w:szCs w:val="22"/>
        </w:rPr>
        <w:t>, however,</w:t>
      </w:r>
      <w:r w:rsidR="00B11315">
        <w:rPr>
          <w:rFonts w:ascii="Arial" w:eastAsia="Arial" w:hAnsi="Arial" w:cs="Arial"/>
          <w:sz w:val="22"/>
          <w:szCs w:val="22"/>
        </w:rPr>
        <w:t xml:space="preserve"> did not improve predictions. </w:t>
      </w:r>
      <w:r w:rsidR="00FB4D63" w:rsidRPr="00A75502">
        <w:rPr>
          <w:rFonts w:ascii="Arial" w:eastAsia="Arial" w:hAnsi="Arial" w:cs="Arial"/>
          <w:sz w:val="22"/>
          <w:szCs w:val="22"/>
        </w:rPr>
        <w:t>Th</w:t>
      </w:r>
      <w:r w:rsidR="00FB4D63">
        <w:rPr>
          <w:rFonts w:ascii="Arial" w:eastAsia="Arial" w:hAnsi="Arial" w:cs="Arial"/>
          <w:sz w:val="22"/>
          <w:szCs w:val="22"/>
        </w:rPr>
        <w:t>ese</w:t>
      </w:r>
      <w:r w:rsidR="00FB4D63" w:rsidRPr="00A75502">
        <w:rPr>
          <w:rFonts w:ascii="Arial" w:eastAsia="Arial" w:hAnsi="Arial" w:cs="Arial"/>
          <w:sz w:val="22"/>
          <w:szCs w:val="22"/>
        </w:rPr>
        <w:t xml:space="preserve"> </w:t>
      </w:r>
      <w:r w:rsidR="00FB4D63">
        <w:rPr>
          <w:rFonts w:ascii="Arial" w:eastAsia="Arial" w:hAnsi="Arial" w:cs="Arial"/>
          <w:sz w:val="22"/>
          <w:szCs w:val="22"/>
        </w:rPr>
        <w:t>findings</w:t>
      </w:r>
      <w:r w:rsidR="00FB4D63" w:rsidRPr="00A75502">
        <w:rPr>
          <w:rFonts w:ascii="Arial" w:eastAsia="Arial" w:hAnsi="Arial" w:cs="Arial"/>
          <w:sz w:val="22"/>
          <w:szCs w:val="22"/>
        </w:rPr>
        <w:t xml:space="preserve"> demonstrate </w:t>
      </w:r>
      <w:r w:rsidR="006E33FA">
        <w:rPr>
          <w:rFonts w:ascii="Arial" w:eastAsia="Arial" w:hAnsi="Arial" w:cs="Arial"/>
          <w:sz w:val="22"/>
          <w:szCs w:val="22"/>
        </w:rPr>
        <w:t>limitations</w:t>
      </w:r>
      <w:r w:rsidR="00FB4D63">
        <w:rPr>
          <w:rFonts w:ascii="Arial" w:eastAsia="Arial" w:hAnsi="Arial" w:cs="Arial"/>
          <w:sz w:val="22"/>
          <w:szCs w:val="22"/>
        </w:rPr>
        <w:t xml:space="preserve"> to the importance of host species identities in multi-host infection dynamics. Host species that exhibit different functional traits, like susceptibility and infectiousness, may play similar epidemiological roles in the broader community. </w:t>
      </w:r>
    </w:p>
    <w:p w14:paraId="3C07519C" w14:textId="77777777" w:rsidR="00BF3D8E" w:rsidRDefault="00BF3D8E">
      <w:pPr>
        <w:spacing w:line="480" w:lineRule="auto"/>
        <w:rPr>
          <w:rFonts w:ascii="Arial" w:eastAsia="Arial" w:hAnsi="Arial" w:cs="Arial"/>
          <w:b/>
          <w:sz w:val="22"/>
          <w:szCs w:val="22"/>
        </w:rPr>
      </w:pPr>
    </w:p>
    <w:p w14:paraId="675F72B0" w14:textId="77777777" w:rsidR="00DE47C5" w:rsidRDefault="00DE47C5">
      <w:pPr>
        <w:spacing w:line="480" w:lineRule="auto"/>
        <w:rPr>
          <w:rFonts w:ascii="Arial" w:eastAsia="Arial" w:hAnsi="Arial" w:cs="Arial"/>
          <w:b/>
          <w:sz w:val="22"/>
          <w:szCs w:val="22"/>
        </w:rPr>
      </w:pPr>
    </w:p>
    <w:p w14:paraId="175FCCF3" w14:textId="77777777" w:rsidR="00DE47C5" w:rsidRDefault="00DE47C5">
      <w:pPr>
        <w:spacing w:line="480" w:lineRule="auto"/>
        <w:rPr>
          <w:rFonts w:ascii="Arial" w:eastAsia="Arial" w:hAnsi="Arial" w:cs="Arial"/>
          <w:b/>
          <w:sz w:val="22"/>
          <w:szCs w:val="22"/>
        </w:rPr>
      </w:pPr>
    </w:p>
    <w:p w14:paraId="0BA60ECD" w14:textId="77777777" w:rsidR="00B15CA8" w:rsidRDefault="00B15CA8">
      <w:pPr>
        <w:spacing w:line="480" w:lineRule="auto"/>
        <w:rPr>
          <w:rFonts w:ascii="Arial" w:eastAsia="Arial" w:hAnsi="Arial" w:cs="Arial"/>
          <w:b/>
          <w:sz w:val="22"/>
          <w:szCs w:val="22"/>
        </w:rPr>
      </w:pPr>
    </w:p>
    <w:p w14:paraId="747676CC" w14:textId="77777777" w:rsidR="00B15CA8" w:rsidRDefault="00B15CA8">
      <w:pPr>
        <w:spacing w:line="480" w:lineRule="auto"/>
        <w:rPr>
          <w:rFonts w:ascii="Arial" w:eastAsia="Arial" w:hAnsi="Arial" w:cs="Arial"/>
          <w:b/>
          <w:sz w:val="22"/>
          <w:szCs w:val="22"/>
        </w:rPr>
      </w:pPr>
    </w:p>
    <w:p w14:paraId="59C5E437" w14:textId="77777777" w:rsidR="00B15CA8" w:rsidRDefault="00B15CA8">
      <w:pPr>
        <w:spacing w:line="480" w:lineRule="auto"/>
        <w:rPr>
          <w:rFonts w:ascii="Arial" w:eastAsia="Arial" w:hAnsi="Arial" w:cs="Arial"/>
          <w:b/>
          <w:sz w:val="22"/>
          <w:szCs w:val="22"/>
        </w:rPr>
      </w:pPr>
    </w:p>
    <w:p w14:paraId="5746846E" w14:textId="77777777" w:rsidR="00124793" w:rsidRDefault="00124793">
      <w:pPr>
        <w:spacing w:line="480" w:lineRule="auto"/>
        <w:rPr>
          <w:rFonts w:ascii="Arial" w:eastAsia="Arial" w:hAnsi="Arial" w:cs="Arial"/>
          <w:b/>
          <w:sz w:val="22"/>
          <w:szCs w:val="22"/>
        </w:rPr>
      </w:pPr>
    </w:p>
    <w:p w14:paraId="7FD2B12C" w14:textId="7903C307" w:rsidR="00BF3D8E" w:rsidRDefault="00B11315" w:rsidP="005D447A">
      <w:pPr>
        <w:spacing w:line="480" w:lineRule="auto"/>
        <w:jc w:val="center"/>
        <w:rPr>
          <w:rFonts w:ascii="Arial" w:eastAsia="Arial" w:hAnsi="Arial" w:cs="Arial"/>
          <w:sz w:val="22"/>
          <w:szCs w:val="22"/>
        </w:rPr>
      </w:pPr>
      <w:r>
        <w:rPr>
          <w:rFonts w:ascii="Arial" w:eastAsia="Arial" w:hAnsi="Arial" w:cs="Arial"/>
          <w:b/>
          <w:sz w:val="22"/>
          <w:szCs w:val="22"/>
        </w:rPr>
        <w:lastRenderedPageBreak/>
        <w:t>Introduction</w:t>
      </w:r>
    </w:p>
    <w:p w14:paraId="50E3ED94" w14:textId="0CD746E9" w:rsidR="00BF3D8E" w:rsidRPr="00FB4D63" w:rsidRDefault="00B11315" w:rsidP="00A12BB7">
      <w:pPr>
        <w:spacing w:line="480" w:lineRule="auto"/>
        <w:ind w:firstLine="720"/>
        <w:rPr>
          <w:rFonts w:ascii="Arial" w:eastAsia="Arial" w:hAnsi="Arial" w:cs="Arial"/>
          <w:sz w:val="22"/>
          <w:szCs w:val="22"/>
        </w:rPr>
      </w:pPr>
      <w:r>
        <w:rPr>
          <w:rFonts w:ascii="Arial" w:eastAsia="Arial" w:hAnsi="Arial" w:cs="Arial"/>
          <w:sz w:val="22"/>
          <w:szCs w:val="22"/>
        </w:rPr>
        <w:t xml:space="preserve">Animal communities inevitably get invaded by parasites, and the consequences for hosts range from negligible to catastrophic. Host community ecology is a significant factor affecting the </w:t>
      </w:r>
      <w:r w:rsidR="00087CE0">
        <w:rPr>
          <w:rFonts w:ascii="Arial" w:eastAsia="Arial" w:hAnsi="Arial" w:cs="Arial"/>
          <w:sz w:val="22"/>
          <w:szCs w:val="22"/>
        </w:rPr>
        <w:t xml:space="preserve">outcomes </w:t>
      </w:r>
      <w:r>
        <w:rPr>
          <w:rFonts w:ascii="Arial" w:eastAsia="Arial" w:hAnsi="Arial" w:cs="Arial"/>
          <w:sz w:val="22"/>
          <w:szCs w:val="22"/>
        </w:rPr>
        <w:t>of parasite invasions because most parasites infect and circulate among multiple host species</w:t>
      </w:r>
      <w:r w:rsidR="007B0D74">
        <w:rPr>
          <w:rFonts w:ascii="Arial" w:eastAsia="Arial" w:hAnsi="Arial" w:cs="Arial"/>
          <w:sz w:val="22"/>
          <w:szCs w:val="22"/>
        </w:rPr>
        <w:t xml:space="preserve"> </w:t>
      </w:r>
      <w:r w:rsidR="007B0D74">
        <w:rPr>
          <w:rFonts w:ascii="Arial" w:eastAsia="Arial" w:hAnsi="Arial" w:cs="Arial"/>
          <w:sz w:val="22"/>
          <w:szCs w:val="22"/>
        </w:rPr>
        <w:fldChar w:fldCharType="begin"/>
      </w:r>
      <w:r w:rsidR="007B0D74">
        <w:rPr>
          <w:rFonts w:ascii="Arial" w:eastAsia="Arial" w:hAnsi="Arial" w:cs="Arial"/>
          <w:sz w:val="22"/>
          <w:szCs w:val="22"/>
        </w:rPr>
        <w:instrText xml:space="preserve"> ADDIN ZOTERO_ITEM CSL_CITATION {"citationID":"NF30YVXu","properties":{"formattedCitation":"(Cleaveland et al. 2001)","plainCitation":"(Cleaveland et al. 2001)","noteIndex":0},"citationItems":[{"id":8414,"uris":["http://zotero.org/users/865335/items/JCLIQ2R2"],"uri":["http://zotero.org/users/865335/items/JCLIQ2R2"],"itemData":{"id":8414,"type":"article-journal","abstract":"Pathogens that can be transmitted between different host species are of fundamental interest and importance from public health, conservation and economic perspectives, yet systematic quantification of these pathogens is lacking. Here, pathogen characteristics, host range and risk factors determining disease emergence were analysed by constructing a database of disease–causing pathogens of humans and domestic mammals. The database consisted of 1415 pathogens causing disease in humans, 616 in livestock and 374 in domestic carnivores. Multihost pathogens were very prevalent among human pathogens (61.6%) and even more so among domestic mammal pathogens (livestock 77.3%, carnivores 90.0%). Pathogens able to infect human, domestic and wildlife hosts contained a similar proportion of disease–causing pathogens for all three host groups. One hundred and ninety–six pathogens were associated with emerging diseases, 175 in humans, 29 in livestock and 12 in domestic carnivores. Across all these groups, helminths and fungi were relatively unlikely to emerge whereas viruses, particularly RNA viruses, were highly likely to emerge. The ability of a pathogen to infect multiple hosts, particularly hosts in other taxonomic orders or wildlife, were also risk factors for emergence in human and livestock pathogens. There is clearly a need to understand the dynamics of infectious diseases in complex multihost communities in order to mitigate disease threats to public health, livestock economies and wildlife.","container-title":"Philosophical Transactions of the Royal Society of London. Series B: Biological Sciences","DOI":"10.1098/rstb.2001.0889","ISSN":"0962-8436, 1471-2970","issue":"1411","journalAbbreviation":"Phil. Trans. R. Soc. Lond. B","language":"en","page":"991-999","source":"DOI.org (Crossref)","title":"Diseases of humans and their domestic mammals: pathogen characteristics, host range and the risk of emergence","title-short":"Diseases of humans and their domestic mammals","volume":"356","editor":[{"family":"Woolhouse","given":"M. E. J."},{"family":"Dye","given":"C."}],"author":[{"family":"Cleaveland","given":"S."},{"family":"Laurenson","given":"M.K."},{"family":"Taylor","given":"L.H."}],"issued":{"date-parts":[["2001",7,29]]}}}],"schema":"https://github.com/citation-style-language/schema/raw/master/csl-citation.json"} </w:instrText>
      </w:r>
      <w:r w:rsidR="007B0D74">
        <w:rPr>
          <w:rFonts w:ascii="Arial" w:eastAsia="Arial" w:hAnsi="Arial" w:cs="Arial"/>
          <w:sz w:val="22"/>
          <w:szCs w:val="22"/>
        </w:rPr>
        <w:fldChar w:fldCharType="separate"/>
      </w:r>
      <w:r w:rsidR="00CE3F95">
        <w:rPr>
          <w:rFonts w:ascii="Arial" w:eastAsia="Arial" w:hAnsi="Arial" w:cs="Arial"/>
          <w:noProof/>
          <w:sz w:val="22"/>
          <w:szCs w:val="22"/>
        </w:rPr>
        <w:t>(Cleaveland et al. 2001)</w:t>
      </w:r>
      <w:r w:rsidR="007B0D74">
        <w:rPr>
          <w:rFonts w:ascii="Arial" w:eastAsia="Arial" w:hAnsi="Arial" w:cs="Arial"/>
          <w:sz w:val="22"/>
          <w:szCs w:val="22"/>
        </w:rPr>
        <w:fldChar w:fldCharType="end"/>
      </w:r>
      <w:r>
        <w:rPr>
          <w:rFonts w:ascii="Arial" w:eastAsia="Arial" w:hAnsi="Arial" w:cs="Arial"/>
          <w:sz w:val="22"/>
          <w:szCs w:val="22"/>
        </w:rPr>
        <w:t xml:space="preserve">. The characteristics of host communities that drive multi-host infection dynamics are debated, however </w:t>
      </w:r>
      <w:r w:rsidR="00240277">
        <w:rPr>
          <w:rFonts w:ascii="Arial" w:eastAsia="Arial" w:hAnsi="Arial" w:cs="Arial"/>
          <w:sz w:val="22"/>
          <w:szCs w:val="22"/>
        </w:rPr>
        <w:t xml:space="preserve"> </w:t>
      </w:r>
      <w:r w:rsidR="00240277">
        <w:rPr>
          <w:rFonts w:ascii="Arial" w:eastAsia="Arial" w:hAnsi="Arial" w:cs="Arial"/>
          <w:sz w:val="22"/>
          <w:szCs w:val="22"/>
        </w:rPr>
        <w:fldChar w:fldCharType="begin"/>
      </w:r>
      <w:r w:rsidR="00240277">
        <w:rPr>
          <w:rFonts w:ascii="Arial" w:eastAsia="Arial" w:hAnsi="Arial" w:cs="Arial"/>
          <w:sz w:val="22"/>
          <w:szCs w:val="22"/>
        </w:rPr>
        <w:instrText xml:space="preserve"> ADDIN ZOTERO_ITEM CSL_CITATION {"citationID":"c7FellGB","properties":{"formattedCitation":"(Johnson et al. 2015, 2019; Rohr et al. 2020)","plainCitation":"(Johnson et al. 2015, 2019; Rohr et al. 2020)","noteIndex":0},"citationItems":[{"id":8161,"uris":["http://zotero.org/users/865335/items/WUDU7UKR"],"uri":["http://zotero.org/users/865335/items/WUDU7UKR"],"itemData":{"id":8161,"type":"article-journal","container-title":"Science","DOI":"10.1126/science.1259504","ISSN":"0036-8075, 1095-9203","issue":"6252","journalAbbreviation":"Science","language":"en","page":"1259504-1259504","source":"DOI.org (Crossref)","title":"Why infectious disease research needs community ecology","volume":"349","author":[{"family":"Johnson","given":"P. T. J."},{"family":"Roode","given":"J. C.","non-dropping-particle":"de"},{"family":"Fenton","given":"A."}],"issued":{"date-parts":[["2015",9,4]]}}},{"id":7754,"uris":["http://zotero.org/users/865335/items/MBAJQLLR"],"uri":["http://zotero.org/users/865335/items/MBAJQLLR"],"itemData":{"id":7754,"type":"article-journal","abstract":"Debates over the relationship between biodiversity and disease dynamics underscore the need for a more mechanistic understanding of how changes in host community composition influence parasite transmission. Focusing on interactions between larval amphibians and trematode parasites, we experimentally contrasted the effects of host richness and species composition to identify the individual and joint contributions of both parameters on the infection levels of three trematode species. By combining experimental approaches with field surveys from 147 ponds, we further evaluated how richness effects differed between randomized and realistic patterns of species loss (i.e. community disassembly). Our results indicated that community-level changes in infection levels were owing to host species composition, rather than richness. However, when composition patterns mirrored empirical observations along a natural assembly gradient, each added host species reduced infection success by 12–55%. No such effects occurred when assemblages were randomized. Mechanistically, these patterns were due to non-random host species assembly/disassembly: while highly competent species predominated in low diversity systems, less susceptible hosts became progressively more common as richness increased. These findings highlight the potential for combining information on host traits and assembly patterns to forecast diversity-mediated changes in multi-host disease systems.","container-title":"Proceedings of the</w:instrText>
      </w:r>
      <w:r w:rsidR="00240277" w:rsidRPr="00F40174">
        <w:rPr>
          <w:rFonts w:ascii="Arial" w:eastAsia="Arial" w:hAnsi="Arial" w:cs="Arial"/>
          <w:sz w:val="22"/>
          <w:szCs w:val="22"/>
        </w:rPr>
        <w:instrText xml:space="preserve"> Royal Society B: Biological Sciences","</w:instrText>
      </w:r>
      <w:r w:rsidR="00240277" w:rsidRPr="00240277">
        <w:rPr>
          <w:rFonts w:ascii="Arial" w:eastAsia="Arial" w:hAnsi="Arial" w:cs="Arial"/>
          <w:sz w:val="22"/>
          <w:szCs w:val="22"/>
        </w:rPr>
        <w:instrText xml:space="preserve">DOI":"10.1098/rspb.2019.0260","ISSN":"0962-8452, 1471-2954","issue":"1902","journalAbbreviation":"Proc. R. Soc. B.","language":"en","page":"20190260","source":"DOI.org (Crossref)","title":"Community disassembly and disease: realistic—but not randomized—biodiversity losses enhance parasite transmission","title-short":"Community disassembly and disease","volume":"286","author":[{"family":"Johnson","given":"P.T.J."},{"family":"Calhoun","given":"Dana M."},{"family":"Riepe","given":"Tawni"},{"family":"McDevitt-Galles","given":"Travis"},{"family":"Koprivnikar","given":"Janet"}],"issued":{"date-parts":[["2019",5,15]]}}},{"id":7665,"uris":["http://zotero.org/users/865335/items/MKHX4J6U"],"uri":["http://zotero.org/users/865335/items/MKHX4J6U"],"itemData":{"id":7665,"type":"article-journal","container-title":"Nature Ecology &amp; Evolution","DOI":"10.1038/s41559-019-1060-6","ISSN":"2397-334X","issue":"1","language":"en","page":"24-33","source":"Crossref","title":"Towards common ground in the biodiversity–disease debate","volume":"4","author":[{"family":"Rohr","given":"Jason R."},{"family":"Civitello","given":"David J."},{"family":"Halliday","given":"Fletcher W."},{"family":"Hudson","given":"Peter J."},{"family":"Lafferty","given":"Kevin D."},{"family":"Wood","given":"Chelsea L."},{"family":"Mordecai","given":"Erin A."}],"issued":{"date-parts":[["2020",1]]}}}],"schema":"https://github.com/citation-style-language/schema/raw/master/csl-citation.json"}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(Johnson et al. 2015, 2019; Rohr et al. 2020)</w:t>
      </w:r>
      <w:r w:rsidR="00240277">
        <w:rPr>
          <w:rFonts w:ascii="Arial" w:eastAsia="Arial" w:hAnsi="Arial" w:cs="Arial"/>
          <w:sz w:val="22"/>
          <w:szCs w:val="22"/>
        </w:rPr>
        <w:fldChar w:fldCharType="end"/>
      </w:r>
      <w:r w:rsidRPr="00240277">
        <w:rPr>
          <w:rFonts w:ascii="Arial" w:eastAsia="Arial" w:hAnsi="Arial" w:cs="Arial"/>
          <w:sz w:val="22"/>
          <w:szCs w:val="22"/>
        </w:rPr>
        <w:t xml:space="preserve">. </w:t>
      </w:r>
      <w:r>
        <w:rPr>
          <w:rFonts w:ascii="Arial" w:eastAsia="Arial" w:hAnsi="Arial" w:cs="Arial"/>
          <w:sz w:val="22"/>
          <w:szCs w:val="22"/>
        </w:rPr>
        <w:t xml:space="preserve">Well-documented correspondences between infection prevalence and host species richness suggest that crude community measures may explain substantial variation in the outcomes of parasite invasions </w:t>
      </w:r>
      <w:r w:rsidR="00240277">
        <w:rPr>
          <w:rFonts w:ascii="Arial" w:eastAsia="Arial" w:hAnsi="Arial" w:cs="Arial"/>
          <w:sz w:val="22"/>
          <w:szCs w:val="22"/>
        </w:rPr>
        <w:fldChar w:fldCharType="begin"/>
      </w:r>
      <w:r w:rsidR="00240277">
        <w:rPr>
          <w:rFonts w:ascii="Arial" w:eastAsia="Arial" w:hAnsi="Arial" w:cs="Arial"/>
          <w:sz w:val="22"/>
          <w:szCs w:val="22"/>
        </w:rPr>
        <w:instrText xml:space="preserve"> ADDIN ZOTERO_ITEM CSL_CITATION {"citationID":"E8Y7uIXI","properties":{"formattedCitation":"(Ostfeld and Keesing 2012; Wood and Lafferty 2013; Rohr et al. 2020)","plainCitation":"(Ostfeld and Keesing 2012; Wood and Lafferty 2013; Rohr et al. 2020)","noteIndex":0},"citationItems":[{"id":8220,"uris":["http://zotero.org/users/865335/items/6N3MWSEH"],"uri":["http://zotero.org/users/865335/items/6N3MWSEH"],"itemData":{"id":8220,"type":"article-journal","abstract":"The dynamics of infectious diseases can be affected by genetic diversity within host populations, species diversity within host communities, and diversity among communities. In principle, diversity can either increase or decrease pathogen transmission and disease risk. Theoretical models and laboratory experiments have demonstrated that a dilution effect (decreased disease risk with increasing diversity) can occur under a wide range of conditions. Field studies of plants, aquatic invertebrates, amphibians, birds, and mammals demonstrate that the phenomenon indeed does occur in many natural systems. A dilution effect is expected when (a) hosts differ in quality for pathogens or vectors; (b) higher quality hosts tend to occur in species-poor communities, whereas lower quality hosts tend to occur in more diverse communities; and (c) lower quality hosts regulate abundance of high-quality hosts or of vectors, or reduce encounter rates between these hosts and pathogens or vectors. Although these conditions characterize many disease systems, our ability to predict when and where the dilution effect occurs remains poor. The life-history traits that cause some hosts to be widespread and resilient might be correlated with those that promote infection and transmission by some pathogens, supporting the notion that the dilution effect might be widespread among disease systems. Criticisms of the dilution effect have focused on whether species richness or species composition (both being metrics of biodiversity) drives disease risk. It is well established, however, that changes in species composition correlate with changes in species richness, and this correlation could explain why the dilution effect appears to be a general phenomenon.","container-title":"Annual Review of Ecology, Evolution, and Systematics","DOI":"10.1146/annurev-ecolsys-102710-145022","ISSN":"1543-592X, 1545-2069","issue":"1","journalAbbreviation":"Annu. Rev. Ecol. Evol. Syst.","language":"en","page":"157-182","source":"DOI.org (Crossref)","title":"Effects of host diversity on infectious disease","volume":"43","author":[{"family":"Ostfeld","given":"Richard S."},{"family":"Keesing","given":"Felicia"}],"issued":{"date-parts":[["2012",12]]}}},{"id":3168,"uris":["http://zotero.org/users/865335/items/V9J224C4"],"uri":["http://zotero.org/users/865335/items/V9J224C4"],"itemData":{"id":3168,"type":"article-journal","container-title":"Trends in Ecology &amp; Evolution","DOI":"10.1016/j.tree.2012.10.011","ISSN":"01695347","issue":"4","language":"en","page":"239-247","source":"CrossRef","title":"Biodiversity and disease: a synthesis of ecological perspectives on Lyme disease transmission","title-short":"Biodiversity and disease","volume":"28","author":[{"family":"Wood","given":"Chelsea L."},{"family":"Lafferty","given":"Kevin D."}],"issued":{"date-parts":[["2013",4]]}}},{"id":7665,"uris":["http://zotero.org/users/865335/items/MKHX4J6U"],"uri":["http://zotero.org/users/865335/items/MKHX4J6U"],"itemData":{"id":7665,"type":"article-journal","container-title":"Nature Ecology &amp; Evolution","DOI":"10.1038/s41559-019-1060-6","ISSN":"2397-334X","issue":"1","language":"en","page":"24-33","source":"Crossref","title":"Towards common ground in the biodiversity–disease debate","volume":"4","author":[{"family":"Rohr","given":"Jason R."},{"family":"Civitello","given":"David J."},{"family":"Halliday","given":"Fletcher W."},{"family":"Hudson","given":"Peter J."},{"family":"Lafferty","given":"Kevin D."},{"family":"Wood","given":"Chelsea L."},{"family":"Mordecai","given":"Erin A."}],"issued":{"date-parts":[["2020",1]]}}}],"schema":"https://github.com/citation-style-language/schema/raw/master/csl-citation.json"}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(Ostfeld and Keesing 2012; Wood and Lafferty 2013; Rohr et al. 2020)</w:t>
      </w:r>
      <w:r w:rsidR="00240277">
        <w:rPr>
          <w:rFonts w:ascii="Arial" w:eastAsia="Arial" w:hAnsi="Arial" w:cs="Arial"/>
          <w:sz w:val="22"/>
          <w:szCs w:val="22"/>
        </w:rPr>
        <w:fldChar w:fldCharType="end"/>
      </w:r>
      <w:r>
        <w:rPr>
          <w:rFonts w:ascii="Arial" w:eastAsia="Arial" w:hAnsi="Arial" w:cs="Arial"/>
          <w:sz w:val="22"/>
          <w:szCs w:val="22"/>
        </w:rPr>
        <w:t xml:space="preserve">, despite ignoring differences between host species in their abundance and likelihood of contracting, transmitting and maintaining infections. Interspecific differences in those basic epidemiological parameters are common however, and </w:t>
      </w:r>
      <w:r w:rsidR="00F40174">
        <w:rPr>
          <w:rFonts w:ascii="Arial" w:eastAsia="Arial" w:hAnsi="Arial" w:cs="Arial"/>
          <w:sz w:val="22"/>
          <w:szCs w:val="22"/>
        </w:rPr>
        <w:t xml:space="preserve">can </w:t>
      </w:r>
      <w:r>
        <w:rPr>
          <w:rFonts w:ascii="Arial" w:eastAsia="Arial" w:hAnsi="Arial" w:cs="Arial"/>
          <w:sz w:val="22"/>
          <w:szCs w:val="22"/>
        </w:rPr>
        <w:t>result in host species making distinct contributions to the overall maintenance of the parasite</w:t>
      </w:r>
      <w:r w:rsidR="00240277">
        <w:rPr>
          <w:rFonts w:ascii="Arial" w:eastAsia="Arial" w:hAnsi="Arial" w:cs="Arial"/>
          <w:sz w:val="22"/>
          <w:szCs w:val="22"/>
        </w:rPr>
        <w:t xml:space="preserve"> </w:t>
      </w:r>
      <w:r w:rsidR="00240277">
        <w:rPr>
          <w:rFonts w:ascii="Arial" w:eastAsia="Arial" w:hAnsi="Arial" w:cs="Arial"/>
          <w:sz w:val="22"/>
          <w:szCs w:val="22"/>
        </w:rPr>
        <w:fldChar w:fldCharType="begin"/>
      </w:r>
      <w:r w:rsidR="00240277">
        <w:rPr>
          <w:rFonts w:ascii="Arial" w:eastAsia="Arial" w:hAnsi="Arial" w:cs="Arial"/>
          <w:sz w:val="22"/>
          <w:szCs w:val="22"/>
        </w:rPr>
        <w:instrText xml:space="preserve"> ADDIN ZOTERO_ITEM CSL_CITATION {"citationID":"CNmZDYqZ","properties":{"formattedCitation":"(Fenton et al. 2015)","plainCitation":"(Fenton et al. 2015)","noteIndex":0},"citationItems":[{"id":5232,"uris":["http://zotero.org/users/865335/items/EMFV2ZQ7"],"uri":["http://zotero.org/users/865335/items/EMFV2ZQ7"],"itemData":{"id":5232,"type":"article-journal","container-title":"The American Naturalist","DOI":"10.1086/683173","ISSN":"0003-0147, 1537-5323","issue":"5","language":"en","page":"610-622","source":"CrossRef","title":"Are all hosts created equal? Partitioning host species contributions to parasite persistence in multihost communities","title-short":"Are All Hosts Created Equal?","volume":"186","author":[{"family":"Fenton","given":"Andy"},{"family":"Streicker","given":"Daniel G."},{"family":"Petchey","given":"Owen L."},{"family":"Pedersen","given":"Amy B."}],"issued":{"date-parts":[["2015",11]]}}}],"schema":"https://github.com/citation-style-language/schema/raw/master/csl-citation.json"}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(Fenton et al. 2015)</w:t>
      </w:r>
      <w:r w:rsidR="00240277">
        <w:rPr>
          <w:rFonts w:ascii="Arial" w:eastAsia="Arial" w:hAnsi="Arial" w:cs="Arial"/>
          <w:sz w:val="22"/>
          <w:szCs w:val="22"/>
        </w:rPr>
        <w:fldChar w:fldCharType="end"/>
      </w:r>
      <w:r w:rsidR="009E3688">
        <w:rPr>
          <w:rFonts w:ascii="Arial" w:eastAsia="Arial" w:hAnsi="Arial" w:cs="Arial"/>
          <w:sz w:val="22"/>
          <w:szCs w:val="22"/>
        </w:rPr>
        <w:t>.</w:t>
      </w:r>
      <w:r w:rsidR="007B0D74">
        <w:rPr>
          <w:rFonts w:ascii="Arial" w:eastAsia="Arial" w:hAnsi="Arial" w:cs="Arial"/>
          <w:sz w:val="22"/>
          <w:szCs w:val="22"/>
        </w:rPr>
        <w:t xml:space="preserve"> </w:t>
      </w:r>
      <w:r w:rsidR="0071066C">
        <w:rPr>
          <w:rFonts w:ascii="Arial" w:eastAsia="Arial" w:hAnsi="Arial" w:cs="Arial"/>
          <w:sz w:val="22"/>
          <w:szCs w:val="22"/>
        </w:rPr>
        <w:t xml:space="preserve">Distinguishing </w:t>
      </w:r>
      <w:r w:rsidR="00AC4805">
        <w:rPr>
          <w:rFonts w:ascii="Arial" w:eastAsia="Arial" w:hAnsi="Arial" w:cs="Arial"/>
          <w:sz w:val="22"/>
          <w:szCs w:val="22"/>
        </w:rPr>
        <w:t>the taxonomic</w:t>
      </w:r>
      <w:r w:rsidR="0071066C">
        <w:rPr>
          <w:rFonts w:ascii="Arial" w:eastAsia="Arial" w:hAnsi="Arial" w:cs="Arial"/>
          <w:sz w:val="22"/>
          <w:szCs w:val="22"/>
        </w:rPr>
        <w:t xml:space="preserve"> identities</w:t>
      </w:r>
      <w:r w:rsidR="00AC4805">
        <w:rPr>
          <w:rFonts w:ascii="Arial" w:eastAsia="Arial" w:hAnsi="Arial" w:cs="Arial"/>
          <w:sz w:val="22"/>
          <w:szCs w:val="22"/>
        </w:rPr>
        <w:t xml:space="preserve"> of host species (hereafter referred to as ‘host species identities’)</w:t>
      </w:r>
      <w:r w:rsidR="0071066C">
        <w:rPr>
          <w:rFonts w:ascii="Arial" w:eastAsia="Arial" w:hAnsi="Arial" w:cs="Arial"/>
          <w:sz w:val="22"/>
          <w:szCs w:val="22"/>
        </w:rPr>
        <w:t xml:space="preserve"> </w:t>
      </w:r>
      <w:r>
        <w:rPr>
          <w:rFonts w:ascii="Arial" w:eastAsia="Arial" w:hAnsi="Arial" w:cs="Arial"/>
          <w:sz w:val="22"/>
          <w:szCs w:val="22"/>
        </w:rPr>
        <w:t>to account for epidemiologically</w:t>
      </w:r>
      <w:r w:rsidR="0066764D">
        <w:rPr>
          <w:rFonts w:ascii="Arial" w:eastAsia="Arial" w:hAnsi="Arial" w:cs="Arial"/>
          <w:sz w:val="22"/>
          <w:szCs w:val="22"/>
        </w:rPr>
        <w:t>-</w:t>
      </w:r>
      <w:r>
        <w:rPr>
          <w:rFonts w:ascii="Arial" w:eastAsia="Arial" w:hAnsi="Arial" w:cs="Arial"/>
          <w:sz w:val="22"/>
          <w:szCs w:val="22"/>
        </w:rPr>
        <w:t>relevant interspecific differences has led to more precise characterizations of community-level patterns of infection</w:t>
      </w:r>
      <w:r w:rsidR="00A12BB7">
        <w:rPr>
          <w:rFonts w:ascii="Arial" w:eastAsia="Arial" w:hAnsi="Arial" w:cs="Arial"/>
          <w:sz w:val="22"/>
          <w:szCs w:val="22"/>
        </w:rPr>
        <w:t xml:space="preserve"> </w:t>
      </w:r>
      <w:r w:rsidR="00A12BB7">
        <w:rPr>
          <w:rFonts w:ascii="Arial" w:eastAsia="Arial" w:hAnsi="Arial" w:cs="Arial"/>
          <w:sz w:val="22"/>
          <w:szCs w:val="22"/>
        </w:rPr>
        <w:fldChar w:fldCharType="begin"/>
      </w:r>
      <w:r w:rsidR="00A12BB7">
        <w:rPr>
          <w:rFonts w:ascii="Arial" w:eastAsia="Arial" w:hAnsi="Arial" w:cs="Arial"/>
          <w:sz w:val="22"/>
          <w:szCs w:val="22"/>
        </w:rPr>
        <w:instrText xml:space="preserve"> ADDIN ZOTERO_ITEM CSL_CITATION {"citationID":"UJpKupiD","properties":{"formattedCitation":"(LoGiudice et al. 2008; Rudge et al. 2013; Venesky et al. 2014; Johnson et al. 2019)","plainCitation":"(LoGiudice et al. 2008; Rudge et al. 2013; Venesky et al. 2014; Johnson et al. 2019)","noteIndex":0},"citationItems":[{"id":1670,"uris":["http://zotero.org/users/865335/items/D4295U6Z"],"uri":["http://zotero.org/users/865335/items/D4295U6Z"],"itemData":{"id":1670,"type":"article-journal","container-title":"Ecology","issue":"10","page":"2841–2849","source":"Google Scholar","title":"Impact of host community composition on Lyme disease risk","volume":"89","author":[{"family":"LoGiudice","given":"Kathleen"},{"family":"Duerr","given":"Shannon TK"},{"family":"Newhouse","given":"Michael J."},{"family":"Schmidt","given":"Kenneth A."},{"family":"Killilea","given":"Mary E."},{"family":"Ostfeld","given":"Richard S."}],"issued":{"date-parts":[["2008"]]}}},{"id":2946,"uris":["http://zotero.org/users/865335/items/NV34RKBX"],"uri":["http://zotero.org/users/865335/items/NV34RKBX"],"itemData":{"id":2946,"type":"article-journal","container-title":"Proceedings of the National Academy of Sciences","DOI":"10.1073/pnas.1221509110","ISSN":"0027-8424, 1091-6490","issue":"28","language":"en","page":"11457-11462","source":"CrossRef","title":"Identifying host species driving transmission of &lt;i&gt;schistosomiasis japonica&lt;/i&gt;, a multihost parasite system, in China","volume":"110","author":[{"family":"Rudge","given":"J. W."},{"family":"Webster","given":"J. P."},{"family":"Lu","given":"D.-B."},{"family":"Wang","given":"T.-P."},{"family":"Fang","given":"G.-R."},{"family":"Basanez","given":"M.-G."}],"issued":{"date-parts":[["2013",7,9]]}}},{"id":3104,"uris":["http://zotero.org/users/865335/items/XZ92VR6J"],"uri":["http://zotero.org/users/865335/items/XZ92VR6J"],"itemData":{"id":3104,"type":"article-journal","container-title":"Journal of Animal Ecology","DOI":"10.1111/1365-2656.12159","ISSN":"00218790","issue":"3","language":"en","page":"557-565","source":"CrossRef","title":"Linking manipulative experiments to field data to test the dilution effect","volume":"83","author":[{"family":"Venesky","given":"Matthew D."},{"family":"Liu","given":"Xuan"},{"family":"Sauer","given":"Erin L."},{"family":"Rohr","given":"Jason R."}],"editor":[{"family":"Boots","given":"Mike"}],"issued":{"date-parts":[["2014",5]]}}},{"id":7754,"uris":["http://zotero.org/users/865335/items/MBAJQLLR"],"uri":["http://zotero.org/users/865335/items/MBAJQLLR"],"itemData":{"id":7754,"type":"article-journal","abstract":"Debates over the relationship between biodiversity and disease dynamics underscore the need for a more mechanistic understanding of how changes in host community composition influence parasite transmission. Focusing on interactions between larval amphibians and trematode parasites, we experimentally contrasted the effects of host richness and species composition to identify the individual and joint contributions of both parameters on the infection levels of three trematode species. By combining experimental approaches with field surveys from 147 ponds, we further evaluated how richness effects differed between randomized and realistic patterns of species loss (i.e. community disassembly). Our results indicated that community-level changes in infe</w:instrText>
      </w:r>
      <w:r w:rsidR="00A12BB7" w:rsidRPr="00FB4D63">
        <w:rPr>
          <w:rFonts w:ascii="Arial" w:eastAsia="Arial" w:hAnsi="Arial" w:cs="Arial"/>
          <w:sz w:val="22"/>
          <w:szCs w:val="22"/>
        </w:rPr>
        <w:instrText xml:space="preserve">ction levels were owing to host species composition, rather than richness. However, when composition patterns mirrored empirical observations along a natural assembly gradient, each added host species reduced infection success by 12–55%. No such effects occurred when assemblages were randomized. Mechanistically, these patterns were due to non-random host species assembly/disassembly: while highly competent species predominated in low diversity systems, less susceptible hosts became progressively more common as richness increased. These findings highlight the potential for combining information on host traits and assembly patterns to forecast diversity-mediated changes in multi-host disease systems.","container-title":"Proceedings of the Royal Society B: Biological Sciences","DOI":"10.1098/rspb.2019.0260","ISSN":"0962-8452, 1471-2954","issue":"1902","journalAbbreviation":"Proc. R. Soc. B.","language":"en","page":"20190260","source":"DOI.org (Crossref)","title":"Community disassembly and disease: realistic—but not randomized—biodiversity losses enhance parasite transmission","title-short":"Community disassembly and disease","volume":"286","author":[{"family":"Johnson","given":"P.T.J."},{"family":"Calhoun","given":"Dana M."},{"family":"Riepe","given":"Tawni"},{"family":"McDevitt-Galles","given":"Travis"},{"family":"Koprivnikar","given":"Janet"}],"issued":{"date-parts":[["2019",5,15]]}}}],"schema":"https://github.com/citation-style-language/schema/raw/master/csl-citation.json"} </w:instrText>
      </w:r>
      <w:r w:rsidR="00A12BB7">
        <w:rPr>
          <w:rFonts w:ascii="Arial" w:eastAsia="Arial" w:hAnsi="Arial" w:cs="Arial"/>
          <w:sz w:val="22"/>
          <w:szCs w:val="22"/>
        </w:rPr>
        <w:fldChar w:fldCharType="separate"/>
      </w:r>
      <w:r w:rsidR="00CE3F95">
        <w:rPr>
          <w:rFonts w:ascii="Arial" w:eastAsia="Arial" w:hAnsi="Arial" w:cs="Arial"/>
          <w:noProof/>
          <w:sz w:val="22"/>
          <w:szCs w:val="22"/>
        </w:rPr>
        <w:t>(LoGiudice et al. 2008; Rudge et al. 2013; Venesky et al. 2014; Johnson et al. 2019)</w:t>
      </w:r>
      <w:r w:rsidR="00A12BB7">
        <w:rPr>
          <w:rFonts w:ascii="Arial" w:eastAsia="Arial" w:hAnsi="Arial" w:cs="Arial"/>
          <w:sz w:val="22"/>
          <w:szCs w:val="22"/>
        </w:rPr>
        <w:fldChar w:fldCharType="end"/>
      </w:r>
      <w:r w:rsidR="00A12BB7" w:rsidRPr="00FB4D63">
        <w:rPr>
          <w:rFonts w:ascii="Arial" w:eastAsia="Arial" w:hAnsi="Arial" w:cs="Arial"/>
          <w:sz w:val="22"/>
          <w:szCs w:val="22"/>
        </w:rPr>
        <w:t xml:space="preserve">. </w:t>
      </w:r>
    </w:p>
    <w:p w14:paraId="531E25B3" w14:textId="24D002DB" w:rsidR="00BF3D8E" w:rsidRDefault="00390778">
      <w:pPr>
        <w:spacing w:line="480" w:lineRule="auto"/>
        <w:ind w:firstLine="720"/>
        <w:rPr>
          <w:rFonts w:ascii="Arial" w:eastAsia="Arial" w:hAnsi="Arial" w:cs="Arial"/>
          <w:strike/>
          <w:sz w:val="22"/>
          <w:szCs w:val="22"/>
        </w:rPr>
      </w:pPr>
      <w:r>
        <w:rPr>
          <w:rFonts w:ascii="Arial" w:eastAsia="Arial" w:hAnsi="Arial" w:cs="Arial"/>
          <w:sz w:val="22"/>
          <w:szCs w:val="22"/>
        </w:rPr>
        <w:t xml:space="preserve">Keeping track of </w:t>
      </w:r>
      <w:r w:rsidR="00B11315">
        <w:rPr>
          <w:rFonts w:ascii="Arial" w:eastAsia="Arial" w:hAnsi="Arial" w:cs="Arial"/>
          <w:sz w:val="22"/>
          <w:szCs w:val="22"/>
        </w:rPr>
        <w:t>host species identities complicates disease modelling and management and, in certain conditions, may not be necessary to predict invasion outcomes. For instance, one or few ‘key’ host species can largely drive infection dynamics throughout the community</w:t>
      </w:r>
      <w:r w:rsidR="00240277">
        <w:rPr>
          <w:rFonts w:ascii="Arial" w:eastAsia="Arial" w:hAnsi="Arial" w:cs="Arial"/>
          <w:sz w:val="22"/>
          <w:szCs w:val="22"/>
        </w:rPr>
        <w:t xml:space="preserve"> </w:t>
      </w:r>
      <w:r w:rsidR="00240277">
        <w:rPr>
          <w:rFonts w:ascii="Arial" w:eastAsia="Arial" w:hAnsi="Arial" w:cs="Arial"/>
          <w:sz w:val="22"/>
          <w:szCs w:val="22"/>
        </w:rPr>
        <w:fldChar w:fldCharType="begin"/>
      </w:r>
      <w:r w:rsidR="00240277">
        <w:rPr>
          <w:rFonts w:ascii="Arial" w:eastAsia="Arial" w:hAnsi="Arial" w:cs="Arial"/>
          <w:sz w:val="22"/>
          <w:szCs w:val="22"/>
        </w:rPr>
        <w:instrText xml:space="preserve"> ADDIN ZOTERO_ITEM CSL_CITATION {"citationID":"hB26tUEv","properties":{"formattedCitation":"(Lloyd-Smith et al. 2005; Streicker et al. 2013; Viana et al. 2014; Fenton et al. 2015)","plainCitation":"(Lloyd-Smith et al. 2005; Streicker et al. 2013; Viana et al. 2014; Fenton et al. 2015)","noteIndex":0},"citationItems":[{"id":1214,"uris":["http://zotero.org/users/865335/items/H8DI287I"],"uri":["http://zotero.org/users/865335/items/H8DI287I"],"itemData":{"id":1214,"type":"article-journal","container-title":"Nature","DOI":"10.1038/nature04153","ISSN":"0028-0836, 1476-4687","issue":"7066","page":"355-359","source":"CrossRef","title":"Superspreading and the effect of individual variation on disease emergence","volume":"438","author":[{"family":"Lloyd-Smith","given":"J. O."},{"family":"Schreiber","given":"S. J."},{"family":"Kopp","given":"P. E."},{"family":"Getz","given":"W. M."}],"issued":{"date-parts":[["2005",11,17]]}}},{"id":578,"uris":["http://zotero.org/users/865335/items/VKKNJAST"],"uri":["http://zotero.org/users/865335/items/VKKNJAST"],"itemData":{"id":578,"type":"article-journal","container-title":"Ecology Letters","DOI":"10.1111/ele.12122","ISSN":"1461023X","issue":"8","language":"en","page":"975-984","source":"CrossRef","title":"Differential sources of host species heterogeneity influence the transmission and control of multihost parasites","volume":"16","author":[{"family":"Streicker","given":"Daniel G."},{"family":"Fenton","given":"Andy"},{"family":"Pedersen","given":"Amy B."}],"editor":[{"family":"Ostfeld","given":"Richard"}],"issued":{"date-parts":[["2013",8]]}}},{"id":513,"uris":["http://zotero.org/users/865335/items/E439XUZN"],"uri":["http://zotero.org/users/865335/items/E439XUZN"],"itemData":{"id":513,"type":"article-journal","container-title":"Trends in Ecology &amp; Evolution","DOI":"10.1016/j.tree.2014.03.002","ISSN":"01695347","issue":"5","language":"en","page":"270-279","source":"CrossRef","title":"Assembling evidence for identifying reservoirs of infection","volume":"29","author":[{"family":"Viana","given":"Mafalda"},{"family":"Mancy","given":"Rebecca"},{"family":"Biek","given":"Roman"},{"family":"Cleaveland","given":"Sarah"},{"family":"Cross","given":"Paul C."},{"family":"Lloyd-Smith","given":"James O."},{"family":"Haydon","given":"Daniel T."}],"issued":{"date-parts":[["2014",5]]}}},{"id":5232,"uris":["http://zotero.org/users/865335/items/EMFV2ZQ7"],"uri":["http://zotero.org/users/865335/items/EMFV2ZQ7"],"itemData":{"id":5232,"type":"article-journal","container-title":"The American Naturalist","DOI":"10.1086/683173","ISSN":"0003-0147, 1537-5323","issue":"5","language":"en","page":"610-622","source":"CrossRef","title":"Are all hosts created equal? Partitioning host species contributions to parasite persistence in multihost communities","title-short":"Are All Hosts Created Equal?","volume":"186","author":[{"family":"Fenton","given":"Andy"},{"family":"Streicker","given":"Daniel G."},{"family":"Petchey","given":"Owen L."},{"family":"Pedersen","given":"Amy B."}],"issued":{"date-parts":[["2015",11]]}}}],"schema":"https://github.com/citation-style-language/schema/raw/master/csl-citation.json"}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(Lloyd-Smith et al. 2005; Streicker et al. 2013; Viana et al. 2014; Fenton et al. 2015)</w:t>
      </w:r>
      <w:r w:rsidR="00240277">
        <w:rPr>
          <w:rFonts w:ascii="Arial" w:eastAsia="Arial" w:hAnsi="Arial" w:cs="Arial"/>
          <w:sz w:val="22"/>
          <w:szCs w:val="22"/>
        </w:rPr>
        <w:fldChar w:fldCharType="end"/>
      </w:r>
      <w:r w:rsidR="00B11315">
        <w:rPr>
          <w:rFonts w:ascii="Arial" w:eastAsia="Arial" w:hAnsi="Arial" w:cs="Arial"/>
          <w:sz w:val="22"/>
          <w:szCs w:val="22"/>
        </w:rPr>
        <w:t xml:space="preserve">, suggesting that differentiating the identities of some, but not necessarily all, host species is important for </w:t>
      </w:r>
      <w:r w:rsidR="00F642E0">
        <w:rPr>
          <w:rFonts w:ascii="Arial" w:eastAsia="Arial" w:hAnsi="Arial" w:cs="Arial"/>
          <w:sz w:val="22"/>
          <w:szCs w:val="22"/>
        </w:rPr>
        <w:t>predicting invasion outcomes</w:t>
      </w:r>
      <w:r w:rsidR="00B11315">
        <w:rPr>
          <w:rFonts w:ascii="Arial" w:eastAsia="Arial" w:hAnsi="Arial" w:cs="Arial"/>
          <w:sz w:val="22"/>
          <w:szCs w:val="22"/>
        </w:rPr>
        <w:t xml:space="preserve">. Even highly generalist parasites are known to infect certain host species more than others, either because those species are numerically dominant </w:t>
      </w:r>
      <w:r w:rsidR="00240277">
        <w:rPr>
          <w:rFonts w:ascii="Arial" w:eastAsia="Arial" w:hAnsi="Arial" w:cs="Arial"/>
          <w:sz w:val="22"/>
          <w:szCs w:val="22"/>
        </w:rPr>
        <w:fldChar w:fldCharType="begin"/>
      </w:r>
      <w:r w:rsidR="00CE3F95">
        <w:rPr>
          <w:rFonts w:ascii="Arial" w:eastAsia="Arial" w:hAnsi="Arial" w:cs="Arial"/>
          <w:sz w:val="22"/>
          <w:szCs w:val="22"/>
        </w:rPr>
        <w:instrText xml:space="preserve"> ADDIN ZOTERO_ITEM CSL_CITATION {"citationID":"0LE4UGEi","properties":{"formattedCitation":"(Johnson et al. 2013; Graystock et al. 2020)","plainCitation":"(Johnson et al. 2013; Graystock et al. 2020)","noteIndex":0},"citationItems":[{"id":7743,"uris":["http://zotero.org/users/865335/items/4JMM3QGQ"],"uri":["http://zotero.org/users/865335/items/4JMM3QGQ"],"itemData":{"id":7743,"type":"article-journal","container-title":"Nature","DOI":"10.1038/nature11883","ISSN":"0028-0836, 1476-4687","issue":"7436","journalAbbreviation":"Nature","language":"en","page":"230-233","source":"DOI.org (Crossref)","title":"Biodiversity decreases disease through predictable changes in host community competence","volume":"494","author":[{"family":"Johnson","given":"P T. J."},{"family":"Preston","given":"Daniel L."},{"family":"Hoverman","given":"Jason T."},{"family":"Richgels","given":"Katherine L. D."}],"issued":{"date-parts":[["2013",2]]}}},{"id":8434,"uris":["http://zotero.org/users/865335/items/F4WX8YR9"],"uri":["http://zotero.org/users/865335/items/F4WX8YR9"],"itemData":{"id":8434,"type":"article-journal","container-title":"Nature Ecology &amp; Evolution","DOI":"10.1038/s41559-020-1247-x","ISSN":"2397-334X","issue":"10","journalAbbreviation":"Nat Ecol Evol","language":"en","page":"1358-1367","source":"DOI.org (Crossref)","title":"Dominant bee species and floral abundance drive parasite temporal dynamics in plant-pollinator communities","volume":"4","author":[{"family":"Graystock","given":"Peter"},{"family":"Ng","given":"Wee Hao"},{"family":"Parks","given":"Kyle"},{"family":"Tripodi","given":"Amber D."},{"family":"Muñiz","given":"Paige A."},{"family":"Fersch","given":"Ashley A."},{"family":"Myers","given":"Christopher R."},{"family":"McFrederick","given":"Quinn S."},{"family":"McArt","given":"Scott H."}],"issued":{"date-parts":[["2020",10]]}}}],"schema":"https://github.com/citation-style-language/schema/raw/master/csl-citation.json"}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(Johnson et al. 2013; Graystock et al. 2020)</w:t>
      </w:r>
      <w:r w:rsidR="00240277">
        <w:rPr>
          <w:rFonts w:ascii="Arial" w:eastAsia="Arial" w:hAnsi="Arial" w:cs="Arial"/>
          <w:sz w:val="22"/>
          <w:szCs w:val="22"/>
        </w:rPr>
        <w:fldChar w:fldCharType="end"/>
      </w:r>
      <w:r w:rsidR="00240277">
        <w:rPr>
          <w:rFonts w:ascii="Arial" w:eastAsia="Arial" w:hAnsi="Arial" w:cs="Arial"/>
          <w:sz w:val="22"/>
          <w:szCs w:val="22"/>
        </w:rPr>
        <w:t xml:space="preserve"> </w:t>
      </w:r>
      <w:r w:rsidR="00B11315">
        <w:rPr>
          <w:rFonts w:ascii="Arial" w:eastAsia="Arial" w:hAnsi="Arial" w:cs="Arial"/>
          <w:sz w:val="22"/>
          <w:szCs w:val="22"/>
        </w:rPr>
        <w:t>or because they have a high capacity to sustain and/or transmit infections</w:t>
      </w:r>
      <w:r w:rsidR="00A12BB7">
        <w:rPr>
          <w:rFonts w:ascii="Arial" w:eastAsia="Arial" w:hAnsi="Arial" w:cs="Arial"/>
          <w:sz w:val="22"/>
          <w:szCs w:val="22"/>
        </w:rPr>
        <w:t xml:space="preserve"> </w:t>
      </w:r>
      <w:r w:rsidR="00A12BB7">
        <w:rPr>
          <w:rFonts w:ascii="Arial" w:eastAsia="Arial" w:hAnsi="Arial" w:cs="Arial"/>
          <w:sz w:val="22"/>
          <w:szCs w:val="22"/>
        </w:rPr>
        <w:fldChar w:fldCharType="begin"/>
      </w:r>
      <w:r w:rsidR="00D11849">
        <w:rPr>
          <w:rFonts w:ascii="Arial" w:eastAsia="Arial" w:hAnsi="Arial" w:cs="Arial"/>
          <w:sz w:val="22"/>
          <w:szCs w:val="22"/>
        </w:rPr>
        <w:instrText xml:space="preserve"> ADDIN ZOTERO_ITEM CSL_CITATION {"citationID":"ipfyVJWx","properties":{"formattedCitation":"(Stewart Merrill and Johnson 2020)","plainCitation":"(Stewart Merrill and Johnson 2020)","dontUpdate":true,"noteIndex":0},"citationItems":[{"id":7818,"uris":["http://zotero.org/users/865335/items/Y6L3L2Z7"],"uri":["http://zotero.org/users/865335/items/Y6L3L2Z7"],"itemData":{"id":7818,"type":"article-journal","abstract":"Biodiversity loss may increase the risk of infectious disease in a phenomenon known as the dilution effect. Circumstances that increase the likelihood of disease dilution are: (i) when hosts vary in their competence, and (ii) when communities disassemble predictably, such that the least competent hosts are the most likely to go extinct. Despite the central role of competence in diversity–disease theory, we lack a clear understanding of the factors underlying competence, as well as the drivers and extent of its variation. Our perspective piece encourages a mechanistic understanding of competence and a deeper consideration of its role in diversity–disease relationships. We outline current evidence, emerging questions and future directions regarding the basis of competence, its definition and measurement, the roots of its variation and its role in the community ecology of infectious disease.","container-title":"Parasitology","DOI":"10.1017/S0031182020000943","ISSN":"0031-1820, 1469-8161","issue":"11","language":"en","page":"1159-1170","source":"Crossref","title":"Towards a mechanistic understanding of competence: a missing link in diversity–disease research","title-short":"Towards a mechanistic understanding of competence","volume":"147","author":[{"family":"Stewart Merrill","given":"Tara E."},{"family":"Johnson","given":"Pieter T. J."}],"issued":{"date-parts":[["2020",9]]}}}],"schema":"https://github.com/citation-style-language/schema/raw/master/csl-citation.json"} </w:instrText>
      </w:r>
      <w:r w:rsidR="00A12BB7">
        <w:rPr>
          <w:rFonts w:ascii="Arial" w:eastAsia="Arial" w:hAnsi="Arial" w:cs="Arial"/>
          <w:sz w:val="22"/>
          <w:szCs w:val="22"/>
        </w:rPr>
        <w:fldChar w:fldCharType="separate"/>
      </w:r>
      <w:r w:rsidR="00A12BB7">
        <w:rPr>
          <w:rFonts w:ascii="Arial" w:eastAsia="Arial" w:hAnsi="Arial" w:cs="Arial"/>
          <w:noProof/>
          <w:sz w:val="22"/>
          <w:szCs w:val="22"/>
        </w:rPr>
        <w:t>(i.e. host competence</w:t>
      </w:r>
      <w:r w:rsidR="00E3482C">
        <w:rPr>
          <w:rFonts w:ascii="Arial" w:eastAsia="Arial" w:hAnsi="Arial" w:cs="Arial"/>
          <w:noProof/>
          <w:sz w:val="22"/>
          <w:szCs w:val="22"/>
        </w:rPr>
        <w:t>,</w:t>
      </w:r>
      <w:r w:rsidR="00A12BB7">
        <w:rPr>
          <w:rFonts w:ascii="Arial" w:eastAsia="Arial" w:hAnsi="Arial" w:cs="Arial"/>
          <w:noProof/>
          <w:sz w:val="22"/>
          <w:szCs w:val="22"/>
        </w:rPr>
        <w:t xml:space="preserve"> Stewart Merrill and Johnson 2020)</w:t>
      </w:r>
      <w:r w:rsidR="00A12BB7">
        <w:rPr>
          <w:rFonts w:ascii="Arial" w:eastAsia="Arial" w:hAnsi="Arial" w:cs="Arial"/>
          <w:sz w:val="22"/>
          <w:szCs w:val="22"/>
        </w:rPr>
        <w:fldChar w:fldCharType="end"/>
      </w:r>
      <w:r w:rsidR="00B11315">
        <w:rPr>
          <w:rFonts w:ascii="Arial" w:eastAsia="Arial" w:hAnsi="Arial" w:cs="Arial"/>
          <w:sz w:val="22"/>
          <w:szCs w:val="22"/>
        </w:rPr>
        <w:t>, as exemplified by ‘</w:t>
      </w:r>
      <w:proofErr w:type="spellStart"/>
      <w:r w:rsidR="00B11315">
        <w:rPr>
          <w:rFonts w:ascii="Arial" w:eastAsia="Arial" w:hAnsi="Arial" w:cs="Arial"/>
          <w:sz w:val="22"/>
          <w:szCs w:val="22"/>
        </w:rPr>
        <w:t>superspreaders</w:t>
      </w:r>
      <w:proofErr w:type="spellEnd"/>
      <w:r w:rsidR="00B11315">
        <w:rPr>
          <w:rFonts w:ascii="Arial" w:eastAsia="Arial" w:hAnsi="Arial" w:cs="Arial"/>
          <w:sz w:val="22"/>
          <w:szCs w:val="22"/>
        </w:rPr>
        <w:t xml:space="preserve">’ </w:t>
      </w:r>
      <w:r w:rsidR="00240277">
        <w:rPr>
          <w:rFonts w:ascii="Arial" w:eastAsia="Arial" w:hAnsi="Arial" w:cs="Arial"/>
          <w:sz w:val="22"/>
          <w:szCs w:val="22"/>
        </w:rPr>
        <w:fldChar w:fldCharType="begin"/>
      </w:r>
      <w:r w:rsidR="00240277">
        <w:rPr>
          <w:rFonts w:ascii="Arial" w:eastAsia="Arial" w:hAnsi="Arial" w:cs="Arial"/>
          <w:sz w:val="22"/>
          <w:szCs w:val="22"/>
        </w:rPr>
        <w:instrText xml:space="preserve"> ADDIN ZOTERO_ITEM CSL_CITATION {"citationID":"ogaFWaqc","properties":{"formattedCitation":"(Lloyd-Smith et al. 2005)","plainCitation":"(Lloyd-Smith et al. 2005)","noteIndex":0},"citationItems":[{"id":1214,"uris":["http://zotero.org/users/865335/items/H8DI287I"],"uri":["http://zotero.org/users/865335/items/H8DI287I"],"itemData":{"id":1214,"type":"article-journal","container-title":"Nature","DOI":"10.1038/nature04153","ISSN":"0028-0836, 1476-4687","issue":"7066","page":"355-359","source":"CrossRef","title":"Superspreading and the effect of individual variation on disease emergence","volume":"438","author":[{"family":"Lloyd-Smith","given":"J. O."},{"family":"Schreiber","given":"S. J."},{"family":"Kopp","given":"P. E."},{"family":"Getz","given":"W. M."}],"issued":{"date-parts":[["2005",11,17]]}}}],"schema":"https://github.com/citation-style-language/schema/raw/master/csl-citation.json"} </w:instrText>
      </w:r>
      <w:r w:rsidR="00240277">
        <w:rPr>
          <w:rFonts w:ascii="Arial" w:eastAsia="Arial" w:hAnsi="Arial" w:cs="Arial"/>
          <w:sz w:val="22"/>
          <w:szCs w:val="22"/>
        </w:rPr>
        <w:fldChar w:fldCharType="separate"/>
      </w:r>
      <w:r w:rsidR="00CE3F95">
        <w:rPr>
          <w:rFonts w:ascii="Arial" w:eastAsia="Arial" w:hAnsi="Arial" w:cs="Arial"/>
          <w:noProof/>
          <w:sz w:val="22"/>
          <w:szCs w:val="22"/>
        </w:rPr>
        <w:t>(Lloyd-Smith et al. 2005)</w:t>
      </w:r>
      <w:r w:rsidR="00240277">
        <w:rPr>
          <w:rFonts w:ascii="Arial" w:eastAsia="Arial" w:hAnsi="Arial" w:cs="Arial"/>
          <w:sz w:val="22"/>
          <w:szCs w:val="22"/>
        </w:rPr>
        <w:fldChar w:fldCharType="end"/>
      </w:r>
      <w:r w:rsidR="00240277">
        <w:rPr>
          <w:rFonts w:ascii="Arial" w:eastAsia="Arial" w:hAnsi="Arial" w:cs="Arial"/>
          <w:sz w:val="22"/>
          <w:szCs w:val="22"/>
        </w:rPr>
        <w:t xml:space="preserve"> </w:t>
      </w:r>
      <w:r w:rsidR="00B11315">
        <w:rPr>
          <w:rFonts w:ascii="Arial" w:eastAsia="Arial" w:hAnsi="Arial" w:cs="Arial"/>
          <w:sz w:val="22"/>
          <w:szCs w:val="22"/>
        </w:rPr>
        <w:t xml:space="preserve">and ‘reservoirs’ </w:t>
      </w:r>
      <w:r w:rsidR="00A12BB7">
        <w:rPr>
          <w:rFonts w:ascii="Arial" w:eastAsia="Arial" w:hAnsi="Arial" w:cs="Arial"/>
          <w:sz w:val="22"/>
          <w:szCs w:val="22"/>
        </w:rPr>
        <w:fldChar w:fldCharType="begin"/>
      </w:r>
      <w:r w:rsidR="00CE3F95">
        <w:rPr>
          <w:rFonts w:ascii="Arial" w:eastAsia="Arial" w:hAnsi="Arial" w:cs="Arial"/>
          <w:sz w:val="22"/>
          <w:szCs w:val="22"/>
        </w:rPr>
        <w:instrText xml:space="preserve"> ADDIN ZOTERO_ITEM CSL_CITATION {"citationID":"vxuopVzA","properties":{"formattedCitation":"(Fenton and Pedersen 2005; Reeder et al. 2012; Fenton et al. 2015)","plainCitation":"(Fenton and Pedersen 2005; Reeder et al. 2012; Fenton et al. 2015)","noteIndex":0},"citationItems":[{"id":8422,"uris":["http://zotero.org/users/865335/items/DM8TYNLB"],"uri":["http://zotero.org/users/865335/items/DM8TYNLB"],"itemData":{"id":8422,"type":"article-journal","container-title":"Emerging Infectious Diseases","DOI":"10.3201/eid1112.050306","ISSN":"1080-6040, 1080-6059","issue":"12","journalAbbreviation":"Emerg. Infect. Dis.","language":"en","page":"1815-1821","source":"DOI.org (Crossref)","title":"Community epidemiology framework for classifying disease threats","volume":"11","author":[{"family":"Fenton","given":"Andy"},{"family":"Pedersen","given":"Amy B."}],"issued":{"date-parts":[["2005",12]]}}},{"id":8386,"uris":["http://zotero.org/users/865335/items/CG4TW74N"],"uri":["http://zotero.org/users/865335/items/CG4TW74N"],"itemData":{"id":8386,"type":"article-journal","abstract":"Chytridiomycosis, a disease caused by the fungal pathogen Batrachochytrium dendrobatidis (Bd), is driving amphibian declines and extinctions in protected areas globally. The introduction of invasive reservoir species has been implicated in the spread of Bd but does not explain the appearance of the pathogen in remote protected areas. In the high elevation (.1500 m) Sierra Nevada of California, the native Pacific chorus frog, Pseudacris regilla, appears unaffected by chytridiomycosis while sympatric species experience catastrophic declines. We investigated whether P. regilla is a reservoir of Bd by comparing habitat occupancy before and after a major Bd outbreak and measuring infection in P. regilla in the field, monitoring susceptibility of P. regilla to Bd in the laboratory, examining tissues with histology to determine patterns of infection, and using an innovative soak technique to determine individual output of Bd zoospores in water. Pseudacris regilla persists at 100% of sites where a sympatric species has been extirpated from 72% in synchrony with a wave of Bd. In the laboratory, P. regilla carried loads of Bd as much as an order of magnitude higher than loads found lethal to sympatric species. Histology shows heavy Bd infection in patchy areas next to normal skin, a possible mechanism for tolerance. The soak technique was 77.8% effective at detecting Bd in water and showed an average output of 68 zoospores per minute per individual. The results of this study suggest P. regilla should act as a Bd reservoir and provide evidence of a tolerance mechanism in a reservoir species.","container-title":"PLoS ONE","DOI":"10.1371/journal.pone.0033567","ISSN":"1932-6203","issue":"3","journalAbbreviation":"PLoS ONE","language":"en","page":"e33567","source":"DOI.org (Crossref)","title":"A Reservoir species for the emerging amphibian pathogen &lt;i&gt;Batrachochytrium dendrobatidis&lt;/i&gt; thrives in a landscape decimated by disease","volume":"7","author":[{"family":"Reeder","given":"Natalie M. M."},{"family":"Pessier","given":"Allan P."},{"family":"Vredenburg","given":"Vance T."}],"editor":[{"family":"Litvintseva","given":"Anastasia P."}],"issued":{"date-parts":[["2012",3,12]]}}},{"id":5232,"uris":["http://zotero.org/users/865335/items/EMFV2ZQ7"],"uri":["http://zotero.org/users/865335/items/EMFV2ZQ7"],"itemData":{"id":5232,"type":"article-journal","container-title":"The American Naturalist","DOI":"10.1086/683173","ISSN":"0003-0147, 1537-5323","issue":"5","language":"en","page":"610-622","source":"CrossRef","title":"Are all hosts created equal? Partitioning host species contributions to parasite persistence in multihost communities","title-short":"Are All Hosts Created Equal?","volume":"186","author":[{"family":"Fenton","given":"Andy"},{"family":"Streicker","given":"Daniel G."},{"family":"Petchey","given":"Owen L."},{"family":"Pedersen","given":"Amy B."}],"issued":{"date-parts":[["2015",11]]}}}],"schema":"https://github.com/citation-style-language/schema/raw/master/csl-citation.json"} </w:instrText>
      </w:r>
      <w:r w:rsidR="00A12BB7">
        <w:rPr>
          <w:rFonts w:ascii="Arial" w:eastAsia="Arial" w:hAnsi="Arial" w:cs="Arial"/>
          <w:sz w:val="22"/>
          <w:szCs w:val="22"/>
        </w:rPr>
        <w:fldChar w:fldCharType="separate"/>
      </w:r>
      <w:r w:rsidR="00CE3F95">
        <w:rPr>
          <w:rFonts w:ascii="Arial" w:eastAsia="Arial" w:hAnsi="Arial" w:cs="Arial"/>
          <w:noProof/>
          <w:sz w:val="22"/>
          <w:szCs w:val="22"/>
        </w:rPr>
        <w:t xml:space="preserve">(Fenton and Pedersen 2005; </w:t>
      </w:r>
      <w:r w:rsidR="00CE3F95">
        <w:rPr>
          <w:rFonts w:ascii="Arial" w:eastAsia="Arial" w:hAnsi="Arial" w:cs="Arial"/>
          <w:noProof/>
          <w:sz w:val="22"/>
          <w:szCs w:val="22"/>
        </w:rPr>
        <w:lastRenderedPageBreak/>
        <w:t>Reeder et al. 2012; Fenton et al. 2015)</w:t>
      </w:r>
      <w:r w:rsidR="00A12BB7">
        <w:rPr>
          <w:rFonts w:ascii="Arial" w:eastAsia="Arial" w:hAnsi="Arial" w:cs="Arial"/>
          <w:sz w:val="22"/>
          <w:szCs w:val="22"/>
        </w:rPr>
        <w:fldChar w:fldCharType="end"/>
      </w:r>
      <w:r w:rsidR="00A12BB7">
        <w:rPr>
          <w:rFonts w:ascii="Arial" w:eastAsia="Arial" w:hAnsi="Arial" w:cs="Arial"/>
          <w:sz w:val="22"/>
          <w:szCs w:val="22"/>
        </w:rPr>
        <w:t xml:space="preserve">. </w:t>
      </w:r>
      <w:r w:rsidR="00B11315">
        <w:rPr>
          <w:rFonts w:ascii="Arial" w:eastAsia="Arial" w:hAnsi="Arial" w:cs="Arial"/>
          <w:sz w:val="22"/>
          <w:szCs w:val="22"/>
        </w:rPr>
        <w:t xml:space="preserve">Clearly, the identity of those key host species would be critical information for understanding infection dynamics in the host community, but </w:t>
      </w:r>
      <w:r w:rsidR="002E61CF">
        <w:rPr>
          <w:rFonts w:ascii="Arial" w:eastAsia="Arial" w:hAnsi="Arial" w:cs="Arial"/>
          <w:sz w:val="22"/>
          <w:szCs w:val="22"/>
        </w:rPr>
        <w:t xml:space="preserve">separating </w:t>
      </w:r>
      <w:r w:rsidR="00B11315">
        <w:rPr>
          <w:rFonts w:ascii="Arial" w:eastAsia="Arial" w:hAnsi="Arial" w:cs="Arial"/>
          <w:sz w:val="22"/>
          <w:szCs w:val="22"/>
        </w:rPr>
        <w:t xml:space="preserve">the identities of the other hosts may not be essential. It is certainly plausible that some host species could be ignored or grouped as single ‘non-key’ hosts. Such uncertainties around the importance of host species identities in multi-host infection dynamics remain to be resolved empirically. </w:t>
      </w:r>
    </w:p>
    <w:p w14:paraId="46992330" w14:textId="2EDA625C"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This study sought to determine the extent to which host species identities matter to multi-host dynamics of the generalist fungal parasite of amphibians, </w:t>
      </w:r>
      <w:r>
        <w:rPr>
          <w:rFonts w:ascii="Arial" w:eastAsia="Arial" w:hAnsi="Arial" w:cs="Arial"/>
          <w:i/>
          <w:sz w:val="22"/>
          <w:szCs w:val="22"/>
        </w:rPr>
        <w:t>Batrachochytrium dendrobatidis</w:t>
      </w:r>
      <w:r>
        <w:rPr>
          <w:rFonts w:ascii="Arial" w:eastAsia="Arial" w:hAnsi="Arial" w:cs="Arial"/>
          <w:sz w:val="22"/>
          <w:szCs w:val="22"/>
        </w:rPr>
        <w:t xml:space="preserve"> (</w:t>
      </w:r>
      <w:r>
        <w:rPr>
          <w:rFonts w:ascii="Arial" w:eastAsia="Arial" w:hAnsi="Arial" w:cs="Arial"/>
          <w:i/>
          <w:sz w:val="22"/>
          <w:szCs w:val="22"/>
        </w:rPr>
        <w:t>Bd</w:t>
      </w:r>
      <w:r>
        <w:rPr>
          <w:rFonts w:ascii="Arial" w:eastAsia="Arial" w:hAnsi="Arial" w:cs="Arial"/>
          <w:sz w:val="22"/>
          <w:szCs w:val="22"/>
        </w:rPr>
        <w:t xml:space="preserve">). </w:t>
      </w:r>
      <w:r>
        <w:rPr>
          <w:rFonts w:ascii="Arial" w:eastAsia="Arial" w:hAnsi="Arial" w:cs="Arial"/>
          <w:i/>
          <w:sz w:val="22"/>
          <w:szCs w:val="22"/>
        </w:rPr>
        <w:t>Bd</w:t>
      </w:r>
      <w:r>
        <w:rPr>
          <w:rFonts w:ascii="Arial" w:eastAsia="Arial" w:hAnsi="Arial" w:cs="Arial"/>
          <w:sz w:val="22"/>
          <w:szCs w:val="22"/>
        </w:rPr>
        <w:t xml:space="preserve"> infects keratinized skin of myriad amphibian species as aquatic zoospores, and host species responses to </w:t>
      </w:r>
      <w:r>
        <w:rPr>
          <w:rFonts w:ascii="Arial" w:eastAsia="Arial" w:hAnsi="Arial" w:cs="Arial"/>
          <w:i/>
          <w:sz w:val="22"/>
          <w:szCs w:val="22"/>
        </w:rPr>
        <w:t>Bd</w:t>
      </w:r>
      <w:r>
        <w:rPr>
          <w:rFonts w:ascii="Arial" w:eastAsia="Arial" w:hAnsi="Arial" w:cs="Arial"/>
          <w:sz w:val="22"/>
          <w:szCs w:val="22"/>
        </w:rPr>
        <w:t xml:space="preserve"> exposure vary widely</w:t>
      </w:r>
      <w:r w:rsidR="00A12BB7">
        <w:rPr>
          <w:rFonts w:ascii="Arial" w:eastAsia="Arial" w:hAnsi="Arial" w:cs="Arial"/>
          <w:sz w:val="22"/>
          <w:szCs w:val="22"/>
        </w:rPr>
        <w:t xml:space="preserve"> </w:t>
      </w:r>
      <w:r>
        <w:rPr>
          <w:rFonts w:ascii="Arial" w:eastAsia="Arial" w:hAnsi="Arial" w:cs="Arial"/>
          <w:sz w:val="22"/>
          <w:szCs w:val="22"/>
        </w:rPr>
        <w:t xml:space="preserve"> </w:t>
      </w:r>
      <w:r w:rsidR="00A12BB7">
        <w:rPr>
          <w:rFonts w:ascii="Arial" w:eastAsia="Arial" w:hAnsi="Arial" w:cs="Arial"/>
          <w:sz w:val="22"/>
          <w:szCs w:val="22"/>
        </w:rPr>
        <w:fldChar w:fldCharType="begin"/>
      </w:r>
      <w:r w:rsidR="00A12BB7">
        <w:rPr>
          <w:rFonts w:ascii="Arial" w:eastAsia="Arial" w:hAnsi="Arial" w:cs="Arial"/>
          <w:sz w:val="22"/>
          <w:szCs w:val="22"/>
        </w:rPr>
        <w:instrText xml:space="preserve"> ADDIN ZOTERO_ITEM CSL_CITATION {"citationID":"RNv7jojB","properties":{"formattedCitation":"(Gervasi et al. 2013; Bielby et al. 2015; Han et al. 2015)","plainCitation":"(Gervasi et al. 2013; Bielby et al. 2015; Han et al. 2015)","noteIndex":0},"citationItems":[{"id":4365,"uris":["http://zotero.org/users/865335/items/JZ224W3M"],"uri":["http://zotero.org/users/865335/items/JZ224W3M"],"itemData":{"id":4365,"type":"article-journal","container-title":"PLoS ONE","DOI":"10.1371/journal.pone.0054490","ISSN":"1932-6203","issue":"1","language":"en","page":"e54490","source":"CrossRef","title":"Host identity matters in the amphibian-&lt;i&gt;Batrachochytrium dendrobatidis&lt;/i&gt; system: Fine-scale patterns of variation in responses to a multi-host pathogen","title-short":"Host Identity Matters in the Amphibian-Batrachochytrium dendrobatidis System","volume":"8","author":[{"family":"Gervasi","given":"Stephanie"},{"family":"Gondhalekar","given":"Carmen"},{"family":"Olson","given":"Deanna H."},{"family":"Blaustein","given":"Andrew R."}],"editor":[{"family":"Gratwicke","given":"Brian"}],"issued":{"date-parts":[["2013",1,24]]}}},{"id":3117,"uris":["http://zotero.org/users/</w:instrText>
      </w:r>
      <w:r w:rsidR="00A12BB7" w:rsidRPr="00A12BB7">
        <w:rPr>
          <w:rFonts w:ascii="Arial" w:eastAsia="Arial" w:hAnsi="Arial" w:cs="Arial"/>
          <w:sz w:val="22"/>
          <w:szCs w:val="22"/>
        </w:rPr>
        <w:instrText xml:space="preserve">865335/items/DGBA28EH"],"uri":["http://zotero.org/users/865335/items/DGBA28EH"],"itemData":{"id":3117,"type":"article-journal","container-title":"Scientific Reports","DOI":"10.1038/srep10828","ISSN":"2045-2322","page":"10828","source":"CrossRef","title":"Host species vary in infection probability, sub-lethal effects, and costs of immune response when exposed to an amphibian parasite","volume":"5","author":[{"family":"Bielby","given":"Jon"},{"family":"Fisher","given":"Matthew C."},{"family":"Clare","given":"Frances C."},{"family":"Rosa","given":"Gonçalo M."},{"family":"Garner","given":"Trenton W. J."}],"issued":{"date-parts":[["2015",5,29]]}}},{"id":2948,"uris":["http://zotero.org/users/865335/items/MPW4GF6I"],"uri":["http://zotero.org/users/865335/items/MPW4GF6I"],"itemData":{"id":2948,"type":"article-journal","container-title":"Ecology and Evolution","DOI":"10.1002/ece3.1385","ISSN":"20457758","issue":"7","language":"en","page":"1432-1439","source":"CrossRef","title":"Host species composition influences infection severity among amphibians in the absence of spillover transmission","volume":"5","author":[{"family":"Han","given":"Barbara A."},{"family":"Kerby","given":"Jacob L."},{"family":"Searle","given":"Catherine L."},{"family":"Storfer","given":"Andrew"},{"family":"Blaustein","given":"Andrew R."}],"issued":{"date-parts":[["2015",4]]}}}],"schema":"https://github.com/citation-style-language/schema/raw/master/csl-citation.json"} </w:instrText>
      </w:r>
      <w:r w:rsidR="00A12BB7">
        <w:rPr>
          <w:rFonts w:ascii="Arial" w:eastAsia="Arial" w:hAnsi="Arial" w:cs="Arial"/>
          <w:sz w:val="22"/>
          <w:szCs w:val="22"/>
        </w:rPr>
        <w:fldChar w:fldCharType="separate"/>
      </w:r>
      <w:r w:rsidR="00CE3F95">
        <w:rPr>
          <w:rFonts w:ascii="Arial" w:eastAsia="Arial" w:hAnsi="Arial" w:cs="Arial"/>
          <w:noProof/>
          <w:sz w:val="22"/>
          <w:szCs w:val="22"/>
        </w:rPr>
        <w:t>(Gervasi et al. 2013; Bielby et al. 2015; Han et al. 2015)</w:t>
      </w:r>
      <w:r w:rsidR="00A12BB7">
        <w:rPr>
          <w:rFonts w:ascii="Arial" w:eastAsia="Arial" w:hAnsi="Arial" w:cs="Arial"/>
          <w:sz w:val="22"/>
          <w:szCs w:val="22"/>
        </w:rPr>
        <w:fldChar w:fldCharType="end"/>
      </w:r>
      <w:r w:rsidRPr="00A12BB7">
        <w:rPr>
          <w:rFonts w:ascii="Arial" w:eastAsia="Arial" w:hAnsi="Arial" w:cs="Arial"/>
          <w:sz w:val="22"/>
          <w:szCs w:val="22"/>
        </w:rPr>
        <w:t xml:space="preserve">. </w:t>
      </w:r>
      <w:r>
        <w:rPr>
          <w:rFonts w:ascii="Arial" w:eastAsia="Arial" w:hAnsi="Arial" w:cs="Arial"/>
          <w:sz w:val="22"/>
          <w:szCs w:val="22"/>
        </w:rPr>
        <w:t>Infections in some species can lead to the disease chytridiomycosis, leading eventually to cardiac arrest of individuals</w:t>
      </w:r>
      <w:r w:rsidR="00BF5FF1">
        <w:rPr>
          <w:rFonts w:ascii="Arial" w:eastAsia="Arial" w:hAnsi="Arial" w:cs="Arial"/>
          <w:sz w:val="22"/>
          <w:szCs w:val="22"/>
        </w:rPr>
        <w:t xml:space="preserve"> </w:t>
      </w:r>
      <w:r>
        <w:rPr>
          <w:rFonts w:ascii="Arial" w:eastAsia="Arial" w:hAnsi="Arial" w:cs="Arial"/>
          <w:sz w:val="22"/>
          <w:szCs w:val="22"/>
        </w:rPr>
        <w:t xml:space="preserve"> </w:t>
      </w:r>
      <w:r w:rsidR="00BF5FF1">
        <w:rPr>
          <w:rFonts w:ascii="Arial" w:eastAsia="Arial" w:hAnsi="Arial" w:cs="Arial"/>
          <w:sz w:val="22"/>
          <w:szCs w:val="22"/>
        </w:rPr>
        <w:fldChar w:fldCharType="begin"/>
      </w:r>
      <w:r w:rsidR="00BF5FF1">
        <w:rPr>
          <w:rFonts w:ascii="Arial" w:eastAsia="Arial" w:hAnsi="Arial" w:cs="Arial"/>
          <w:sz w:val="22"/>
          <w:szCs w:val="22"/>
        </w:rPr>
        <w:instrText xml:space="preserve"> ADDIN ZOTERO_ITEM CSL_CITATION {"citationID":"ylIbqcZ5","properties":{"formattedCitation":"(Voyles et al. 2009)","plainCitation":"(Voyles et al. 2009)","noteIndex":0},"citationItems":[{"id":3437,"uris":["http://zotero.org/users/865335/items/VMWIIRH9"],"uri":["http://zotero.org/users/865335/items/VMWIIRH9"],"itemData":{"id":3437,"type":"article-journal","abstract":"The pathogen Batrachochytrium dendrobatidis (Bd), which causes the skin disease chytridiomycosis, is one of the few highly virulent fungi in vertebrates and has been implicated in worldwide amphibian declines. However, the mechanism by which Bd causes death has not been determined. We show that Bd infection is associated with pathophysiological changes that lead to mortality in green tree frogs (Litoria caerulea). In diseased individuals, electrolyte transport across the epidermis was inhibited by &gt;50%, plasma sodium and potassium concentrations were respectively reduced by ~20% and ~50%, and asystolic cardiac arrest resulted in death. Because the skin is critical in maintaining amphibian homeostasis, disruption to cutaneous function may be the mechanism by which Bd produces morbidity and mortality across a wide range of phylogenetically distant amphibian taxa.","container-title":"Science","DOI":"10.1126/science.1176765","ISSN":"0036-8075, 1095-9203","issue":"5952","journalAbbreviation":"Science","language":"en","note":"PMID: 19900897","page":"582-585","source":"www.sciencemag.org","title":"Pathogenesis of chytridiomycosis, a cause of catastrophic amphibian declines","volume":"326","author":[{"family":"Voyles","given":"Jamie"},{"family":"Young","given":"Sam"},{"family":"Berger","given":"Lee"},{"family":"Campbell","given":"Craig"},{"family":"Voyles","given":"Wyatt F."},{"family":"Dinudom","given":"Anuwat"},{"family":"Cook","given":"David"},{"family":"Webb","given":"Rebecca"},{"family":"Alford","given":"Ross A."},{"family":"Skerratt","given":"Lee F."},{"family":"Speare","given":"Rick"}],"issued":{"date-parts":[["2009",10,23]]}}}],"schema":"https://github.com/citation-style-language/schema/raw/master/csl-citation.json"} </w:instrText>
      </w:r>
      <w:r w:rsidR="00BF5FF1">
        <w:rPr>
          <w:rFonts w:ascii="Arial" w:eastAsia="Arial" w:hAnsi="Arial" w:cs="Arial"/>
          <w:sz w:val="22"/>
          <w:szCs w:val="22"/>
        </w:rPr>
        <w:fldChar w:fldCharType="separate"/>
      </w:r>
      <w:r w:rsidR="00CE3F95">
        <w:rPr>
          <w:rFonts w:ascii="Arial" w:eastAsia="Arial" w:hAnsi="Arial" w:cs="Arial"/>
          <w:noProof/>
          <w:sz w:val="22"/>
          <w:szCs w:val="22"/>
        </w:rPr>
        <w:t>(Voyles et al. 2009)</w:t>
      </w:r>
      <w:r w:rsidR="00BF5FF1">
        <w:rPr>
          <w:rFonts w:ascii="Arial" w:eastAsia="Arial" w:hAnsi="Arial" w:cs="Arial"/>
          <w:sz w:val="22"/>
          <w:szCs w:val="22"/>
        </w:rPr>
        <w:fldChar w:fldCharType="end"/>
      </w:r>
      <w:r>
        <w:rPr>
          <w:rFonts w:ascii="Arial" w:eastAsia="Arial" w:hAnsi="Arial" w:cs="Arial"/>
          <w:sz w:val="22"/>
          <w:szCs w:val="22"/>
        </w:rPr>
        <w:t xml:space="preserve"> and severe declines of populations</w:t>
      </w:r>
      <w:r w:rsidR="00A12BB7">
        <w:rPr>
          <w:rFonts w:ascii="Arial" w:eastAsia="Arial" w:hAnsi="Arial" w:cs="Arial"/>
          <w:sz w:val="22"/>
          <w:szCs w:val="22"/>
        </w:rPr>
        <w:t xml:space="preserve"> </w:t>
      </w:r>
      <w:r w:rsidR="00A12BB7">
        <w:rPr>
          <w:rFonts w:ascii="Arial" w:eastAsia="Arial" w:hAnsi="Arial" w:cs="Arial"/>
          <w:sz w:val="22"/>
          <w:szCs w:val="22"/>
        </w:rPr>
        <w:fldChar w:fldCharType="begin"/>
      </w:r>
      <w:r w:rsidR="00A12BB7">
        <w:rPr>
          <w:rFonts w:ascii="Arial" w:eastAsia="Arial" w:hAnsi="Arial" w:cs="Arial"/>
          <w:sz w:val="22"/>
          <w:szCs w:val="22"/>
        </w:rPr>
        <w:instrText xml:space="preserve"> ADDIN ZOTERO_ITEM CSL_CITATION {"citationID":"sur9lVY3","properties":{"formattedCitation":"(Bosch et al. 2001; Briggs et al. 2010)","plainCitation":"(Bosch et al. 2001; Briggs et al. 2010)","noteIndex":0},"citationItems":[{"id":1364,"uris":["http://zotero.org/users/865335/items/5GQCM2NC"],"uri":["http://zotero.org/users/865335/items/5GQCM2NC"],"itemData":{"id":1364,"type":"article-journal","container-title":"Biological conservation","issue":"3","page":"331–337","source":"Google Scholar","title":"Evidence of a chytrid fungus infection involved in the decline of the common midwife toad (&lt;i&gt;Alytes obstetricans&lt;/i&gt;) in protected areas of central Spain","volume":"97","author":[{"family":"Bosch","given":"Jaime"},{"family":"Martı́nez-Solano","given":"Iñigo"},{"family":"Garcı́a-Parı́s","given":"Mario"}],"issued":{"date-parts":[["2001"]]}}},{"id":181,"uris":["http://zotero.org/users/865335/items/VSZ9SXS7"],"uri":["http://zotero.org/users/865335/items/VSZ9SXS7"],"itemData":{"id":181,"type":"article-journal","container-title":"Proceedings of the National Academy of Sciences","DOI":"10.1073/pnas.0912886107","ISSN":"0027-8424, 1091-6490","issue":"21","page":"9695-9700","source":"CrossRef","title":"Enzootic and epizootic dynamics of the chytrid fungal pathogen of amphibians","volume":"107","author":[{"family":"Briggs","given":"C. J."},{"family":"Knapp","given":"R. A."},{"family":"Vredenburg","given":"V. T."}],"issued":{"date-parts":[["2010",5,10]]}}}],"schema":"https://github.com/citation-style-language/schema/raw/master/csl-citation.json"} </w:instrText>
      </w:r>
      <w:r w:rsidR="00A12BB7">
        <w:rPr>
          <w:rFonts w:ascii="Arial" w:eastAsia="Arial" w:hAnsi="Arial" w:cs="Arial"/>
          <w:sz w:val="22"/>
          <w:szCs w:val="22"/>
        </w:rPr>
        <w:fldChar w:fldCharType="separate"/>
      </w:r>
      <w:r w:rsidR="00CE3F95">
        <w:rPr>
          <w:rFonts w:ascii="Arial" w:eastAsia="Arial" w:hAnsi="Arial" w:cs="Arial"/>
          <w:noProof/>
          <w:sz w:val="22"/>
          <w:szCs w:val="22"/>
        </w:rPr>
        <w:t>(Bosch et al. 2001; Briggs et al. 2010)</w:t>
      </w:r>
      <w:r w:rsidR="00A12BB7">
        <w:rPr>
          <w:rFonts w:ascii="Arial" w:eastAsia="Arial" w:hAnsi="Arial" w:cs="Arial"/>
          <w:sz w:val="22"/>
          <w:szCs w:val="22"/>
        </w:rPr>
        <w:fldChar w:fldCharType="end"/>
      </w:r>
      <w:r>
        <w:rPr>
          <w:rFonts w:ascii="Arial" w:eastAsia="Arial" w:hAnsi="Arial" w:cs="Arial"/>
          <w:sz w:val="22"/>
          <w:szCs w:val="22"/>
        </w:rPr>
        <w:t xml:space="preserve">. Many amphibian species contract infections without developing chytridiomycosis, however, allowing </w:t>
      </w:r>
      <w:r>
        <w:rPr>
          <w:rFonts w:ascii="Arial" w:eastAsia="Arial" w:hAnsi="Arial" w:cs="Arial"/>
          <w:i/>
          <w:sz w:val="22"/>
          <w:szCs w:val="22"/>
        </w:rPr>
        <w:t>Bd</w:t>
      </w:r>
      <w:r>
        <w:rPr>
          <w:rFonts w:ascii="Arial" w:eastAsia="Arial" w:hAnsi="Arial" w:cs="Arial"/>
          <w:sz w:val="22"/>
          <w:szCs w:val="22"/>
        </w:rPr>
        <w:t xml:space="preserve"> to persist endemically</w:t>
      </w:r>
      <w:r w:rsidR="00A12BB7">
        <w:rPr>
          <w:rFonts w:ascii="Arial" w:eastAsia="Arial" w:hAnsi="Arial" w:cs="Arial"/>
          <w:sz w:val="22"/>
          <w:szCs w:val="22"/>
        </w:rPr>
        <w:t xml:space="preserve"> </w:t>
      </w:r>
      <w:r w:rsidR="00A12BB7">
        <w:rPr>
          <w:rFonts w:ascii="Arial" w:eastAsia="Arial" w:hAnsi="Arial" w:cs="Arial"/>
          <w:sz w:val="22"/>
          <w:szCs w:val="22"/>
        </w:rPr>
        <w:fldChar w:fldCharType="begin"/>
      </w:r>
      <w:r w:rsidR="00A12BB7">
        <w:rPr>
          <w:rFonts w:ascii="Arial" w:eastAsia="Arial" w:hAnsi="Arial" w:cs="Arial"/>
          <w:sz w:val="22"/>
          <w:szCs w:val="22"/>
        </w:rPr>
        <w:instrText xml:space="preserve"> ADDIN ZOTERO_ITEM CSL_CITATION {"citationID":"QZFKaxDN","properties":{"formattedCitation":"(Scheele et al. 2017; Spitzen-van der Sluijs et al. 2017)","plainCitation":"(Scheele et al. 2017; Spitzen-van der Sluijs et al. 2017)","noteIndex":0},"citationItems":[{"id":6008,"uris":["http://zotero.org/users/865335/items/JB5SG5W8"],"uri":["http://zotero.org/users/865335/items/JB5SG5W8"],"itemData":{"id":6008,"type":"article-journal","container-title":"Biological Conservation","DOI":"10.1016/j.biocon.2016.12.010","ISSN":"00063207","language":"en","page":"37-46","source":"CrossRef","title":"After the epidemic: Ongoing declines, stabilizations and recoveries in amphibians afflicted by chytridiomycosis","title-short":"After the epidemic","volume":"206","author":[{"family":"Scheele","given":"Ben C."},{"family":"Skerratt","given":"Lee F."},{"family":"Grogan","given":"Laura F."},{"family":"Hunter","given":"David A."},{"family":"Clemann","given":"Nick"},{"family":"McFadden","given":"Michael"},{"family":"Newell","given":"David"},{"family":"Hoskin","given":"Conrad J."},{"family":"Gillespie","given":"Graeme R."},{"family":"Heard","given":"Geoffrey W."},{"family":"Brannelly","given":"Laura"},{"family":"Roberts","given":"Alexandra A."},{"family":"Berger","given":"Lee"}],"issued":{"date-parts":[["2017",2]]}}},{"id":6515,"uris":["http://zotero.org/users/865335/items/NWJTET2V"],"uri":["http://zotero.org/users/865335/items/NWJTET2V"],"itemData":{"id":6515,"type":"article-journal","container-title":"Proceedings of the Royal Society B: Biological Sciences","DOI":"10.1098/rspb.2017.1444","ISSN":"0962-8452, 1471-2954","issue":"1864","language":"en","page":"20171444","source":"CrossRef","title":"Fragile coexistence of a global chytrid pathogen with amphibian populations is mediated by environment and demography","volume":"284","author":[{"family":"Spitzen-van der Sluijs","given":"Annemarieke"},{"family":"Canessa","given":"Stefano"},{"family":"Martel","given":"An"},{"family":"Pasmans","given":"Frank"}],"issued":{"date-parts":[["2017",10,11]]}}}],"schema":"https://github.com/citation-style-language/schema/raw/master/csl-citation.json"} </w:instrText>
      </w:r>
      <w:r w:rsidR="00A12BB7">
        <w:rPr>
          <w:rFonts w:ascii="Arial" w:eastAsia="Arial" w:hAnsi="Arial" w:cs="Arial"/>
          <w:sz w:val="22"/>
          <w:szCs w:val="22"/>
        </w:rPr>
        <w:fldChar w:fldCharType="separate"/>
      </w:r>
      <w:r w:rsidR="00CE3F95">
        <w:rPr>
          <w:rFonts w:ascii="Arial" w:eastAsia="Arial" w:hAnsi="Arial" w:cs="Arial"/>
          <w:noProof/>
          <w:sz w:val="22"/>
          <w:szCs w:val="22"/>
        </w:rPr>
        <w:t>(Scheele et al. 2017; Spitzen-van der Sluijs et al. 2017)</w:t>
      </w:r>
      <w:r w:rsidR="00A12BB7">
        <w:rPr>
          <w:rFonts w:ascii="Arial" w:eastAsia="Arial" w:hAnsi="Arial" w:cs="Arial"/>
          <w:sz w:val="22"/>
          <w:szCs w:val="22"/>
        </w:rPr>
        <w:fldChar w:fldCharType="end"/>
      </w:r>
      <w:r w:rsidR="00A12BB7">
        <w:rPr>
          <w:rFonts w:ascii="Arial" w:eastAsia="Arial" w:hAnsi="Arial" w:cs="Arial"/>
          <w:sz w:val="22"/>
          <w:szCs w:val="22"/>
        </w:rPr>
        <w:t xml:space="preserve">. </w:t>
      </w:r>
      <w:r>
        <w:rPr>
          <w:rFonts w:ascii="Arial" w:eastAsia="Arial" w:hAnsi="Arial" w:cs="Arial"/>
          <w:sz w:val="22"/>
          <w:szCs w:val="22"/>
        </w:rPr>
        <w:t>Certain species can clear infections as well</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{"citationID":"4wmqImUT","properties":{"formattedCitation":"(Daversa et al. 2018)","plainCitation":"(Daversa et al. 2018)","noteIndex":0},"citationItems":[{"id":6625,"uris":["http://zotero.org/users/865335/items/Z8F3G6FW"],"uri":["http://zotero.org/users/865335/items/Z8F3G6FW"],"itemData":{"id":6625,"type":"article-journal","abstract":"1. Animals switch habitats on a regular basis, and when habitats vary in suitability for parasitism, routine habitat switching alters the frequency of parasite exposure and may affect post-i­nfection parasite proliferation. However, the effects of routine habitat switching on infection dynamics are not well understood.","container-title":"Functional Ecology","DOI":"10.1111/1365-2435.13038","ISSN":"02698463","issue":"5","language":"en","page":"1262-1270","source":"Crossref","title":"Routine habitat switching alters the likelihood and persistence of infection with a pathogenic parasite","volume":"32","author":[{"family":"Daversa","given":"David R."},{"family":"Manica","given":"Andrea"},{"family":"Bosch","given":"Jaime"},{"family":"Jolles","given":"Jolle W."},{"family":"Garner","given":"Trenton W. J."}],"editor":[{"family":"Hawley","given":"Dana"}],"issued":{"date-parts":[["2018",5]]}}}],"schema":"https://github.com/citation-style-language/schema/raw/master/csl-citation.json"}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(Daversa et al. 2018)</w:t>
      </w:r>
      <w:r w:rsidR="004A09A9">
        <w:rPr>
          <w:rFonts w:ascii="Arial" w:eastAsia="Arial" w:hAnsi="Arial" w:cs="Arial"/>
          <w:sz w:val="22"/>
          <w:szCs w:val="22"/>
        </w:rPr>
        <w:fldChar w:fldCharType="end"/>
      </w:r>
      <w:r>
        <w:rPr>
          <w:rFonts w:ascii="Arial" w:eastAsia="Arial" w:hAnsi="Arial" w:cs="Arial"/>
          <w:sz w:val="22"/>
          <w:szCs w:val="22"/>
        </w:rPr>
        <w:t xml:space="preserve">, potentially precluding </w:t>
      </w:r>
      <w:r>
        <w:rPr>
          <w:rFonts w:ascii="Arial" w:eastAsia="Arial" w:hAnsi="Arial" w:cs="Arial"/>
          <w:i/>
          <w:sz w:val="22"/>
          <w:szCs w:val="22"/>
        </w:rPr>
        <w:t>Bd</w:t>
      </w:r>
      <w:r>
        <w:rPr>
          <w:rFonts w:ascii="Arial" w:eastAsia="Arial" w:hAnsi="Arial" w:cs="Arial"/>
          <w:sz w:val="22"/>
          <w:szCs w:val="22"/>
        </w:rPr>
        <w:t xml:space="preserve"> establishment following invasions. </w:t>
      </w:r>
    </w:p>
    <w:p w14:paraId="7BE7B623" w14:textId="06D37FBD" w:rsidR="00BF3D8E" w:rsidRDefault="00B11315" w:rsidP="008D412D">
      <w:pPr>
        <w:spacing w:line="480" w:lineRule="auto"/>
        <w:ind w:firstLine="720"/>
        <w:rPr>
          <w:rFonts w:ascii="Arial" w:eastAsia="Arial" w:hAnsi="Arial" w:cs="Arial"/>
          <w:sz w:val="22"/>
          <w:szCs w:val="22"/>
        </w:rPr>
      </w:pPr>
      <w:r>
        <w:rPr>
          <w:rFonts w:ascii="Arial" w:eastAsia="Arial" w:hAnsi="Arial" w:cs="Arial"/>
          <w:sz w:val="22"/>
          <w:szCs w:val="22"/>
        </w:rPr>
        <w:t xml:space="preserve">Interspecific variation in amphibian responses to </w:t>
      </w:r>
      <w:r>
        <w:rPr>
          <w:rFonts w:ascii="Arial" w:eastAsia="Arial" w:hAnsi="Arial" w:cs="Arial"/>
          <w:i/>
          <w:sz w:val="22"/>
          <w:szCs w:val="22"/>
        </w:rPr>
        <w:t>Bd</w:t>
      </w:r>
      <w:r>
        <w:rPr>
          <w:rFonts w:ascii="Arial" w:eastAsia="Arial" w:hAnsi="Arial" w:cs="Arial"/>
          <w:sz w:val="22"/>
          <w:szCs w:val="22"/>
        </w:rPr>
        <w:t xml:space="preserve"> permits the hypothesis that host species identity is a key factor in</w:t>
      </w:r>
      <w:r w:rsidR="00240277">
        <w:rPr>
          <w:rFonts w:ascii="Arial" w:eastAsia="Arial" w:hAnsi="Arial" w:cs="Arial"/>
          <w:sz w:val="22"/>
          <w:szCs w:val="22"/>
        </w:rPr>
        <w:t xml:space="preserve"> community-level</w:t>
      </w:r>
      <w:r>
        <w:rPr>
          <w:rFonts w:ascii="Arial" w:eastAsia="Arial" w:hAnsi="Arial" w:cs="Arial"/>
          <w:sz w:val="22"/>
          <w:szCs w:val="22"/>
        </w:rPr>
        <w:t xml:space="preserve"> </w:t>
      </w:r>
      <w:r>
        <w:rPr>
          <w:rFonts w:ascii="Arial" w:eastAsia="Arial" w:hAnsi="Arial" w:cs="Arial"/>
          <w:i/>
          <w:sz w:val="22"/>
          <w:szCs w:val="22"/>
        </w:rPr>
        <w:t>Bd</w:t>
      </w:r>
      <w:r>
        <w:rPr>
          <w:rFonts w:ascii="Arial" w:eastAsia="Arial" w:hAnsi="Arial" w:cs="Arial"/>
          <w:sz w:val="22"/>
          <w:szCs w:val="22"/>
        </w:rPr>
        <w:t xml:space="preserve"> persistence </w:t>
      </w:r>
      <w:r w:rsidR="00240277">
        <w:rPr>
          <w:rFonts w:ascii="Arial" w:eastAsia="Arial" w:hAnsi="Arial" w:cs="Arial"/>
          <w:sz w:val="22"/>
          <w:szCs w:val="22"/>
        </w:rPr>
        <w:t xml:space="preserve">following an invasion.  </w:t>
      </w:r>
      <w:r>
        <w:rPr>
          <w:rFonts w:ascii="Arial" w:eastAsia="Arial" w:hAnsi="Arial" w:cs="Arial"/>
          <w:sz w:val="22"/>
          <w:szCs w:val="22"/>
        </w:rPr>
        <w:t xml:space="preserve">We tested this hypothesis by experimentally mimicking </w:t>
      </w:r>
      <w:r>
        <w:rPr>
          <w:rFonts w:ascii="Arial" w:eastAsia="Arial" w:hAnsi="Arial" w:cs="Arial"/>
          <w:i/>
          <w:sz w:val="22"/>
          <w:szCs w:val="22"/>
        </w:rPr>
        <w:t>Bd</w:t>
      </w:r>
      <w:r>
        <w:rPr>
          <w:rFonts w:ascii="Arial" w:eastAsia="Arial" w:hAnsi="Arial" w:cs="Arial"/>
          <w:sz w:val="22"/>
          <w:szCs w:val="22"/>
        </w:rPr>
        <w:t xml:space="preserve"> invasions across a range of host communities that varied in relative abundances of constituent host species. We used the experimental data to examine infection dynamics, both at the level of species and of communities, using metrics with different levels of detail on host communities. First, we examined infection dynamics in the most abundant (i.e., dominant) host species alone, ignoring co-occurring hosts, to determine whether </w:t>
      </w:r>
      <w:r>
        <w:rPr>
          <w:rFonts w:ascii="Arial" w:eastAsia="Arial" w:hAnsi="Arial" w:cs="Arial"/>
          <w:i/>
          <w:sz w:val="22"/>
          <w:szCs w:val="22"/>
        </w:rPr>
        <w:t>Bd</w:t>
      </w:r>
      <w:r>
        <w:rPr>
          <w:rFonts w:ascii="Arial" w:eastAsia="Arial" w:hAnsi="Arial" w:cs="Arial"/>
          <w:sz w:val="22"/>
          <w:szCs w:val="22"/>
        </w:rPr>
        <w:t xml:space="preserve"> maintenance was explained </w:t>
      </w:r>
      <w:r w:rsidR="00E3482C">
        <w:rPr>
          <w:rFonts w:ascii="Arial" w:eastAsia="Arial" w:hAnsi="Arial" w:cs="Arial"/>
          <w:sz w:val="22"/>
          <w:szCs w:val="22"/>
        </w:rPr>
        <w:t xml:space="preserve">solely </w:t>
      </w:r>
      <w:r>
        <w:rPr>
          <w:rFonts w:ascii="Arial" w:eastAsia="Arial" w:hAnsi="Arial" w:cs="Arial"/>
          <w:sz w:val="22"/>
          <w:szCs w:val="22"/>
        </w:rPr>
        <w:t xml:space="preserve">by the numerically dominant host. Second, we considered all host species and fully incorporated </w:t>
      </w:r>
      <w:r w:rsidR="00AA37EA">
        <w:rPr>
          <w:rFonts w:ascii="Arial" w:eastAsia="Arial" w:hAnsi="Arial" w:cs="Arial"/>
          <w:sz w:val="22"/>
          <w:szCs w:val="22"/>
        </w:rPr>
        <w:t>host species identities</w:t>
      </w:r>
      <w:r>
        <w:rPr>
          <w:rFonts w:ascii="Arial" w:eastAsia="Arial" w:hAnsi="Arial" w:cs="Arial"/>
          <w:sz w:val="22"/>
          <w:szCs w:val="22"/>
        </w:rPr>
        <w:t xml:space="preserve"> in an analysis of how </w:t>
      </w:r>
      <w:r>
        <w:rPr>
          <w:rFonts w:ascii="Arial" w:eastAsia="Arial" w:hAnsi="Arial" w:cs="Arial"/>
          <w:i/>
          <w:sz w:val="22"/>
          <w:szCs w:val="22"/>
        </w:rPr>
        <w:t>Bd</w:t>
      </w:r>
      <w:r>
        <w:rPr>
          <w:rFonts w:ascii="Arial" w:eastAsia="Arial" w:hAnsi="Arial" w:cs="Arial"/>
          <w:sz w:val="22"/>
          <w:szCs w:val="22"/>
        </w:rPr>
        <w:t xml:space="preserve"> was maintained in host communities during experimental invasions. Third, we examined how species-specific roles in </w:t>
      </w:r>
      <w:r>
        <w:rPr>
          <w:rFonts w:ascii="Arial" w:eastAsia="Arial" w:hAnsi="Arial" w:cs="Arial"/>
          <w:i/>
          <w:sz w:val="22"/>
          <w:szCs w:val="22"/>
        </w:rPr>
        <w:t>Bd</w:t>
      </w:r>
      <w:r>
        <w:rPr>
          <w:rFonts w:ascii="Arial" w:eastAsia="Arial" w:hAnsi="Arial" w:cs="Arial"/>
          <w:sz w:val="22"/>
          <w:szCs w:val="22"/>
        </w:rPr>
        <w:t xml:space="preserve"> dynamics translated into variation in </w:t>
      </w:r>
      <w:r>
        <w:rPr>
          <w:rFonts w:ascii="Arial" w:eastAsia="Arial" w:hAnsi="Arial" w:cs="Arial"/>
          <w:sz w:val="22"/>
          <w:szCs w:val="22"/>
        </w:rPr>
        <w:lastRenderedPageBreak/>
        <w:t>community-level infection prevalence and the overall basic reproduction number (R</w:t>
      </w:r>
      <w:r>
        <w:rPr>
          <w:rFonts w:ascii="Arial" w:eastAsia="Arial" w:hAnsi="Arial" w:cs="Arial"/>
          <w:sz w:val="22"/>
          <w:szCs w:val="22"/>
          <w:vertAlign w:val="subscript"/>
        </w:rPr>
        <w:t>0,TOT</w:t>
      </w:r>
      <w:r>
        <w:rPr>
          <w:rFonts w:ascii="Arial" w:eastAsia="Arial" w:hAnsi="Arial" w:cs="Arial"/>
          <w:sz w:val="22"/>
          <w:szCs w:val="22"/>
        </w:rPr>
        <w:t>) of the parasite</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{"citationID":"DKCkoDrF","properties":{"formattedCitation":"(Fenton et al. 2015)","plainCitation":"(Fenton et al. 2015)","noteIndex":0},"citationItems":[{"id":5232,"uris":["http://zotero.org/users/865335/items/EMFV2ZQ7"],"uri":["http://zotero.org/users/865335/items/EMFV2ZQ7"],"itemData":{"id":5232,"type":"article-journal","container-title":"The American Naturalist","DOI":"10.1086/683173","ISSN":"0003-0147, 1537-5323","issue":"5","language":"en","page":"610-622","source":"CrossRef","title":"Are all hosts created equal? Partitioning host species contributions to parasite persistence in multihost communities","title-short":"Are All Hosts Created Equal?","volume":"186","author":[{"family":"Fenton","given":"Andy"},{"family":"Streicker","given":"Daniel G."},{"family":"Petchey","given":"Owen L."},{"family":"Pedersen","given":"Amy B."}],"issued":{"date-parts":[["2015",11]]}}}],"schema":"https://github.com/citation-style-language/schema/raw/master/csl-citation.json"}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(Fenton et al. 2015)</w:t>
      </w:r>
      <w:r w:rsidR="004A09A9">
        <w:rPr>
          <w:rFonts w:ascii="Arial" w:eastAsia="Arial" w:hAnsi="Arial" w:cs="Arial"/>
          <w:sz w:val="22"/>
          <w:szCs w:val="22"/>
        </w:rPr>
        <w:fldChar w:fldCharType="end"/>
      </w:r>
      <w:r>
        <w:rPr>
          <w:rFonts w:ascii="Arial" w:eastAsia="Arial" w:hAnsi="Arial" w:cs="Arial"/>
          <w:sz w:val="22"/>
          <w:szCs w:val="22"/>
        </w:rPr>
        <w:t xml:space="preserve">. The study demonstrates limitations of host species richness and identity as predictors of the course of </w:t>
      </w:r>
      <w:r>
        <w:rPr>
          <w:rFonts w:ascii="Arial" w:eastAsia="Arial" w:hAnsi="Arial" w:cs="Arial"/>
          <w:i/>
          <w:sz w:val="22"/>
          <w:szCs w:val="22"/>
        </w:rPr>
        <w:t>Bd</w:t>
      </w:r>
      <w:r>
        <w:rPr>
          <w:rFonts w:ascii="Arial" w:eastAsia="Arial" w:hAnsi="Arial" w:cs="Arial"/>
          <w:sz w:val="22"/>
          <w:szCs w:val="22"/>
        </w:rPr>
        <w:t xml:space="preserve"> invasions. </w:t>
      </w:r>
    </w:p>
    <w:p w14:paraId="0343446B" w14:textId="77777777" w:rsidR="00BF3D8E" w:rsidRDefault="00BF3D8E">
      <w:pPr>
        <w:spacing w:line="480" w:lineRule="auto"/>
        <w:ind w:firstLine="720"/>
        <w:rPr>
          <w:rFonts w:ascii="Arial" w:eastAsia="Arial" w:hAnsi="Arial" w:cs="Arial"/>
          <w:b/>
          <w:sz w:val="22"/>
          <w:szCs w:val="22"/>
        </w:rPr>
      </w:pPr>
    </w:p>
    <w:p w14:paraId="46A47F55" w14:textId="77777777" w:rsidR="00BF3D8E" w:rsidRDefault="00B11315" w:rsidP="005D447A">
      <w:pPr>
        <w:spacing w:line="480" w:lineRule="auto"/>
        <w:jc w:val="center"/>
        <w:rPr>
          <w:rFonts w:ascii="Arial" w:eastAsia="Arial" w:hAnsi="Arial" w:cs="Arial"/>
          <w:b/>
          <w:sz w:val="22"/>
          <w:szCs w:val="22"/>
        </w:rPr>
      </w:pPr>
      <w:r>
        <w:rPr>
          <w:rFonts w:ascii="Arial" w:eastAsia="Arial" w:hAnsi="Arial" w:cs="Arial"/>
          <w:b/>
          <w:sz w:val="22"/>
          <w:szCs w:val="22"/>
        </w:rPr>
        <w:t>Methods</w:t>
      </w:r>
    </w:p>
    <w:p w14:paraId="2FB5BE24" w14:textId="205DEC11" w:rsidR="00BF3D8E" w:rsidRDefault="00B11315" w:rsidP="005D447A">
      <w:pPr>
        <w:spacing w:line="480" w:lineRule="auto"/>
        <w:jc w:val="center"/>
        <w:rPr>
          <w:rFonts w:ascii="Arial" w:eastAsia="Arial" w:hAnsi="Arial" w:cs="Arial"/>
          <w:i/>
          <w:sz w:val="22"/>
          <w:szCs w:val="22"/>
        </w:rPr>
      </w:pPr>
      <w:r>
        <w:rPr>
          <w:rFonts w:ascii="Arial" w:eastAsia="Arial" w:hAnsi="Arial" w:cs="Arial"/>
          <w:i/>
          <w:sz w:val="22"/>
          <w:szCs w:val="22"/>
        </w:rPr>
        <w:t>Study system</w:t>
      </w:r>
    </w:p>
    <w:p w14:paraId="6A4C48E3" w14:textId="766EAEA0"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Our mesocosm experiments were based on amphibian assemblages seen in a network of 242 ponds in the </w:t>
      </w:r>
      <w:proofErr w:type="spellStart"/>
      <w:r>
        <w:rPr>
          <w:rFonts w:ascii="Arial" w:eastAsia="Arial" w:hAnsi="Arial" w:cs="Arial"/>
          <w:sz w:val="22"/>
          <w:szCs w:val="22"/>
        </w:rPr>
        <w:t>Peñalara</w:t>
      </w:r>
      <w:proofErr w:type="spellEnd"/>
      <w:r>
        <w:rPr>
          <w:rFonts w:ascii="Arial" w:eastAsia="Arial" w:hAnsi="Arial" w:cs="Arial"/>
          <w:sz w:val="22"/>
          <w:szCs w:val="22"/>
        </w:rPr>
        <w:t xml:space="preserve"> Massif, part of the </w:t>
      </w:r>
      <w:proofErr w:type="spellStart"/>
      <w:r>
        <w:rPr>
          <w:rFonts w:ascii="Arial" w:eastAsia="Arial" w:hAnsi="Arial" w:cs="Arial"/>
          <w:sz w:val="22"/>
          <w:szCs w:val="22"/>
        </w:rPr>
        <w:t>Guadarrama</w:t>
      </w:r>
      <w:proofErr w:type="spellEnd"/>
      <w:r>
        <w:rPr>
          <w:rFonts w:ascii="Arial" w:eastAsia="Arial" w:hAnsi="Arial" w:cs="Arial"/>
          <w:sz w:val="22"/>
          <w:szCs w:val="22"/>
        </w:rPr>
        <w:t xml:space="preserve"> National Park near Madrid, Spain. </w:t>
      </w:r>
      <w:r>
        <w:rPr>
          <w:rFonts w:ascii="Arial" w:eastAsia="Arial" w:hAnsi="Arial" w:cs="Arial"/>
          <w:i/>
          <w:sz w:val="22"/>
          <w:szCs w:val="22"/>
        </w:rPr>
        <w:t>Bd</w:t>
      </w:r>
      <w:r>
        <w:rPr>
          <w:rFonts w:ascii="Arial" w:eastAsia="Arial" w:hAnsi="Arial" w:cs="Arial"/>
          <w:sz w:val="22"/>
          <w:szCs w:val="22"/>
        </w:rPr>
        <w:t xml:space="preserve"> was first detected at the site in the late 1990’s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{"citationID":"x78MhZdD","properties":{"formattedCitation":"(Bosch et al. 2001)","plainCitation":"(Bosch et al. 2001)","noteIndex":0},"citationItems":[{"id":1364,"uris":["http://zotero.org/users/865335/items/5GQCM2NC"],"uri":["http://zotero.org/users/865335/items/5GQCM2NC"],"itemData":{"id":1364,"type":"article-journal","container-title":"Biological conservation","issue":"3","page":"331–337","source":"Google Scholar","title":"Evidence of a chytrid fungus infection involved in the decline of the common midwife toad (&lt;i&gt;Alytes obstetricans&lt;/i&gt;) in protected areas of central Spain","volume":"97","author":[{"family":"Bosch","given":"Jaime"},{"family":"Martı́nez-Solano","given":"Iñigo"},{"family":"Garcı́a-Parı́s","given":"Mario"}],"issued":{"date-parts":[["2001"]]}}}],"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2001)</w:t>
      </w:r>
      <w:r w:rsidR="004A09A9">
        <w:rPr>
          <w:rFonts w:ascii="Arial" w:eastAsia="Arial" w:hAnsi="Arial" w:cs="Arial"/>
          <w:sz w:val="22"/>
          <w:szCs w:val="22"/>
        </w:rPr>
        <w:fldChar w:fldCharType="end"/>
      </w:r>
      <w:r>
        <w:rPr>
          <w:rFonts w:ascii="Arial" w:eastAsia="Arial" w:hAnsi="Arial" w:cs="Arial"/>
          <w:sz w:val="22"/>
          <w:szCs w:val="22"/>
        </w:rPr>
        <w:t xml:space="preserve"> and has persisted in the amphibian communities ever since</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A8738E">
        <w:rPr>
          <w:rFonts w:ascii="Arial" w:eastAsia="Arial" w:hAnsi="Arial" w:cs="Arial"/>
          <w:sz w:val="22"/>
          <w:szCs w:val="22"/>
        </w:rPr>
        <w:instrText xml:space="preserve"> ADDIN ZOTERO_ITEM CSL_CITATION {"citationID":"d4W53oN7","properties":{"formattedCitation":"(Bosch et al. 2018, 2020)","plainCitation":"(Bosch et al. 2018, 2020)","noteIndex":0},"citationItems":[{"id":6923,"uris":["http://zotero.org/users/865335/items/ITWSASEL"],"uri":["http://zotero.org/users/865335/items/ITWSASEL"],"itemData":{"id":6923,"type":"article-journal","abstract":"Infectious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María"}],"issued":{"date-parts":[["2018",6]]}}},{"id":7887,"uris":["http://zotero.org/users/865335/items/5U465CQ2"],"uri":["http://zotero.org/users/865335/items/5U465CQ2"],"itemData":{"id":7887,"type":"article-journal","abstract":"Infectious diseases are considered major threats to biodiversity, however strategies to mitigate their impacts in the natural world are scarce and largely unsuccessful. Chytridiomycosis is responsible for the decline of hundreds of amphibian species worldwide, but an effective disease management strategy that could be applied across natural habitats is still lacking. In general amphibian larvae can be easily captured, offering opportunities to ascertain the impact of altering the abundance of hosts, considered to be a key parameter affecting the severity of the disease. Here, we report the results of two experiments to investigate how altering host abundance affects infection intensity in amphibian populations of a montane area of Central Spain suffering from lethal amphibian chytridiomycosis. Our laboratory-based experiment supported the conclusion that varying density had a significant effect on infection intensity when salamander larvae were housed at low densities. Our field experiment showed that reducing the abundance of salamander larvae in the field also had a significant, but weak, impact on infection the following year, but only when removals were extreme. While this suggests adjusting host abundance as a mitigation strategy to reduce infection intensity could be useful, our evidence suggests only heavy culling efforts will succeed, which may run contrary to objectives for conservation.","container-title":"PLOS ONE","DOI":"10.1371/journal.pone.0242913","ISSN":"1932-6203","issue":"11","journalAbbreviation":"PLOS ONE","language":"en","note":"publisher: Public Library of Science","page":"e0242913","source":"PLoS Journals","title":"Significant reductions of host abundance weakly impact infection intensity of &lt;i&gt;Batrachochytrium dendrobatidis&lt;/i&gt;","volume":"15","author":[{"family":"Bosch","given":"Jaime"},{"family":"Carrascal","given":"Luis M."},{"family":"Manica","given":"Andrea"},{"family":"Garner","given":"Trenton W. J."}],"issued":{"date-parts":[["2020",11,30]]}}}],"schema":"https://github.com/citation-style-language/schema/raw/master/csl-citation.json"}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2018, 2020)</w:t>
      </w:r>
      <w:r w:rsidR="004A09A9">
        <w:rPr>
          <w:rFonts w:ascii="Arial" w:eastAsia="Arial" w:hAnsi="Arial" w:cs="Arial"/>
          <w:sz w:val="22"/>
          <w:szCs w:val="22"/>
        </w:rPr>
        <w:fldChar w:fldCharType="end"/>
      </w:r>
      <w:r>
        <w:rPr>
          <w:rFonts w:ascii="Arial" w:eastAsia="Arial" w:hAnsi="Arial" w:cs="Arial"/>
          <w:sz w:val="22"/>
          <w:szCs w:val="22"/>
        </w:rPr>
        <w:t xml:space="preserve">. Nine amphibian species occupy the ponds during the summer months for breeding and larval development. We chose three species that are competent hosts of </w:t>
      </w:r>
      <w:r>
        <w:rPr>
          <w:rFonts w:ascii="Arial" w:eastAsia="Arial" w:hAnsi="Arial" w:cs="Arial"/>
          <w:i/>
          <w:sz w:val="22"/>
          <w:szCs w:val="22"/>
        </w:rPr>
        <w:t xml:space="preserve">Bd </w:t>
      </w:r>
      <w:r>
        <w:rPr>
          <w:rFonts w:ascii="Arial" w:eastAsia="Arial" w:hAnsi="Arial" w:cs="Arial"/>
          <w:sz w:val="22"/>
          <w:szCs w:val="22"/>
        </w:rPr>
        <w:t>and vary in overall abundance at the site: larval fire salamanders (</w:t>
      </w:r>
      <w:r>
        <w:rPr>
          <w:rFonts w:ascii="Arial" w:eastAsia="Arial" w:hAnsi="Arial" w:cs="Arial"/>
          <w:i/>
          <w:sz w:val="22"/>
          <w:szCs w:val="22"/>
        </w:rPr>
        <w:t xml:space="preserve">Salamandra </w:t>
      </w:r>
      <w:proofErr w:type="spellStart"/>
      <w:r>
        <w:rPr>
          <w:rFonts w:ascii="Arial" w:eastAsia="Arial" w:hAnsi="Arial" w:cs="Arial"/>
          <w:i/>
          <w:sz w:val="22"/>
          <w:szCs w:val="22"/>
        </w:rPr>
        <w:t>salamandra</w:t>
      </w:r>
      <w:proofErr w:type="spellEnd"/>
      <w:r>
        <w:rPr>
          <w:rFonts w:ascii="Arial" w:eastAsia="Arial" w:hAnsi="Arial" w:cs="Arial"/>
          <w:sz w:val="22"/>
          <w:szCs w:val="22"/>
        </w:rPr>
        <w:t>; hereafter called ‘salamanders’), spiny common toads (</w:t>
      </w:r>
      <w:r>
        <w:rPr>
          <w:rFonts w:ascii="Arial" w:eastAsia="Arial" w:hAnsi="Arial" w:cs="Arial"/>
          <w:i/>
          <w:sz w:val="22"/>
          <w:szCs w:val="22"/>
        </w:rPr>
        <w:t xml:space="preserve">Bufo </w:t>
      </w:r>
      <w:proofErr w:type="spellStart"/>
      <w:r>
        <w:rPr>
          <w:rFonts w:ascii="Arial" w:eastAsia="Arial" w:hAnsi="Arial" w:cs="Arial"/>
          <w:i/>
          <w:sz w:val="22"/>
          <w:szCs w:val="22"/>
        </w:rPr>
        <w:t>spinosus</w:t>
      </w:r>
      <w:proofErr w:type="spellEnd"/>
      <w:r>
        <w:rPr>
          <w:rFonts w:ascii="Arial" w:eastAsia="Arial" w:hAnsi="Arial" w:cs="Arial"/>
          <w:sz w:val="22"/>
          <w:szCs w:val="22"/>
        </w:rPr>
        <w:t>; hereafter called ‘toads’) and Iberian tree frogs (</w:t>
      </w:r>
      <w:proofErr w:type="spellStart"/>
      <w:r>
        <w:rPr>
          <w:rFonts w:ascii="Arial" w:eastAsia="Arial" w:hAnsi="Arial" w:cs="Arial"/>
          <w:i/>
          <w:sz w:val="22"/>
          <w:szCs w:val="22"/>
        </w:rPr>
        <w:t>Hyla</w:t>
      </w:r>
      <w:proofErr w:type="spellEnd"/>
      <w:r>
        <w:rPr>
          <w:rFonts w:ascii="Arial" w:eastAsia="Arial" w:hAnsi="Arial" w:cs="Arial"/>
          <w:i/>
          <w:sz w:val="22"/>
          <w:szCs w:val="22"/>
        </w:rPr>
        <w:t xml:space="preserve"> </w:t>
      </w:r>
      <w:proofErr w:type="spellStart"/>
      <w:r>
        <w:rPr>
          <w:rFonts w:ascii="Arial" w:eastAsia="Arial" w:hAnsi="Arial" w:cs="Arial"/>
          <w:i/>
          <w:sz w:val="22"/>
          <w:szCs w:val="22"/>
        </w:rPr>
        <w:t>molleri</w:t>
      </w:r>
      <w:proofErr w:type="spellEnd"/>
      <w:r>
        <w:rPr>
          <w:rFonts w:ascii="Arial" w:eastAsia="Arial" w:hAnsi="Arial" w:cs="Arial"/>
          <w:i/>
          <w:sz w:val="22"/>
          <w:szCs w:val="22"/>
        </w:rPr>
        <w:t>;</w:t>
      </w:r>
      <w:r>
        <w:rPr>
          <w:rFonts w:ascii="Arial" w:eastAsia="Arial" w:hAnsi="Arial" w:cs="Arial"/>
          <w:sz w:val="22"/>
          <w:szCs w:val="22"/>
        </w:rPr>
        <w:t xml:space="preserve"> hereafter called ‘frogs’). Salamanders are the most widespread species in these sites, and have the highest overall abundance</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{"citationID":"IBdGJp1C","properties":{"formattedCitation":"(Bosch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2018)</w:t>
      </w:r>
      <w:r w:rsidR="004A09A9">
        <w:rPr>
          <w:rFonts w:ascii="Arial" w:eastAsia="Arial" w:hAnsi="Arial" w:cs="Arial"/>
          <w:sz w:val="22"/>
          <w:szCs w:val="22"/>
        </w:rPr>
        <w:fldChar w:fldCharType="end"/>
      </w:r>
      <w:r>
        <w:rPr>
          <w:rFonts w:ascii="Arial" w:eastAsia="Arial" w:hAnsi="Arial" w:cs="Arial"/>
          <w:sz w:val="22"/>
          <w:szCs w:val="22"/>
        </w:rPr>
        <w:t>. We therefore used salamanders as the ‘dominant’ host species in our experimental systems. Local abundances of frog and toad larvae can reach high levels in certain ponds, but their distribution in the network is constrained to a smaller subset of ponds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{"citationID":"K1x9f8rP","properties":{"formattedCitation":"(Bosch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2018)</w:t>
      </w:r>
      <w:r w:rsidR="004A09A9">
        <w:rPr>
          <w:rFonts w:ascii="Arial" w:eastAsia="Arial" w:hAnsi="Arial" w:cs="Arial"/>
          <w:sz w:val="22"/>
          <w:szCs w:val="22"/>
        </w:rPr>
        <w:fldChar w:fldCharType="end"/>
      </w:r>
      <w:r>
        <w:rPr>
          <w:rFonts w:ascii="Arial" w:eastAsia="Arial" w:hAnsi="Arial" w:cs="Arial"/>
          <w:sz w:val="22"/>
          <w:szCs w:val="22"/>
        </w:rPr>
        <w:t xml:space="preserve">. We therefore used frogs and toads as ‘auxiliary’ host species in the experiment. </w:t>
      </w:r>
    </w:p>
    <w:p w14:paraId="0B951631" w14:textId="77777777" w:rsidR="00BF3D8E" w:rsidRDefault="00BF3D8E">
      <w:pPr>
        <w:spacing w:line="480" w:lineRule="auto"/>
        <w:rPr>
          <w:rFonts w:ascii="Arial" w:eastAsia="Arial" w:hAnsi="Arial" w:cs="Arial"/>
          <w:i/>
          <w:sz w:val="22"/>
          <w:szCs w:val="22"/>
        </w:rPr>
      </w:pPr>
    </w:p>
    <w:p w14:paraId="71811497" w14:textId="4E35F9DA" w:rsidR="00BF3D8E" w:rsidRDefault="00B11315" w:rsidP="005D447A">
      <w:pPr>
        <w:spacing w:line="480" w:lineRule="auto"/>
        <w:jc w:val="center"/>
        <w:rPr>
          <w:rFonts w:ascii="Arial" w:eastAsia="Arial" w:hAnsi="Arial" w:cs="Arial"/>
          <w:i/>
          <w:sz w:val="22"/>
          <w:szCs w:val="22"/>
        </w:rPr>
      </w:pPr>
      <w:r>
        <w:rPr>
          <w:rFonts w:ascii="Arial" w:eastAsia="Arial" w:hAnsi="Arial" w:cs="Arial"/>
          <w:i/>
          <w:sz w:val="22"/>
          <w:szCs w:val="22"/>
        </w:rPr>
        <w:t>Experimental approach</w:t>
      </w:r>
    </w:p>
    <w:p w14:paraId="7FFFC6EF" w14:textId="77777777" w:rsidR="00BF3D8E" w:rsidRDefault="00B11315">
      <w:pPr>
        <w:spacing w:line="480" w:lineRule="auto"/>
        <w:ind w:firstLine="360"/>
        <w:rPr>
          <w:rFonts w:ascii="Arial" w:eastAsia="Arial" w:hAnsi="Arial" w:cs="Arial"/>
          <w:strike/>
          <w:sz w:val="22"/>
          <w:szCs w:val="22"/>
        </w:rPr>
      </w:pPr>
      <w:r>
        <w:rPr>
          <w:rFonts w:ascii="Arial" w:eastAsia="Arial" w:hAnsi="Arial" w:cs="Arial"/>
          <w:sz w:val="22"/>
          <w:szCs w:val="22"/>
        </w:rPr>
        <w:t xml:space="preserve">We designed a mesocosm experiment that mimicked episodic invasions by </w:t>
      </w:r>
      <w:r>
        <w:rPr>
          <w:rFonts w:ascii="Arial" w:eastAsia="Arial" w:hAnsi="Arial" w:cs="Arial"/>
          <w:i/>
          <w:sz w:val="22"/>
          <w:szCs w:val="22"/>
        </w:rPr>
        <w:t>Bd</w:t>
      </w:r>
      <w:r>
        <w:rPr>
          <w:rFonts w:ascii="Arial" w:eastAsia="Arial" w:hAnsi="Arial" w:cs="Arial"/>
          <w:sz w:val="22"/>
          <w:szCs w:val="22"/>
        </w:rPr>
        <w:t xml:space="preserve"> into naïve (</w:t>
      </w:r>
      <w:proofErr w:type="gramStart"/>
      <w:r>
        <w:rPr>
          <w:rFonts w:ascii="Arial" w:eastAsia="Arial" w:hAnsi="Arial" w:cs="Arial"/>
          <w:sz w:val="22"/>
          <w:szCs w:val="22"/>
        </w:rPr>
        <w:t>i.e.</w:t>
      </w:r>
      <w:proofErr w:type="gramEnd"/>
      <w:r>
        <w:rPr>
          <w:rFonts w:ascii="Arial" w:eastAsia="Arial" w:hAnsi="Arial" w:cs="Arial"/>
          <w:sz w:val="22"/>
          <w:szCs w:val="22"/>
        </w:rPr>
        <w:t xml:space="preserve"> yearling) larval communities that had equal total host densities but varied in the presence and relative abundance of the three host species. Episodic invasions are multiple sporadic introductions of a parasite into host systems and may occur, for example, from occasional immigration of infected hosts or from anthropogenic disturbance. We included salamanders in all experimental communities at varying abundances to reflect their widespread distribution in the natural system. </w:t>
      </w:r>
    </w:p>
    <w:p w14:paraId="127FB630" w14:textId="0765364C" w:rsidR="00BF3D8E" w:rsidRDefault="00B11315">
      <w:pPr>
        <w:spacing w:line="480" w:lineRule="auto"/>
        <w:ind w:firstLine="360"/>
        <w:rPr>
          <w:rFonts w:ascii="Arial" w:eastAsia="Arial" w:hAnsi="Arial" w:cs="Arial"/>
          <w:i/>
          <w:sz w:val="22"/>
          <w:szCs w:val="22"/>
        </w:rPr>
      </w:pPr>
      <w:r>
        <w:rPr>
          <w:rFonts w:ascii="Arial" w:eastAsia="Arial" w:hAnsi="Arial" w:cs="Arial"/>
          <w:sz w:val="22"/>
          <w:szCs w:val="22"/>
        </w:rPr>
        <w:lastRenderedPageBreak/>
        <w:t xml:space="preserve"> The experiment comprised 5 treatments: (1) </w:t>
      </w:r>
      <w:r>
        <w:rPr>
          <w:rFonts w:ascii="Arial" w:eastAsia="Arial" w:hAnsi="Arial" w:cs="Arial"/>
          <w:i/>
          <w:sz w:val="22"/>
          <w:szCs w:val="22"/>
        </w:rPr>
        <w:t>control</w:t>
      </w:r>
      <w:r>
        <w:rPr>
          <w:rFonts w:ascii="Arial" w:eastAsia="Arial" w:hAnsi="Arial" w:cs="Arial"/>
          <w:sz w:val="22"/>
          <w:szCs w:val="22"/>
        </w:rPr>
        <w:t xml:space="preserve"> - 24 salamanders, (2) </w:t>
      </w:r>
      <w:r>
        <w:rPr>
          <w:rFonts w:ascii="Arial" w:eastAsia="Arial" w:hAnsi="Arial" w:cs="Arial"/>
          <w:i/>
          <w:sz w:val="22"/>
          <w:szCs w:val="22"/>
        </w:rPr>
        <w:t>2 species with toads</w:t>
      </w:r>
      <w:r>
        <w:rPr>
          <w:rFonts w:ascii="Arial" w:eastAsia="Arial" w:hAnsi="Arial" w:cs="Arial"/>
          <w:sz w:val="22"/>
          <w:szCs w:val="22"/>
        </w:rPr>
        <w:t xml:space="preserve"> - 12 salamanders and 12 toads, (3) </w:t>
      </w:r>
      <w:r>
        <w:rPr>
          <w:rFonts w:ascii="Arial" w:eastAsia="Arial" w:hAnsi="Arial" w:cs="Arial"/>
          <w:i/>
          <w:sz w:val="22"/>
          <w:szCs w:val="22"/>
        </w:rPr>
        <w:t>2 species with frogs</w:t>
      </w:r>
      <w:r>
        <w:rPr>
          <w:rFonts w:ascii="Arial" w:eastAsia="Arial" w:hAnsi="Arial" w:cs="Arial"/>
          <w:sz w:val="22"/>
          <w:szCs w:val="22"/>
        </w:rPr>
        <w:t xml:space="preserve"> - 12 salamanders and 12 frogs, (4) </w:t>
      </w:r>
      <w:r>
        <w:rPr>
          <w:rFonts w:ascii="Arial" w:eastAsia="Arial" w:hAnsi="Arial" w:cs="Arial"/>
          <w:i/>
          <w:sz w:val="22"/>
          <w:szCs w:val="22"/>
        </w:rPr>
        <w:t>3 species non-random</w:t>
      </w:r>
      <w:r>
        <w:rPr>
          <w:rFonts w:ascii="Arial" w:eastAsia="Arial" w:hAnsi="Arial" w:cs="Arial"/>
          <w:sz w:val="22"/>
          <w:szCs w:val="22"/>
        </w:rPr>
        <w:t xml:space="preserve"> - 12 salamanders, 6 toads, and 6 frogs, (5) </w:t>
      </w:r>
      <w:r>
        <w:rPr>
          <w:rFonts w:ascii="Arial" w:eastAsia="Arial" w:hAnsi="Arial" w:cs="Arial"/>
          <w:i/>
          <w:sz w:val="22"/>
          <w:szCs w:val="22"/>
        </w:rPr>
        <w:t>3 species random</w:t>
      </w:r>
      <w:r>
        <w:rPr>
          <w:rFonts w:ascii="Arial" w:eastAsia="Arial" w:hAnsi="Arial" w:cs="Arial"/>
          <w:sz w:val="22"/>
          <w:szCs w:val="22"/>
        </w:rPr>
        <w:t xml:space="preserve"> – presence of salamanders, toads, and frogs with relative abundances chosen at random, while maintaining the same overall abundance of individuals (24) as the other treatments. The </w:t>
      </w:r>
      <w:r>
        <w:rPr>
          <w:rFonts w:ascii="Arial" w:eastAsia="Arial" w:hAnsi="Arial" w:cs="Arial"/>
          <w:i/>
          <w:sz w:val="22"/>
          <w:szCs w:val="22"/>
        </w:rPr>
        <w:t>3</w:t>
      </w:r>
      <w:r>
        <w:rPr>
          <w:rFonts w:ascii="Arial" w:eastAsia="Arial" w:hAnsi="Arial" w:cs="Arial"/>
          <w:sz w:val="22"/>
          <w:szCs w:val="22"/>
        </w:rPr>
        <w:t xml:space="preserve"> </w:t>
      </w:r>
      <w:r>
        <w:rPr>
          <w:rFonts w:ascii="Arial" w:eastAsia="Arial" w:hAnsi="Arial" w:cs="Arial"/>
          <w:i/>
          <w:sz w:val="22"/>
          <w:szCs w:val="22"/>
        </w:rPr>
        <w:t>species random</w:t>
      </w:r>
      <w:r>
        <w:rPr>
          <w:rFonts w:ascii="Arial" w:eastAsia="Arial" w:hAnsi="Arial" w:cs="Arial"/>
          <w:sz w:val="22"/>
          <w:szCs w:val="22"/>
        </w:rPr>
        <w:t xml:space="preserve"> treatment was included to mimic the variation in host species abundances that occurs across natural communities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{"citationID":"jTraKTjt","properties":{"formattedCitation":"(Bosch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2018)</w:t>
      </w:r>
      <w:r w:rsidR="004A09A9">
        <w:rPr>
          <w:rFonts w:ascii="Arial" w:eastAsia="Arial" w:hAnsi="Arial" w:cs="Arial"/>
          <w:sz w:val="22"/>
          <w:szCs w:val="22"/>
        </w:rPr>
        <w:fldChar w:fldCharType="end"/>
      </w:r>
      <w:r w:rsidR="003410CF">
        <w:rPr>
          <w:rFonts w:ascii="Arial" w:eastAsia="Arial" w:hAnsi="Arial" w:cs="Arial"/>
          <w:sz w:val="22"/>
          <w:szCs w:val="22"/>
        </w:rPr>
        <w:t>; abundances of salamanders and toads for each of these tanks were drawn at random from uniform distributions with means equal to the mean abundance of those species across all other tanks in the experiment, and the number of frogs was then calculated to round the total number of animals up to 24 per tank</w:t>
      </w:r>
      <w:r w:rsidR="00A75502">
        <w:rPr>
          <w:rFonts w:ascii="Arial" w:eastAsia="Arial" w:hAnsi="Arial" w:cs="Arial"/>
          <w:sz w:val="22"/>
          <w:szCs w:val="22"/>
        </w:rPr>
        <w:t xml:space="preserve"> (see </w:t>
      </w:r>
      <w:r w:rsidR="00AE0C5B">
        <w:rPr>
          <w:rFonts w:ascii="Arial" w:eastAsia="Arial" w:hAnsi="Arial" w:cs="Arial"/>
          <w:sz w:val="22"/>
          <w:szCs w:val="22"/>
        </w:rPr>
        <w:t>Table S8 in the supplementary material</w:t>
      </w:r>
      <w:r w:rsidR="00A75502">
        <w:rPr>
          <w:rFonts w:ascii="Arial" w:eastAsia="Arial" w:hAnsi="Arial" w:cs="Arial"/>
          <w:sz w:val="22"/>
          <w:szCs w:val="22"/>
        </w:rPr>
        <w:t xml:space="preserve"> for initial salamander, frog, and toad abundances in all </w:t>
      </w:r>
      <w:r w:rsidR="00A75446">
        <w:rPr>
          <w:rFonts w:ascii="Arial" w:eastAsia="Arial" w:hAnsi="Arial" w:cs="Arial"/>
          <w:sz w:val="22"/>
          <w:szCs w:val="22"/>
        </w:rPr>
        <w:t>3-species</w:t>
      </w:r>
      <w:r w:rsidR="00C664A6">
        <w:rPr>
          <w:rFonts w:ascii="Arial" w:eastAsia="Arial" w:hAnsi="Arial" w:cs="Arial"/>
          <w:sz w:val="22"/>
          <w:szCs w:val="22"/>
        </w:rPr>
        <w:t xml:space="preserve"> </w:t>
      </w:r>
      <w:r w:rsidR="00A75446">
        <w:rPr>
          <w:rFonts w:ascii="Arial" w:eastAsia="Arial" w:hAnsi="Arial" w:cs="Arial"/>
          <w:sz w:val="22"/>
          <w:szCs w:val="22"/>
        </w:rPr>
        <w:t xml:space="preserve">random and non-random </w:t>
      </w:r>
      <w:r w:rsidR="00C664A6">
        <w:rPr>
          <w:rFonts w:ascii="Arial" w:eastAsia="Arial" w:hAnsi="Arial" w:cs="Arial"/>
          <w:sz w:val="22"/>
          <w:szCs w:val="22"/>
        </w:rPr>
        <w:t>tanks</w:t>
      </w:r>
      <w:r w:rsidR="00A75502">
        <w:rPr>
          <w:rFonts w:ascii="Arial" w:eastAsia="Arial" w:hAnsi="Arial" w:cs="Arial"/>
          <w:sz w:val="22"/>
          <w:szCs w:val="22"/>
        </w:rPr>
        <w:t>)</w:t>
      </w:r>
      <w:r w:rsidR="003410CF">
        <w:rPr>
          <w:rFonts w:ascii="Arial" w:eastAsia="Arial" w:hAnsi="Arial" w:cs="Arial"/>
          <w:sz w:val="22"/>
          <w:szCs w:val="22"/>
        </w:rPr>
        <w:t>.</w:t>
      </w:r>
      <w:r w:rsidR="00A75502">
        <w:rPr>
          <w:rFonts w:ascii="Arial" w:eastAsia="Arial" w:hAnsi="Arial" w:cs="Arial"/>
          <w:sz w:val="22"/>
          <w:szCs w:val="22"/>
        </w:rPr>
        <w:t xml:space="preserve"> </w:t>
      </w:r>
      <w:r>
        <w:rPr>
          <w:rFonts w:ascii="Arial" w:eastAsia="Arial" w:hAnsi="Arial" w:cs="Arial"/>
          <w:sz w:val="22"/>
          <w:szCs w:val="22"/>
        </w:rPr>
        <w:t xml:space="preserve">Note that </w:t>
      </w:r>
      <w:r w:rsidR="00AE0C5B">
        <w:rPr>
          <w:rFonts w:ascii="Arial" w:eastAsia="Arial" w:hAnsi="Arial" w:cs="Arial"/>
          <w:sz w:val="22"/>
          <w:szCs w:val="22"/>
        </w:rPr>
        <w:t xml:space="preserve">because </w:t>
      </w:r>
      <w:r>
        <w:rPr>
          <w:rFonts w:ascii="Arial" w:eastAsia="Arial" w:hAnsi="Arial" w:cs="Arial"/>
          <w:sz w:val="22"/>
          <w:szCs w:val="22"/>
        </w:rPr>
        <w:t>all communities had the same total number of individuals, we effectively assumed substitutive community assembly, whereby increases in abundance of one species was achieved through a concomitant reduction in abundance of the other species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{"citationID":"24W5iSho","properties":{"formattedCitation":"(Wojdak et al. 2014; Johnson et al. 2015)","plainCitation":"(Wojdak et al. 2014; Johnson et al. 2015)","noteIndex":0},"citationItems":[{"id":8208,"uris":["http://zotero.org/users/865335/items/BC8AIVKY"],"uri":["http://zotero.org/users/865335/items/BC8AIVKY"],"itemData":{"id":8208,"type":"article-journal","abstract":"Variation in host species composition can dramatically alter parasite transmission in natural communities. Whether diverse host communities dilute or amplify parasite transmission is thought to depend critically on species traits, particularly on how hosts affect each other’s densities, and their relative competency as hosts. Here we studied a community of potential hosts and/or decoys (i.e. non-competent hosts) for two trematode parasite species, Echinostoma trivolvis and Ribeiroia ondatrae, which commonly infect wildlife across North America. We manipulated the density of a focal host (green frog tadpoles, Rana clamitans), in concert with manipulating the diversity of alternative species, to simulate communities where alternative species either (1) replace the focal host species so that the total number of individuals remains constant (substitution) or (2) add to total host density (addition). For E. trivolvis, we found that total parasite transmission remained roughly equal (or perhaps decreased slightly) when alternative species replaced focal host individuals, but parasite transmission was higher when alternative species were added to a community without replacing focal host individuals. Given the alternative species were roughly equal in competency, these results are consistent with current theory. Remarkably, both total tadpole and per-capita tadpole infection intensity by E. trivolvis increased with increasing intraspecific host density. For R. ondatrae, alternative species did not function as effective decoys or hosts for parasite infective stages, and the diversity and density treatments did not</w:instrText>
      </w:r>
      <w:r w:rsidR="004A09A9" w:rsidRPr="008D412D">
        <w:rPr>
          <w:rFonts w:ascii="Arial" w:eastAsia="Arial" w:hAnsi="Arial" w:cs="Arial"/>
          <w:sz w:val="22"/>
          <w:szCs w:val="22"/>
        </w:rPr>
        <w:instrText xml:space="preserve"> produce clear changes in parasite transmission, although high tank to tank variation in R. ondatrae infection could have obscured patterns.","container-title":"PLoS ONE","DOI":"10.1371/journal.pone.0105059","ISSN":"1932-6203","issue":"8","journalAbbreviation":"PLoS ONE","language":"en","page":"e105059","source":"DOI.org (Crossref)","title":"Host density and competency determine the effects of host diversity on trematode parasite infection","volume":"9","author":[{"family":"Wojdak","given":"Jeremy M."},{"family":"Edman","given":"Robert M."},{"family":"Wyderko","given":"Jennie A."},{"family":"Zemmer","given":"Sally A."},{"family":"Belden","given":"Lisa K."}],"editor":[{"family":"Zilberstein","given":"Dan"}],"issued":{"date-parts":[["2014",8,13]]}}},{"id":8161,"uris":["http://zotero.org/users/865335/items/WUDU7UKR"],"uri":["http://zotero.org/users/865335/items/WUDU7UKR"],"itemData":{"id":8161,"type":"article-journal","container-title":"Science","DOI":"10.1126/science.1259504","ISSN":"0036-8075, 1095-9203","issue":"6252","journalAbbreviation":"Science","language":"en","page":"1259504-1259504","source":"DOI.org (Crossref)","title":"Why infectious disease research needs community ecology","volume":"349","author":[{"family":"Johnson","given":"P. T. J."},{"family":"Roode","given":"J. C.","non-dropping-particle":"de"},{"family":"Fenton","given":"A."}],"issued":{"date-parts":[["2015",9,4]]}}}],"schema":"https://github.com/citation-style-language/schema/raw/master/csl-citation.json"}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(Wojdak et al. 2014; Johnson et al. 2015)</w:t>
      </w:r>
      <w:r w:rsidR="004A09A9">
        <w:rPr>
          <w:rFonts w:ascii="Arial" w:eastAsia="Arial" w:hAnsi="Arial" w:cs="Arial"/>
          <w:sz w:val="22"/>
          <w:szCs w:val="22"/>
        </w:rPr>
        <w:fldChar w:fldCharType="end"/>
      </w:r>
      <w:r w:rsidRPr="008D412D">
        <w:rPr>
          <w:rFonts w:ascii="Arial" w:eastAsia="Arial" w:hAnsi="Arial" w:cs="Arial"/>
          <w:sz w:val="22"/>
          <w:szCs w:val="22"/>
        </w:rPr>
        <w:t xml:space="preserve">. </w:t>
      </w:r>
      <w:r>
        <w:rPr>
          <w:rFonts w:ascii="Arial" w:eastAsia="Arial" w:hAnsi="Arial" w:cs="Arial"/>
          <w:sz w:val="22"/>
          <w:szCs w:val="22"/>
        </w:rPr>
        <w:t xml:space="preserve">Treatments 1-4 were replicated five times, and the fifth </w:t>
      </w:r>
      <w:r>
        <w:rPr>
          <w:rFonts w:ascii="Arial" w:eastAsia="Arial" w:hAnsi="Arial" w:cs="Arial"/>
          <w:i/>
          <w:sz w:val="22"/>
          <w:szCs w:val="22"/>
        </w:rPr>
        <w:t>random</w:t>
      </w:r>
      <w:r>
        <w:rPr>
          <w:rFonts w:ascii="Arial" w:eastAsia="Arial" w:hAnsi="Arial" w:cs="Arial"/>
          <w:sz w:val="22"/>
          <w:szCs w:val="22"/>
        </w:rPr>
        <w:t xml:space="preserve"> treatment comprised 16 mesocosms, with a different host composition in each. We performed the experiment </w:t>
      </w:r>
      <w:r w:rsidR="00F40174">
        <w:rPr>
          <w:rFonts w:ascii="Arial" w:eastAsia="Arial" w:hAnsi="Arial" w:cs="Arial"/>
          <w:sz w:val="22"/>
          <w:szCs w:val="22"/>
        </w:rPr>
        <w:t xml:space="preserve">in </w:t>
      </w:r>
      <w:r>
        <w:rPr>
          <w:rFonts w:ascii="Arial" w:eastAsia="Arial" w:hAnsi="Arial" w:cs="Arial"/>
          <w:sz w:val="22"/>
          <w:szCs w:val="22"/>
        </w:rPr>
        <w:t xml:space="preserve">a single room held at a constant 18°C temperature and 12 hr light periods, located in the Centre for Captive Breeding of Threatened Amphibians in </w:t>
      </w:r>
      <w:proofErr w:type="spellStart"/>
      <w:r>
        <w:rPr>
          <w:rFonts w:ascii="Arial" w:eastAsia="Arial" w:hAnsi="Arial" w:cs="Arial"/>
          <w:sz w:val="22"/>
          <w:szCs w:val="22"/>
        </w:rPr>
        <w:t>Rascafria</w:t>
      </w:r>
      <w:proofErr w:type="spellEnd"/>
      <w:r>
        <w:rPr>
          <w:rFonts w:ascii="Arial" w:eastAsia="Arial" w:hAnsi="Arial" w:cs="Arial"/>
          <w:sz w:val="22"/>
          <w:szCs w:val="22"/>
        </w:rPr>
        <w:t xml:space="preserve">, Spain (Fig. S1). Mesocosms were covered with 2 cm of gravel, filled with 80L of river water free of </w:t>
      </w:r>
      <w:r>
        <w:rPr>
          <w:rFonts w:ascii="Arial" w:eastAsia="Arial" w:hAnsi="Arial" w:cs="Arial"/>
          <w:i/>
          <w:sz w:val="22"/>
          <w:szCs w:val="22"/>
        </w:rPr>
        <w:t xml:space="preserve">Bd </w:t>
      </w:r>
      <w:r>
        <w:rPr>
          <w:rFonts w:ascii="Arial" w:eastAsia="Arial" w:hAnsi="Arial" w:cs="Arial"/>
          <w:sz w:val="22"/>
          <w:szCs w:val="22"/>
        </w:rPr>
        <w:t xml:space="preserve">(Fig. S1), and randomly assigned to one of the five treatments. </w:t>
      </w:r>
    </w:p>
    <w:p w14:paraId="487D108D" w14:textId="7269B4CF"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We collected yearling salamander larvae, toad larvae, and frog larvae by </w:t>
      </w:r>
      <w:proofErr w:type="spellStart"/>
      <w:r>
        <w:rPr>
          <w:rFonts w:ascii="Arial" w:eastAsia="Arial" w:hAnsi="Arial" w:cs="Arial"/>
          <w:sz w:val="22"/>
          <w:szCs w:val="22"/>
        </w:rPr>
        <w:t>dipnetting</w:t>
      </w:r>
      <w:proofErr w:type="spellEnd"/>
      <w:r>
        <w:rPr>
          <w:rFonts w:ascii="Arial" w:eastAsia="Arial" w:hAnsi="Arial" w:cs="Arial"/>
          <w:sz w:val="22"/>
          <w:szCs w:val="22"/>
        </w:rPr>
        <w:t xml:space="preserve"> ponds located in the </w:t>
      </w:r>
      <w:proofErr w:type="spellStart"/>
      <w:r>
        <w:rPr>
          <w:rFonts w:ascii="Arial" w:eastAsia="Arial" w:hAnsi="Arial" w:cs="Arial"/>
          <w:sz w:val="22"/>
          <w:szCs w:val="22"/>
        </w:rPr>
        <w:t>Peñalara</w:t>
      </w:r>
      <w:proofErr w:type="spellEnd"/>
      <w:r>
        <w:rPr>
          <w:rFonts w:ascii="Arial" w:eastAsia="Arial" w:hAnsi="Arial" w:cs="Arial"/>
          <w:sz w:val="22"/>
          <w:szCs w:val="22"/>
        </w:rPr>
        <w:t xml:space="preserve"> Massif, Central Spain (408500 N, 38570 W). We defined ponds as either </w:t>
      </w:r>
      <w:r w:rsidRPr="00390778">
        <w:rPr>
          <w:rFonts w:ascii="Arial" w:eastAsia="Arial" w:hAnsi="Arial" w:cs="Arial"/>
          <w:i/>
          <w:iCs/>
          <w:sz w:val="22"/>
          <w:szCs w:val="22"/>
        </w:rPr>
        <w:t>Bd</w:t>
      </w:r>
      <w:r>
        <w:rPr>
          <w:rFonts w:ascii="Arial" w:eastAsia="Arial" w:hAnsi="Arial" w:cs="Arial"/>
          <w:sz w:val="22"/>
          <w:szCs w:val="22"/>
        </w:rPr>
        <w:t xml:space="preserve">-positive or </w:t>
      </w:r>
      <w:r w:rsidRPr="00390778">
        <w:rPr>
          <w:rFonts w:ascii="Arial" w:eastAsia="Arial" w:hAnsi="Arial" w:cs="Arial"/>
          <w:i/>
          <w:iCs/>
          <w:sz w:val="22"/>
          <w:szCs w:val="22"/>
        </w:rPr>
        <w:t>Bd</w:t>
      </w:r>
      <w:r>
        <w:rPr>
          <w:rFonts w:ascii="Arial" w:eastAsia="Arial" w:hAnsi="Arial" w:cs="Arial"/>
          <w:sz w:val="22"/>
          <w:szCs w:val="22"/>
        </w:rPr>
        <w:t>-negative according to 20 years of historical data</w:t>
      </w:r>
      <w:r w:rsidR="00AE0C5B">
        <w:rPr>
          <w:rFonts w:ascii="Arial" w:eastAsia="Arial" w:hAnsi="Arial" w:cs="Arial"/>
          <w:sz w:val="22"/>
          <w:szCs w:val="22"/>
        </w:rPr>
        <w:t xml:space="preserve"> </w:t>
      </w:r>
      <w:r w:rsidR="00AE0C5B">
        <w:rPr>
          <w:rFonts w:ascii="Arial" w:eastAsia="Arial" w:hAnsi="Arial" w:cs="Arial"/>
          <w:sz w:val="22"/>
          <w:szCs w:val="22"/>
        </w:rPr>
        <w:fldChar w:fldCharType="begin"/>
      </w:r>
      <w:r w:rsidR="00AE0C5B">
        <w:rPr>
          <w:rFonts w:ascii="Arial" w:eastAsia="Arial" w:hAnsi="Arial" w:cs="Arial"/>
          <w:sz w:val="22"/>
          <w:szCs w:val="22"/>
        </w:rPr>
        <w:instrText xml:space="preserve"> ADDIN ZOTERO_ITEM CSL_CITATION {"citationID":"suYH8HZ8","properties":{"formattedCitation":"(Bosch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sidR="00AE0C5B">
        <w:rPr>
          <w:rFonts w:ascii="Arial" w:eastAsia="Arial" w:hAnsi="Arial" w:cs="Arial"/>
          <w:sz w:val="22"/>
          <w:szCs w:val="22"/>
        </w:rPr>
        <w:fldChar w:fldCharType="separate"/>
      </w:r>
      <w:r w:rsidR="00CE3F95">
        <w:rPr>
          <w:rFonts w:ascii="Arial" w:eastAsia="Arial" w:hAnsi="Arial" w:cs="Arial"/>
          <w:noProof/>
          <w:sz w:val="22"/>
          <w:szCs w:val="22"/>
        </w:rPr>
        <w:t>(Bosch et al. 2018)</w:t>
      </w:r>
      <w:r w:rsidR="00AE0C5B">
        <w:rPr>
          <w:rFonts w:ascii="Arial" w:eastAsia="Arial" w:hAnsi="Arial" w:cs="Arial"/>
          <w:sz w:val="22"/>
          <w:szCs w:val="22"/>
        </w:rPr>
        <w:fldChar w:fldCharType="end"/>
      </w:r>
      <w:r>
        <w:rPr>
          <w:rFonts w:ascii="Arial" w:eastAsia="Arial" w:hAnsi="Arial" w:cs="Arial"/>
          <w:sz w:val="22"/>
          <w:szCs w:val="22"/>
        </w:rPr>
        <w:t xml:space="preserve">. We confirmed the </w:t>
      </w:r>
      <w:r w:rsidRPr="00390778">
        <w:rPr>
          <w:rFonts w:ascii="Arial" w:eastAsia="Arial" w:hAnsi="Arial" w:cs="Arial"/>
          <w:i/>
          <w:iCs/>
          <w:sz w:val="22"/>
          <w:szCs w:val="22"/>
        </w:rPr>
        <w:t>Bd</w:t>
      </w:r>
      <w:r>
        <w:rPr>
          <w:rFonts w:ascii="Arial" w:eastAsia="Arial" w:hAnsi="Arial" w:cs="Arial"/>
          <w:sz w:val="22"/>
          <w:szCs w:val="22"/>
        </w:rPr>
        <w:t xml:space="preserve"> status of ponds by swabbing 20 animals per </w:t>
      </w:r>
      <w:proofErr w:type="spellStart"/>
      <w:r>
        <w:rPr>
          <w:rFonts w:ascii="Arial" w:eastAsia="Arial" w:hAnsi="Arial" w:cs="Arial"/>
          <w:sz w:val="22"/>
          <w:szCs w:val="22"/>
        </w:rPr>
        <w:t>pond</w:t>
      </w:r>
      <w:proofErr w:type="spellEnd"/>
      <w:r>
        <w:rPr>
          <w:rFonts w:ascii="Arial" w:eastAsia="Arial" w:hAnsi="Arial" w:cs="Arial"/>
          <w:sz w:val="22"/>
          <w:szCs w:val="22"/>
        </w:rPr>
        <w:t xml:space="preserve">. qPCR of the swabs showed that all swabs from presumed </w:t>
      </w:r>
      <w:r w:rsidRPr="00B21BF2">
        <w:rPr>
          <w:rFonts w:ascii="Arial" w:eastAsia="Arial" w:hAnsi="Arial" w:cs="Arial"/>
          <w:i/>
          <w:iCs/>
          <w:sz w:val="22"/>
          <w:szCs w:val="22"/>
        </w:rPr>
        <w:t>Bd-</w:t>
      </w:r>
      <w:r>
        <w:rPr>
          <w:rFonts w:ascii="Arial" w:eastAsia="Arial" w:hAnsi="Arial" w:cs="Arial"/>
          <w:sz w:val="22"/>
          <w:szCs w:val="22"/>
        </w:rPr>
        <w:t xml:space="preserve">positive site were positive for </w:t>
      </w:r>
      <w:r w:rsidRPr="00751A2C">
        <w:rPr>
          <w:rFonts w:ascii="Arial" w:eastAsia="Arial" w:hAnsi="Arial" w:cs="Arial"/>
          <w:i/>
          <w:iCs/>
          <w:sz w:val="22"/>
          <w:szCs w:val="22"/>
        </w:rPr>
        <w:t>Bd</w:t>
      </w:r>
      <w:r>
        <w:rPr>
          <w:rFonts w:ascii="Arial" w:eastAsia="Arial" w:hAnsi="Arial" w:cs="Arial"/>
          <w:sz w:val="22"/>
          <w:szCs w:val="22"/>
        </w:rPr>
        <w:t xml:space="preserve">, and likewise, all swabs from presumed </w:t>
      </w:r>
      <w:r w:rsidRPr="00B21BF2">
        <w:rPr>
          <w:rFonts w:ascii="Arial" w:eastAsia="Arial" w:hAnsi="Arial" w:cs="Arial"/>
          <w:i/>
          <w:iCs/>
          <w:sz w:val="22"/>
          <w:szCs w:val="22"/>
        </w:rPr>
        <w:t>Bd</w:t>
      </w:r>
      <w:r>
        <w:rPr>
          <w:rFonts w:ascii="Arial" w:eastAsia="Arial" w:hAnsi="Arial" w:cs="Arial"/>
          <w:sz w:val="22"/>
          <w:szCs w:val="22"/>
        </w:rPr>
        <w:t xml:space="preserve">-negative ponds were negative for </w:t>
      </w:r>
      <w:r w:rsidRPr="00751A2C">
        <w:rPr>
          <w:rFonts w:ascii="Arial" w:eastAsia="Arial" w:hAnsi="Arial" w:cs="Arial"/>
          <w:i/>
          <w:iCs/>
          <w:sz w:val="22"/>
          <w:szCs w:val="22"/>
        </w:rPr>
        <w:t>Bd</w:t>
      </w:r>
      <w:r>
        <w:rPr>
          <w:rFonts w:ascii="Arial" w:eastAsia="Arial" w:hAnsi="Arial" w:cs="Arial"/>
          <w:sz w:val="22"/>
          <w:szCs w:val="22"/>
        </w:rPr>
        <w:t xml:space="preserve"> (data not shown). Salamander larvae were collected from </w:t>
      </w:r>
      <w:r>
        <w:rPr>
          <w:rFonts w:ascii="Arial" w:eastAsia="Arial" w:hAnsi="Arial" w:cs="Arial"/>
          <w:i/>
          <w:sz w:val="22"/>
          <w:szCs w:val="22"/>
        </w:rPr>
        <w:t>Bd</w:t>
      </w:r>
      <w:r>
        <w:rPr>
          <w:rFonts w:ascii="Arial" w:eastAsia="Arial" w:hAnsi="Arial" w:cs="Arial"/>
          <w:sz w:val="22"/>
          <w:szCs w:val="22"/>
        </w:rPr>
        <w:t xml:space="preserve">-positive </w:t>
      </w:r>
      <w:r>
        <w:rPr>
          <w:rFonts w:ascii="Arial" w:eastAsia="Arial" w:hAnsi="Arial" w:cs="Arial"/>
          <w:sz w:val="22"/>
          <w:szCs w:val="22"/>
        </w:rPr>
        <w:lastRenderedPageBreak/>
        <w:t xml:space="preserve">ponds and therefore presumed to have previously been exposed to, and possibly infected with </w:t>
      </w:r>
      <w:r>
        <w:rPr>
          <w:rFonts w:ascii="Arial" w:eastAsia="Arial" w:hAnsi="Arial" w:cs="Arial"/>
          <w:i/>
          <w:sz w:val="22"/>
          <w:szCs w:val="22"/>
        </w:rPr>
        <w:t>Bd</w:t>
      </w:r>
      <w:r w:rsidR="0086605E">
        <w:rPr>
          <w:rFonts w:ascii="Arial" w:eastAsia="Arial" w:hAnsi="Arial" w:cs="Arial"/>
          <w:i/>
          <w:sz w:val="22"/>
          <w:szCs w:val="22"/>
        </w:rPr>
        <w:t xml:space="preserve"> </w:t>
      </w:r>
      <w:r w:rsidR="0086605E" w:rsidRPr="0086605E">
        <w:rPr>
          <w:rFonts w:ascii="Arial" w:eastAsia="Arial" w:hAnsi="Arial" w:cs="Arial"/>
          <w:iCs/>
          <w:sz w:val="22"/>
          <w:szCs w:val="22"/>
        </w:rPr>
        <w:fldChar w:fldCharType="begin"/>
      </w:r>
      <w:r w:rsidR="0086605E" w:rsidRPr="0086605E">
        <w:rPr>
          <w:rFonts w:ascii="Arial" w:eastAsia="Arial" w:hAnsi="Arial" w:cs="Arial"/>
          <w:iCs/>
          <w:sz w:val="22"/>
          <w:szCs w:val="22"/>
        </w:rPr>
        <w:instrText xml:space="preserve"> ADDIN ZOTERO_ITEM CSL_CITATION {"citationID":"h2RwgdnX","properties":{"formattedCitation":"(Medina et al. 2015)","plainCitation":"(Medina et al. 2015)","noteIndex":0},"citationItems":[{"id":5198,"uris":["http://zotero.org/users/865335/items/Z74BHTJR"],"uri":["http://zotero.org/users/865335/items/Z74BHTJR"],"itemData":{"id":5198,"type":"article-journal","container-title":"Diseases of Aquatic Organisms","DOI":"10.3354/dao02934","ISSN":"0177-5103, 1616-1580","issue":"2","language":"en","page":"85-92","source":"CrossRef","title":"Delayed metamorphosis of amphibian larvae facilitates &lt;i&gt;Batrachochytrium dendrobatidis&lt;/i&gt; transmission and persistence","volume":"117","author":[{"family":"Medina","given":"D"},{"family":"Garner","given":"Twj"},{"family":"Carrascal","given":"Lm"},{"family":"Bosch","given":"J"}],"issued":{"date-parts":[["2015",12,9]]}}}],"schema":"https://github.com/citation-style-language/schema/raw/master/csl-citation.json"} </w:instrText>
      </w:r>
      <w:r w:rsidR="0086605E" w:rsidRPr="0086605E">
        <w:rPr>
          <w:rFonts w:ascii="Arial" w:eastAsia="Arial" w:hAnsi="Arial" w:cs="Arial"/>
          <w:iCs/>
          <w:sz w:val="22"/>
          <w:szCs w:val="22"/>
        </w:rPr>
        <w:fldChar w:fldCharType="separate"/>
      </w:r>
      <w:r w:rsidR="00CE3F95">
        <w:rPr>
          <w:rFonts w:ascii="Arial" w:eastAsia="Arial" w:hAnsi="Arial" w:cs="Arial"/>
          <w:iCs/>
          <w:noProof/>
          <w:sz w:val="22"/>
          <w:szCs w:val="22"/>
        </w:rPr>
        <w:t>(Medina et al. 2015)</w:t>
      </w:r>
      <w:r w:rsidR="0086605E" w:rsidRPr="0086605E">
        <w:rPr>
          <w:rFonts w:ascii="Arial" w:eastAsia="Arial" w:hAnsi="Arial" w:cs="Arial"/>
          <w:iCs/>
          <w:sz w:val="22"/>
          <w:szCs w:val="22"/>
        </w:rPr>
        <w:fldChar w:fldCharType="end"/>
      </w:r>
      <w:r>
        <w:rPr>
          <w:rFonts w:ascii="Arial" w:eastAsia="Arial" w:hAnsi="Arial" w:cs="Arial"/>
          <w:sz w:val="22"/>
          <w:szCs w:val="22"/>
        </w:rPr>
        <w:t xml:space="preserve">. Tree frog and spiny toad tadpoles were captured at </w:t>
      </w:r>
      <w:r>
        <w:rPr>
          <w:rFonts w:ascii="Arial" w:eastAsia="Arial" w:hAnsi="Arial" w:cs="Arial"/>
          <w:i/>
          <w:sz w:val="22"/>
          <w:szCs w:val="22"/>
        </w:rPr>
        <w:t>Bd</w:t>
      </w:r>
      <w:r>
        <w:rPr>
          <w:rFonts w:ascii="Arial" w:eastAsia="Arial" w:hAnsi="Arial" w:cs="Arial"/>
          <w:sz w:val="22"/>
          <w:szCs w:val="22"/>
        </w:rPr>
        <w:t xml:space="preserve">-negative ponds and presumed to be uninfected and not previously exposed to </w:t>
      </w:r>
      <w:r w:rsidRPr="00AE0C5B">
        <w:rPr>
          <w:rFonts w:ascii="Arial" w:eastAsia="Arial" w:hAnsi="Arial" w:cs="Arial"/>
          <w:i/>
          <w:iCs/>
          <w:sz w:val="22"/>
          <w:szCs w:val="22"/>
        </w:rPr>
        <w:t>Bd</w:t>
      </w:r>
      <w:r>
        <w:rPr>
          <w:rFonts w:ascii="Arial" w:eastAsia="Arial" w:hAnsi="Arial" w:cs="Arial"/>
          <w:sz w:val="22"/>
          <w:szCs w:val="22"/>
        </w:rPr>
        <w:t xml:space="preserve">. We transported animals grouped according to pond of capture to the Centre for Amphibian Breeding in </w:t>
      </w:r>
      <w:proofErr w:type="spellStart"/>
      <w:r>
        <w:rPr>
          <w:rFonts w:ascii="Arial" w:eastAsia="Arial" w:hAnsi="Arial" w:cs="Arial"/>
          <w:sz w:val="22"/>
          <w:szCs w:val="22"/>
        </w:rPr>
        <w:t>Rascafria</w:t>
      </w:r>
      <w:proofErr w:type="spellEnd"/>
      <w:r>
        <w:rPr>
          <w:rFonts w:ascii="Arial" w:eastAsia="Arial" w:hAnsi="Arial" w:cs="Arial"/>
          <w:sz w:val="22"/>
          <w:szCs w:val="22"/>
        </w:rPr>
        <w:t xml:space="preserve">, Spain, where animals were randomly allocated to experimental tanks according to the pre-assigned treatments. Salamander larvae occupied the whole volume of the tank and were provided with polyethylene tubes as shelters on the bottom of the tank which was covered by 2 cm of gravel. To avoid salamander predation, frog and toad tadpoles were housed in 2-litre plastic containers placed inside the tank and punctured to be permeable to water and </w:t>
      </w:r>
      <w:r>
        <w:rPr>
          <w:rFonts w:ascii="Arial" w:eastAsia="Arial" w:hAnsi="Arial" w:cs="Arial"/>
          <w:i/>
          <w:sz w:val="22"/>
          <w:szCs w:val="22"/>
        </w:rPr>
        <w:t>Bd</w:t>
      </w:r>
      <w:r>
        <w:rPr>
          <w:rFonts w:ascii="Arial" w:eastAsia="Arial" w:hAnsi="Arial" w:cs="Arial"/>
          <w:sz w:val="22"/>
          <w:szCs w:val="22"/>
        </w:rPr>
        <w:t xml:space="preserve"> zoospores</w:t>
      </w:r>
      <w:r w:rsidR="00AE0C5B">
        <w:rPr>
          <w:rFonts w:ascii="Arial" w:eastAsia="Arial" w:hAnsi="Arial" w:cs="Arial"/>
          <w:sz w:val="22"/>
          <w:szCs w:val="22"/>
        </w:rPr>
        <w:t xml:space="preserve"> (Fig. S1)</w:t>
      </w:r>
      <w:r>
        <w:rPr>
          <w:rFonts w:ascii="Arial" w:eastAsia="Arial" w:hAnsi="Arial" w:cs="Arial"/>
          <w:sz w:val="22"/>
          <w:szCs w:val="22"/>
        </w:rPr>
        <w:t>. Salamander larvae were fed chopped earthworms twice a week, and frog and toad larvae were fed fish tablets twice per week. We replaced 10 percent of the water volume twice per week. The experiment was run for 30 days (4/7/17 - 2/8/17). Throughout the experiment we monitored individuals daily for health and gill retention, removing any individuals showing signs of morbidity or with gills retracted to the point that that metamorphosis was imminent</w:t>
      </w:r>
      <w:r w:rsidR="00AE0C5B">
        <w:rPr>
          <w:rFonts w:ascii="Arial" w:eastAsia="Arial" w:hAnsi="Arial" w:cs="Arial"/>
          <w:sz w:val="22"/>
          <w:szCs w:val="22"/>
        </w:rPr>
        <w:t xml:space="preserve"> (to prevent drowning)</w:t>
      </w:r>
      <w:r>
        <w:rPr>
          <w:rFonts w:ascii="Arial" w:eastAsia="Arial" w:hAnsi="Arial" w:cs="Arial"/>
          <w:sz w:val="22"/>
          <w:szCs w:val="22"/>
        </w:rPr>
        <w:t xml:space="preserve">, and we recorded any resulting changes in species’ abundances. </w:t>
      </w:r>
    </w:p>
    <w:p w14:paraId="00F0C526" w14:textId="712FB630"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We administered active </w:t>
      </w:r>
      <w:r>
        <w:rPr>
          <w:rFonts w:ascii="Arial" w:eastAsia="Arial" w:hAnsi="Arial" w:cs="Arial"/>
          <w:i/>
          <w:sz w:val="22"/>
          <w:szCs w:val="22"/>
        </w:rPr>
        <w:t>Bd</w:t>
      </w:r>
      <w:r>
        <w:rPr>
          <w:rFonts w:ascii="Arial" w:eastAsia="Arial" w:hAnsi="Arial" w:cs="Arial"/>
          <w:sz w:val="22"/>
          <w:szCs w:val="22"/>
        </w:rPr>
        <w:t xml:space="preserve"> zoospores into tanks on Days 1, 11, and 18 of the experiment to mimic episodic invasions. We used a </w:t>
      </w:r>
      <w:r>
        <w:rPr>
          <w:rFonts w:ascii="Arial" w:eastAsia="Arial" w:hAnsi="Arial" w:cs="Arial"/>
          <w:i/>
          <w:sz w:val="22"/>
          <w:szCs w:val="22"/>
        </w:rPr>
        <w:t>Bd</w:t>
      </w:r>
      <w:r>
        <w:rPr>
          <w:rFonts w:ascii="Arial" w:eastAsia="Arial" w:hAnsi="Arial" w:cs="Arial"/>
          <w:sz w:val="22"/>
          <w:szCs w:val="22"/>
        </w:rPr>
        <w:t xml:space="preserve">-GPL strain isolated from a </w:t>
      </w:r>
      <w:r>
        <w:rPr>
          <w:rFonts w:ascii="Arial" w:eastAsia="Arial" w:hAnsi="Arial" w:cs="Arial"/>
          <w:i/>
          <w:sz w:val="22"/>
          <w:szCs w:val="22"/>
        </w:rPr>
        <w:t xml:space="preserve">S. </w:t>
      </w:r>
      <w:proofErr w:type="spellStart"/>
      <w:r>
        <w:rPr>
          <w:rFonts w:ascii="Arial" w:eastAsia="Arial" w:hAnsi="Arial" w:cs="Arial"/>
          <w:i/>
          <w:sz w:val="22"/>
          <w:szCs w:val="22"/>
        </w:rPr>
        <w:t>salamandra</w:t>
      </w:r>
      <w:proofErr w:type="spellEnd"/>
      <w:r>
        <w:rPr>
          <w:rFonts w:ascii="Arial" w:eastAsia="Arial" w:hAnsi="Arial" w:cs="Arial"/>
          <w:sz w:val="22"/>
          <w:szCs w:val="22"/>
        </w:rPr>
        <w:t xml:space="preserve"> larva at the same sites where experimental animals were collected. We counted zoospores using a haemocytometer</w:t>
      </w:r>
      <w:r w:rsidR="00A575D2">
        <w:rPr>
          <w:rFonts w:ascii="Arial" w:eastAsia="Arial" w:hAnsi="Arial" w:cs="Arial"/>
          <w:sz w:val="22"/>
          <w:szCs w:val="22"/>
        </w:rPr>
        <w:t xml:space="preserve"> and adjusted the total volume of inoculate administered</w:t>
      </w:r>
      <w:r>
        <w:rPr>
          <w:rFonts w:ascii="Arial" w:eastAsia="Arial" w:hAnsi="Arial" w:cs="Arial"/>
          <w:sz w:val="22"/>
          <w:szCs w:val="22"/>
        </w:rPr>
        <w:t xml:space="preserve"> to achieve desired concentrations of 18,000-24,000 </w:t>
      </w:r>
      <w:proofErr w:type="spellStart"/>
      <w:r>
        <w:rPr>
          <w:rFonts w:ascii="Arial" w:eastAsia="Arial" w:hAnsi="Arial" w:cs="Arial"/>
          <w:sz w:val="22"/>
          <w:szCs w:val="22"/>
        </w:rPr>
        <w:t>zsp</w:t>
      </w:r>
      <w:proofErr w:type="spellEnd"/>
      <w:r>
        <w:rPr>
          <w:rFonts w:ascii="Arial" w:eastAsia="Arial" w:hAnsi="Arial" w:cs="Arial"/>
          <w:sz w:val="22"/>
          <w:szCs w:val="22"/>
        </w:rPr>
        <w:t>/L. We administered equal concentrations into tanks across all treatments for all three exposures</w:t>
      </w:r>
      <w:r w:rsidR="00A575D2">
        <w:rPr>
          <w:rFonts w:ascii="Arial" w:eastAsia="Arial" w:hAnsi="Arial" w:cs="Arial"/>
          <w:sz w:val="22"/>
          <w:szCs w:val="22"/>
        </w:rPr>
        <w:t>.</w:t>
      </w:r>
    </w:p>
    <w:p w14:paraId="2FC7E0B4" w14:textId="77777777"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We haphazardly selected 10 salamanders (or every individual in tanks with n&lt;10) to sample for infection across three phases of the experiment: day 2 (initial phase), 15 (intermediate phase), and day 30 (final phase) by rubbing a sterile swab across the entire body surface and returned them back to tanks. We sampled frogs and toads (larvae and some </w:t>
      </w:r>
      <w:proofErr w:type="spellStart"/>
      <w:r>
        <w:rPr>
          <w:rFonts w:ascii="Arial" w:eastAsia="Arial" w:hAnsi="Arial" w:cs="Arial"/>
          <w:sz w:val="22"/>
          <w:szCs w:val="22"/>
        </w:rPr>
        <w:t>metamorphs</w:t>
      </w:r>
      <w:proofErr w:type="spellEnd"/>
      <w:r>
        <w:rPr>
          <w:rFonts w:ascii="Arial" w:eastAsia="Arial" w:hAnsi="Arial" w:cs="Arial"/>
          <w:sz w:val="22"/>
          <w:szCs w:val="22"/>
        </w:rPr>
        <w:t xml:space="preserve"> at this point) once at the end of the experiment (~day 30) because larval stages of these species cannot be sampled using non-destructive methods. We </w:t>
      </w:r>
      <w:r>
        <w:rPr>
          <w:rFonts w:ascii="Arial" w:eastAsia="Arial" w:hAnsi="Arial" w:cs="Arial"/>
          <w:sz w:val="22"/>
          <w:szCs w:val="22"/>
        </w:rPr>
        <w:lastRenderedPageBreak/>
        <w:t xml:space="preserve">collected tissue from the keratinized mouthparts for frogs and toads and either tail or toe clips from post-metamorphic stages, which have keratinized skin on their whole body. </w:t>
      </w:r>
    </w:p>
    <w:p w14:paraId="22041F14" w14:textId="6EB42E72"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We detected</w:t>
      </w:r>
      <w:r>
        <w:rPr>
          <w:rFonts w:ascii="Arial" w:eastAsia="Arial" w:hAnsi="Arial" w:cs="Arial"/>
          <w:i/>
          <w:sz w:val="22"/>
          <w:szCs w:val="22"/>
        </w:rPr>
        <w:t xml:space="preserve"> Bd</w:t>
      </w:r>
      <w:r>
        <w:rPr>
          <w:rFonts w:ascii="Arial" w:eastAsia="Arial" w:hAnsi="Arial" w:cs="Arial"/>
          <w:sz w:val="22"/>
          <w:szCs w:val="22"/>
        </w:rPr>
        <w:t xml:space="preserve"> from samples using standardized DNA extraction and qPCR procedures</w:t>
      </w:r>
      <w:r w:rsidR="00AE0C5B">
        <w:rPr>
          <w:rFonts w:ascii="Arial" w:eastAsia="Arial" w:hAnsi="Arial" w:cs="Arial"/>
          <w:sz w:val="22"/>
          <w:szCs w:val="22"/>
        </w:rPr>
        <w:t xml:space="preserve"> </w:t>
      </w:r>
      <w:r w:rsidR="00AE0C5B">
        <w:rPr>
          <w:rFonts w:ascii="Arial" w:eastAsia="Arial" w:hAnsi="Arial" w:cs="Arial"/>
          <w:sz w:val="22"/>
          <w:szCs w:val="22"/>
        </w:rPr>
        <w:fldChar w:fldCharType="begin"/>
      </w:r>
      <w:r w:rsidR="00AE0C5B">
        <w:rPr>
          <w:rFonts w:ascii="Arial" w:eastAsia="Arial" w:hAnsi="Arial" w:cs="Arial"/>
          <w:sz w:val="22"/>
          <w:szCs w:val="22"/>
        </w:rPr>
        <w:instrText xml:space="preserve"> ADDIN ZOTERO_ITEM CSL_CITATION {"citationID":"iqqAAzDU","properties":{"formattedCitation":"(Boyle et al. 2004)","plainCitation":"(Boyle et al. 2004)","noteIndex":0},"citationItems":[{"id":1368,"uris":["http://zotero.org/users/865335/items/BWDVMX8I"],"uri":["http://zotero.org/users/865335/items/BWDVMX8I"],"itemData":{"id":1368,"type":"article-journal","container-title":"Diseases of aquatic organisms","page":"141–148","source":"Google Scholar","title":"Rapid quantitative detection of chytridiomycosis (&lt;i&gt;Batrachochytrium dendrobatidis&lt;/i&gt;) in amphibian samples using real-time Taqman PCR assay","volume":"60","author":[{"family":"Boyle","given":"D. G."},{"family":"Boyle","given":"D. B."},{"family":"Olsen","given":"V."},{"family":"Morgan","given":"J. A. T."},{"family":"Hyatt","given":"A. D."}],"issued":{"date-parts":[["2004"]]}}}],"schema":"https://github.com/citation-style-language/schema/raw/master/csl-citation.json"} </w:instrText>
      </w:r>
      <w:r w:rsidR="00AE0C5B">
        <w:rPr>
          <w:rFonts w:ascii="Arial" w:eastAsia="Arial" w:hAnsi="Arial" w:cs="Arial"/>
          <w:sz w:val="22"/>
          <w:szCs w:val="22"/>
        </w:rPr>
        <w:fldChar w:fldCharType="separate"/>
      </w:r>
      <w:r w:rsidR="00CE3F95">
        <w:rPr>
          <w:rFonts w:ascii="Arial" w:eastAsia="Arial" w:hAnsi="Arial" w:cs="Arial"/>
          <w:noProof/>
          <w:sz w:val="22"/>
          <w:szCs w:val="22"/>
        </w:rPr>
        <w:t>(Boyle et al. 2004)</w:t>
      </w:r>
      <w:r w:rsidR="00AE0C5B">
        <w:rPr>
          <w:rFonts w:ascii="Arial" w:eastAsia="Arial" w:hAnsi="Arial" w:cs="Arial"/>
          <w:sz w:val="22"/>
          <w:szCs w:val="22"/>
        </w:rPr>
        <w:fldChar w:fldCharType="end"/>
      </w:r>
      <w:r>
        <w:rPr>
          <w:rFonts w:ascii="Arial" w:eastAsia="Arial" w:hAnsi="Arial" w:cs="Arial"/>
          <w:sz w:val="22"/>
          <w:szCs w:val="22"/>
        </w:rPr>
        <w:t xml:space="preserve">. Briefly, we quantified </w:t>
      </w:r>
      <w:r>
        <w:rPr>
          <w:rFonts w:ascii="Arial" w:eastAsia="Arial" w:hAnsi="Arial" w:cs="Arial"/>
          <w:i/>
          <w:sz w:val="22"/>
          <w:szCs w:val="22"/>
        </w:rPr>
        <w:t xml:space="preserve">Bd </w:t>
      </w:r>
      <w:r>
        <w:rPr>
          <w:rFonts w:ascii="Arial" w:eastAsia="Arial" w:hAnsi="Arial" w:cs="Arial"/>
          <w:sz w:val="22"/>
          <w:szCs w:val="22"/>
        </w:rPr>
        <w:t>DNA on swabs in duplicate using qPCR diagnostics, negative controls and four concentration standards serving as positive controls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{"citationID":"jGnMnC2d","properties":{"formattedCitation":"(Garner et al. 2009; Luquet et al. 2012; Bielby et al. 2015)","plainCitation":"(Garner et al. 2009; Luquet et al. 2012; Bielby et al. 2015)","noteIndex":0},"citationItems":[{"id":1409,"uris":["http://zotero.org/users/865335/items/5ABTQSB2"],"uri":["http://zotero.org/users/865335/items/5ABTQSB2"],"itemData":{"id":1409,"type":"article-journal","container-title":"Oikos","DOI":"10.1111/j.1600-0706.2008.17202.x","ISSN":"00301299, 16000706","issue":"5","page":"783-791","source":"CrossRef","title":"Life history tradeoffs influence mortality associated with the amphibian pathogen &lt;i&gt;Batrachochytrium dendrobatidis&lt;/i&gt;","volume":"118","author":[{"family":"Garner","given":"Trenton W. J."},{"family":"Walker","given":"Susan"},{"family":"Bosch","given":"Jaime"},{"family":"Leech","given":"Stacey"},{"family":"Marcus Rowcliffe","given":"J."},{"family":"Cunningham","given":"Andrew A."},{"family":"Fisher","given":"Matthew C."}],"issued":{"date-parts":[["2009",5]]}}},{"id":3366,"uris":["http://zotero.org/users/865335/items/7RIE5CSC"],"uri":["http://zotero.org/users/865335/items/7RIE5CSC"],"itemData":{"id":3366,"type":"article-journal","container-title</w:instrText>
      </w:r>
      <w:r w:rsidR="004A09A9" w:rsidRPr="00D11849">
        <w:rPr>
          <w:rFonts w:ascii="Arial" w:eastAsia="Arial" w:hAnsi="Arial" w:cs="Arial"/>
          <w:sz w:val="22"/>
          <w:szCs w:val="22"/>
        </w:rPr>
        <w:instrText xml:space="preserve">":"Evolution","DOI":"10.1111/j.1558-5646.2011.01570.x","ISSN":"00143820","issue":"6","language":"en","page":"1942-1952","source":"CrossRef","title":"Genetic erosion in wild populations makes resistance to a pathogen more costly","title-short":"GENETIC EROSION IN WILD POPULATIONS MAKES RESISTANCE TO A PATHOGEN MORE COSTLY","volume":"66","author":[{"family":"Luquet","given":"Emilien"},{"family":"Garner","given":"Trenton W.J."},{"family":"Léna","given":"Jean-Paul"},{"family":"Bruel","given":"Christophe"},{"family":"Joly","given":"Pierre"},{"family":"Lengagne","given":"Thierry"},{"family":"Grolet","given":"Odile"},{"family":"Plénet","given":"Sandrine"}],"issued":{"date-parts":[["2012",6]]}}},{"id":3117,"uris":["http://zotero.org/users/865335/items/DGBA28EH"],"uri":["http://zotero.org/users/865335/items/DGBA28EH"],"itemData":{"id":3117,"type":"article-journal","container-title":"Scientific Reports","DOI":"10.1038/srep10828","ISSN":"2045-2322","page":"10828","source":"CrossRef","title":"Host species vary in infection probability, sub-lethal effects, and costs of immune response when exposed to an amphibian parasite","volume":"5","author":[{"family":"Bielby","given":"Jon"},{"family":"Fisher","given":"Matthew C."},{"family":"Clare","given":"Frances C."},{"family":"Rosa","given":"Gonçalo M."},{"family":"Garner","given":"Trenton W. J."}],"issued":{"date-parts":[["2015",5,29]]}}}],"schema":"https://github.com/citation-style-language/schema/raw/master/csl-citation.json"}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(Garner et al. 2009; Luquet et al. 2012; Bielby et al. 2015)</w:t>
      </w:r>
      <w:r w:rsidR="004A09A9">
        <w:rPr>
          <w:rFonts w:ascii="Arial" w:eastAsia="Arial" w:hAnsi="Arial" w:cs="Arial"/>
          <w:sz w:val="22"/>
          <w:szCs w:val="22"/>
        </w:rPr>
        <w:fldChar w:fldCharType="end"/>
      </w:r>
      <w:r w:rsidRPr="00D11849">
        <w:rPr>
          <w:rFonts w:ascii="Arial" w:eastAsia="Arial" w:hAnsi="Arial" w:cs="Arial"/>
          <w:sz w:val="22"/>
          <w:szCs w:val="22"/>
        </w:rPr>
        <w:t xml:space="preserve">. </w:t>
      </w:r>
      <w:r>
        <w:rPr>
          <w:rFonts w:ascii="Arial" w:eastAsia="Arial" w:hAnsi="Arial" w:cs="Arial"/>
          <w:sz w:val="22"/>
          <w:szCs w:val="22"/>
        </w:rPr>
        <w:t xml:space="preserve">A sample was considered positive when both duplicates amplified, or when rerunning single amplifications generated a clear positive. </w:t>
      </w:r>
      <w:r>
        <w:rPr>
          <w:rFonts w:ascii="Arial" w:eastAsia="Arial" w:hAnsi="Arial" w:cs="Arial"/>
          <w:i/>
          <w:sz w:val="22"/>
          <w:szCs w:val="22"/>
        </w:rPr>
        <w:t xml:space="preserve">Bd </w:t>
      </w:r>
      <w:r>
        <w:rPr>
          <w:rFonts w:ascii="Arial" w:eastAsia="Arial" w:hAnsi="Arial" w:cs="Arial"/>
          <w:sz w:val="22"/>
          <w:szCs w:val="22"/>
        </w:rPr>
        <w:t xml:space="preserve">loads are reported here in genomic equivalents (GE), where one GE is equivalent to a single zoospore. We considered GE values of at least 0.01 GE to be positive for infection. </w:t>
      </w:r>
    </w:p>
    <w:p w14:paraId="1328FE66" w14:textId="77777777" w:rsidR="00BF3D8E" w:rsidRDefault="00BF3D8E">
      <w:pPr>
        <w:spacing w:line="480" w:lineRule="auto"/>
        <w:rPr>
          <w:rFonts w:ascii="Arial" w:eastAsia="Arial" w:hAnsi="Arial" w:cs="Arial"/>
          <w:sz w:val="22"/>
          <w:szCs w:val="22"/>
        </w:rPr>
      </w:pPr>
    </w:p>
    <w:p w14:paraId="26B44CC3" w14:textId="77777777" w:rsidR="00BF3D8E" w:rsidRDefault="00B11315" w:rsidP="005D447A">
      <w:pPr>
        <w:spacing w:line="480" w:lineRule="auto"/>
        <w:jc w:val="center"/>
        <w:rPr>
          <w:rFonts w:ascii="Arial" w:eastAsia="Arial" w:hAnsi="Arial" w:cs="Arial"/>
          <w:sz w:val="22"/>
          <w:szCs w:val="22"/>
        </w:rPr>
      </w:pPr>
      <w:r>
        <w:rPr>
          <w:rFonts w:ascii="Arial" w:eastAsia="Arial" w:hAnsi="Arial" w:cs="Arial"/>
          <w:i/>
          <w:sz w:val="22"/>
          <w:szCs w:val="22"/>
        </w:rPr>
        <w:t>Data Analysis</w:t>
      </w:r>
    </w:p>
    <w:p w14:paraId="6DF18B6C" w14:textId="44B9BBE5" w:rsidR="00BF3D8E" w:rsidRDefault="00B11315" w:rsidP="002E426E">
      <w:pPr>
        <w:spacing w:line="480" w:lineRule="auto"/>
        <w:rPr>
          <w:rFonts w:ascii="Arial" w:eastAsia="Arial" w:hAnsi="Arial" w:cs="Arial"/>
          <w:sz w:val="22"/>
          <w:szCs w:val="22"/>
        </w:rPr>
      </w:pPr>
      <w:r>
        <w:rPr>
          <w:rFonts w:ascii="Arial" w:eastAsia="Arial" w:hAnsi="Arial" w:cs="Arial"/>
          <w:sz w:val="22"/>
          <w:szCs w:val="22"/>
        </w:rPr>
        <w:t xml:space="preserve">We used infection prevalence (proportion of animals infected) at the end of the experiment as our main measure of invasion outcomes. When calculating infection prevalence for whole communities, we extrapolated infection data from the 10 sampled individuals of each species to the total final abundance for that species. We also calculated the mean infection loads in communities at the end of the experiment as a measure of infection intensity. We report infection loads as genomic equivalents (GE), which we log-transformed (+1 to allow for transformation of zero values, as we did not have enough power to analyse infection loads of infected individuals exclusively) to achieve normal distributions. Because yearling salamanders potentially tested positive for </w:t>
      </w:r>
      <w:r>
        <w:rPr>
          <w:rFonts w:ascii="Arial" w:eastAsia="Arial" w:hAnsi="Arial" w:cs="Arial"/>
          <w:i/>
          <w:sz w:val="22"/>
          <w:szCs w:val="22"/>
        </w:rPr>
        <w:t>Bd</w:t>
      </w:r>
      <w:r>
        <w:rPr>
          <w:rFonts w:ascii="Arial" w:eastAsia="Arial" w:hAnsi="Arial" w:cs="Arial"/>
          <w:sz w:val="22"/>
          <w:szCs w:val="22"/>
        </w:rPr>
        <w:t xml:space="preserve"> at the start of the experiment, we also considered the role of these hosts in seeding infections in communities by calculating their infection prevalence and mean infection</w:t>
      </w:r>
      <w:r>
        <w:rPr>
          <w:rFonts w:ascii="Arial" w:eastAsia="Arial" w:hAnsi="Arial" w:cs="Arial"/>
          <w:i/>
          <w:sz w:val="22"/>
          <w:szCs w:val="22"/>
        </w:rPr>
        <w:t xml:space="preserve"> </w:t>
      </w:r>
      <w:r>
        <w:rPr>
          <w:rFonts w:ascii="Arial" w:eastAsia="Arial" w:hAnsi="Arial" w:cs="Arial"/>
          <w:sz w:val="22"/>
          <w:szCs w:val="22"/>
        </w:rPr>
        <w:t>loads during the initial phase (Day 2) of the experiment. Swabs collected from salamanders during the intermediate phase of the experiment (Day 15) were correlated with the final samples collected at the end of the experiment.</w:t>
      </w:r>
      <w:r w:rsidR="00692D69">
        <w:rPr>
          <w:rFonts w:ascii="Arial" w:eastAsia="Arial" w:hAnsi="Arial" w:cs="Arial"/>
          <w:sz w:val="22"/>
          <w:szCs w:val="22"/>
        </w:rPr>
        <w:t xml:space="preserve"> </w:t>
      </w:r>
      <w:r>
        <w:rPr>
          <w:rFonts w:ascii="Arial" w:eastAsia="Arial" w:hAnsi="Arial" w:cs="Arial"/>
          <w:sz w:val="22"/>
          <w:szCs w:val="22"/>
        </w:rPr>
        <w:t xml:space="preserve">Given this, and that we were most interested in infection outcomes, we omitted intermediate </w:t>
      </w:r>
      <w:r w:rsidR="00B174DB">
        <w:rPr>
          <w:rFonts w:ascii="Arial" w:eastAsia="Arial" w:hAnsi="Arial" w:cs="Arial"/>
          <w:sz w:val="22"/>
          <w:szCs w:val="22"/>
        </w:rPr>
        <w:t xml:space="preserve">phase </w:t>
      </w:r>
      <w:r>
        <w:rPr>
          <w:rFonts w:ascii="Arial" w:eastAsia="Arial" w:hAnsi="Arial" w:cs="Arial"/>
          <w:sz w:val="22"/>
          <w:szCs w:val="22"/>
        </w:rPr>
        <w:t xml:space="preserve">swabs from our analyses. </w:t>
      </w:r>
    </w:p>
    <w:p w14:paraId="23F58BF9" w14:textId="2C006BA8" w:rsidR="00BF3D8E" w:rsidRDefault="00B11315" w:rsidP="00A75502">
      <w:pPr>
        <w:spacing w:line="480" w:lineRule="auto"/>
        <w:ind w:firstLine="720"/>
        <w:rPr>
          <w:rFonts w:ascii="Arial" w:eastAsia="Arial" w:hAnsi="Arial" w:cs="Arial"/>
          <w:sz w:val="22"/>
          <w:szCs w:val="22"/>
        </w:rPr>
      </w:pPr>
      <w:r>
        <w:rPr>
          <w:rFonts w:ascii="Arial" w:eastAsia="Arial" w:hAnsi="Arial" w:cs="Arial"/>
          <w:sz w:val="22"/>
          <w:szCs w:val="22"/>
        </w:rPr>
        <w:lastRenderedPageBreak/>
        <w:t>For all statistical modelling we used an information theoretic approach involving comparison of the performances of multiple model subsets (multi-model inference) in explaining infection data, using Akaike’s Information Criterion for small sample sizes (</w:t>
      </w:r>
      <w:proofErr w:type="spellStart"/>
      <w:r>
        <w:rPr>
          <w:rFonts w:ascii="Arial" w:eastAsia="Arial" w:hAnsi="Arial" w:cs="Arial"/>
          <w:sz w:val="22"/>
          <w:szCs w:val="22"/>
        </w:rPr>
        <w:t>AICc</w:t>
      </w:r>
      <w:proofErr w:type="spellEnd"/>
      <w:r>
        <w:rPr>
          <w:rFonts w:ascii="Arial" w:eastAsia="Arial" w:hAnsi="Arial" w:cs="Arial"/>
          <w:sz w:val="22"/>
          <w:szCs w:val="22"/>
        </w:rPr>
        <w:t>) as the metric for comparison</w:t>
      </w:r>
      <w:r w:rsidR="00F40174">
        <w:rPr>
          <w:rFonts w:ascii="Arial" w:eastAsia="Arial" w:hAnsi="Arial" w:cs="Arial"/>
          <w:sz w:val="22"/>
          <w:szCs w:val="22"/>
        </w:rPr>
        <w:t xml:space="preserve"> </w:t>
      </w:r>
      <w:r w:rsidR="00F40174">
        <w:rPr>
          <w:rFonts w:ascii="Arial" w:eastAsia="Arial" w:hAnsi="Arial" w:cs="Arial"/>
          <w:sz w:val="22"/>
          <w:szCs w:val="22"/>
        </w:rPr>
        <w:fldChar w:fldCharType="begin"/>
      </w:r>
      <w:r w:rsidR="00F40174">
        <w:rPr>
          <w:rFonts w:ascii="Arial" w:eastAsia="Arial" w:hAnsi="Arial" w:cs="Arial"/>
          <w:sz w:val="22"/>
          <w:szCs w:val="22"/>
        </w:rPr>
        <w:instrText xml:space="preserve"> ADDIN ZOTERO_ITEM CSL_CITATION {"citationID":"uXWXus7c","properties":{"formattedCitation":"(Burnham and Anderson 2002; Harrison et al. 2018)","plainCitation":"(Burnham and Anderson 2002; Harrison et al. 2018)","noteIndex":0},"citationItems":[{"id":2549,"uris":["http://zotero.org/users/865335/items/A9UAWWGA"],"uri":["http://zotero.org/users/865335/items/A9UAWWGA"],"itemData":{"id":2549,"type":"book","abstract":"We wrote this book to introduce graduate students and research workers in various scienti?c disciplines to the use of information-theoretic approaches in the analysis of empirical data. These methods allow the data-based selection of a “best” model and a ranking and weighting of the remaining models in a pre-de?ned set. Traditional statistical inference can then be based on this selected best model. However, we now emphasize that information-theoretic approaches allow formal inference to be based on more than one model (m- timodel inference). Such procedures lead to more robust inferences in many cases, and we advocate these approaches throughout the book. The second edition was prepared with three goals in mind. First, we have tried to improve the presentation of the material. Boxes now highlight ess- tial expressions and points. Some reorganization has been done to improve the ?ow of concepts, and a new chapter has been added. Chapters 2 and 4 have been streamlined in view of the detailed theory provided in Chapter 7. S- ond, concepts related to making formal inferences from more than one model (multimodel inference) have been emphasized throughout the book, but p- ticularly in Chapters 4, 5, and 6. Third, new technical material has been added to Chapters 5 and 6. Well over 100 new references to the technical literature are given. These changes result primarily from our experiences while giving several seminars, workshops, and graduate courses on material in the ?rst e- tion.","event-place":"New York, NY","ISBN":"978-0-387-95364-9","language":"en","number-of-pages":"512","publisher":"Springer","publisher-place":"New York, NY","source":"Google Books","title":"Model selection and multimodel inference: a practical information-theoretic approach","title-short":"Model Selection and Multimodel Inference","author":[{"family":"Burnham","given":"Kenneth P."},{"family":"Anderson","given":"David R."}],"issued":{"date-parts":[["2002",7,12]]}}},{"id":7567,"uris":["http://zotero.org/users/865335/items/6ILIVZIW"],"uri":["http://zotero.org/users/865335/items/6ILIVZIW"],"itemData":{"id":7567,"type":"article-journal","abstract":"The use of linear mixed effects models (LMMs) is increasingly common in the analysis of biological data. Whilst LMMs offer a ﬂexible approach to modelling a broad range of data types, ecological data are often complex and require complex model structures, and the ﬁtting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questions.","container-title":"PeerJ","DOI":"10.7717/peerj.4794","ISSN":"2167-8359","language":"en","page":"e4794","source":"DOI.org (Crossref)","title":"A brief introduction to mixed effects modelling and multi-model inference in ecology","volume":"6","author":[{"family":"Harrison","given":"Xavier A."},{"family":"Donaldson","given":"Lynda"},{"family":"Correa-Cano","given":"Maria Eugenia"},{"family":"Evans","given":"Julian"},{"family":"Fisher","given":"David N."},{"family":"Goodwin","given":"Cecily E.D."},{"family":"Robinson","given":"Beth S."},{"family":"Hodgson","given":"David J."},{"family":"Inger","given":"Richard"}],"issued":{"date-parts":[["2018",5,23]]}}}],"schema":"https://github.com/citation-style-language/schema/raw/master/csl-citation.json"} </w:instrText>
      </w:r>
      <w:r w:rsidR="00F40174">
        <w:rPr>
          <w:rFonts w:ascii="Arial" w:eastAsia="Arial" w:hAnsi="Arial" w:cs="Arial"/>
          <w:sz w:val="22"/>
          <w:szCs w:val="22"/>
        </w:rPr>
        <w:fldChar w:fldCharType="separate"/>
      </w:r>
      <w:r w:rsidR="00CE3F95">
        <w:rPr>
          <w:rFonts w:ascii="Arial" w:eastAsia="Arial" w:hAnsi="Arial" w:cs="Arial"/>
          <w:noProof/>
          <w:sz w:val="22"/>
          <w:szCs w:val="22"/>
        </w:rPr>
        <w:t>(Burnham and Anderson 2002; Harrison et al. 2018)</w:t>
      </w:r>
      <w:r w:rsidR="00F40174">
        <w:rPr>
          <w:rFonts w:ascii="Arial" w:eastAsia="Arial" w:hAnsi="Arial" w:cs="Arial"/>
          <w:sz w:val="22"/>
          <w:szCs w:val="22"/>
        </w:rPr>
        <w:fldChar w:fldCharType="end"/>
      </w:r>
      <w:r>
        <w:rPr>
          <w:rFonts w:ascii="Arial" w:eastAsia="Arial" w:hAnsi="Arial" w:cs="Arial"/>
          <w:sz w:val="22"/>
          <w:szCs w:val="22"/>
        </w:rPr>
        <w:t xml:space="preserve">. The modelling was performed in R </w:t>
      </w:r>
      <w:hyperlink r:id="rId8" w:history="1">
        <w:r>
          <w:rPr>
            <w:rFonts w:ascii="Arial" w:eastAsia="Arial" w:hAnsi="Arial" w:cs="Arial"/>
            <w:sz w:val="22"/>
            <w:szCs w:val="22"/>
          </w:rPr>
          <w:t>(R Core Team 2019)</w:t>
        </w:r>
      </w:hyperlink>
      <w:r>
        <w:rPr>
          <w:rFonts w:ascii="Arial" w:eastAsia="Arial" w:hAnsi="Arial" w:cs="Arial"/>
          <w:sz w:val="22"/>
          <w:szCs w:val="22"/>
        </w:rPr>
        <w:t xml:space="preserve"> using packages specified below. </w:t>
      </w:r>
    </w:p>
    <w:p w14:paraId="1E079D89" w14:textId="77777777" w:rsidR="00BF3D8E" w:rsidRDefault="00BF3D8E">
      <w:pPr>
        <w:spacing w:line="480" w:lineRule="auto"/>
        <w:rPr>
          <w:rFonts w:ascii="Arial" w:eastAsia="Arial" w:hAnsi="Arial" w:cs="Arial"/>
          <w:i/>
          <w:sz w:val="22"/>
          <w:szCs w:val="22"/>
        </w:rPr>
      </w:pPr>
    </w:p>
    <w:p w14:paraId="7C6DBA3F" w14:textId="03F2C230" w:rsidR="00BF3D8E" w:rsidRPr="005D447A" w:rsidRDefault="00B11315" w:rsidP="005D447A">
      <w:pPr>
        <w:spacing w:line="480" w:lineRule="auto"/>
        <w:rPr>
          <w:rFonts w:ascii="Arial" w:eastAsia="Arial" w:hAnsi="Arial" w:cs="Arial"/>
          <w:i/>
          <w:sz w:val="22"/>
          <w:szCs w:val="22"/>
        </w:rPr>
      </w:pPr>
      <w:r>
        <w:rPr>
          <w:rFonts w:ascii="Arial" w:eastAsia="Arial" w:hAnsi="Arial" w:cs="Arial"/>
          <w:i/>
          <w:sz w:val="22"/>
          <w:szCs w:val="22"/>
        </w:rPr>
        <w:t>Infection dynamics in the dominant host species</w:t>
      </w:r>
      <w:r w:rsidR="005D447A">
        <w:rPr>
          <w:rFonts w:ascii="Arial" w:eastAsia="Arial" w:hAnsi="Arial" w:cs="Arial"/>
          <w:i/>
          <w:sz w:val="22"/>
          <w:szCs w:val="22"/>
        </w:rPr>
        <w:t xml:space="preserve">. </w:t>
      </w:r>
      <w:r>
        <w:rPr>
          <w:rFonts w:ascii="Arial" w:eastAsia="Arial" w:hAnsi="Arial" w:cs="Arial"/>
          <w:color w:val="000000"/>
          <w:sz w:val="22"/>
          <w:szCs w:val="22"/>
        </w:rPr>
        <w:t xml:space="preserve">We first characterized temporal infection dynamics in salamander larvae alone, ignoring the community context, to determine whether </w:t>
      </w:r>
      <w:r>
        <w:rPr>
          <w:rFonts w:ascii="Arial" w:eastAsia="Arial" w:hAnsi="Arial" w:cs="Arial"/>
          <w:i/>
          <w:color w:val="000000"/>
          <w:sz w:val="22"/>
          <w:szCs w:val="22"/>
        </w:rPr>
        <w:t>Bd</w:t>
      </w:r>
      <w:r>
        <w:rPr>
          <w:rFonts w:ascii="Arial" w:eastAsia="Arial" w:hAnsi="Arial" w:cs="Arial"/>
          <w:color w:val="000000"/>
          <w:sz w:val="22"/>
          <w:szCs w:val="22"/>
        </w:rPr>
        <w:t xml:space="preserve"> dynamics could be characterized solely from the numerically dominant host.</w:t>
      </w:r>
      <w:r w:rsidR="00692D69">
        <w:rPr>
          <w:rFonts w:ascii="Arial" w:eastAsia="Arial" w:hAnsi="Arial" w:cs="Arial"/>
          <w:color w:val="000000"/>
          <w:sz w:val="22"/>
          <w:szCs w:val="22"/>
        </w:rPr>
        <w:t xml:space="preserve"> </w:t>
      </w:r>
      <w:r>
        <w:rPr>
          <w:rFonts w:ascii="Arial" w:eastAsia="Arial" w:hAnsi="Arial" w:cs="Arial"/>
          <w:color w:val="000000"/>
          <w:sz w:val="22"/>
          <w:szCs w:val="22"/>
        </w:rPr>
        <w:t xml:space="preserve">We </w:t>
      </w:r>
      <w:r w:rsidR="00F40174">
        <w:rPr>
          <w:rFonts w:ascii="Arial" w:eastAsia="Arial" w:hAnsi="Arial" w:cs="Arial"/>
          <w:color w:val="000000"/>
          <w:sz w:val="22"/>
          <w:szCs w:val="22"/>
        </w:rPr>
        <w:t xml:space="preserve">examined </w:t>
      </w:r>
      <w:r>
        <w:rPr>
          <w:rFonts w:ascii="Arial" w:eastAsia="Arial" w:hAnsi="Arial" w:cs="Arial"/>
          <w:color w:val="000000"/>
          <w:sz w:val="22"/>
          <w:szCs w:val="22"/>
        </w:rPr>
        <w:t xml:space="preserve">changes in salamander infection over time using generalized linear mixed models (GLMMs). We used the </w:t>
      </w:r>
      <w:r>
        <w:rPr>
          <w:rFonts w:ascii="Arial" w:eastAsia="Arial" w:hAnsi="Arial" w:cs="Arial"/>
          <w:i/>
          <w:color w:val="000000"/>
          <w:sz w:val="22"/>
          <w:szCs w:val="22"/>
        </w:rPr>
        <w:t>lme4</w:t>
      </w:r>
      <w:r>
        <w:rPr>
          <w:rFonts w:ascii="Arial" w:eastAsia="Arial" w:hAnsi="Arial" w:cs="Arial"/>
          <w:color w:val="000000"/>
          <w:sz w:val="22"/>
          <w:szCs w:val="22"/>
        </w:rPr>
        <w:t xml:space="preserve"> package in R </w:t>
      </w:r>
      <w:r w:rsidR="00BF5FF1">
        <w:rPr>
          <w:rFonts w:ascii="Arial" w:eastAsia="Arial" w:hAnsi="Arial" w:cs="Arial"/>
          <w:color w:val="000000"/>
          <w:sz w:val="22"/>
          <w:szCs w:val="22"/>
        </w:rPr>
        <w:fldChar w:fldCharType="begin"/>
      </w:r>
      <w:r w:rsidR="00BF5FF1">
        <w:rPr>
          <w:rFonts w:ascii="Arial" w:eastAsia="Arial" w:hAnsi="Arial" w:cs="Arial"/>
          <w:color w:val="000000"/>
          <w:sz w:val="22"/>
          <w:szCs w:val="22"/>
        </w:rPr>
        <w:instrText xml:space="preserve"> ADDIN ZOTERO_ITEM CSL_CITATION {"citationID":"e2yHeHzJ","properties":{"formattedCitation":"(R Core Team 2019)","plainCitation":"(R Core Team 2019)","noteIndex":0},"citationItems":[{"id":2501,"uris":["http://zotero.org/users/865335/items/CAVI2E3K"],"uri":["http://zotero.org/users/865335/items/CAVI2E3K"],"itemData":{"id":2501,"type":"book","event-place":"Vienna, Austria","publisher":"R Foundation for Statistical Computing","publisher-place":"Vienna, Austria","title":"R: A language and environment for statistical computing","URL":"http://www.R-project.org/","author":[{"family":"R Core Team","given":""}],"issued":{"date-parts":[["2019"]]}}}],"schema":"https://github.com/citation-style-language/schema/raw/master/csl-citation.json"} </w:instrText>
      </w:r>
      <w:r w:rsidR="00BF5FF1">
        <w:rPr>
          <w:rFonts w:ascii="Arial" w:eastAsia="Arial" w:hAnsi="Arial" w:cs="Arial"/>
          <w:color w:val="000000"/>
          <w:sz w:val="22"/>
          <w:szCs w:val="22"/>
        </w:rPr>
        <w:fldChar w:fldCharType="separate"/>
      </w:r>
      <w:r w:rsidR="00CE3F95">
        <w:rPr>
          <w:rFonts w:ascii="Arial" w:eastAsia="Arial" w:hAnsi="Arial" w:cs="Arial"/>
          <w:noProof/>
          <w:color w:val="000000"/>
          <w:sz w:val="22"/>
          <w:szCs w:val="22"/>
        </w:rPr>
        <w:t>(R Core Team 2019)</w:t>
      </w:r>
      <w:r w:rsidR="00BF5FF1">
        <w:rPr>
          <w:rFonts w:ascii="Arial" w:eastAsia="Arial" w:hAnsi="Arial" w:cs="Arial"/>
          <w:color w:val="000000"/>
          <w:sz w:val="22"/>
          <w:szCs w:val="22"/>
        </w:rPr>
        <w:fldChar w:fldCharType="end"/>
      </w:r>
      <w:r>
        <w:rPr>
          <w:rFonts w:ascii="Arial" w:eastAsia="Arial" w:hAnsi="Arial" w:cs="Arial"/>
          <w:color w:val="000000"/>
          <w:sz w:val="22"/>
          <w:szCs w:val="22"/>
        </w:rPr>
        <w:t xml:space="preserve"> to run the models. The first model used mesocosm-level infection prevalence in salamanders as the response and a binomial error structure, and the second model used mesocosm-level mean infection loads in salamanders (log transformed GE + 1) as the response and a Gaussian error structure (see Table S2 for model formulas). Both models included the phase of the experiment (initial or final) as a fixed effect to capture temporal variation, and mesocosm as a random intercept term to account for repeated sampling. </w:t>
      </w:r>
    </w:p>
    <w:p w14:paraId="66CC0C22" w14:textId="77777777" w:rsidR="00801A58" w:rsidRDefault="00801A58" w:rsidP="00751A2C">
      <w:pPr>
        <w:pBdr>
          <w:top w:val="nil"/>
          <w:left w:val="nil"/>
          <w:bottom w:val="nil"/>
          <w:right w:val="nil"/>
          <w:between w:val="nil"/>
        </w:pBdr>
        <w:spacing w:line="480" w:lineRule="auto"/>
        <w:ind w:firstLine="720"/>
        <w:rPr>
          <w:rFonts w:ascii="Arial" w:eastAsia="Arial" w:hAnsi="Arial" w:cs="Arial"/>
          <w:sz w:val="22"/>
          <w:szCs w:val="22"/>
        </w:rPr>
      </w:pPr>
    </w:p>
    <w:p w14:paraId="1B5486FB" w14:textId="7E03502A" w:rsidR="00BF3D8E" w:rsidRPr="005D447A" w:rsidRDefault="00B11315" w:rsidP="005D447A">
      <w:pPr>
        <w:pBdr>
          <w:top w:val="nil"/>
          <w:left w:val="nil"/>
          <w:bottom w:val="nil"/>
          <w:right w:val="nil"/>
          <w:between w:val="nil"/>
        </w:pBdr>
        <w:spacing w:line="480" w:lineRule="auto"/>
        <w:rPr>
          <w:rFonts w:ascii="Arial" w:eastAsia="Arial" w:hAnsi="Arial" w:cs="Arial"/>
          <w:i/>
          <w:color w:val="000000"/>
          <w:sz w:val="22"/>
          <w:szCs w:val="22"/>
        </w:rPr>
      </w:pPr>
      <w:r>
        <w:rPr>
          <w:rFonts w:ascii="Arial" w:eastAsia="Arial" w:hAnsi="Arial" w:cs="Arial"/>
          <w:i/>
          <w:color w:val="000000"/>
          <w:sz w:val="22"/>
          <w:szCs w:val="22"/>
        </w:rPr>
        <w:t>Multi-host infection dynamics when distinguishing all host species</w:t>
      </w:r>
      <w:r w:rsidR="005D447A">
        <w:rPr>
          <w:rFonts w:ascii="Arial" w:eastAsia="Arial" w:hAnsi="Arial" w:cs="Arial"/>
          <w:i/>
          <w:color w:val="000000"/>
          <w:sz w:val="22"/>
          <w:szCs w:val="22"/>
        </w:rPr>
        <w:t xml:space="preserve">. </w:t>
      </w:r>
      <w:r>
        <w:rPr>
          <w:rFonts w:ascii="Arial" w:eastAsia="Arial" w:hAnsi="Arial" w:cs="Arial"/>
          <w:sz w:val="22"/>
          <w:szCs w:val="22"/>
        </w:rPr>
        <w:t xml:space="preserve">We next characterized infection prevalence and intensity among all host species. Doing so allowed us to assess whether specific host species drove infections in co-occurring host species, thus acting as ‘key’ hosts in the community. We performed multi-model inference as a preliminary examination of associations between </w:t>
      </w:r>
      <w:r w:rsidR="008D412D">
        <w:rPr>
          <w:rFonts w:ascii="Arial" w:eastAsia="Arial" w:hAnsi="Arial" w:cs="Arial"/>
          <w:sz w:val="22"/>
          <w:szCs w:val="22"/>
        </w:rPr>
        <w:t>the number</w:t>
      </w:r>
      <w:r w:rsidR="00DC602D">
        <w:rPr>
          <w:rFonts w:ascii="Arial" w:eastAsia="Arial" w:hAnsi="Arial" w:cs="Arial"/>
          <w:sz w:val="22"/>
          <w:szCs w:val="22"/>
        </w:rPr>
        <w:t>s</w:t>
      </w:r>
      <w:r w:rsidR="008D412D">
        <w:rPr>
          <w:rFonts w:ascii="Arial" w:eastAsia="Arial" w:hAnsi="Arial" w:cs="Arial"/>
          <w:sz w:val="22"/>
          <w:szCs w:val="22"/>
        </w:rPr>
        <w:t xml:space="preserve"> of infected</w:t>
      </w:r>
      <w:r w:rsidR="00DC602D">
        <w:rPr>
          <w:rFonts w:ascii="Arial" w:eastAsia="Arial" w:hAnsi="Arial" w:cs="Arial"/>
          <w:sz w:val="22"/>
          <w:szCs w:val="22"/>
        </w:rPr>
        <w:t xml:space="preserve"> hosts</w:t>
      </w:r>
      <w:r w:rsidR="00AE0C5B">
        <w:rPr>
          <w:rFonts w:ascii="Arial" w:eastAsia="Arial" w:hAnsi="Arial" w:cs="Arial"/>
          <w:sz w:val="22"/>
          <w:szCs w:val="22"/>
        </w:rPr>
        <w:t xml:space="preserve"> for a given host species</w:t>
      </w:r>
      <w:r>
        <w:rPr>
          <w:rFonts w:ascii="Arial" w:eastAsia="Arial" w:hAnsi="Arial" w:cs="Arial"/>
          <w:sz w:val="22"/>
          <w:szCs w:val="22"/>
        </w:rPr>
        <w:t xml:space="preserve"> and </w:t>
      </w:r>
      <w:r w:rsidR="00AE0C5B">
        <w:rPr>
          <w:rFonts w:ascii="Arial" w:eastAsia="Arial" w:hAnsi="Arial" w:cs="Arial"/>
          <w:sz w:val="22"/>
          <w:szCs w:val="22"/>
        </w:rPr>
        <w:t xml:space="preserve">the </w:t>
      </w:r>
      <w:r>
        <w:rPr>
          <w:rFonts w:ascii="Arial" w:eastAsia="Arial" w:hAnsi="Arial" w:cs="Arial"/>
          <w:sz w:val="22"/>
          <w:szCs w:val="22"/>
        </w:rPr>
        <w:t xml:space="preserve">attributes of co-occurring host species in communities (See Supplementary Material for detailed methodology). </w:t>
      </w:r>
      <w:r w:rsidR="008B492F">
        <w:rPr>
          <w:rFonts w:ascii="Arial" w:eastAsia="Arial" w:hAnsi="Arial" w:cs="Arial"/>
          <w:sz w:val="22"/>
          <w:szCs w:val="22"/>
        </w:rPr>
        <w:t xml:space="preserve">The analysis indicated positive associations based on the number of infected co-occurring hosts, specifically between infected frogs and toads (see </w:t>
      </w:r>
      <w:r w:rsidR="003822DA">
        <w:rPr>
          <w:rFonts w:ascii="Arial" w:eastAsia="Arial" w:hAnsi="Arial" w:cs="Arial"/>
          <w:sz w:val="22"/>
          <w:szCs w:val="22"/>
        </w:rPr>
        <w:t>R</w:t>
      </w:r>
      <w:r w:rsidR="008B492F">
        <w:rPr>
          <w:rFonts w:ascii="Arial" w:eastAsia="Arial" w:hAnsi="Arial" w:cs="Arial"/>
          <w:sz w:val="22"/>
          <w:szCs w:val="22"/>
        </w:rPr>
        <w:t xml:space="preserve">esults for further details).  </w:t>
      </w:r>
      <w:r>
        <w:rPr>
          <w:rFonts w:ascii="Arial" w:eastAsia="Arial" w:hAnsi="Arial" w:cs="Arial"/>
          <w:sz w:val="22"/>
          <w:szCs w:val="22"/>
        </w:rPr>
        <w:t>We</w:t>
      </w:r>
      <w:r w:rsidR="00DA18C7">
        <w:rPr>
          <w:rFonts w:ascii="Arial" w:eastAsia="Arial" w:hAnsi="Arial" w:cs="Arial"/>
          <w:sz w:val="22"/>
          <w:szCs w:val="22"/>
        </w:rPr>
        <w:t xml:space="preserve"> used</w:t>
      </w:r>
      <w:r>
        <w:rPr>
          <w:rFonts w:ascii="Arial" w:eastAsia="Arial" w:hAnsi="Arial" w:cs="Arial"/>
          <w:sz w:val="22"/>
          <w:szCs w:val="22"/>
        </w:rPr>
        <w:t xml:space="preserve"> </w:t>
      </w:r>
      <w:r w:rsidR="008B492F">
        <w:rPr>
          <w:rFonts w:ascii="Arial" w:eastAsia="Arial" w:hAnsi="Arial" w:cs="Arial"/>
          <w:sz w:val="22"/>
          <w:szCs w:val="22"/>
        </w:rPr>
        <w:t xml:space="preserve">this information </w:t>
      </w:r>
      <w:r>
        <w:rPr>
          <w:rFonts w:ascii="Arial" w:eastAsia="Arial" w:hAnsi="Arial" w:cs="Arial"/>
          <w:sz w:val="22"/>
          <w:szCs w:val="22"/>
        </w:rPr>
        <w:t xml:space="preserve">to </w:t>
      </w:r>
      <w:r>
        <w:rPr>
          <w:rFonts w:ascii="Arial" w:eastAsia="Arial" w:hAnsi="Arial" w:cs="Arial"/>
          <w:sz w:val="22"/>
          <w:szCs w:val="22"/>
        </w:rPr>
        <w:lastRenderedPageBreak/>
        <w:t xml:space="preserve">outline five </w:t>
      </w:r>
      <w:r w:rsidR="00DC602D">
        <w:rPr>
          <w:rFonts w:ascii="Arial" w:eastAsia="Arial" w:hAnsi="Arial" w:cs="Arial"/>
          <w:sz w:val="22"/>
          <w:szCs w:val="22"/>
        </w:rPr>
        <w:t>possible</w:t>
      </w:r>
      <w:r>
        <w:rPr>
          <w:rFonts w:ascii="Arial" w:eastAsia="Arial" w:hAnsi="Arial" w:cs="Arial"/>
          <w:sz w:val="22"/>
          <w:szCs w:val="22"/>
        </w:rPr>
        <w:t xml:space="preserve"> pathways by which </w:t>
      </w:r>
      <w:r w:rsidRPr="00DC602D">
        <w:rPr>
          <w:rFonts w:ascii="Arial" w:eastAsia="Arial" w:hAnsi="Arial" w:cs="Arial"/>
          <w:i/>
          <w:iCs/>
          <w:sz w:val="22"/>
          <w:szCs w:val="22"/>
        </w:rPr>
        <w:t>Bd</w:t>
      </w:r>
      <w:r>
        <w:rPr>
          <w:rFonts w:ascii="Arial" w:eastAsia="Arial" w:hAnsi="Arial" w:cs="Arial"/>
          <w:sz w:val="22"/>
          <w:szCs w:val="22"/>
        </w:rPr>
        <w:t xml:space="preserve"> infections circulat</w:t>
      </w:r>
      <w:r w:rsidR="0020015C">
        <w:rPr>
          <w:rFonts w:ascii="Arial" w:eastAsia="Arial" w:hAnsi="Arial" w:cs="Arial"/>
          <w:sz w:val="22"/>
          <w:szCs w:val="22"/>
        </w:rPr>
        <w:t>e</w:t>
      </w:r>
      <w:r w:rsidR="00AE0C5B">
        <w:rPr>
          <w:rFonts w:ascii="Arial" w:eastAsia="Arial" w:hAnsi="Arial" w:cs="Arial"/>
          <w:sz w:val="22"/>
          <w:szCs w:val="22"/>
        </w:rPr>
        <w:t>d</w:t>
      </w:r>
      <w:r>
        <w:rPr>
          <w:rFonts w:ascii="Arial" w:eastAsia="Arial" w:hAnsi="Arial" w:cs="Arial"/>
          <w:sz w:val="22"/>
          <w:szCs w:val="22"/>
        </w:rPr>
        <w:t xml:space="preserve"> </w:t>
      </w:r>
      <w:r w:rsidR="00BA7129">
        <w:rPr>
          <w:rFonts w:ascii="Arial" w:eastAsia="Arial" w:hAnsi="Arial" w:cs="Arial"/>
          <w:sz w:val="22"/>
          <w:szCs w:val="22"/>
        </w:rPr>
        <w:t xml:space="preserve">between </w:t>
      </w:r>
      <w:r>
        <w:rPr>
          <w:rFonts w:ascii="Arial" w:eastAsia="Arial" w:hAnsi="Arial" w:cs="Arial"/>
          <w:sz w:val="22"/>
          <w:szCs w:val="22"/>
        </w:rPr>
        <w:t>host species</w:t>
      </w:r>
      <w:r w:rsidR="00F530C2">
        <w:rPr>
          <w:rFonts w:ascii="Arial" w:eastAsia="Arial" w:hAnsi="Arial" w:cs="Arial"/>
          <w:sz w:val="22"/>
          <w:szCs w:val="22"/>
        </w:rPr>
        <w:t xml:space="preserve"> (</w:t>
      </w:r>
      <w:r w:rsidR="00414E0C">
        <w:rPr>
          <w:rFonts w:ascii="Arial" w:eastAsia="Arial" w:hAnsi="Arial" w:cs="Arial"/>
          <w:sz w:val="22"/>
          <w:szCs w:val="22"/>
        </w:rPr>
        <w:t>Table 1</w:t>
      </w:r>
      <w:r w:rsidR="00F530C2">
        <w:rPr>
          <w:rFonts w:ascii="Arial" w:eastAsia="Arial" w:hAnsi="Arial" w:cs="Arial"/>
          <w:sz w:val="22"/>
          <w:szCs w:val="22"/>
        </w:rPr>
        <w:t>)</w:t>
      </w:r>
      <w:r w:rsidR="00414E0C">
        <w:rPr>
          <w:rFonts w:ascii="Arial" w:eastAsia="Arial" w:hAnsi="Arial" w:cs="Arial"/>
          <w:sz w:val="22"/>
          <w:szCs w:val="22"/>
        </w:rPr>
        <w:t xml:space="preserve">. </w:t>
      </w:r>
    </w:p>
    <w:p w14:paraId="14CAF9B8" w14:textId="021A6E85" w:rsidR="00BF3D8E" w:rsidRDefault="00B11315" w:rsidP="00414E0C">
      <w:pPr>
        <w:spacing w:line="480" w:lineRule="auto"/>
        <w:ind w:firstLine="284"/>
        <w:rPr>
          <w:rFonts w:ascii="Arial" w:eastAsia="Arial" w:hAnsi="Arial" w:cs="Arial"/>
          <w:sz w:val="22"/>
          <w:szCs w:val="22"/>
        </w:rPr>
      </w:pPr>
      <w:r>
        <w:rPr>
          <w:rFonts w:ascii="Arial" w:eastAsia="Arial" w:hAnsi="Arial" w:cs="Arial"/>
          <w:sz w:val="22"/>
          <w:szCs w:val="22"/>
        </w:rPr>
        <w:t>We compared support for the different pathways of infection using ‘piecewise’ structural equation models (SEMs). Unlike traditional SEMs, piecewise SEMs permit model fitting with smaller datasets and with responses with non-normal distributions</w:t>
      </w:r>
      <w:r w:rsidR="00BF5FF1">
        <w:rPr>
          <w:rFonts w:ascii="Arial" w:eastAsia="Arial" w:hAnsi="Arial" w:cs="Arial"/>
          <w:sz w:val="22"/>
          <w:szCs w:val="22"/>
        </w:rPr>
        <w:t xml:space="preserve"> </w:t>
      </w:r>
      <w:r w:rsidR="00BF5FF1">
        <w:rPr>
          <w:rFonts w:ascii="Arial" w:eastAsia="Arial" w:hAnsi="Arial" w:cs="Arial"/>
          <w:sz w:val="22"/>
          <w:szCs w:val="22"/>
        </w:rPr>
        <w:fldChar w:fldCharType="begin"/>
      </w:r>
      <w:r w:rsidR="00BF5FF1">
        <w:rPr>
          <w:rFonts w:ascii="Arial" w:eastAsia="Arial" w:hAnsi="Arial" w:cs="Arial"/>
          <w:sz w:val="22"/>
          <w:szCs w:val="22"/>
        </w:rPr>
        <w:instrText xml:space="preserve"> ADDIN ZOTERO_ITEM CSL_CITATION {"citationID":"rJeL8XBx","properties":{"formattedCitation":"(Lefcheck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sidR="00BF5FF1">
        <w:rPr>
          <w:rFonts w:ascii="Arial" w:eastAsia="Arial" w:hAnsi="Arial" w:cs="Arial"/>
          <w:sz w:val="22"/>
          <w:szCs w:val="22"/>
        </w:rPr>
        <w:fldChar w:fldCharType="separate"/>
      </w:r>
      <w:r w:rsidR="00CE3F95">
        <w:rPr>
          <w:rFonts w:ascii="Arial" w:eastAsia="Arial" w:hAnsi="Arial" w:cs="Arial"/>
          <w:noProof/>
          <w:sz w:val="22"/>
          <w:szCs w:val="22"/>
        </w:rPr>
        <w:t>(Lefcheck 2016)</w:t>
      </w:r>
      <w:r w:rsidR="00BF5FF1">
        <w:rPr>
          <w:rFonts w:ascii="Arial" w:eastAsia="Arial" w:hAnsi="Arial" w:cs="Arial"/>
          <w:sz w:val="22"/>
          <w:szCs w:val="22"/>
        </w:rPr>
        <w:fldChar w:fldCharType="end"/>
      </w:r>
      <w:r>
        <w:rPr>
          <w:rFonts w:ascii="Arial" w:eastAsia="Arial" w:hAnsi="Arial" w:cs="Arial"/>
          <w:sz w:val="22"/>
          <w:szCs w:val="22"/>
        </w:rPr>
        <w:t xml:space="preserve">. Piecewise SEMs integrate multiple linear models with distinct responses into a network of interlinked variables, and allow for the direction of each link to be estimated </w:t>
      </w:r>
      <w:r w:rsidR="00BF5FF1">
        <w:rPr>
          <w:rFonts w:ascii="Arial" w:eastAsia="Arial" w:hAnsi="Arial" w:cs="Arial"/>
          <w:sz w:val="22"/>
          <w:szCs w:val="22"/>
        </w:rPr>
        <w:fldChar w:fldCharType="begin"/>
      </w:r>
      <w:r w:rsidR="00BF5FF1">
        <w:rPr>
          <w:rFonts w:ascii="Arial" w:eastAsia="Arial" w:hAnsi="Arial" w:cs="Arial"/>
          <w:sz w:val="22"/>
          <w:szCs w:val="22"/>
        </w:rPr>
        <w:instrText xml:space="preserve"> ADDIN ZOTERO_ITEM CSL_CITATION {"citationID":"sO0yhZXg","properties":{"formattedCitation":"(Lefcheck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sidR="00BF5FF1">
        <w:rPr>
          <w:rFonts w:ascii="Arial" w:eastAsia="Arial" w:hAnsi="Arial" w:cs="Arial"/>
          <w:sz w:val="22"/>
          <w:szCs w:val="22"/>
        </w:rPr>
        <w:fldChar w:fldCharType="separate"/>
      </w:r>
      <w:r w:rsidR="00CE3F95">
        <w:rPr>
          <w:rFonts w:ascii="Arial" w:eastAsia="Arial" w:hAnsi="Arial" w:cs="Arial"/>
          <w:noProof/>
          <w:sz w:val="22"/>
          <w:szCs w:val="22"/>
        </w:rPr>
        <w:t>(Lefcheck 2016)</w:t>
      </w:r>
      <w:r w:rsidR="00BF5FF1">
        <w:rPr>
          <w:rFonts w:ascii="Arial" w:eastAsia="Arial" w:hAnsi="Arial" w:cs="Arial"/>
          <w:sz w:val="22"/>
          <w:szCs w:val="22"/>
        </w:rPr>
        <w:fldChar w:fldCharType="end"/>
      </w:r>
      <w:r>
        <w:rPr>
          <w:rFonts w:ascii="Arial" w:eastAsia="Arial" w:hAnsi="Arial" w:cs="Arial"/>
          <w:sz w:val="22"/>
          <w:szCs w:val="22"/>
        </w:rPr>
        <w:t xml:space="preserve">. Our network comprised final </w:t>
      </w:r>
      <w:r w:rsidR="00BF5FF1">
        <w:rPr>
          <w:rFonts w:ascii="Arial" w:eastAsia="Arial" w:hAnsi="Arial" w:cs="Arial"/>
          <w:sz w:val="22"/>
          <w:szCs w:val="22"/>
        </w:rPr>
        <w:t>numbers of infected individuals</w:t>
      </w:r>
      <w:r>
        <w:rPr>
          <w:rFonts w:ascii="Arial" w:eastAsia="Arial" w:hAnsi="Arial" w:cs="Arial"/>
          <w:sz w:val="22"/>
          <w:szCs w:val="22"/>
        </w:rPr>
        <w:t xml:space="preserve"> in the three focal hosts, as well as a fourth variable for initially infected salamanders (Fig. S2). We considered only mesocosms containing all three host species to allow fitting of all model sets (N = 21)</w:t>
      </w:r>
      <w:r w:rsidR="00EF347C">
        <w:rPr>
          <w:rFonts w:ascii="Arial" w:eastAsia="Arial" w:hAnsi="Arial" w:cs="Arial"/>
          <w:sz w:val="22"/>
          <w:szCs w:val="22"/>
        </w:rPr>
        <w:t xml:space="preserve"> and because we were interested in how </w:t>
      </w:r>
      <w:r w:rsidR="00EF347C" w:rsidRPr="00EF347C">
        <w:rPr>
          <w:rFonts w:ascii="Arial" w:eastAsia="Arial" w:hAnsi="Arial" w:cs="Arial"/>
          <w:i/>
          <w:iCs/>
          <w:sz w:val="22"/>
          <w:szCs w:val="22"/>
        </w:rPr>
        <w:t>Bd</w:t>
      </w:r>
      <w:r w:rsidR="00EF347C">
        <w:rPr>
          <w:rFonts w:ascii="Arial" w:eastAsia="Arial" w:hAnsi="Arial" w:cs="Arial"/>
          <w:sz w:val="22"/>
          <w:szCs w:val="22"/>
        </w:rPr>
        <w:t xml:space="preserve"> circulated when all host species were present</w:t>
      </w:r>
      <w:r>
        <w:rPr>
          <w:rFonts w:ascii="Arial" w:eastAsia="Arial" w:hAnsi="Arial" w:cs="Arial"/>
          <w:sz w:val="22"/>
          <w:szCs w:val="22"/>
        </w:rPr>
        <w:t xml:space="preserve">. We constructed SEMs using the </w:t>
      </w:r>
      <w:proofErr w:type="spellStart"/>
      <w:r>
        <w:rPr>
          <w:rFonts w:ascii="Arial" w:eastAsia="Arial" w:hAnsi="Arial" w:cs="Arial"/>
          <w:i/>
          <w:sz w:val="22"/>
          <w:szCs w:val="22"/>
        </w:rPr>
        <w:t>PiecewiseSEM</w:t>
      </w:r>
      <w:proofErr w:type="spellEnd"/>
      <w:r>
        <w:rPr>
          <w:rFonts w:ascii="Arial" w:eastAsia="Arial" w:hAnsi="Arial" w:cs="Arial"/>
          <w:sz w:val="22"/>
          <w:szCs w:val="22"/>
        </w:rPr>
        <w:t xml:space="preserve"> package in R</w:t>
      </w:r>
      <w:r w:rsidR="00F40174">
        <w:rPr>
          <w:rFonts w:ascii="Arial" w:eastAsia="Arial" w:hAnsi="Arial" w:cs="Arial"/>
          <w:sz w:val="22"/>
          <w:szCs w:val="22"/>
        </w:rPr>
        <w:t xml:space="preserve"> </w:t>
      </w:r>
      <w:r w:rsidR="00F40174">
        <w:rPr>
          <w:rFonts w:ascii="Arial" w:eastAsia="Arial" w:hAnsi="Arial" w:cs="Arial"/>
          <w:sz w:val="22"/>
          <w:szCs w:val="22"/>
        </w:rPr>
        <w:fldChar w:fldCharType="begin"/>
      </w:r>
      <w:r w:rsidR="00F40174">
        <w:rPr>
          <w:rFonts w:ascii="Arial" w:eastAsia="Arial" w:hAnsi="Arial" w:cs="Arial"/>
          <w:sz w:val="22"/>
          <w:szCs w:val="22"/>
        </w:rPr>
        <w:instrText xml:space="preserve"> ADDIN ZOTERO_ITEM CSL_CITATION {"citationID":"EklrqAev","properties":{"formattedCitation":"(Lefcheck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sidR="00F40174">
        <w:rPr>
          <w:rFonts w:ascii="Arial" w:eastAsia="Arial" w:hAnsi="Arial" w:cs="Arial"/>
          <w:sz w:val="22"/>
          <w:szCs w:val="22"/>
        </w:rPr>
        <w:fldChar w:fldCharType="separate"/>
      </w:r>
      <w:r w:rsidR="00CE3F95">
        <w:rPr>
          <w:rFonts w:ascii="Arial" w:eastAsia="Arial" w:hAnsi="Arial" w:cs="Arial"/>
          <w:noProof/>
          <w:sz w:val="22"/>
          <w:szCs w:val="22"/>
        </w:rPr>
        <w:t>(Lefcheck 2016)</w:t>
      </w:r>
      <w:r w:rsidR="00F40174">
        <w:rPr>
          <w:rFonts w:ascii="Arial" w:eastAsia="Arial" w:hAnsi="Arial" w:cs="Arial"/>
          <w:sz w:val="22"/>
          <w:szCs w:val="22"/>
        </w:rPr>
        <w:fldChar w:fldCharType="end"/>
      </w:r>
      <w:r>
        <w:rPr>
          <w:rFonts w:ascii="Arial" w:eastAsia="Arial" w:hAnsi="Arial" w:cs="Arial"/>
          <w:sz w:val="22"/>
          <w:szCs w:val="22"/>
        </w:rPr>
        <w:t xml:space="preserve">, and used the </w:t>
      </w:r>
      <w:proofErr w:type="spellStart"/>
      <w:r>
        <w:rPr>
          <w:rFonts w:ascii="Arial" w:eastAsia="Arial" w:hAnsi="Arial" w:cs="Arial"/>
          <w:i/>
          <w:sz w:val="22"/>
          <w:szCs w:val="22"/>
        </w:rPr>
        <w:t>psem</w:t>
      </w:r>
      <w:proofErr w:type="spellEnd"/>
      <w:r>
        <w:rPr>
          <w:rFonts w:ascii="Arial" w:eastAsia="Arial" w:hAnsi="Arial" w:cs="Arial"/>
          <w:i/>
          <w:sz w:val="22"/>
          <w:szCs w:val="22"/>
        </w:rPr>
        <w:t>()</w:t>
      </w:r>
      <w:r>
        <w:rPr>
          <w:rFonts w:ascii="Arial" w:eastAsia="Arial" w:hAnsi="Arial" w:cs="Arial"/>
          <w:sz w:val="22"/>
          <w:szCs w:val="22"/>
        </w:rPr>
        <w:t xml:space="preserve"> function to estimate their </w:t>
      </w:r>
      <w:proofErr w:type="spellStart"/>
      <w:r>
        <w:rPr>
          <w:rFonts w:ascii="Arial" w:eastAsia="Arial" w:hAnsi="Arial" w:cs="Arial"/>
          <w:sz w:val="22"/>
          <w:szCs w:val="22"/>
        </w:rPr>
        <w:t>AICc</w:t>
      </w:r>
      <w:proofErr w:type="spellEnd"/>
      <w:r>
        <w:rPr>
          <w:rFonts w:ascii="Arial" w:eastAsia="Arial" w:hAnsi="Arial" w:cs="Arial"/>
          <w:sz w:val="22"/>
          <w:szCs w:val="22"/>
        </w:rPr>
        <w:t xml:space="preserve"> values and standardized regression coefficients. </w:t>
      </w:r>
    </w:p>
    <w:p w14:paraId="49DAB39A" w14:textId="77777777" w:rsidR="00BF3D8E" w:rsidRDefault="00BF3D8E">
      <w:pPr>
        <w:pBdr>
          <w:top w:val="nil"/>
          <w:left w:val="nil"/>
          <w:bottom w:val="nil"/>
          <w:right w:val="nil"/>
          <w:between w:val="nil"/>
        </w:pBdr>
        <w:spacing w:line="480" w:lineRule="auto"/>
        <w:ind w:left="426"/>
        <w:rPr>
          <w:rFonts w:ascii="Arial" w:eastAsia="Arial" w:hAnsi="Arial" w:cs="Arial"/>
          <w:color w:val="000000"/>
          <w:sz w:val="22"/>
          <w:szCs w:val="22"/>
        </w:rPr>
      </w:pPr>
    </w:p>
    <w:p w14:paraId="3EA2A358" w14:textId="0DDEBC89" w:rsidR="00BF3D8E" w:rsidRPr="00147009" w:rsidRDefault="00B11315" w:rsidP="00147009">
      <w:pPr>
        <w:pBdr>
          <w:top w:val="nil"/>
          <w:left w:val="nil"/>
          <w:bottom w:val="nil"/>
          <w:right w:val="nil"/>
          <w:between w:val="nil"/>
        </w:pBdr>
        <w:spacing w:line="480" w:lineRule="auto"/>
        <w:rPr>
          <w:rFonts w:ascii="Arial" w:eastAsia="Arial" w:hAnsi="Arial" w:cs="Arial"/>
          <w:color w:val="000000"/>
          <w:sz w:val="22"/>
          <w:szCs w:val="22"/>
        </w:rPr>
      </w:pPr>
      <w:r>
        <w:rPr>
          <w:rFonts w:ascii="Arial" w:eastAsia="Arial" w:hAnsi="Arial" w:cs="Arial"/>
          <w:i/>
          <w:color w:val="000000"/>
          <w:sz w:val="22"/>
          <w:szCs w:val="22"/>
        </w:rPr>
        <w:t>Variation in community-level infection prevalence and intensity</w:t>
      </w:r>
      <w:r w:rsidR="00147009">
        <w:rPr>
          <w:rFonts w:ascii="Arial" w:eastAsia="Arial" w:hAnsi="Arial" w:cs="Arial"/>
          <w:color w:val="000000"/>
          <w:sz w:val="22"/>
          <w:szCs w:val="22"/>
        </w:rPr>
        <w:t xml:space="preserve">. </w:t>
      </w:r>
      <w:r>
        <w:rPr>
          <w:rFonts w:ascii="Arial" w:eastAsia="Arial" w:hAnsi="Arial" w:cs="Arial"/>
          <w:sz w:val="22"/>
          <w:szCs w:val="22"/>
        </w:rPr>
        <w:t>We next examined how the observed routes of infection between host species translated to the importance of host species identities in explaining community-level patterns of infection. Specifically, we examined how different levels of detail describing the host community affected our ability to predict community-level infection prevalence, comparing the following scenarios:</w:t>
      </w:r>
      <w:r w:rsidR="005D447A">
        <w:rPr>
          <w:rFonts w:ascii="Arial" w:eastAsia="Arial" w:hAnsi="Arial" w:cs="Arial"/>
          <w:sz w:val="22"/>
          <w:szCs w:val="22"/>
        </w:rPr>
        <w:t xml:space="preserve"> 1) </w:t>
      </w:r>
      <w:r>
        <w:rPr>
          <w:rFonts w:ascii="Arial" w:eastAsia="Arial" w:hAnsi="Arial" w:cs="Arial"/>
          <w:color w:val="000000"/>
          <w:sz w:val="22"/>
          <w:szCs w:val="22"/>
        </w:rPr>
        <w:t>Community-level infection prevalence varies randomly and is not influenced by host species richness or composition</w:t>
      </w:r>
      <w:r w:rsidR="005D447A">
        <w:rPr>
          <w:rFonts w:ascii="Arial" w:eastAsia="Arial" w:hAnsi="Arial" w:cs="Arial"/>
          <w:color w:val="000000"/>
          <w:sz w:val="22"/>
          <w:szCs w:val="22"/>
        </w:rPr>
        <w:t>,</w:t>
      </w:r>
      <w:r w:rsidR="005D447A">
        <w:rPr>
          <w:rFonts w:ascii="Arial" w:eastAsia="Arial" w:hAnsi="Arial" w:cs="Arial"/>
          <w:sz w:val="22"/>
          <w:szCs w:val="22"/>
        </w:rPr>
        <w:t xml:space="preserve"> 2) </w:t>
      </w:r>
      <w:r>
        <w:rPr>
          <w:rFonts w:ascii="Arial" w:eastAsia="Arial" w:hAnsi="Arial" w:cs="Arial"/>
          <w:color w:val="000000"/>
          <w:sz w:val="22"/>
          <w:szCs w:val="22"/>
        </w:rPr>
        <w:t xml:space="preserve">Community-level infection prevalence and intensity are predicted by host species richness alone (least detail, i.e. </w:t>
      </w:r>
      <w:r w:rsidR="00B174DB">
        <w:rPr>
          <w:rFonts w:ascii="Arial" w:eastAsia="Arial" w:hAnsi="Arial" w:cs="Arial"/>
          <w:color w:val="000000"/>
          <w:sz w:val="22"/>
          <w:szCs w:val="22"/>
        </w:rPr>
        <w:t xml:space="preserve">host </w:t>
      </w:r>
      <w:r>
        <w:rPr>
          <w:rFonts w:ascii="Arial" w:eastAsia="Arial" w:hAnsi="Arial" w:cs="Arial"/>
          <w:color w:val="000000"/>
          <w:sz w:val="22"/>
          <w:szCs w:val="22"/>
        </w:rPr>
        <w:t>species identity does not matter)</w:t>
      </w:r>
      <w:r w:rsidR="005D447A">
        <w:rPr>
          <w:rFonts w:ascii="Arial" w:eastAsia="Arial" w:hAnsi="Arial" w:cs="Arial"/>
          <w:sz w:val="22"/>
          <w:szCs w:val="22"/>
        </w:rPr>
        <w:t xml:space="preserve">, 3) </w:t>
      </w:r>
      <w:r>
        <w:rPr>
          <w:rFonts w:ascii="Arial" w:eastAsia="Arial" w:hAnsi="Arial" w:cs="Arial"/>
          <w:color w:val="000000"/>
          <w:sz w:val="22"/>
          <w:szCs w:val="22"/>
        </w:rPr>
        <w:t>Community-level infection prevalence and intensity are predicted by the proportion of auxiliary hosts in the community, irrespective of their identity (intermediate detail; i.e. identities of salamanders versus ‘others’ matters)</w:t>
      </w:r>
      <w:r w:rsidR="005D447A">
        <w:rPr>
          <w:rFonts w:ascii="Arial" w:eastAsia="Arial" w:hAnsi="Arial" w:cs="Arial"/>
          <w:sz w:val="22"/>
          <w:szCs w:val="22"/>
        </w:rPr>
        <w:t xml:space="preserve">, 4) </w:t>
      </w:r>
      <w:r>
        <w:rPr>
          <w:rFonts w:ascii="Arial" w:eastAsia="Arial" w:hAnsi="Arial" w:cs="Arial"/>
          <w:color w:val="000000"/>
          <w:sz w:val="22"/>
          <w:szCs w:val="22"/>
        </w:rPr>
        <w:t xml:space="preserve">Community-level infection prevalence and intensity are predicted by the relative proportion of frogs, toads, and salamanders in the community (most detail, i.e. identities of all host species matters) </w:t>
      </w:r>
    </w:p>
    <w:p w14:paraId="0061460F" w14:textId="77777777" w:rsidR="00BF3D8E" w:rsidRDefault="00BF3D8E">
      <w:pPr>
        <w:pBdr>
          <w:top w:val="nil"/>
          <w:left w:val="nil"/>
          <w:bottom w:val="nil"/>
          <w:right w:val="nil"/>
          <w:between w:val="nil"/>
        </w:pBdr>
        <w:spacing w:line="480" w:lineRule="auto"/>
        <w:ind w:left="426"/>
        <w:rPr>
          <w:rFonts w:ascii="Arial" w:eastAsia="Arial" w:hAnsi="Arial" w:cs="Arial"/>
          <w:color w:val="000000"/>
          <w:sz w:val="22"/>
          <w:szCs w:val="22"/>
        </w:rPr>
      </w:pPr>
    </w:p>
    <w:p w14:paraId="2EC94DD2" w14:textId="49566ED6" w:rsidR="00BF3D8E" w:rsidRDefault="00B11315">
      <w:pPr>
        <w:pBdr>
          <w:top w:val="nil"/>
          <w:left w:val="nil"/>
          <w:bottom w:val="nil"/>
          <w:right w:val="nil"/>
          <w:between w:val="nil"/>
        </w:pBdr>
        <w:spacing w:line="480" w:lineRule="auto"/>
        <w:rPr>
          <w:rFonts w:ascii="Arial" w:eastAsia="Arial" w:hAnsi="Arial" w:cs="Arial"/>
          <w:color w:val="000000"/>
          <w:sz w:val="22"/>
          <w:szCs w:val="22"/>
        </w:rPr>
      </w:pPr>
      <w:r>
        <w:rPr>
          <w:rFonts w:ascii="Arial" w:eastAsia="Arial" w:hAnsi="Arial" w:cs="Arial"/>
          <w:color w:val="000000"/>
          <w:sz w:val="22"/>
          <w:szCs w:val="22"/>
        </w:rPr>
        <w:t xml:space="preserve">We ran GLMs in R to </w:t>
      </w:r>
      <w:r w:rsidR="00BF5FF1">
        <w:rPr>
          <w:rFonts w:ascii="Arial" w:eastAsia="Arial" w:hAnsi="Arial" w:cs="Arial"/>
          <w:color w:val="000000"/>
          <w:sz w:val="22"/>
          <w:szCs w:val="22"/>
        </w:rPr>
        <w:t>assess support for the above scenarios</w:t>
      </w:r>
      <w:r>
        <w:rPr>
          <w:rFonts w:ascii="Arial" w:eastAsia="Arial" w:hAnsi="Arial" w:cs="Arial"/>
          <w:color w:val="000000"/>
          <w:sz w:val="22"/>
          <w:szCs w:val="22"/>
        </w:rPr>
        <w:t xml:space="preserve">, running separate model sets for community-wide infection prevalence (overall proportion of hosts infected, regardless of species identity) and mean infection loads (again, averaged over all hosts, regardless of species). We used a binomial error structure for the former model set and a Gaussian error structure for the latter model set. For </w:t>
      </w:r>
      <w:r w:rsidR="008D412D">
        <w:rPr>
          <w:rFonts w:ascii="Arial" w:eastAsia="Arial" w:hAnsi="Arial" w:cs="Arial"/>
          <w:color w:val="000000"/>
          <w:sz w:val="22"/>
          <w:szCs w:val="22"/>
        </w:rPr>
        <w:t xml:space="preserve">scenario </w:t>
      </w:r>
      <w:r>
        <w:rPr>
          <w:rFonts w:ascii="Arial" w:eastAsia="Arial" w:hAnsi="Arial" w:cs="Arial"/>
          <w:color w:val="000000"/>
          <w:sz w:val="22"/>
          <w:szCs w:val="22"/>
        </w:rPr>
        <w:t xml:space="preserve">1, we ran a GLM including only the intercept term, as a null model. Models for </w:t>
      </w:r>
      <w:r w:rsidR="008D412D">
        <w:rPr>
          <w:rFonts w:ascii="Arial" w:eastAsia="Arial" w:hAnsi="Arial" w:cs="Arial"/>
          <w:color w:val="000000"/>
          <w:sz w:val="22"/>
          <w:szCs w:val="22"/>
        </w:rPr>
        <w:t>scenarios</w:t>
      </w:r>
      <w:r>
        <w:rPr>
          <w:rFonts w:ascii="Arial" w:eastAsia="Arial" w:hAnsi="Arial" w:cs="Arial"/>
          <w:color w:val="000000"/>
          <w:sz w:val="22"/>
          <w:szCs w:val="22"/>
        </w:rPr>
        <w:t xml:space="preserve"> 2-</w:t>
      </w:r>
      <w:r w:rsidR="00A3647F">
        <w:rPr>
          <w:rFonts w:ascii="Arial" w:eastAsia="Arial" w:hAnsi="Arial" w:cs="Arial"/>
          <w:color w:val="000000"/>
          <w:sz w:val="22"/>
          <w:szCs w:val="22"/>
        </w:rPr>
        <w:t>4</w:t>
      </w:r>
      <w:r>
        <w:rPr>
          <w:rFonts w:ascii="Arial" w:eastAsia="Arial" w:hAnsi="Arial" w:cs="Arial"/>
          <w:color w:val="000000"/>
          <w:sz w:val="22"/>
          <w:szCs w:val="22"/>
        </w:rPr>
        <w:t xml:space="preserve"> contained host species richness as a fixed effect. For </w:t>
      </w:r>
      <w:r w:rsidR="008D412D">
        <w:rPr>
          <w:rFonts w:ascii="Arial" w:eastAsia="Arial" w:hAnsi="Arial" w:cs="Arial"/>
          <w:color w:val="000000"/>
          <w:sz w:val="22"/>
          <w:szCs w:val="22"/>
        </w:rPr>
        <w:t xml:space="preserve">scenario </w:t>
      </w:r>
      <w:r>
        <w:rPr>
          <w:rFonts w:ascii="Arial" w:eastAsia="Arial" w:hAnsi="Arial" w:cs="Arial"/>
          <w:color w:val="000000"/>
          <w:sz w:val="22"/>
          <w:szCs w:val="22"/>
        </w:rPr>
        <w:t xml:space="preserve">2 we ran a GLM that included only host species richness as a fixed effect. We expanded this model for </w:t>
      </w:r>
      <w:r w:rsidR="008D412D">
        <w:rPr>
          <w:rFonts w:ascii="Arial" w:eastAsia="Arial" w:hAnsi="Arial" w:cs="Arial"/>
          <w:color w:val="000000"/>
          <w:sz w:val="22"/>
          <w:szCs w:val="22"/>
        </w:rPr>
        <w:t xml:space="preserve">scenario </w:t>
      </w:r>
      <w:r>
        <w:rPr>
          <w:rFonts w:ascii="Arial" w:eastAsia="Arial" w:hAnsi="Arial" w:cs="Arial"/>
          <w:color w:val="000000"/>
          <w:sz w:val="22"/>
          <w:szCs w:val="22"/>
        </w:rPr>
        <w:t xml:space="preserve">3 to include the proportion of auxiliary hosts (frogs and toads) in communities as a second fixed effect in addition to host species richness. For </w:t>
      </w:r>
      <w:r w:rsidR="008D412D">
        <w:rPr>
          <w:rFonts w:ascii="Arial" w:eastAsia="Arial" w:hAnsi="Arial" w:cs="Arial"/>
          <w:color w:val="000000"/>
          <w:sz w:val="22"/>
          <w:szCs w:val="22"/>
        </w:rPr>
        <w:t xml:space="preserve">scenario </w:t>
      </w:r>
      <w:r>
        <w:rPr>
          <w:rFonts w:ascii="Arial" w:eastAsia="Arial" w:hAnsi="Arial" w:cs="Arial"/>
          <w:color w:val="000000"/>
          <w:sz w:val="22"/>
          <w:szCs w:val="22"/>
        </w:rPr>
        <w:t xml:space="preserve">4, we added two fixed effects – the proportion of toads and the proportion of frogs in communities – to fully distinguish host species identities in the communities (proportion of salamanders was implicit). We compared which models, and therefore which level of detail about host communities, provided the most accurate yet parsimonious fit to the data according to </w:t>
      </w:r>
      <w:proofErr w:type="spellStart"/>
      <w:r>
        <w:rPr>
          <w:rFonts w:ascii="Arial" w:eastAsia="Arial" w:hAnsi="Arial" w:cs="Arial"/>
          <w:color w:val="000000"/>
          <w:sz w:val="22"/>
          <w:szCs w:val="22"/>
        </w:rPr>
        <w:t>AICc</w:t>
      </w:r>
      <w:proofErr w:type="spellEnd"/>
      <w:r>
        <w:rPr>
          <w:rFonts w:ascii="Arial" w:eastAsia="Arial" w:hAnsi="Arial" w:cs="Arial"/>
          <w:color w:val="000000"/>
          <w:sz w:val="22"/>
          <w:szCs w:val="22"/>
        </w:rPr>
        <w:t xml:space="preserve"> values. </w:t>
      </w:r>
    </w:p>
    <w:p w14:paraId="7BBB36BF" w14:textId="77777777" w:rsidR="00BF3D8E" w:rsidRDefault="00BF3D8E">
      <w:pPr>
        <w:pBdr>
          <w:top w:val="nil"/>
          <w:left w:val="nil"/>
          <w:bottom w:val="nil"/>
          <w:right w:val="nil"/>
          <w:between w:val="nil"/>
        </w:pBdr>
        <w:spacing w:line="480" w:lineRule="auto"/>
        <w:ind w:left="284"/>
        <w:rPr>
          <w:rFonts w:ascii="Arial" w:eastAsia="Arial" w:hAnsi="Arial" w:cs="Arial"/>
          <w:i/>
          <w:color w:val="000000"/>
          <w:sz w:val="22"/>
          <w:szCs w:val="22"/>
        </w:rPr>
      </w:pPr>
    </w:p>
    <w:p w14:paraId="05B15F13" w14:textId="40FF8AC8" w:rsidR="006A3BEE" w:rsidRPr="00147009" w:rsidRDefault="006A3BEE" w:rsidP="00147009">
      <w:pPr>
        <w:pBdr>
          <w:top w:val="nil"/>
          <w:left w:val="nil"/>
          <w:bottom w:val="nil"/>
          <w:right w:val="nil"/>
          <w:between w:val="nil"/>
        </w:pBdr>
        <w:spacing w:line="480" w:lineRule="auto"/>
        <w:rPr>
          <w:rFonts w:ascii="Arial" w:eastAsia="Arial" w:hAnsi="Arial" w:cs="Arial"/>
          <w:i/>
          <w:color w:val="000000"/>
          <w:sz w:val="22"/>
          <w:szCs w:val="22"/>
        </w:rPr>
      </w:pPr>
      <w:r>
        <w:rPr>
          <w:rFonts w:ascii="Arial" w:eastAsia="Arial" w:hAnsi="Arial" w:cs="Arial"/>
          <w:i/>
          <w:color w:val="000000"/>
          <w:sz w:val="22"/>
          <w:szCs w:val="22"/>
        </w:rPr>
        <w:t>Species-specific contributions to transmission</w:t>
      </w:r>
      <w:r w:rsidR="00147009">
        <w:rPr>
          <w:rFonts w:ascii="Arial" w:eastAsia="Arial" w:hAnsi="Arial" w:cs="Arial"/>
          <w:i/>
          <w:color w:val="000000"/>
          <w:sz w:val="22"/>
          <w:szCs w:val="22"/>
        </w:rPr>
        <w:t xml:space="preserve">. </w:t>
      </w:r>
      <w:r>
        <w:rPr>
          <w:rFonts w:ascii="Arial" w:eastAsia="Arial" w:hAnsi="Arial" w:cs="Arial"/>
          <w:sz w:val="22"/>
          <w:szCs w:val="22"/>
        </w:rPr>
        <w:t xml:space="preserve">To gain deeper insight into the relative contributions each host species made to </w:t>
      </w:r>
      <w:r>
        <w:rPr>
          <w:rFonts w:ascii="Arial" w:eastAsia="Arial" w:hAnsi="Arial" w:cs="Arial"/>
          <w:i/>
          <w:sz w:val="22"/>
          <w:szCs w:val="22"/>
        </w:rPr>
        <w:t>Bd</w:t>
      </w:r>
      <w:r>
        <w:rPr>
          <w:rFonts w:ascii="Arial" w:eastAsia="Arial" w:hAnsi="Arial" w:cs="Arial"/>
          <w:sz w:val="22"/>
          <w:szCs w:val="22"/>
        </w:rPr>
        <w:t xml:space="preserve"> transmission dynamics within our assembled communities, we fitted a dynamic transmission model to the data across all 3-species mesocosms </w:t>
      </w:r>
      <w:r w:rsidR="006C2995">
        <w:rPr>
          <w:rFonts w:ascii="Arial" w:eastAsia="Arial" w:hAnsi="Arial" w:cs="Arial"/>
          <w:sz w:val="22"/>
          <w:szCs w:val="22"/>
        </w:rPr>
        <w:t>(</w:t>
      </w:r>
      <w:r w:rsidR="006C2995" w:rsidRPr="00C818F2">
        <w:rPr>
          <w:rFonts w:ascii="Arial" w:eastAsia="Arial" w:hAnsi="Arial" w:cs="Arial"/>
          <w:color w:val="000000" w:themeColor="text1"/>
          <w:sz w:val="22"/>
          <w:szCs w:val="22"/>
        </w:rPr>
        <w:t>63 data points - 21 tanks x 3 species final infection data)</w:t>
      </w:r>
      <w:r w:rsidR="006C2995">
        <w:rPr>
          <w:rFonts w:ascii="Arial" w:eastAsia="Arial" w:hAnsi="Arial" w:cs="Arial"/>
          <w:color w:val="0070C0"/>
          <w:sz w:val="22"/>
          <w:szCs w:val="22"/>
        </w:rPr>
        <w:t xml:space="preserve"> </w:t>
      </w:r>
      <w:r>
        <w:rPr>
          <w:rFonts w:ascii="Arial" w:eastAsia="Arial" w:hAnsi="Arial" w:cs="Arial"/>
          <w:sz w:val="22"/>
          <w:szCs w:val="22"/>
        </w:rPr>
        <w:t xml:space="preserve">and estimated the key epidemiological parameters for each species. We assumed the dynamics of transmission within each tank </w:t>
      </w:r>
      <w:r>
        <w:rPr>
          <w:rFonts w:ascii="Arial" w:eastAsia="Arial" w:hAnsi="Arial" w:cs="Arial"/>
          <w:i/>
          <w:sz w:val="22"/>
          <w:szCs w:val="22"/>
        </w:rPr>
        <w:t>j</w:t>
      </w:r>
      <w:r>
        <w:rPr>
          <w:rFonts w:ascii="Arial" w:eastAsia="Arial" w:hAnsi="Arial" w:cs="Arial"/>
          <w:sz w:val="22"/>
          <w:szCs w:val="22"/>
        </w:rPr>
        <w:t xml:space="preserve"> could be described by the following equations:</w:t>
      </w:r>
    </w:p>
    <w:p w14:paraId="00990617" w14:textId="77777777" w:rsidR="006A3BEE" w:rsidRDefault="004049D4" w:rsidP="006A3BEE">
      <w:pPr>
        <w:jc w:val="center"/>
        <w:rPr>
          <w:rFonts w:ascii="Cambria Math" w:eastAsia="Cambria Math" w:hAnsi="Cambria Math" w:cs="Cambria Math"/>
          <w:sz w:val="22"/>
          <w:szCs w:val="22"/>
        </w:rPr>
      </w:pPr>
      <m:oMathPara>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d</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num>
            <m:den>
              <m:r>
                <w:rPr>
                  <w:rFonts w:ascii="Cambria Math" w:eastAsia="Cambria Math" w:hAnsi="Cambria Math" w:cs="Cambria Math"/>
                  <w:sz w:val="22"/>
                  <w:szCs w:val="22"/>
                </w:rPr>
                <m:t>dt</m:t>
              </m:r>
            </m:den>
          </m:f>
          <m:r>
            <w:rPr>
              <w:rFonts w:ascii="Cambria Math" w:eastAsia="Cambria Math" w:hAnsi="Cambria Math" w:cs="Cambria Math"/>
              <w:sz w:val="22"/>
              <w:szCs w:val="22"/>
            </w:rPr>
            <m:t>= -</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μ</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m:oMathPara>
    </w:p>
    <w:p w14:paraId="098B5DF3" w14:textId="74BD70DE" w:rsidR="006A3BEE" w:rsidRDefault="004049D4" w:rsidP="006A3BEE">
      <w:pPr>
        <w:jc w:val="center"/>
        <w:rPr>
          <w:rFonts w:ascii="Cambria Math" w:eastAsia="Cambria Math" w:hAnsi="Cambria Math" w:cs="Cambria Math"/>
          <w:sz w:val="22"/>
          <w:szCs w:val="22"/>
        </w:rPr>
      </w:pPr>
      <m:oMathPara>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d</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num>
            <m:den>
              <m:r>
                <w:rPr>
                  <w:rFonts w:ascii="Cambria Math" w:eastAsia="Cambria Math" w:hAnsi="Cambria Math" w:cs="Cambria Math"/>
                  <w:sz w:val="22"/>
                  <w:szCs w:val="22"/>
                </w:rPr>
                <m:t>dt</m:t>
              </m:r>
            </m:den>
          </m:f>
          <m:r>
            <w:rPr>
              <w:rFonts w:ascii="Cambria Math" w:eastAsia="Cambria Math" w:hAnsi="Cambria Math" w:cs="Cambria Math"/>
              <w:sz w:val="22"/>
              <w:szCs w:val="22"/>
            </w:rPr>
            <m:t xml:space="preserve">= </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β</m:t>
              </m:r>
            </m:e>
            <m:sub>
              <m:r>
                <w:rPr>
                  <w:rFonts w:ascii="Cambria Math" w:eastAsia="Cambria Math" w:hAnsi="Cambria Math" w:cs="Cambria Math"/>
                  <w:sz w:val="22"/>
                  <w:szCs w:val="22"/>
                </w:rPr>
                <m:t>i</m:t>
              </m:r>
            </m:sub>
          </m:sSub>
          <m:d>
            <m:dPr>
              <m:ctrlPr>
                <w:rPr>
                  <w:rFonts w:ascii="Cambria Math" w:eastAsia="Cambria Math" w:hAnsi="Cambria Math" w:cs="Cambria Math"/>
                  <w:sz w:val="22"/>
                  <w:szCs w:val="22"/>
                </w:rPr>
              </m:ctrlPr>
            </m:dPr>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e>
          </m:d>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Z</m:t>
              </m:r>
            </m:e>
            <m:sup>
              <m:r>
                <w:rPr>
                  <w:rFonts w:ascii="Cambria Math" w:eastAsia="Cambria Math" w:hAnsi="Cambria Math" w:cs="Cambria Math"/>
                  <w:sz w:val="22"/>
                  <w:szCs w:val="22"/>
                </w:rPr>
                <m:t>j</m:t>
              </m:r>
            </m:sup>
          </m:sSup>
          <m:r>
            <w:rPr>
              <w:rFonts w:ascii="Cambria Math" w:eastAsia="Cambria Math" w:hAnsi="Cambria Math" w:cs="Cambria Math"/>
              <w:sz w:val="22"/>
              <w:szCs w:val="22"/>
            </w:rPr>
            <m:t>-</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d>
            <m:dPr>
              <m:ctrlPr>
                <w:rPr>
                  <w:rFonts w:ascii="Cambria Math" w:eastAsia="Cambria Math" w:hAnsi="Cambria Math" w:cs="Cambria Math"/>
                  <w:sz w:val="22"/>
                  <w:szCs w:val="22"/>
                </w:rPr>
              </m:ctrlPr>
            </m:dPr>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μ</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σ</m:t>
                  </m:r>
                </m:e>
                <m:sub>
                  <m:r>
                    <w:rPr>
                      <w:rFonts w:ascii="Cambria Math" w:eastAsia="Cambria Math" w:hAnsi="Cambria Math" w:cs="Cambria Math"/>
                      <w:sz w:val="22"/>
                      <w:szCs w:val="22"/>
                    </w:rPr>
                    <m:t>i</m:t>
                  </m:r>
                </m:sub>
              </m:sSub>
            </m:e>
          </m:d>
        </m:oMath>
      </m:oMathPara>
    </w:p>
    <w:p w14:paraId="429FF298" w14:textId="52B41BAC" w:rsidR="006A3BEE" w:rsidRDefault="004049D4" w:rsidP="006A3BEE">
      <w:pPr>
        <w:jc w:val="center"/>
        <w:rPr>
          <w:rFonts w:ascii="Cambria Math" w:eastAsia="Cambria Math" w:hAnsi="Cambria Math" w:cs="Cambria Math"/>
          <w:sz w:val="22"/>
          <w:szCs w:val="22"/>
        </w:rPr>
      </w:pPr>
      <m:oMathPara>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d</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Z</m:t>
                  </m:r>
                </m:e>
                <m:sup>
                  <m:r>
                    <w:rPr>
                      <w:rFonts w:ascii="Cambria Math" w:eastAsia="Cambria Math" w:hAnsi="Cambria Math" w:cs="Cambria Math"/>
                      <w:sz w:val="22"/>
                      <w:szCs w:val="22"/>
                    </w:rPr>
                    <m:t>j</m:t>
                  </m:r>
                </m:sup>
              </m:sSup>
            </m:num>
            <m:den>
              <m:r>
                <w:rPr>
                  <w:rFonts w:ascii="Cambria Math" w:eastAsia="Cambria Math" w:hAnsi="Cambria Math" w:cs="Cambria Math"/>
                  <w:sz w:val="22"/>
                  <w:szCs w:val="22"/>
                </w:rPr>
                <m:t>dt</m:t>
              </m:r>
            </m:den>
          </m:f>
          <m:r>
            <w:rPr>
              <w:rFonts w:ascii="Cambria Math" w:eastAsia="Cambria Math" w:hAnsi="Cambria Math" w:cs="Cambria Math"/>
              <w:sz w:val="22"/>
              <w:szCs w:val="22"/>
            </w:rPr>
            <m:t xml:space="preserve">= </m:t>
          </m:r>
          <m:nary>
            <m:naryPr>
              <m:chr m:val="∑"/>
              <m:limLoc m:val="undOvr"/>
              <m:supHide m:val="1"/>
              <m:ctrlPr>
                <w:rPr>
                  <w:rFonts w:ascii="Cambria Math" w:eastAsia="Cambria Math" w:hAnsi="Cambria Math" w:cs="Cambria Math"/>
                  <w:sz w:val="22"/>
                  <w:szCs w:val="22"/>
                </w:rPr>
              </m:ctrlPr>
            </m:naryPr>
            <m:sub>
              <m:r>
                <w:rPr>
                  <w:rFonts w:ascii="Cambria Math" w:eastAsia="Cambria Math" w:hAnsi="Cambria Math" w:cs="Cambria Math"/>
                  <w:sz w:val="22"/>
                  <w:szCs w:val="22"/>
                </w:rPr>
                <m:t>k={S,T,F}</m:t>
              </m:r>
            </m:sub>
            <m:sup/>
            <m:e>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λ</m:t>
                  </m:r>
                </m:e>
                <m:sub>
                  <m:r>
                    <w:rPr>
                      <w:rFonts w:ascii="Cambria Math" w:eastAsia="Cambria Math" w:hAnsi="Cambria Math" w:cs="Cambria Math"/>
                      <w:sz w:val="22"/>
                      <w:szCs w:val="22"/>
                    </w:rPr>
                    <m:t>k</m:t>
                  </m:r>
                </m:sub>
              </m:sSub>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k</m:t>
                  </m:r>
                </m:sub>
                <m:sup>
                  <m:r>
                    <w:rPr>
                      <w:rFonts w:ascii="Cambria Math" w:eastAsia="Cambria Math" w:hAnsi="Cambria Math" w:cs="Cambria Math"/>
                      <w:sz w:val="22"/>
                      <w:szCs w:val="22"/>
                    </w:rPr>
                    <m:t>j</m:t>
                  </m:r>
                </m:sup>
              </m:sSubSup>
            </m:e>
          </m:nary>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Φ</m:t>
              </m:r>
            </m:e>
            <m:sub>
              <m:r>
                <w:rPr>
                  <w:rFonts w:ascii="Cambria Math" w:eastAsia="Cambria Math" w:hAnsi="Cambria Math" w:cs="Cambria Math"/>
                  <w:sz w:val="22"/>
                  <w:szCs w:val="22"/>
                </w:rPr>
                <m:t>(t)</m:t>
              </m:r>
            </m:sub>
          </m:sSub>
          <m:r>
            <w:rPr>
              <w:rFonts w:ascii="Cambria Math" w:eastAsia="Cambria Math" w:hAnsi="Cambria Math" w:cs="Cambria Math"/>
              <w:sz w:val="22"/>
              <w:szCs w:val="22"/>
            </w:rPr>
            <m:t>-</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Z</m:t>
              </m:r>
            </m:e>
            <m:sup>
              <m:r>
                <w:rPr>
                  <w:rFonts w:ascii="Cambria Math" w:eastAsia="Cambria Math" w:hAnsi="Cambria Math" w:cs="Cambria Math"/>
                  <w:sz w:val="22"/>
                  <w:szCs w:val="22"/>
                </w:rPr>
                <m:t>j</m:t>
              </m:r>
            </m:sup>
          </m:sSup>
          <m:d>
            <m:dPr>
              <m:ctrlPr>
                <w:rPr>
                  <w:rFonts w:ascii="Cambria Math" w:eastAsia="Cambria Math" w:hAnsi="Cambria Math" w:cs="Cambria Math"/>
                  <w:sz w:val="22"/>
                  <w:szCs w:val="22"/>
                </w:rPr>
              </m:ctrlPr>
            </m:dPr>
            <m:e>
              <m:r>
                <w:rPr>
                  <w:rFonts w:ascii="Cambria Math" w:eastAsia="Cambria Math" w:hAnsi="Cambria Math" w:cs="Cambria Math"/>
                  <w:sz w:val="22"/>
                  <w:szCs w:val="22"/>
                </w:rPr>
                <m:t>γ+</m:t>
              </m:r>
              <m:nary>
                <m:naryPr>
                  <m:chr m:val="∑"/>
                  <m:limLoc m:val="undOvr"/>
                  <m:supHide m:val="1"/>
                  <m:ctrlPr>
                    <w:rPr>
                      <w:rFonts w:ascii="Cambria Math" w:eastAsia="Cambria Math" w:hAnsi="Cambria Math" w:cs="Cambria Math"/>
                      <w:sz w:val="22"/>
                      <w:szCs w:val="22"/>
                    </w:rPr>
                  </m:ctrlPr>
                </m:naryPr>
                <m:sub>
                  <m:r>
                    <w:rPr>
                      <w:rFonts w:ascii="Cambria Math" w:eastAsia="Cambria Math" w:hAnsi="Cambria Math" w:cs="Cambria Math"/>
                      <w:sz w:val="22"/>
                      <w:szCs w:val="22"/>
                    </w:rPr>
                    <m:t>k={S,T,F}</m:t>
                  </m:r>
                </m:sub>
                <m:sup/>
                <m:e>
                  <m:sSub>
                    <m:sSubPr>
                      <m:ctrlPr>
                        <w:rPr>
                          <w:rFonts w:ascii="Cambria Math" w:eastAsia="Cambria Math" w:hAnsi="Cambria Math" w:cs="Cambria Math"/>
                          <w:sz w:val="22"/>
                          <w:szCs w:val="22"/>
                        </w:rPr>
                      </m:ctrlPr>
                    </m:sSubPr>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k</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β</m:t>
                      </m:r>
                    </m:e>
                    <m:sub>
                      <m:r>
                        <w:rPr>
                          <w:rFonts w:ascii="Cambria Math" w:eastAsia="Cambria Math" w:hAnsi="Cambria Math" w:cs="Cambria Math"/>
                          <w:sz w:val="22"/>
                          <w:szCs w:val="22"/>
                        </w:rPr>
                        <m:t>k</m:t>
                      </m:r>
                    </m:sub>
                  </m:sSub>
                </m:e>
              </m:nary>
            </m:e>
          </m:d>
        </m:oMath>
      </m:oMathPara>
    </w:p>
    <w:p w14:paraId="0D2A82DB" w14:textId="77777777" w:rsidR="006A3BEE" w:rsidRDefault="006A3BEE" w:rsidP="006A3BEE">
      <w:pPr>
        <w:spacing w:line="480" w:lineRule="auto"/>
        <w:rPr>
          <w:rFonts w:ascii="Arial" w:eastAsia="Arial" w:hAnsi="Arial" w:cs="Arial"/>
          <w:sz w:val="22"/>
          <w:szCs w:val="22"/>
        </w:rPr>
      </w:pPr>
      <w:r>
        <w:rPr>
          <w:rFonts w:ascii="Arial" w:eastAsia="Arial" w:hAnsi="Arial" w:cs="Arial"/>
          <w:sz w:val="22"/>
          <w:szCs w:val="22"/>
        </w:rPr>
        <w:lastRenderedPageBreak/>
        <w:t xml:space="preserve">where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is the total abundance of host species </w:t>
      </w:r>
      <w:proofErr w:type="spellStart"/>
      <w:r>
        <w:rPr>
          <w:rFonts w:ascii="Arial" w:eastAsia="Arial" w:hAnsi="Arial" w:cs="Arial"/>
          <w:i/>
          <w:sz w:val="22"/>
          <w:szCs w:val="22"/>
        </w:rPr>
        <w:t>i</w:t>
      </w:r>
      <w:proofErr w:type="spellEnd"/>
      <w:r>
        <w:rPr>
          <w:rFonts w:ascii="Arial" w:eastAsia="Arial" w:hAnsi="Arial" w:cs="Arial"/>
          <w:sz w:val="22"/>
          <w:szCs w:val="22"/>
        </w:rPr>
        <w:t xml:space="preserve"> (</w:t>
      </w:r>
      <w:proofErr w:type="spellStart"/>
      <w:r>
        <w:rPr>
          <w:rFonts w:ascii="Arial" w:eastAsia="Arial" w:hAnsi="Arial" w:cs="Arial"/>
          <w:i/>
          <w:sz w:val="22"/>
          <w:szCs w:val="22"/>
        </w:rPr>
        <w:t>i</w:t>
      </w:r>
      <w:proofErr w:type="spellEnd"/>
      <w:r>
        <w:rPr>
          <w:rFonts w:ascii="Arial" w:eastAsia="Arial" w:hAnsi="Arial" w:cs="Arial"/>
          <w:sz w:val="22"/>
          <w:szCs w:val="22"/>
        </w:rPr>
        <w:t xml:space="preserve"> = </w:t>
      </w:r>
      <w:r>
        <w:rPr>
          <w:rFonts w:ascii="Arial" w:eastAsia="Arial" w:hAnsi="Arial" w:cs="Arial"/>
          <w:i/>
          <w:sz w:val="22"/>
          <w:szCs w:val="22"/>
        </w:rPr>
        <w:t>S</w:t>
      </w:r>
      <w:r>
        <w:rPr>
          <w:rFonts w:ascii="Arial" w:eastAsia="Arial" w:hAnsi="Arial" w:cs="Arial"/>
          <w:sz w:val="22"/>
          <w:szCs w:val="22"/>
        </w:rPr>
        <w:t xml:space="preserve"> [salamanders], </w:t>
      </w:r>
      <w:r>
        <w:rPr>
          <w:rFonts w:ascii="Arial" w:eastAsia="Arial" w:hAnsi="Arial" w:cs="Arial"/>
          <w:i/>
          <w:sz w:val="22"/>
          <w:szCs w:val="22"/>
        </w:rPr>
        <w:t>T</w:t>
      </w:r>
      <w:r>
        <w:rPr>
          <w:rFonts w:ascii="Arial" w:eastAsia="Arial" w:hAnsi="Arial" w:cs="Arial"/>
          <w:sz w:val="22"/>
          <w:szCs w:val="22"/>
        </w:rPr>
        <w:t xml:space="preserve"> [</w:t>
      </w:r>
      <w:r>
        <w:rPr>
          <w:rFonts w:ascii="Arial" w:eastAsia="Arial" w:hAnsi="Arial" w:cs="Arial"/>
          <w:i/>
          <w:sz w:val="22"/>
          <w:szCs w:val="22"/>
        </w:rPr>
        <w:t>toad</w:t>
      </w:r>
      <w:r>
        <w:rPr>
          <w:rFonts w:ascii="Arial" w:eastAsia="Arial" w:hAnsi="Arial" w:cs="Arial"/>
          <w:sz w:val="22"/>
          <w:szCs w:val="22"/>
        </w:rPr>
        <w:t xml:space="preserve">], </w:t>
      </w:r>
      <w:r>
        <w:rPr>
          <w:rFonts w:ascii="Arial" w:eastAsia="Arial" w:hAnsi="Arial" w:cs="Arial"/>
          <w:i/>
          <w:sz w:val="22"/>
          <w:szCs w:val="22"/>
        </w:rPr>
        <w:t>F</w:t>
      </w:r>
      <w:r>
        <w:rPr>
          <w:rFonts w:ascii="Arial" w:eastAsia="Arial" w:hAnsi="Arial" w:cs="Arial"/>
          <w:sz w:val="22"/>
          <w:szCs w:val="22"/>
        </w:rPr>
        <w:t xml:space="preserve"> [</w:t>
      </w:r>
      <w:r>
        <w:rPr>
          <w:rFonts w:ascii="Arial" w:eastAsia="Arial" w:hAnsi="Arial" w:cs="Arial"/>
          <w:i/>
          <w:sz w:val="22"/>
          <w:szCs w:val="22"/>
        </w:rPr>
        <w:t>frog</w:t>
      </w:r>
      <w:r>
        <w:rPr>
          <w:rFonts w:ascii="Arial" w:eastAsia="Arial" w:hAnsi="Arial" w:cs="Arial"/>
          <w:sz w:val="22"/>
          <w:szCs w:val="22"/>
        </w:rPr>
        <w:t xml:space="preserve">]) and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is number infected of each of those species, in tank </w:t>
      </w:r>
      <w:r>
        <w:rPr>
          <w:rFonts w:ascii="Arial" w:eastAsia="Arial" w:hAnsi="Arial" w:cs="Arial"/>
          <w:i/>
          <w:sz w:val="22"/>
          <w:szCs w:val="22"/>
        </w:rPr>
        <w:t>j</w:t>
      </w:r>
      <w:r>
        <w:rPr>
          <w:rFonts w:ascii="Arial" w:eastAsia="Arial" w:hAnsi="Arial" w:cs="Arial"/>
          <w:sz w:val="22"/>
          <w:szCs w:val="22"/>
        </w:rPr>
        <w:t xml:space="preserve">. </w:t>
      </w:r>
      <m:oMath>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Z</m:t>
            </m:r>
          </m:e>
          <m:sup>
            <m:r>
              <w:rPr>
                <w:rFonts w:ascii="Cambria Math" w:eastAsia="Cambria Math" w:hAnsi="Cambria Math" w:cs="Cambria Math"/>
                <w:sz w:val="22"/>
                <w:szCs w:val="22"/>
              </w:rPr>
              <m:t>j</m:t>
            </m:r>
          </m:sup>
        </m:sSup>
      </m:oMath>
      <w:r>
        <w:rPr>
          <w:rFonts w:ascii="Arial" w:eastAsia="Arial" w:hAnsi="Arial" w:cs="Arial"/>
          <w:sz w:val="22"/>
          <w:szCs w:val="22"/>
        </w:rPr>
        <w:t xml:space="preserve"> is the number of zoospores in tank </w:t>
      </w:r>
      <w:r>
        <w:rPr>
          <w:rFonts w:ascii="Arial" w:eastAsia="Arial" w:hAnsi="Arial" w:cs="Arial"/>
          <w:i/>
          <w:sz w:val="22"/>
          <w:szCs w:val="22"/>
        </w:rPr>
        <w:t>j</w:t>
      </w:r>
      <w:r>
        <w:rPr>
          <w:rFonts w:ascii="Arial" w:eastAsia="Arial" w:hAnsi="Arial" w:cs="Arial"/>
          <w:sz w:val="22"/>
          <w:szCs w:val="22"/>
        </w:rPr>
        <w:t xml:space="preserve">. </w:t>
      </w:r>
    </w:p>
    <w:p w14:paraId="32EACE3F" w14:textId="173B56C1" w:rsidR="006A3BEE" w:rsidRDefault="006A3BEE" w:rsidP="006A3BEE">
      <w:pPr>
        <w:spacing w:line="480" w:lineRule="auto"/>
        <w:ind w:firstLine="720"/>
        <w:rPr>
          <w:rFonts w:ascii="Arial" w:eastAsia="Arial" w:hAnsi="Arial" w:cs="Arial"/>
          <w:sz w:val="22"/>
          <w:szCs w:val="22"/>
        </w:rPr>
      </w:pPr>
      <w:r>
        <w:rPr>
          <w:rFonts w:ascii="Arial" w:eastAsia="Arial" w:hAnsi="Arial" w:cs="Arial"/>
          <w:sz w:val="22"/>
          <w:szCs w:val="22"/>
        </w:rPr>
        <w:t xml:space="preserve">The parameters </w:t>
      </w:r>
      <m:oMath>
        <m:sSub>
          <m:sSubPr>
            <m:ctrlPr>
              <w:rPr>
                <w:rFonts w:ascii="Cambria Math" w:eastAsia="Cambria Math" w:hAnsi="Cambria Math" w:cs="Cambria Math"/>
                <w:sz w:val="22"/>
                <w:szCs w:val="22"/>
              </w:rPr>
            </m:ctrlPr>
          </m:sSubPr>
          <m:e>
            <m:r>
              <w:rPr>
                <w:rFonts w:ascii="Cambria Math" w:hAnsi="Cambria Math"/>
              </w:rPr>
              <m:t>β</m:t>
            </m:r>
          </m:e>
          <m:sub>
            <m:r>
              <w:rPr>
                <w:rFonts w:ascii="Cambria Math" w:eastAsia="Cambria Math" w:hAnsi="Cambria Math" w:cs="Cambria Math"/>
                <w:sz w:val="22"/>
                <w:szCs w:val="22"/>
              </w:rPr>
              <m:t>i</m:t>
            </m:r>
          </m:sub>
        </m:sSub>
      </m:oMath>
      <w:r>
        <w:rPr>
          <w:rFonts w:ascii="Arial" w:eastAsia="Arial" w:hAnsi="Arial" w:cs="Arial"/>
          <w:sz w:val="22"/>
          <w:szCs w:val="22"/>
        </w:rPr>
        <w:t xml:space="preserve">, </w:t>
      </w:r>
      <m:oMath>
        <m:sSub>
          <m:sSubPr>
            <m:ctrlPr>
              <w:rPr>
                <w:rFonts w:ascii="Cambria Math" w:eastAsia="Cambria Math" w:hAnsi="Cambria Math" w:cs="Cambria Math"/>
                <w:sz w:val="22"/>
                <w:szCs w:val="22"/>
              </w:rPr>
            </m:ctrlPr>
          </m:sSubPr>
          <m:e>
            <m:r>
              <w:rPr>
                <w:rFonts w:ascii="Cambria Math" w:hAnsi="Cambria Math"/>
              </w:rPr>
              <m:t>λ</m:t>
            </m:r>
          </m:e>
          <m:sub>
            <m:r>
              <w:rPr>
                <w:rFonts w:ascii="Cambria Math" w:eastAsia="Cambria Math" w:hAnsi="Cambria Math" w:cs="Cambria Math"/>
                <w:sz w:val="22"/>
                <w:szCs w:val="22"/>
              </w:rPr>
              <m:t>i</m:t>
            </m:r>
          </m:sub>
        </m:sSub>
      </m:oMath>
      <w:r>
        <w:rPr>
          <w:rFonts w:ascii="Arial" w:eastAsia="Arial" w:hAnsi="Arial" w:cs="Arial"/>
          <w:sz w:val="22"/>
          <w:szCs w:val="22"/>
        </w:rPr>
        <w:t xml:space="preserve"> and </w:t>
      </w:r>
      <m:oMath>
        <m:sSub>
          <m:sSubPr>
            <m:ctrlPr>
              <w:rPr>
                <w:rFonts w:ascii="Cambria Math" w:eastAsia="Cambria Math" w:hAnsi="Cambria Math" w:cs="Cambria Math"/>
                <w:sz w:val="22"/>
                <w:szCs w:val="22"/>
              </w:rPr>
            </m:ctrlPr>
          </m:sSubPr>
          <m:e>
            <m:r>
              <w:rPr>
                <w:rFonts w:ascii="Cambria Math" w:hAnsi="Cambria Math"/>
              </w:rPr>
              <m:t>σ</m:t>
            </m:r>
          </m:e>
          <m:sub>
            <m:r>
              <w:rPr>
                <w:rFonts w:ascii="Cambria Math" w:eastAsia="Cambria Math" w:hAnsi="Cambria Math" w:cs="Cambria Math"/>
                <w:sz w:val="22"/>
                <w:szCs w:val="22"/>
              </w:rPr>
              <m:t>i</m:t>
            </m:r>
          </m:sub>
        </m:sSub>
      </m:oMath>
      <w:r>
        <w:rPr>
          <w:rFonts w:ascii="Arial" w:eastAsia="Arial" w:hAnsi="Arial" w:cs="Arial"/>
          <w:sz w:val="22"/>
          <w:szCs w:val="22"/>
        </w:rPr>
        <w:t xml:space="preserve"> are the species-specific transmission rate, zoospore shedding rate and host recovery rate respectively for host species </w:t>
      </w:r>
      <w:proofErr w:type="spellStart"/>
      <w:r>
        <w:rPr>
          <w:rFonts w:ascii="Arial" w:eastAsia="Arial" w:hAnsi="Arial" w:cs="Arial"/>
          <w:i/>
          <w:sz w:val="22"/>
          <w:szCs w:val="22"/>
        </w:rPr>
        <w:t>i</w:t>
      </w:r>
      <w:proofErr w:type="spellEnd"/>
      <w:r>
        <w:rPr>
          <w:rFonts w:ascii="Arial" w:eastAsia="Arial" w:hAnsi="Arial" w:cs="Arial"/>
          <w:sz w:val="22"/>
          <w:szCs w:val="22"/>
        </w:rPr>
        <w:t xml:space="preserve"> and γ is the mortality rate of spores. Note that we allow for additional loss of </w:t>
      </w:r>
      <w:r w:rsidR="00626728">
        <w:rPr>
          <w:rFonts w:ascii="Arial" w:eastAsia="Arial" w:hAnsi="Arial" w:cs="Arial"/>
          <w:sz w:val="22"/>
          <w:szCs w:val="22"/>
        </w:rPr>
        <w:t>zoo</w:t>
      </w:r>
      <w:r>
        <w:rPr>
          <w:rFonts w:ascii="Arial" w:eastAsia="Arial" w:hAnsi="Arial" w:cs="Arial"/>
          <w:sz w:val="22"/>
          <w:szCs w:val="22"/>
        </w:rPr>
        <w:t xml:space="preserve">spores due to removal through contact with hosts, as a potential dilution mechanism.  Furthermore, </w:t>
      </w:r>
      <m:oMath>
        <m:sSub>
          <m:sSubPr>
            <m:ctrlPr>
              <w:rPr>
                <w:rFonts w:ascii="Cambria Math" w:eastAsia="Cambria Math" w:hAnsi="Cambria Math" w:cs="Cambria Math"/>
                <w:sz w:val="22"/>
                <w:szCs w:val="22"/>
              </w:rPr>
            </m:ctrlPr>
          </m:sSubPr>
          <m:e>
            <m:r>
              <w:rPr>
                <w:rFonts w:ascii="Cambria Math" w:hAnsi="Cambria Math"/>
              </w:rPr>
              <m:t>Φ</m:t>
            </m:r>
          </m:e>
          <m:sub>
            <m:r>
              <w:rPr>
                <w:rFonts w:ascii="Cambria Math" w:eastAsia="Cambria Math" w:hAnsi="Cambria Math" w:cs="Cambria Math"/>
                <w:sz w:val="22"/>
                <w:szCs w:val="22"/>
              </w:rPr>
              <m:t>(t)</m:t>
            </m:r>
          </m:sub>
        </m:sSub>
      </m:oMath>
      <w:r>
        <w:rPr>
          <w:rFonts w:ascii="Arial" w:eastAsia="Arial" w:hAnsi="Arial" w:cs="Arial"/>
          <w:sz w:val="22"/>
          <w:szCs w:val="22"/>
        </w:rPr>
        <w:t xml:space="preserve">is a time-dependent function representing the input of zoospores into each tank during the experiment; if the time </w:t>
      </w:r>
      <w:r>
        <w:rPr>
          <w:rFonts w:ascii="Arial" w:eastAsia="Arial" w:hAnsi="Arial" w:cs="Arial"/>
          <w:i/>
          <w:sz w:val="22"/>
          <w:szCs w:val="22"/>
        </w:rPr>
        <w:t>t</w:t>
      </w:r>
      <w:r>
        <w:rPr>
          <w:rFonts w:ascii="Arial" w:eastAsia="Arial" w:hAnsi="Arial" w:cs="Arial"/>
          <w:sz w:val="22"/>
          <w:szCs w:val="22"/>
        </w:rPr>
        <w:t xml:space="preserve"> is a day in which zoospores were administered then </w:t>
      </w:r>
      <m:oMath>
        <m:sSub>
          <m:sSubPr>
            <m:ctrlPr>
              <w:rPr>
                <w:rFonts w:ascii="Cambria Math" w:eastAsia="Cambria Math" w:hAnsi="Cambria Math" w:cs="Cambria Math"/>
                <w:sz w:val="22"/>
                <w:szCs w:val="22"/>
              </w:rPr>
            </m:ctrlPr>
          </m:sSubPr>
          <m:e>
            <m:r>
              <w:rPr>
                <w:rFonts w:ascii="Cambria Math" w:hAnsi="Cambria Math"/>
              </w:rPr>
              <m:t>Φ</m:t>
            </m:r>
          </m:e>
          <m:sub>
            <m:r>
              <w:rPr>
                <w:rFonts w:ascii="Cambria Math" w:eastAsia="Cambria Math" w:hAnsi="Cambria Math" w:cs="Cambria Math"/>
                <w:sz w:val="22"/>
                <w:szCs w:val="22"/>
              </w:rPr>
              <m:t>(t)</m:t>
            </m:r>
          </m:sub>
        </m:sSub>
      </m:oMath>
      <w:r>
        <w:rPr>
          <w:rFonts w:ascii="Arial" w:eastAsia="Arial" w:hAnsi="Arial" w:cs="Arial"/>
          <w:sz w:val="22"/>
          <w:szCs w:val="22"/>
        </w:rPr>
        <w:t xml:space="preserve"> is set to the number of spores released at that time point, otherwise </w:t>
      </w:r>
      <m:oMath>
        <m:sSub>
          <m:sSubPr>
            <m:ctrlPr>
              <w:rPr>
                <w:rFonts w:ascii="Cambria Math" w:eastAsia="Cambria Math" w:hAnsi="Cambria Math" w:cs="Cambria Math"/>
                <w:sz w:val="22"/>
                <w:szCs w:val="22"/>
              </w:rPr>
            </m:ctrlPr>
          </m:sSubPr>
          <m:e>
            <m:r>
              <w:rPr>
                <w:rFonts w:ascii="Cambria Math" w:hAnsi="Cambria Math"/>
              </w:rPr>
              <m:t>Φ</m:t>
            </m:r>
          </m:e>
          <m:sub>
            <m:r>
              <w:rPr>
                <w:rFonts w:ascii="Cambria Math" w:eastAsia="Cambria Math" w:hAnsi="Cambria Math" w:cs="Cambria Math"/>
                <w:sz w:val="22"/>
                <w:szCs w:val="22"/>
              </w:rPr>
              <m:t>(t)</m:t>
            </m:r>
          </m:sub>
        </m:sSub>
        <m:r>
          <w:rPr>
            <w:rFonts w:ascii="Cambria Math" w:eastAsia="Cambria Math" w:hAnsi="Cambria Math" w:cs="Cambria Math"/>
            <w:sz w:val="22"/>
            <w:szCs w:val="22"/>
          </w:rPr>
          <m:t>=0</m:t>
        </m:r>
      </m:oMath>
      <w:r>
        <w:rPr>
          <w:rFonts w:ascii="Arial" w:eastAsia="Arial" w:hAnsi="Arial" w:cs="Arial"/>
          <w:sz w:val="22"/>
          <w:szCs w:val="22"/>
        </w:rPr>
        <w:t xml:space="preserve">. Note all the above parameters are assumed to be the same across all tanks </w:t>
      </w:r>
      <w:r>
        <w:rPr>
          <w:rFonts w:ascii="Arial" w:eastAsia="Arial" w:hAnsi="Arial" w:cs="Arial"/>
          <w:i/>
          <w:sz w:val="22"/>
          <w:szCs w:val="22"/>
        </w:rPr>
        <w:t>j</w:t>
      </w:r>
      <w:r>
        <w:rPr>
          <w:rFonts w:ascii="Arial" w:eastAsia="Arial" w:hAnsi="Arial" w:cs="Arial"/>
          <w:sz w:val="22"/>
          <w:szCs w:val="22"/>
        </w:rPr>
        <w:t xml:space="preserve">. In addition, </w:t>
      </w:r>
      <m:oMath>
        <m:sSubSup>
          <m:sSubSupPr>
            <m:ctrlPr>
              <w:rPr>
                <w:rFonts w:ascii="Cambria Math" w:eastAsia="Cambria Math" w:hAnsi="Cambria Math" w:cs="Cambria Math"/>
                <w:sz w:val="22"/>
                <w:szCs w:val="22"/>
              </w:rPr>
            </m:ctrlPr>
          </m:sSubSupPr>
          <m:e>
            <m:r>
              <w:rPr>
                <w:rFonts w:ascii="Cambria Math" w:hAnsi="Cambria Math"/>
              </w:rPr>
              <m:t>μ</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is the tank-specific loss rate of host species </w:t>
      </w:r>
      <w:proofErr w:type="spellStart"/>
      <w:r>
        <w:rPr>
          <w:rFonts w:ascii="Arial" w:eastAsia="Arial" w:hAnsi="Arial" w:cs="Arial"/>
          <w:i/>
          <w:sz w:val="22"/>
          <w:szCs w:val="22"/>
        </w:rPr>
        <w:t>i</w:t>
      </w:r>
      <w:proofErr w:type="spellEnd"/>
      <w:r>
        <w:rPr>
          <w:rFonts w:ascii="Arial" w:eastAsia="Arial" w:hAnsi="Arial" w:cs="Arial"/>
          <w:sz w:val="22"/>
          <w:szCs w:val="22"/>
        </w:rPr>
        <w:t xml:space="preserve"> in tank </w:t>
      </w:r>
      <w:r>
        <w:rPr>
          <w:rFonts w:ascii="Arial" w:eastAsia="Arial" w:hAnsi="Arial" w:cs="Arial"/>
          <w:i/>
          <w:sz w:val="22"/>
          <w:szCs w:val="22"/>
        </w:rPr>
        <w:t>j</w:t>
      </w:r>
      <w:r>
        <w:rPr>
          <w:rFonts w:ascii="Arial" w:eastAsia="Arial" w:hAnsi="Arial" w:cs="Arial"/>
          <w:sz w:val="22"/>
          <w:szCs w:val="22"/>
        </w:rPr>
        <w:t>, which we estimate directly from the observed counts of the initial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i(0)</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oMath>
      <w:r>
        <w:rPr>
          <w:rFonts w:ascii="Arial" w:eastAsia="Arial" w:hAnsi="Arial" w:cs="Arial"/>
          <w:sz w:val="22"/>
          <w:szCs w:val="22"/>
        </w:rPr>
        <w:t xml:space="preserve"> and final number of individuals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r>
              <w:rPr>
                <w:rFonts w:ascii="Cambria Math" w:eastAsia="Arial" w:hAnsi="Cambria Math" w:cs="Arial"/>
                <w:sz w:val="22"/>
                <w:szCs w:val="22"/>
              </w:rPr>
              <m:t>τ</m:t>
            </m:r>
            <m:r>
              <w:rPr>
                <w:rFonts w:ascii="Cambria Math" w:eastAsia="Cambria Math" w:hAnsi="Cambria Math" w:cs="Cambria Math"/>
                <w:sz w:val="22"/>
                <w:szCs w:val="22"/>
              </w:rPr>
              <m:t>)</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where </w:t>
      </w:r>
      <w:r>
        <w:rPr>
          <w:rFonts w:ascii="Arial" w:eastAsia="Arial" w:hAnsi="Arial" w:cs="Arial"/>
          <w:i/>
          <w:sz w:val="22"/>
          <w:szCs w:val="22"/>
        </w:rPr>
        <w:t>τ</w:t>
      </w:r>
      <w:r>
        <w:rPr>
          <w:rFonts w:ascii="Arial" w:eastAsia="Arial" w:hAnsi="Arial" w:cs="Arial"/>
          <w:sz w:val="22"/>
          <w:szCs w:val="22"/>
        </w:rPr>
        <w:t xml:space="preserve"> is the end-point of the experiment), assuming constant exponential loss of hosts throughout the experiment; i.e., </w:t>
      </w:r>
      <m:oMath>
        <m:sSubSup>
          <m:sSubSupPr>
            <m:ctrlPr>
              <w:rPr>
                <w:rFonts w:ascii="Cambria Math" w:eastAsia="Cambria Math" w:hAnsi="Cambria Math" w:cs="Cambria Math"/>
                <w:sz w:val="22"/>
                <w:szCs w:val="22"/>
              </w:rPr>
            </m:ctrlPr>
          </m:sSubSupPr>
          <m:e>
            <m:r>
              <w:rPr>
                <w:rFonts w:ascii="Cambria Math" w:hAnsi="Cambria Math"/>
              </w:rPr>
              <m:t>μ</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=-ln</m:t>
        </m:r>
        <m:d>
          <m:dPr>
            <m:ctrlPr>
              <w:rPr>
                <w:rFonts w:ascii="Cambria Math" w:eastAsia="Cambria Math" w:hAnsi="Cambria Math" w:cs="Cambria Math"/>
                <w:sz w:val="22"/>
                <w:szCs w:val="22"/>
              </w:rPr>
            </m:ctrlPr>
          </m:dPr>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i(0)</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r>
                  <w:rPr>
                    <w:rFonts w:ascii="Cambria Math" w:eastAsia="Arial" w:hAnsi="Cambria Math" w:cs="Arial"/>
                    <w:sz w:val="22"/>
                    <w:szCs w:val="22"/>
                  </w:rPr>
                  <m:t>τ</m:t>
                </m:r>
                <m:r>
                  <w:rPr>
                    <w:rFonts w:ascii="Cambria Math" w:eastAsia="Cambria Math" w:hAnsi="Cambria Math" w:cs="Cambria Math"/>
                    <w:sz w:val="22"/>
                    <w:szCs w:val="22"/>
                  </w:rPr>
                  <m:t>)</m:t>
                </m:r>
              </m:sub>
              <m:sup>
                <m:r>
                  <w:rPr>
                    <w:rFonts w:ascii="Cambria Math" w:eastAsia="Cambria Math" w:hAnsi="Cambria Math" w:cs="Cambria Math"/>
                    <w:sz w:val="22"/>
                    <w:szCs w:val="22"/>
                  </w:rPr>
                  <m:t>j</m:t>
                </m:r>
              </m:sup>
            </m:sSubSup>
          </m:e>
        </m:d>
      </m:oMath>
      <w:r>
        <w:rPr>
          <w:rFonts w:ascii="Arial" w:eastAsia="Arial" w:hAnsi="Arial" w:cs="Arial"/>
          <w:sz w:val="22"/>
          <w:szCs w:val="22"/>
        </w:rPr>
        <w:t>. We also assume zoospores last on average 1 day (Longcore et al., 1999), so γ = 1 day</w:t>
      </w:r>
      <w:r>
        <w:rPr>
          <w:rFonts w:ascii="Arial" w:eastAsia="Arial" w:hAnsi="Arial" w:cs="Arial"/>
          <w:sz w:val="22"/>
          <w:szCs w:val="22"/>
          <w:vertAlign w:val="superscript"/>
        </w:rPr>
        <w:t>-1</w:t>
      </w:r>
      <w:r>
        <w:rPr>
          <w:rFonts w:ascii="Arial" w:eastAsia="Arial" w:hAnsi="Arial" w:cs="Arial"/>
          <w:sz w:val="22"/>
          <w:szCs w:val="22"/>
        </w:rPr>
        <w:t xml:space="preserve">. That leaves </w:t>
      </w:r>
      <m:oMath>
        <m:sSub>
          <m:sSubPr>
            <m:ctrlPr>
              <w:rPr>
                <w:rFonts w:ascii="Cambria Math" w:eastAsia="Cambria Math" w:hAnsi="Cambria Math" w:cs="Cambria Math"/>
                <w:sz w:val="22"/>
                <w:szCs w:val="22"/>
              </w:rPr>
            </m:ctrlPr>
          </m:sSubPr>
          <m:e>
            <m:r>
              <w:rPr>
                <w:rFonts w:ascii="Cambria Math" w:hAnsi="Cambria Math"/>
              </w:rPr>
              <m:t>β</m:t>
            </m:r>
          </m:e>
          <m:sub>
            <m:r>
              <w:rPr>
                <w:rFonts w:ascii="Cambria Math" w:eastAsia="Cambria Math" w:hAnsi="Cambria Math" w:cs="Cambria Math"/>
                <w:sz w:val="22"/>
                <w:szCs w:val="22"/>
              </w:rPr>
              <m:t>i</m:t>
            </m:r>
          </m:sub>
        </m:sSub>
      </m:oMath>
      <w:r>
        <w:rPr>
          <w:rFonts w:ascii="Arial" w:eastAsia="Arial" w:hAnsi="Arial" w:cs="Arial"/>
          <w:sz w:val="22"/>
          <w:szCs w:val="22"/>
        </w:rPr>
        <w:t xml:space="preserve">, </w:t>
      </w:r>
      <m:oMath>
        <m:sSub>
          <m:sSubPr>
            <m:ctrlPr>
              <w:rPr>
                <w:rFonts w:ascii="Cambria Math" w:eastAsia="Cambria Math" w:hAnsi="Cambria Math" w:cs="Cambria Math"/>
                <w:sz w:val="22"/>
                <w:szCs w:val="22"/>
              </w:rPr>
            </m:ctrlPr>
          </m:sSubPr>
          <m:e>
            <m:r>
              <w:rPr>
                <w:rFonts w:ascii="Cambria Math" w:hAnsi="Cambria Math"/>
              </w:rPr>
              <m:t>λ</m:t>
            </m:r>
          </m:e>
          <m:sub>
            <m:r>
              <w:rPr>
                <w:rFonts w:ascii="Cambria Math" w:eastAsia="Cambria Math" w:hAnsi="Cambria Math" w:cs="Cambria Math"/>
                <w:sz w:val="22"/>
                <w:szCs w:val="22"/>
              </w:rPr>
              <m:t>i</m:t>
            </m:r>
          </m:sub>
        </m:sSub>
      </m:oMath>
      <w:r>
        <w:rPr>
          <w:rFonts w:ascii="Arial" w:eastAsia="Arial" w:hAnsi="Arial" w:cs="Arial"/>
          <w:sz w:val="22"/>
          <w:szCs w:val="22"/>
        </w:rPr>
        <w:t xml:space="preserve"> and </w:t>
      </w:r>
      <m:oMath>
        <m:sSub>
          <m:sSubPr>
            <m:ctrlPr>
              <w:rPr>
                <w:rFonts w:ascii="Cambria Math" w:eastAsia="Cambria Math" w:hAnsi="Cambria Math" w:cs="Cambria Math"/>
                <w:sz w:val="22"/>
                <w:szCs w:val="22"/>
              </w:rPr>
            </m:ctrlPr>
          </m:sSubPr>
          <m:e>
            <m:r>
              <w:rPr>
                <w:rFonts w:ascii="Cambria Math" w:hAnsi="Cambria Math"/>
              </w:rPr>
              <m:t>σ</m:t>
            </m:r>
          </m:e>
          <m:sub>
            <m:r>
              <w:rPr>
                <w:rFonts w:ascii="Cambria Math" w:eastAsia="Cambria Math" w:hAnsi="Cambria Math" w:cs="Cambria Math"/>
                <w:sz w:val="22"/>
                <w:szCs w:val="22"/>
              </w:rPr>
              <m:t>i</m:t>
            </m:r>
          </m:sub>
        </m:sSub>
      </m:oMath>
      <w:r>
        <w:rPr>
          <w:rFonts w:ascii="Arial" w:eastAsia="Arial" w:hAnsi="Arial" w:cs="Arial"/>
          <w:sz w:val="22"/>
          <w:szCs w:val="22"/>
        </w:rPr>
        <w:t xml:space="preserve"> to estimate for each of the three host species (9 parameters in total), again assuming these parameters have the same values across all tanks. </w:t>
      </w:r>
    </w:p>
    <w:p w14:paraId="74F713AF" w14:textId="350C086E" w:rsidR="006A3BEE" w:rsidRDefault="006A3BEE" w:rsidP="006A3BEE">
      <w:pPr>
        <w:spacing w:line="480" w:lineRule="auto"/>
        <w:rPr>
          <w:rFonts w:ascii="Arial" w:eastAsia="Arial" w:hAnsi="Arial" w:cs="Arial"/>
          <w:sz w:val="22"/>
          <w:szCs w:val="22"/>
        </w:rPr>
      </w:pPr>
      <w:r>
        <w:rPr>
          <w:rFonts w:ascii="Arial" w:eastAsia="Arial" w:hAnsi="Arial" w:cs="Arial"/>
          <w:sz w:val="22"/>
          <w:szCs w:val="22"/>
        </w:rPr>
        <w:tab/>
        <w:t xml:space="preserve">The above model predicts the change in total abundance of each species,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the number infected of each species, </w:t>
      </w:r>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oMath>
      <w:r>
        <w:rPr>
          <w:rFonts w:ascii="Arial" w:eastAsia="Arial" w:hAnsi="Arial" w:cs="Arial"/>
          <w:sz w:val="22"/>
          <w:szCs w:val="22"/>
        </w:rPr>
        <w:t xml:space="preserve">, and the number of zoospores, </w:t>
      </w:r>
      <m:oMath>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Z</m:t>
            </m:r>
          </m:e>
          <m:sup>
            <m:r>
              <w:rPr>
                <w:rFonts w:ascii="Cambria Math" w:eastAsia="Cambria Math" w:hAnsi="Cambria Math" w:cs="Cambria Math"/>
                <w:sz w:val="22"/>
                <w:szCs w:val="22"/>
              </w:rPr>
              <m:t>j</m:t>
            </m:r>
          </m:sup>
        </m:sSup>
      </m:oMath>
      <w:r>
        <w:rPr>
          <w:rFonts w:ascii="Arial" w:eastAsia="Arial" w:hAnsi="Arial" w:cs="Arial"/>
          <w:sz w:val="22"/>
          <w:szCs w:val="22"/>
        </w:rPr>
        <w:t>, in each tank, throughout the experiment. The unknown parameters (</w:t>
      </w:r>
      <m:oMath>
        <m:sSub>
          <m:sSubPr>
            <m:ctrlPr>
              <w:rPr>
                <w:rFonts w:ascii="Cambria Math" w:eastAsia="Cambria Math" w:hAnsi="Cambria Math" w:cs="Cambria Math"/>
                <w:sz w:val="22"/>
                <w:szCs w:val="22"/>
              </w:rPr>
            </m:ctrlPr>
          </m:sSubPr>
          <m:e>
            <m:r>
              <w:rPr>
                <w:rFonts w:ascii="Cambria Math" w:hAnsi="Cambria Math"/>
              </w:rPr>
              <m:t>β</m:t>
            </m:r>
          </m:e>
          <m:sub>
            <m:r>
              <w:rPr>
                <w:rFonts w:ascii="Cambria Math" w:eastAsia="Cambria Math" w:hAnsi="Cambria Math" w:cs="Cambria Math"/>
                <w:sz w:val="22"/>
                <w:szCs w:val="22"/>
              </w:rPr>
              <m:t>i</m:t>
            </m:r>
          </m:sub>
        </m:sSub>
      </m:oMath>
      <w:r>
        <w:rPr>
          <w:rFonts w:ascii="Arial" w:eastAsia="Arial" w:hAnsi="Arial" w:cs="Arial"/>
          <w:sz w:val="22"/>
          <w:szCs w:val="22"/>
        </w:rPr>
        <w:t xml:space="preserve">, </w:t>
      </w:r>
      <m:oMath>
        <m:sSub>
          <m:sSubPr>
            <m:ctrlPr>
              <w:rPr>
                <w:rFonts w:ascii="Cambria Math" w:eastAsia="Cambria Math" w:hAnsi="Cambria Math" w:cs="Cambria Math"/>
                <w:sz w:val="22"/>
                <w:szCs w:val="22"/>
              </w:rPr>
            </m:ctrlPr>
          </m:sSubPr>
          <m:e>
            <m:r>
              <w:rPr>
                <w:rFonts w:ascii="Cambria Math" w:hAnsi="Cambria Math"/>
              </w:rPr>
              <m:t>λ</m:t>
            </m:r>
          </m:e>
          <m:sub>
            <m:r>
              <w:rPr>
                <w:rFonts w:ascii="Cambria Math" w:eastAsia="Cambria Math" w:hAnsi="Cambria Math" w:cs="Cambria Math"/>
                <w:sz w:val="22"/>
                <w:szCs w:val="22"/>
              </w:rPr>
              <m:t>i</m:t>
            </m:r>
          </m:sub>
        </m:sSub>
      </m:oMath>
      <w:r>
        <w:rPr>
          <w:rFonts w:ascii="Arial" w:eastAsia="Arial" w:hAnsi="Arial" w:cs="Arial"/>
          <w:sz w:val="22"/>
          <w:szCs w:val="22"/>
        </w:rPr>
        <w:t xml:space="preserve"> and </w:t>
      </w:r>
      <m:oMath>
        <m:sSub>
          <m:sSubPr>
            <m:ctrlPr>
              <w:rPr>
                <w:rFonts w:ascii="Cambria Math" w:eastAsia="Cambria Math" w:hAnsi="Cambria Math" w:cs="Cambria Math"/>
                <w:sz w:val="22"/>
                <w:szCs w:val="22"/>
              </w:rPr>
            </m:ctrlPr>
          </m:sSubPr>
          <m:e>
            <m:r>
              <w:rPr>
                <w:rFonts w:ascii="Cambria Math" w:hAnsi="Cambria Math"/>
              </w:rPr>
              <m:t>σ</m:t>
            </m:r>
          </m:e>
          <m:sub>
            <m:r>
              <w:rPr>
                <w:rFonts w:ascii="Cambria Math" w:eastAsia="Cambria Math" w:hAnsi="Cambria Math" w:cs="Cambria Math"/>
                <w:sz w:val="22"/>
                <w:szCs w:val="22"/>
              </w:rPr>
              <m:t>i</m:t>
            </m:r>
          </m:sub>
        </m:sSub>
      </m:oMath>
      <w:r>
        <w:rPr>
          <w:rFonts w:ascii="Arial" w:eastAsia="Arial" w:hAnsi="Arial" w:cs="Arial"/>
          <w:sz w:val="22"/>
          <w:szCs w:val="22"/>
        </w:rPr>
        <w:t>) were estimated by fitting these simulated dynamics to the observed data of the final numbers of infected salamanders, frogs and</w:t>
      </w:r>
      <w:r>
        <w:rPr>
          <w:rFonts w:ascii="Arial" w:eastAsia="Arial" w:hAnsi="Arial" w:cs="Arial"/>
          <w:i/>
          <w:sz w:val="22"/>
          <w:szCs w:val="22"/>
        </w:rPr>
        <w:t xml:space="preserve"> </w:t>
      </w:r>
      <w:r>
        <w:rPr>
          <w:rFonts w:ascii="Arial" w:eastAsia="Arial" w:hAnsi="Arial" w:cs="Arial"/>
          <w:sz w:val="22"/>
          <w:szCs w:val="22"/>
        </w:rPr>
        <w:t xml:space="preserve">toads across all tanks simultaneously (total 63 data points, across the 21 3-species tanks). Model fitting was carried out by Metropolis-Hastings </w:t>
      </w:r>
      <w:proofErr w:type="spellStart"/>
      <w:r>
        <w:rPr>
          <w:rFonts w:ascii="Arial" w:eastAsia="Arial" w:hAnsi="Arial" w:cs="Arial"/>
          <w:sz w:val="22"/>
          <w:szCs w:val="22"/>
        </w:rPr>
        <w:t>mcmc</w:t>
      </w:r>
      <w:proofErr w:type="spellEnd"/>
      <w:r>
        <w:rPr>
          <w:rFonts w:ascii="Arial" w:eastAsia="Arial" w:hAnsi="Arial" w:cs="Arial"/>
          <w:sz w:val="22"/>
          <w:szCs w:val="22"/>
        </w:rPr>
        <w:t xml:space="preserve"> using the ‘</w:t>
      </w:r>
      <w:proofErr w:type="spellStart"/>
      <w:r>
        <w:rPr>
          <w:rFonts w:ascii="Arial" w:eastAsia="Arial" w:hAnsi="Arial" w:cs="Arial"/>
          <w:sz w:val="22"/>
          <w:szCs w:val="22"/>
        </w:rPr>
        <w:t>BayesianTools</w:t>
      </w:r>
      <w:proofErr w:type="spellEnd"/>
      <w:r>
        <w:rPr>
          <w:rFonts w:ascii="Arial" w:eastAsia="Arial" w:hAnsi="Arial" w:cs="Arial"/>
          <w:sz w:val="22"/>
          <w:szCs w:val="22"/>
        </w:rPr>
        <w:t>’ R package</w:t>
      </w:r>
      <w:r w:rsidR="00BF5FF1">
        <w:rPr>
          <w:rFonts w:ascii="Arial" w:eastAsia="Arial" w:hAnsi="Arial" w:cs="Arial"/>
          <w:sz w:val="22"/>
          <w:szCs w:val="22"/>
        </w:rPr>
        <w:t xml:space="preserve"> </w:t>
      </w:r>
      <w:r w:rsidR="00BF5FF1">
        <w:rPr>
          <w:rFonts w:ascii="Arial" w:eastAsia="Arial" w:hAnsi="Arial" w:cs="Arial"/>
          <w:sz w:val="22"/>
          <w:szCs w:val="22"/>
        </w:rPr>
        <w:fldChar w:fldCharType="begin"/>
      </w:r>
      <w:r w:rsidR="00BF5FF1">
        <w:rPr>
          <w:rFonts w:ascii="Arial" w:eastAsia="Arial" w:hAnsi="Arial" w:cs="Arial"/>
          <w:sz w:val="22"/>
          <w:szCs w:val="22"/>
        </w:rPr>
        <w:instrText xml:space="preserve"> ADDIN ZOTERO_ITEM CSL_CITATION {"citationID":"NRUI05Ku","properties":{"formattedCitation":"(Hartig et al. 2019)","plainCitation":"(Hartig et al. 2019)","noteIndex":0},"citationItems":[{"id":8165,"uris":["http://zotero.org/users/865335/items/VDVGR2CV"],"uri":["http://zotero.org/users/865335/items/VDVGR2CV"],"itemData":{"id":8165,"type":"book","medium":"R package version 0.1.7","title":"BayesianTools: General-Purpose MCMC and SMC Samplers and Tools for Bayesian Statistics","URL":"https://CRAN.R-project.org/package=BayesianTools","author":[{"family":"Hartig","given":"Florian"},{"family":"Minunno","given":"F"},{"family":"Stefan","given":"P"}],"issued":{"date-parts":[["2019"]]}}}],"schema":"https://github.com/citation-style-language/schema/raw/master/csl-citation.json"} </w:instrText>
      </w:r>
      <w:r w:rsidR="00BF5FF1">
        <w:rPr>
          <w:rFonts w:ascii="Arial" w:eastAsia="Arial" w:hAnsi="Arial" w:cs="Arial"/>
          <w:sz w:val="22"/>
          <w:szCs w:val="22"/>
        </w:rPr>
        <w:fldChar w:fldCharType="separate"/>
      </w:r>
      <w:r w:rsidR="00CE3F95">
        <w:rPr>
          <w:rFonts w:ascii="Arial" w:eastAsia="Arial" w:hAnsi="Arial" w:cs="Arial"/>
          <w:noProof/>
          <w:sz w:val="22"/>
          <w:szCs w:val="22"/>
        </w:rPr>
        <w:t>(Hartig et al. 2019)</w:t>
      </w:r>
      <w:r w:rsidR="00BF5FF1">
        <w:rPr>
          <w:rFonts w:ascii="Arial" w:eastAsia="Arial" w:hAnsi="Arial" w:cs="Arial"/>
          <w:sz w:val="22"/>
          <w:szCs w:val="22"/>
        </w:rPr>
        <w:fldChar w:fldCharType="end"/>
      </w:r>
      <w:r>
        <w:rPr>
          <w:rFonts w:ascii="Arial" w:eastAsia="Arial" w:hAnsi="Arial" w:cs="Arial"/>
          <w:sz w:val="22"/>
          <w:szCs w:val="22"/>
        </w:rPr>
        <w:t xml:space="preserve">, assuming a binomial likelihood function to describe the number of infected hosts of each species in each tank, summed across all tanks. We used uninformative priors for each parameter, and 3 </w:t>
      </w:r>
      <w:r>
        <w:rPr>
          <w:rFonts w:ascii="Arial" w:eastAsia="Arial" w:hAnsi="Arial" w:cs="Arial"/>
          <w:sz w:val="22"/>
          <w:szCs w:val="22"/>
        </w:rPr>
        <w:lastRenderedPageBreak/>
        <w:t>chains of 100,000 iterations were run with a burn in time of 40,000 iterations with thinning every 50 iterations. Convergence was assessed using the Gelman-Rubin statistic (which was less than 1.05 for all parameters, and so convergence was assumed to have occurred).</w:t>
      </w:r>
    </w:p>
    <w:p w14:paraId="45BB27BF" w14:textId="77777777" w:rsidR="006A3BEE" w:rsidRDefault="006A3BEE" w:rsidP="006A3BEE">
      <w:pPr>
        <w:spacing w:line="480" w:lineRule="auto"/>
        <w:rPr>
          <w:rFonts w:ascii="Arial" w:eastAsia="Arial" w:hAnsi="Arial" w:cs="Arial"/>
          <w:sz w:val="22"/>
          <w:szCs w:val="22"/>
        </w:rPr>
      </w:pPr>
      <w:r>
        <w:rPr>
          <w:rFonts w:ascii="Arial" w:eastAsia="Arial" w:hAnsi="Arial" w:cs="Arial"/>
          <w:sz w:val="22"/>
          <w:szCs w:val="22"/>
        </w:rPr>
        <w:tab/>
        <w:t xml:space="preserve">Having estimated the relevant epidemiological parameters, the contribution of each host species </w:t>
      </w:r>
      <w:proofErr w:type="spellStart"/>
      <w:r>
        <w:rPr>
          <w:rFonts w:ascii="Arial" w:eastAsia="Arial" w:hAnsi="Arial" w:cs="Arial"/>
          <w:i/>
          <w:sz w:val="22"/>
          <w:szCs w:val="22"/>
        </w:rPr>
        <w:t>i</w:t>
      </w:r>
      <w:proofErr w:type="spellEnd"/>
      <w:r>
        <w:rPr>
          <w:rFonts w:ascii="Arial" w:eastAsia="Arial" w:hAnsi="Arial" w:cs="Arial"/>
          <w:sz w:val="22"/>
          <w:szCs w:val="22"/>
        </w:rPr>
        <w:t xml:space="preserve"> to </w:t>
      </w:r>
      <w:r>
        <w:rPr>
          <w:rFonts w:ascii="Arial" w:eastAsia="Arial" w:hAnsi="Arial" w:cs="Arial"/>
          <w:i/>
          <w:sz w:val="22"/>
          <w:szCs w:val="22"/>
        </w:rPr>
        <w:t>Bd</w:t>
      </w:r>
      <w:r>
        <w:rPr>
          <w:rFonts w:ascii="Arial" w:eastAsia="Arial" w:hAnsi="Arial" w:cs="Arial"/>
          <w:sz w:val="22"/>
          <w:szCs w:val="22"/>
        </w:rPr>
        <w:t>’s basic reproduction number, R</w:t>
      </w:r>
      <w:r>
        <w:rPr>
          <w:rFonts w:ascii="Arial" w:eastAsia="Arial" w:hAnsi="Arial" w:cs="Arial"/>
          <w:sz w:val="22"/>
          <w:szCs w:val="22"/>
          <w:vertAlign w:val="subscript"/>
        </w:rPr>
        <w:t>0</w:t>
      </w:r>
      <w:r>
        <w:rPr>
          <w:rFonts w:ascii="Arial" w:eastAsia="Arial" w:hAnsi="Arial" w:cs="Arial"/>
          <w:sz w:val="22"/>
          <w:szCs w:val="22"/>
        </w:rPr>
        <w:t xml:space="preserve">, in each tank </w:t>
      </w:r>
      <w:r>
        <w:rPr>
          <w:rFonts w:ascii="Arial" w:eastAsia="Arial" w:hAnsi="Arial" w:cs="Arial"/>
          <w:i/>
          <w:sz w:val="22"/>
          <w:szCs w:val="22"/>
        </w:rPr>
        <w:t>j</w:t>
      </w:r>
      <w:r>
        <w:rPr>
          <w:rFonts w:ascii="Arial" w:eastAsia="Arial" w:hAnsi="Arial" w:cs="Arial"/>
          <w:sz w:val="22"/>
          <w:szCs w:val="22"/>
        </w:rPr>
        <w:t xml:space="preserve"> was calculated as:</w:t>
      </w:r>
    </w:p>
    <w:p w14:paraId="37F097F0" w14:textId="629687F9" w:rsidR="006A3BEE" w:rsidRDefault="004049D4" w:rsidP="006A3BEE">
      <w:pPr>
        <w:jc w:val="center"/>
        <w:rPr>
          <w:rFonts w:ascii="Cambria Math" w:eastAsia="Cambria Math" w:hAnsi="Cambria Math" w:cs="Cambria Math"/>
          <w:sz w:val="22"/>
          <w:szCs w:val="22"/>
        </w:rPr>
      </w:pPr>
      <m:oMathPara>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R</m:t>
              </m:r>
            </m:e>
            <m:sub>
              <m:r>
                <w:rPr>
                  <w:rFonts w:ascii="Cambria Math" w:eastAsia="Cambria Math" w:hAnsi="Cambria Math" w:cs="Cambria Math"/>
                  <w:sz w:val="22"/>
                  <w:szCs w:val="22"/>
                </w:rPr>
                <m:t>0,i</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f>
            <m:fPr>
              <m:ctrlPr>
                <w:rPr>
                  <w:rFonts w:ascii="Cambria Math" w:eastAsia="Cambria Math" w:hAnsi="Cambria Math" w:cs="Cambria Math"/>
                  <w:sz w:val="22"/>
                  <w:szCs w:val="22"/>
                </w:rPr>
              </m:ctrlPr>
            </m:fPr>
            <m:num>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β</m:t>
                  </m:r>
                </m:e>
                <m:sub>
                  <m:r>
                    <w:rPr>
                      <w:rFonts w:ascii="Cambria Math" w:eastAsia="Cambria Math" w:hAnsi="Cambria Math" w:cs="Cambria Math"/>
                      <w:sz w:val="22"/>
                      <w:szCs w:val="22"/>
                    </w:rPr>
                    <m:t>i</m:t>
                  </m:r>
                </m:sub>
              </m:sSub>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λ</m:t>
                  </m:r>
                </m:e>
                <m:sub>
                  <m:r>
                    <w:rPr>
                      <w:rFonts w:ascii="Cambria Math" w:eastAsia="Cambria Math" w:hAnsi="Cambria Math" w:cs="Cambria Math"/>
                      <w:sz w:val="22"/>
                      <w:szCs w:val="22"/>
                    </w:rPr>
                    <m:t>i</m:t>
                  </m:r>
                </m:sub>
              </m:sSub>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num>
            <m:den>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μ</m:t>
                  </m:r>
                </m:e>
                <m:sub>
                  <m:r>
                    <w:rPr>
                      <w:rFonts w:ascii="Cambria Math" w:eastAsia="Cambria Math" w:hAnsi="Cambria Math" w:cs="Cambria Math"/>
                      <w:sz w:val="22"/>
                      <w:szCs w:val="22"/>
                    </w:rPr>
                    <m:t>i</m:t>
                  </m:r>
                </m:sub>
                <m:sup>
                  <m:r>
                    <w:rPr>
                      <w:rFonts w:ascii="Cambria Math" w:eastAsia="Cambria Math" w:hAnsi="Cambria Math" w:cs="Cambria Math"/>
                      <w:sz w:val="22"/>
                      <w:szCs w:val="22"/>
                    </w:rPr>
                    <m:t>j</m:t>
                  </m:r>
                </m:sup>
              </m:sSubSup>
              <m:d>
                <m:dPr>
                  <m:ctrlPr>
                    <w:rPr>
                      <w:rFonts w:ascii="Cambria Math" w:eastAsia="Cambria Math" w:hAnsi="Cambria Math" w:cs="Cambria Math"/>
                      <w:sz w:val="22"/>
                      <w:szCs w:val="22"/>
                    </w:rPr>
                  </m:ctrlPr>
                </m:dPr>
                <m:e>
                  <m:r>
                    <w:rPr>
                      <w:rFonts w:ascii="Cambria Math" w:eastAsia="Cambria Math" w:hAnsi="Cambria Math" w:cs="Cambria Math"/>
                      <w:sz w:val="22"/>
                      <w:szCs w:val="22"/>
                    </w:rPr>
                    <m:t>γ+</m:t>
                  </m:r>
                  <m:nary>
                    <m:naryPr>
                      <m:chr m:val="∑"/>
                      <m:limLoc m:val="undOvr"/>
                      <m:supHide m:val="1"/>
                      <m:ctrlPr>
                        <w:rPr>
                          <w:rFonts w:ascii="Cambria Math" w:eastAsia="Cambria Math" w:hAnsi="Cambria Math" w:cs="Cambria Math"/>
                          <w:sz w:val="22"/>
                          <w:szCs w:val="22"/>
                        </w:rPr>
                      </m:ctrlPr>
                    </m:naryPr>
                    <m:sub>
                      <m:r>
                        <w:rPr>
                          <w:rFonts w:ascii="Cambria Math" w:eastAsia="Cambria Math" w:hAnsi="Cambria Math" w:cs="Cambria Math"/>
                          <w:sz w:val="22"/>
                          <w:szCs w:val="22"/>
                        </w:rPr>
                        <m:t>k</m:t>
                      </m:r>
                    </m:sub>
                    <m:sup/>
                    <m:e>
                      <m:sSub>
                        <m:sSubPr>
                          <m:ctrlPr>
                            <w:rPr>
                              <w:rFonts w:ascii="Cambria Math" w:eastAsia="Cambria Math" w:hAnsi="Cambria Math" w:cs="Cambria Math"/>
                              <w:sz w:val="22"/>
                              <w:szCs w:val="22"/>
                            </w:rPr>
                          </m:ctrlPr>
                        </m:sSubPr>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H</m:t>
                              </m:r>
                            </m:e>
                            <m:sub>
                              <m:r>
                                <w:rPr>
                                  <w:rFonts w:ascii="Cambria Math" w:eastAsia="Cambria Math" w:hAnsi="Cambria Math" w:cs="Cambria Math"/>
                                  <w:sz w:val="22"/>
                                  <w:szCs w:val="22"/>
                                </w:rPr>
                                <m:t>k</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β</m:t>
                          </m:r>
                        </m:e>
                        <m:sub>
                          <m:r>
                            <w:rPr>
                              <w:rFonts w:ascii="Cambria Math" w:eastAsia="Cambria Math" w:hAnsi="Cambria Math" w:cs="Cambria Math"/>
                              <w:sz w:val="22"/>
                              <w:szCs w:val="22"/>
                            </w:rPr>
                            <m:t>k</m:t>
                          </m:r>
                        </m:sub>
                      </m:sSub>
                    </m:e>
                  </m:nary>
                </m:e>
              </m:d>
            </m:den>
          </m:f>
        </m:oMath>
      </m:oMathPara>
    </w:p>
    <w:p w14:paraId="2401ABF4" w14:textId="77777777" w:rsidR="006A3BEE" w:rsidRDefault="006A3BEE" w:rsidP="006A3BEE">
      <w:pPr>
        <w:spacing w:line="480" w:lineRule="auto"/>
        <w:rPr>
          <w:rFonts w:ascii="Arial" w:eastAsia="Arial" w:hAnsi="Arial" w:cs="Arial"/>
          <w:sz w:val="22"/>
          <w:szCs w:val="22"/>
        </w:rPr>
      </w:pPr>
      <w:r>
        <w:rPr>
          <w:rFonts w:ascii="Arial" w:eastAsia="Arial" w:hAnsi="Arial" w:cs="Arial"/>
          <w:sz w:val="22"/>
          <w:szCs w:val="22"/>
        </w:rPr>
        <w:t xml:space="preserve">and the total </w:t>
      </w:r>
      <w:r>
        <w:rPr>
          <w:rFonts w:ascii="Arial" w:eastAsia="Arial" w:hAnsi="Arial" w:cs="Arial"/>
          <w:i/>
          <w:sz w:val="22"/>
          <w:szCs w:val="22"/>
        </w:rPr>
        <w:t>R</w:t>
      </w:r>
      <w:r>
        <w:rPr>
          <w:rFonts w:ascii="Arial" w:eastAsia="Arial" w:hAnsi="Arial" w:cs="Arial"/>
          <w:sz w:val="22"/>
          <w:szCs w:val="22"/>
          <w:vertAlign w:val="subscript"/>
        </w:rPr>
        <w:t>0</w:t>
      </w:r>
      <w:r>
        <w:rPr>
          <w:rFonts w:ascii="Arial" w:eastAsia="Arial" w:hAnsi="Arial" w:cs="Arial"/>
          <w:sz w:val="22"/>
          <w:szCs w:val="22"/>
        </w:rPr>
        <w:t xml:space="preserve"> of </w:t>
      </w:r>
      <w:r>
        <w:rPr>
          <w:rFonts w:ascii="Arial" w:eastAsia="Arial" w:hAnsi="Arial" w:cs="Arial"/>
          <w:i/>
          <w:sz w:val="22"/>
          <w:szCs w:val="22"/>
        </w:rPr>
        <w:t>Bd</w:t>
      </w:r>
      <w:r>
        <w:rPr>
          <w:rFonts w:ascii="Arial" w:eastAsia="Arial" w:hAnsi="Arial" w:cs="Arial"/>
          <w:sz w:val="22"/>
          <w:szCs w:val="22"/>
        </w:rPr>
        <w:t xml:space="preserve"> in tank </w:t>
      </w:r>
      <w:r>
        <w:rPr>
          <w:rFonts w:ascii="Arial" w:eastAsia="Arial" w:hAnsi="Arial" w:cs="Arial"/>
          <w:i/>
          <w:sz w:val="22"/>
          <w:szCs w:val="22"/>
        </w:rPr>
        <w:t>j</w:t>
      </w:r>
      <w:r>
        <w:rPr>
          <w:rFonts w:ascii="Arial" w:eastAsia="Arial" w:hAnsi="Arial" w:cs="Arial"/>
          <w:sz w:val="22"/>
          <w:szCs w:val="22"/>
        </w:rPr>
        <w:t xml:space="preserve"> as:</w:t>
      </w:r>
    </w:p>
    <w:p w14:paraId="6F2E7A57" w14:textId="2A7A4ABD" w:rsidR="006A3BEE" w:rsidRDefault="004049D4" w:rsidP="006A3BEE">
      <w:pPr>
        <w:jc w:val="center"/>
        <w:rPr>
          <w:rFonts w:ascii="Cambria Math" w:eastAsia="Cambria Math" w:hAnsi="Cambria Math" w:cs="Cambria Math"/>
          <w:sz w:val="22"/>
          <w:szCs w:val="22"/>
        </w:rPr>
      </w:pPr>
      <m:oMathPara>
        <m:oMath>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R</m:t>
              </m:r>
            </m:e>
            <m:sub>
              <m:r>
                <w:rPr>
                  <w:rFonts w:ascii="Cambria Math" w:eastAsia="Cambria Math" w:hAnsi="Cambria Math" w:cs="Cambria Math"/>
                  <w:sz w:val="22"/>
                  <w:szCs w:val="22"/>
                </w:rPr>
                <m:t>0,TOT</m:t>
              </m:r>
            </m:sub>
            <m:sup>
              <m:r>
                <w:rPr>
                  <w:rFonts w:ascii="Cambria Math" w:eastAsia="Cambria Math" w:hAnsi="Cambria Math" w:cs="Cambria Math"/>
                  <w:sz w:val="22"/>
                  <w:szCs w:val="22"/>
                </w:rPr>
                <m:t>j</m:t>
              </m:r>
            </m:sup>
          </m:sSubSup>
          <m:r>
            <w:rPr>
              <w:rFonts w:ascii="Cambria Math" w:eastAsia="Cambria Math" w:hAnsi="Cambria Math" w:cs="Cambria Math"/>
              <w:sz w:val="22"/>
              <w:szCs w:val="22"/>
            </w:rPr>
            <m:t>=</m:t>
          </m:r>
          <m:nary>
            <m:naryPr>
              <m:chr m:val="∑"/>
              <m:limLoc m:val="undOvr"/>
              <m:supHide m:val="1"/>
              <m:ctrlPr>
                <w:rPr>
                  <w:rFonts w:ascii="Cambria Math" w:eastAsia="Cambria Math" w:hAnsi="Cambria Math" w:cs="Cambria Math"/>
                  <w:sz w:val="22"/>
                  <w:szCs w:val="22"/>
                </w:rPr>
              </m:ctrlPr>
            </m:naryPr>
            <m:sub>
              <m:r>
                <w:rPr>
                  <w:rFonts w:ascii="Cambria Math" w:eastAsia="Cambria Math" w:hAnsi="Cambria Math" w:cs="Cambria Math"/>
                  <w:sz w:val="22"/>
                  <w:szCs w:val="22"/>
                </w:rPr>
                <m:t>i</m:t>
              </m:r>
            </m:sub>
            <m:sup/>
            <m:e>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R</m:t>
                  </m:r>
                </m:e>
                <m:sub>
                  <m:r>
                    <w:rPr>
                      <w:rFonts w:ascii="Cambria Math" w:eastAsia="Cambria Math" w:hAnsi="Cambria Math" w:cs="Cambria Math"/>
                      <w:sz w:val="22"/>
                      <w:szCs w:val="22"/>
                    </w:rPr>
                    <m:t>0,i</m:t>
                  </m:r>
                </m:sub>
                <m:sup>
                  <m:r>
                    <w:rPr>
                      <w:rFonts w:ascii="Cambria Math" w:eastAsia="Cambria Math" w:hAnsi="Cambria Math" w:cs="Cambria Math"/>
                      <w:sz w:val="22"/>
                      <w:szCs w:val="22"/>
                    </w:rPr>
                    <m:t>j</m:t>
                  </m:r>
                </m:sup>
              </m:sSubSup>
            </m:e>
          </m:nary>
          <m:r>
            <w:rPr>
              <w:rFonts w:ascii="Cambria Math" w:eastAsia="Cambria Math" w:hAnsi="Cambria Math" w:cs="Cambria Math"/>
              <w:sz w:val="22"/>
              <w:szCs w:val="22"/>
            </w:rPr>
            <m:t>, i={S,T,F}</m:t>
          </m:r>
        </m:oMath>
      </m:oMathPara>
    </w:p>
    <w:p w14:paraId="332C8683" w14:textId="2D77D9E4" w:rsidR="009667B6" w:rsidRDefault="006A3BEE" w:rsidP="00BD6E64">
      <w:pPr>
        <w:spacing w:line="480" w:lineRule="auto"/>
        <w:rPr>
          <w:rFonts w:ascii="Arial" w:eastAsia="Arial" w:hAnsi="Arial" w:cs="Arial"/>
          <w:sz w:val="22"/>
          <w:szCs w:val="22"/>
        </w:rPr>
      </w:pPr>
      <w:r>
        <w:rPr>
          <w:rFonts w:ascii="Arial" w:eastAsia="Arial" w:hAnsi="Arial" w:cs="Arial"/>
          <w:sz w:val="22"/>
          <w:szCs w:val="22"/>
        </w:rPr>
        <w:t>These were calculated for each of 3000 samples drawn from the posterior parameter distribution sets, and results are expressed as the median and 95% credible intervals from those calculated values.</w:t>
      </w:r>
      <w:r w:rsidR="00BD6E64">
        <w:rPr>
          <w:rFonts w:ascii="Arial" w:eastAsia="Arial" w:hAnsi="Arial" w:cs="Arial"/>
          <w:sz w:val="22"/>
          <w:szCs w:val="22"/>
        </w:rPr>
        <w:t xml:space="preserve"> </w:t>
      </w:r>
      <w:r w:rsidR="009667B6" w:rsidRPr="00D52517">
        <w:rPr>
          <w:rFonts w:ascii="Arial" w:hAnsi="Arial" w:cs="Arial"/>
          <w:color w:val="000000"/>
          <w:sz w:val="22"/>
          <w:szCs w:val="22"/>
        </w:rPr>
        <w:t>Data and code for</w:t>
      </w:r>
      <w:r w:rsidR="009667B6">
        <w:rPr>
          <w:rFonts w:ascii="Arial" w:hAnsi="Arial" w:cs="Arial"/>
          <w:color w:val="000000"/>
          <w:sz w:val="22"/>
          <w:szCs w:val="22"/>
        </w:rPr>
        <w:t xml:space="preserve"> all </w:t>
      </w:r>
      <w:r w:rsidR="00BD6E64">
        <w:rPr>
          <w:rFonts w:ascii="Arial" w:hAnsi="Arial" w:cs="Arial"/>
          <w:color w:val="000000"/>
          <w:sz w:val="22"/>
          <w:szCs w:val="22"/>
        </w:rPr>
        <w:t>analyses</w:t>
      </w:r>
      <w:r w:rsidR="009667B6" w:rsidRPr="00D52517">
        <w:rPr>
          <w:rFonts w:ascii="Arial" w:hAnsi="Arial" w:cs="Arial"/>
          <w:color w:val="000000"/>
          <w:sz w:val="22"/>
          <w:szCs w:val="22"/>
        </w:rPr>
        <w:t xml:space="preserve"> and figures are stored </w:t>
      </w:r>
      <w:r w:rsidR="00BD6E64">
        <w:rPr>
          <w:rFonts w:ascii="Arial" w:hAnsi="Arial" w:cs="Arial"/>
          <w:color w:val="000000"/>
          <w:sz w:val="22"/>
          <w:szCs w:val="22"/>
        </w:rPr>
        <w:t>i</w:t>
      </w:r>
      <w:r w:rsidR="009667B6" w:rsidRPr="00D52517">
        <w:rPr>
          <w:rFonts w:ascii="Arial" w:hAnsi="Arial" w:cs="Arial"/>
          <w:color w:val="000000"/>
          <w:sz w:val="22"/>
          <w:szCs w:val="22"/>
        </w:rPr>
        <w:t>n the Dryad Digital Repository</w:t>
      </w:r>
      <w:r w:rsidR="009667B6">
        <w:rPr>
          <w:rFonts w:ascii="Arial" w:hAnsi="Arial" w:cs="Arial"/>
          <w:color w:val="000000"/>
          <w:sz w:val="22"/>
          <w:szCs w:val="22"/>
        </w:rPr>
        <w:t xml:space="preserve"> </w:t>
      </w:r>
      <w:r w:rsidR="009667B6">
        <w:rPr>
          <w:rFonts w:ascii="Arial" w:eastAsia="Arial" w:hAnsi="Arial" w:cs="Arial"/>
          <w:sz w:val="22"/>
          <w:szCs w:val="22"/>
        </w:rPr>
        <w:fldChar w:fldCharType="begin"/>
      </w:r>
      <w:r w:rsidR="009667B6">
        <w:rPr>
          <w:rFonts w:ascii="Arial" w:eastAsia="Arial" w:hAnsi="Arial" w:cs="Arial"/>
          <w:sz w:val="22"/>
          <w:szCs w:val="22"/>
        </w:rPr>
        <w:instrText xml:space="preserve"> ADDIN ZOTERO_ITEM CSL_CITATION {"citationID":"Hh17MJ0M","properties":{"formattedCitation":"(Daversa et al. 2022)","plainCitation":"(Daversa et al. 2022)","noteIndex":0},"citationItems":[{"id":8600,"uris":["http://zotero.org/users/865335/items/WXVCIXWG"],"uri":["http://zotero.org/users/865335/items/WXVCIXWG"],"itemData":{"id":8600,"type":"article-journal","container-title":"Dryad, Dataset","title":"Host identity matters – up to a point: the community context of Batrachochytrium dendrobatidis transmission","URL":"https://doi.org/10.5061/dryad.2v6wwpznk","author":[{"family":"Daversa","given":"DR"},{"family":"Bosch","given":"J"},{"family":"Manica","given":"AM"},{"family":"Garner","given":"TWJ"},{"family":"Fenton","given":"A."}],"issued":{"date-parts":[["2022"]]}}}],"schema":"https://github.com/citation-style-language/schema/raw/master/csl-citation.json"} </w:instrText>
      </w:r>
      <w:r w:rsidR="009667B6">
        <w:rPr>
          <w:rFonts w:ascii="Arial" w:eastAsia="Arial" w:hAnsi="Arial" w:cs="Arial"/>
          <w:sz w:val="22"/>
          <w:szCs w:val="22"/>
        </w:rPr>
        <w:fldChar w:fldCharType="separate"/>
      </w:r>
      <w:r w:rsidR="009667B6">
        <w:rPr>
          <w:rFonts w:ascii="Arial" w:eastAsia="Arial" w:hAnsi="Arial" w:cs="Arial"/>
          <w:noProof/>
          <w:sz w:val="22"/>
          <w:szCs w:val="22"/>
        </w:rPr>
        <w:t>(Daversa et al. 2022)</w:t>
      </w:r>
      <w:r w:rsidR="009667B6">
        <w:rPr>
          <w:rFonts w:ascii="Arial" w:eastAsia="Arial" w:hAnsi="Arial" w:cs="Arial"/>
          <w:sz w:val="22"/>
          <w:szCs w:val="22"/>
        </w:rPr>
        <w:fldChar w:fldCharType="end"/>
      </w:r>
      <w:r w:rsidR="009667B6">
        <w:rPr>
          <w:rFonts w:ascii="Arial" w:eastAsia="Arial" w:hAnsi="Arial" w:cs="Arial"/>
          <w:sz w:val="22"/>
          <w:szCs w:val="22"/>
        </w:rPr>
        <w:t xml:space="preserve">. </w:t>
      </w:r>
    </w:p>
    <w:p w14:paraId="57CA4695" w14:textId="77777777" w:rsidR="00BF3D8E" w:rsidRDefault="00BF3D8E">
      <w:pPr>
        <w:spacing w:line="480" w:lineRule="auto"/>
        <w:rPr>
          <w:rFonts w:ascii="Arial" w:eastAsia="Arial" w:hAnsi="Arial" w:cs="Arial"/>
          <w:sz w:val="22"/>
          <w:szCs w:val="22"/>
        </w:rPr>
      </w:pPr>
    </w:p>
    <w:p w14:paraId="0602996D" w14:textId="77777777" w:rsidR="00BF3D8E" w:rsidRDefault="00B11315" w:rsidP="00147009">
      <w:pPr>
        <w:spacing w:line="480" w:lineRule="auto"/>
        <w:jc w:val="center"/>
        <w:rPr>
          <w:rFonts w:ascii="Arial" w:eastAsia="Arial" w:hAnsi="Arial" w:cs="Arial"/>
          <w:b/>
          <w:sz w:val="22"/>
          <w:szCs w:val="22"/>
        </w:rPr>
      </w:pPr>
      <w:r>
        <w:rPr>
          <w:rFonts w:ascii="Arial" w:eastAsia="Arial" w:hAnsi="Arial" w:cs="Arial"/>
          <w:b/>
          <w:sz w:val="22"/>
          <w:szCs w:val="22"/>
        </w:rPr>
        <w:t>Results</w:t>
      </w:r>
    </w:p>
    <w:p w14:paraId="1A4A330C" w14:textId="77777777" w:rsidR="00147009" w:rsidRDefault="00B11315" w:rsidP="00147009">
      <w:pPr>
        <w:spacing w:line="480" w:lineRule="auto"/>
        <w:jc w:val="center"/>
        <w:rPr>
          <w:rFonts w:ascii="Arial" w:eastAsia="Arial" w:hAnsi="Arial" w:cs="Arial"/>
          <w:i/>
          <w:sz w:val="22"/>
          <w:szCs w:val="22"/>
        </w:rPr>
      </w:pPr>
      <w:r>
        <w:rPr>
          <w:rFonts w:ascii="Arial" w:eastAsia="Arial" w:hAnsi="Arial" w:cs="Arial"/>
          <w:i/>
          <w:sz w:val="22"/>
          <w:szCs w:val="22"/>
        </w:rPr>
        <w:t>Infection dynamics in the numerically dominant host species</w:t>
      </w:r>
    </w:p>
    <w:p w14:paraId="0BB50A50" w14:textId="2B95185F" w:rsidR="00BF3D8E" w:rsidRPr="00147009" w:rsidRDefault="00B11315" w:rsidP="00147009">
      <w:pPr>
        <w:spacing w:line="480" w:lineRule="auto"/>
        <w:rPr>
          <w:rFonts w:ascii="Arial" w:eastAsia="Arial" w:hAnsi="Arial" w:cs="Arial"/>
          <w:b/>
          <w:i/>
          <w:sz w:val="22"/>
          <w:szCs w:val="22"/>
        </w:rPr>
      </w:pPr>
      <w:r>
        <w:rPr>
          <w:rFonts w:ascii="Arial" w:eastAsia="Arial" w:hAnsi="Arial" w:cs="Arial"/>
          <w:i/>
          <w:color w:val="000000"/>
          <w:sz w:val="22"/>
          <w:szCs w:val="22"/>
        </w:rPr>
        <w:t>Bd</w:t>
      </w:r>
      <w:r>
        <w:rPr>
          <w:rFonts w:ascii="Arial" w:eastAsia="Arial" w:hAnsi="Arial" w:cs="Arial"/>
          <w:color w:val="000000"/>
          <w:sz w:val="22"/>
          <w:szCs w:val="22"/>
        </w:rPr>
        <w:t xml:space="preserve"> did not thrive in the dominant host species. Although 31% of salamanders (166 out of 525) spanning all 36 mesocosms exhibited </w:t>
      </w:r>
      <w:r>
        <w:rPr>
          <w:rFonts w:ascii="Arial" w:eastAsia="Arial" w:hAnsi="Arial" w:cs="Arial"/>
          <w:i/>
          <w:color w:val="000000"/>
          <w:sz w:val="22"/>
          <w:szCs w:val="22"/>
        </w:rPr>
        <w:t>Bd</w:t>
      </w:r>
      <w:r>
        <w:rPr>
          <w:rFonts w:ascii="Arial" w:eastAsia="Arial" w:hAnsi="Arial" w:cs="Arial"/>
          <w:color w:val="000000"/>
          <w:sz w:val="22"/>
          <w:szCs w:val="22"/>
        </w:rPr>
        <w:t xml:space="preserve"> infections in the initial phase of the experiment, many salamanders cleared infections throughout the course of the experiment (Fig. 1a). As a result, infection prevalence in salamanders was greatly reduced in the final phase (13% prevalence on average), compared with the initial phase, irrespective of the host community composition (Fig S</w:t>
      </w:r>
      <w:r w:rsidR="00255E92">
        <w:rPr>
          <w:rFonts w:ascii="Arial" w:eastAsia="Arial" w:hAnsi="Arial" w:cs="Arial"/>
          <w:color w:val="000000"/>
          <w:sz w:val="22"/>
          <w:szCs w:val="22"/>
        </w:rPr>
        <w:t>3</w:t>
      </w:r>
      <w:r>
        <w:rPr>
          <w:rFonts w:ascii="Arial" w:eastAsia="Arial" w:hAnsi="Arial" w:cs="Arial"/>
          <w:color w:val="000000"/>
          <w:sz w:val="22"/>
          <w:szCs w:val="22"/>
        </w:rPr>
        <w:t>). In addition, many salamanders metamorphosed during the experiment (Fig. S</w:t>
      </w:r>
      <w:r w:rsidR="00255E92">
        <w:rPr>
          <w:rFonts w:ascii="Arial" w:eastAsia="Arial" w:hAnsi="Arial" w:cs="Arial"/>
          <w:color w:val="000000"/>
          <w:sz w:val="22"/>
          <w:szCs w:val="22"/>
        </w:rPr>
        <w:t>4</w:t>
      </w:r>
      <w:r>
        <w:rPr>
          <w:rFonts w:ascii="Arial" w:eastAsia="Arial" w:hAnsi="Arial" w:cs="Arial"/>
          <w:color w:val="000000"/>
          <w:sz w:val="22"/>
          <w:szCs w:val="22"/>
        </w:rPr>
        <w:t xml:space="preserve">, Table </w:t>
      </w:r>
      <w:r w:rsidR="00255E92">
        <w:rPr>
          <w:rFonts w:ascii="Arial" w:eastAsia="Arial" w:hAnsi="Arial" w:cs="Arial"/>
          <w:color w:val="000000"/>
          <w:sz w:val="22"/>
          <w:szCs w:val="22"/>
        </w:rPr>
        <w:t>S1</w:t>
      </w:r>
      <w:r>
        <w:rPr>
          <w:rFonts w:ascii="Arial" w:eastAsia="Arial" w:hAnsi="Arial" w:cs="Arial"/>
          <w:color w:val="000000"/>
          <w:sz w:val="22"/>
          <w:szCs w:val="22"/>
        </w:rPr>
        <w:t xml:space="preserve">), and there was no indication that infection status influenced likelihood of salamander metamorphosis. There was no clear pattern in how mean </w:t>
      </w:r>
      <w:r>
        <w:rPr>
          <w:rFonts w:ascii="Arial" w:eastAsia="Arial" w:hAnsi="Arial" w:cs="Arial"/>
          <w:i/>
          <w:color w:val="000000"/>
          <w:sz w:val="22"/>
          <w:szCs w:val="22"/>
        </w:rPr>
        <w:t>Bd</w:t>
      </w:r>
      <w:r>
        <w:rPr>
          <w:rFonts w:ascii="Arial" w:eastAsia="Arial" w:hAnsi="Arial" w:cs="Arial"/>
          <w:color w:val="000000"/>
          <w:sz w:val="22"/>
          <w:szCs w:val="22"/>
        </w:rPr>
        <w:t xml:space="preserve"> loads of infected salamanders changed over course of the experiment (Fig. 1b).</w:t>
      </w:r>
    </w:p>
    <w:p w14:paraId="3B59608D" w14:textId="77777777" w:rsidR="00BF3D8E" w:rsidRDefault="00BF3D8E">
      <w:pPr>
        <w:pBdr>
          <w:top w:val="nil"/>
          <w:left w:val="nil"/>
          <w:bottom w:val="nil"/>
          <w:right w:val="nil"/>
          <w:between w:val="nil"/>
        </w:pBdr>
        <w:spacing w:line="480" w:lineRule="auto"/>
        <w:ind w:firstLine="284"/>
        <w:rPr>
          <w:rFonts w:ascii="Arial" w:eastAsia="Arial" w:hAnsi="Arial" w:cs="Arial"/>
          <w:color w:val="000000"/>
          <w:sz w:val="22"/>
          <w:szCs w:val="22"/>
        </w:rPr>
      </w:pPr>
    </w:p>
    <w:p w14:paraId="3799D6F8" w14:textId="23D8ADB4" w:rsidR="00147009" w:rsidRDefault="00B11315" w:rsidP="00147009">
      <w:pPr>
        <w:pBdr>
          <w:top w:val="nil"/>
          <w:left w:val="nil"/>
          <w:bottom w:val="nil"/>
          <w:right w:val="nil"/>
          <w:between w:val="nil"/>
        </w:pBdr>
        <w:spacing w:line="480" w:lineRule="auto"/>
        <w:jc w:val="center"/>
        <w:rPr>
          <w:rFonts w:ascii="Arial" w:eastAsia="Arial" w:hAnsi="Arial" w:cs="Arial"/>
          <w:i/>
          <w:color w:val="000000"/>
          <w:sz w:val="22"/>
          <w:szCs w:val="22"/>
        </w:rPr>
      </w:pPr>
      <w:r>
        <w:rPr>
          <w:rFonts w:ascii="Arial" w:eastAsia="Arial" w:hAnsi="Arial" w:cs="Arial"/>
          <w:i/>
          <w:color w:val="000000"/>
          <w:sz w:val="22"/>
          <w:szCs w:val="22"/>
        </w:rPr>
        <w:lastRenderedPageBreak/>
        <w:t>Multi-host infection dynamics when distinguishing all host species</w:t>
      </w:r>
    </w:p>
    <w:p w14:paraId="354B96C8" w14:textId="32C99190" w:rsidR="00BF3D8E" w:rsidRPr="00147009" w:rsidRDefault="00B11315" w:rsidP="00147009">
      <w:pPr>
        <w:pBdr>
          <w:top w:val="nil"/>
          <w:left w:val="nil"/>
          <w:bottom w:val="nil"/>
          <w:right w:val="nil"/>
          <w:between w:val="nil"/>
        </w:pBdr>
        <w:spacing w:line="480" w:lineRule="auto"/>
        <w:rPr>
          <w:rFonts w:ascii="Arial" w:eastAsia="Arial" w:hAnsi="Arial" w:cs="Arial"/>
          <w:i/>
          <w:color w:val="000000"/>
          <w:sz w:val="22"/>
          <w:szCs w:val="22"/>
        </w:rPr>
      </w:pPr>
      <w:r>
        <w:rPr>
          <w:rFonts w:ascii="Arial" w:eastAsia="Arial" w:hAnsi="Arial" w:cs="Arial"/>
          <w:sz w:val="22"/>
          <w:szCs w:val="22"/>
        </w:rPr>
        <w:t xml:space="preserve">Multi-model inference </w:t>
      </w:r>
      <w:r w:rsidR="00415915">
        <w:rPr>
          <w:rFonts w:ascii="Arial" w:eastAsia="Arial" w:hAnsi="Arial" w:cs="Arial"/>
          <w:sz w:val="22"/>
          <w:szCs w:val="22"/>
        </w:rPr>
        <w:t xml:space="preserve">indicated that </w:t>
      </w:r>
      <w:r w:rsidR="00DC0F2D">
        <w:rPr>
          <w:rFonts w:ascii="Arial" w:eastAsia="Arial" w:hAnsi="Arial" w:cs="Arial"/>
          <w:sz w:val="22"/>
          <w:szCs w:val="22"/>
        </w:rPr>
        <w:t>the final abundances</w:t>
      </w:r>
      <w:r w:rsidR="00DB3CCD">
        <w:rPr>
          <w:rFonts w:ascii="Arial" w:eastAsia="Arial" w:hAnsi="Arial" w:cs="Arial"/>
          <w:sz w:val="22"/>
          <w:szCs w:val="22"/>
        </w:rPr>
        <w:t xml:space="preserve"> of</w:t>
      </w:r>
      <w:r w:rsidR="00DC0F2D">
        <w:rPr>
          <w:rFonts w:ascii="Arial" w:eastAsia="Arial" w:hAnsi="Arial" w:cs="Arial"/>
          <w:sz w:val="22"/>
          <w:szCs w:val="22"/>
        </w:rPr>
        <w:t xml:space="preserve"> host species were poor predictors of </w:t>
      </w:r>
      <w:r w:rsidR="00DC0F2D" w:rsidRPr="00CE4073">
        <w:rPr>
          <w:rFonts w:ascii="Arial" w:eastAsia="Arial" w:hAnsi="Arial" w:cs="Arial"/>
          <w:i/>
          <w:iCs/>
          <w:sz w:val="22"/>
          <w:szCs w:val="22"/>
        </w:rPr>
        <w:t>Bd</w:t>
      </w:r>
      <w:r w:rsidR="00DC0F2D">
        <w:rPr>
          <w:rFonts w:ascii="Arial" w:eastAsia="Arial" w:hAnsi="Arial" w:cs="Arial"/>
          <w:sz w:val="22"/>
          <w:szCs w:val="22"/>
        </w:rPr>
        <w:t xml:space="preserve"> infections.</w:t>
      </w:r>
      <w:r w:rsidR="00CE4073">
        <w:rPr>
          <w:rFonts w:ascii="Arial" w:eastAsia="Arial" w:hAnsi="Arial" w:cs="Arial"/>
          <w:sz w:val="22"/>
          <w:szCs w:val="22"/>
        </w:rPr>
        <w:t xml:space="preserve"> </w:t>
      </w:r>
      <w:r w:rsidR="00DC0F2D">
        <w:rPr>
          <w:rFonts w:ascii="Arial" w:eastAsia="Arial" w:hAnsi="Arial" w:cs="Arial"/>
          <w:sz w:val="22"/>
          <w:szCs w:val="22"/>
        </w:rPr>
        <w:t>Rather, distinguishing the number of infected co-occurring hosts was important.</w:t>
      </w:r>
      <w:r w:rsidR="00CE4073">
        <w:rPr>
          <w:rFonts w:ascii="Arial" w:eastAsia="Arial" w:hAnsi="Arial" w:cs="Arial"/>
          <w:sz w:val="22"/>
          <w:szCs w:val="22"/>
        </w:rPr>
        <w:t xml:space="preserve"> There was also evidence</w:t>
      </w:r>
      <w:r w:rsidR="00DC0F2D">
        <w:rPr>
          <w:rFonts w:ascii="Arial" w:eastAsia="Arial" w:hAnsi="Arial" w:cs="Arial"/>
          <w:sz w:val="22"/>
          <w:szCs w:val="22"/>
        </w:rPr>
        <w:t xml:space="preserve"> that</w:t>
      </w:r>
      <w:r w:rsidR="00B22378">
        <w:rPr>
          <w:rFonts w:ascii="Arial" w:eastAsia="Arial" w:hAnsi="Arial" w:cs="Arial"/>
          <w:sz w:val="22"/>
          <w:szCs w:val="22"/>
        </w:rPr>
        <w:t xml:space="preserve"> </w:t>
      </w:r>
      <w:r w:rsidR="001B3CBA">
        <w:rPr>
          <w:rFonts w:ascii="Arial" w:eastAsia="Arial" w:hAnsi="Arial" w:cs="Arial"/>
          <w:sz w:val="22"/>
          <w:szCs w:val="22"/>
        </w:rPr>
        <w:t xml:space="preserve">the final </w:t>
      </w:r>
      <w:r w:rsidR="00B22378">
        <w:rPr>
          <w:rFonts w:ascii="Arial" w:eastAsia="Arial" w:hAnsi="Arial" w:cs="Arial"/>
          <w:sz w:val="22"/>
          <w:szCs w:val="22"/>
        </w:rPr>
        <w:t xml:space="preserve">number of infected frogs in </w:t>
      </w:r>
      <w:r w:rsidR="00DC0F2D">
        <w:rPr>
          <w:rFonts w:ascii="Arial" w:eastAsia="Arial" w:hAnsi="Arial" w:cs="Arial"/>
          <w:sz w:val="22"/>
          <w:szCs w:val="22"/>
        </w:rPr>
        <w:t>communities</w:t>
      </w:r>
      <w:r w:rsidR="00B22378">
        <w:rPr>
          <w:rFonts w:ascii="Arial" w:eastAsia="Arial" w:hAnsi="Arial" w:cs="Arial"/>
          <w:sz w:val="22"/>
          <w:szCs w:val="22"/>
        </w:rPr>
        <w:t xml:space="preserve"> </w:t>
      </w:r>
      <w:r w:rsidR="00DC0F2D">
        <w:rPr>
          <w:rFonts w:ascii="Arial" w:eastAsia="Arial" w:hAnsi="Arial" w:cs="Arial"/>
          <w:sz w:val="22"/>
          <w:szCs w:val="22"/>
        </w:rPr>
        <w:t>was positively associated</w:t>
      </w:r>
      <w:r w:rsidR="00B22378">
        <w:rPr>
          <w:rFonts w:ascii="Arial" w:eastAsia="Arial" w:hAnsi="Arial" w:cs="Arial"/>
          <w:sz w:val="22"/>
          <w:szCs w:val="22"/>
        </w:rPr>
        <w:t xml:space="preserve"> with the </w:t>
      </w:r>
      <w:r w:rsidR="001B3CBA">
        <w:rPr>
          <w:rFonts w:ascii="Arial" w:eastAsia="Arial" w:hAnsi="Arial" w:cs="Arial"/>
          <w:sz w:val="22"/>
          <w:szCs w:val="22"/>
        </w:rPr>
        <w:t xml:space="preserve">final </w:t>
      </w:r>
      <w:r w:rsidR="00B22378">
        <w:rPr>
          <w:rFonts w:ascii="Arial" w:eastAsia="Arial" w:hAnsi="Arial" w:cs="Arial"/>
          <w:sz w:val="22"/>
          <w:szCs w:val="22"/>
        </w:rPr>
        <w:t xml:space="preserve">number of infected toads in </w:t>
      </w:r>
      <w:r w:rsidR="00DC0F2D">
        <w:rPr>
          <w:rFonts w:ascii="Arial" w:eastAsia="Arial" w:hAnsi="Arial" w:cs="Arial"/>
          <w:sz w:val="22"/>
          <w:szCs w:val="22"/>
        </w:rPr>
        <w:t>communities</w:t>
      </w:r>
      <w:r w:rsidR="00B22378">
        <w:rPr>
          <w:rFonts w:ascii="Arial" w:eastAsia="Arial" w:hAnsi="Arial" w:cs="Arial"/>
          <w:sz w:val="22"/>
          <w:szCs w:val="22"/>
        </w:rPr>
        <w:t>, and vice versa</w:t>
      </w:r>
      <w:r w:rsidR="002E05DF">
        <w:rPr>
          <w:rFonts w:ascii="Arial" w:eastAsia="Arial" w:hAnsi="Arial" w:cs="Arial"/>
          <w:sz w:val="22"/>
          <w:szCs w:val="22"/>
        </w:rPr>
        <w:t xml:space="preserve"> (see supplementary material for detailed results), </w:t>
      </w:r>
      <w:r w:rsidR="00D01BF1">
        <w:rPr>
          <w:rFonts w:ascii="Arial" w:eastAsia="Arial" w:hAnsi="Arial" w:cs="Arial"/>
          <w:sz w:val="22"/>
          <w:szCs w:val="22"/>
        </w:rPr>
        <w:t>partially supporting</w:t>
      </w:r>
      <w:r w:rsidR="002E05DF">
        <w:rPr>
          <w:rFonts w:ascii="Arial" w:eastAsia="Arial" w:hAnsi="Arial" w:cs="Arial"/>
          <w:sz w:val="22"/>
          <w:szCs w:val="22"/>
        </w:rPr>
        <w:t xml:space="preserve"> scenarios 1 and 2</w:t>
      </w:r>
      <w:r w:rsidR="00C81579">
        <w:rPr>
          <w:rFonts w:ascii="Arial" w:eastAsia="Arial" w:hAnsi="Arial" w:cs="Arial"/>
          <w:sz w:val="22"/>
          <w:szCs w:val="22"/>
        </w:rPr>
        <w:t xml:space="preserve"> (Table 1)</w:t>
      </w:r>
      <w:r w:rsidR="002E05DF">
        <w:rPr>
          <w:rFonts w:ascii="Arial" w:eastAsia="Arial" w:hAnsi="Arial" w:cs="Arial"/>
          <w:sz w:val="22"/>
          <w:szCs w:val="22"/>
        </w:rPr>
        <w:t xml:space="preserve"> </w:t>
      </w:r>
      <w:r w:rsidR="001B3CBA">
        <w:rPr>
          <w:rFonts w:ascii="Arial" w:eastAsia="Arial" w:hAnsi="Arial" w:cs="Arial"/>
          <w:sz w:val="22"/>
          <w:szCs w:val="22"/>
        </w:rPr>
        <w:t xml:space="preserve">for </w:t>
      </w:r>
      <w:r w:rsidR="001B3CBA" w:rsidRPr="003C01E9">
        <w:rPr>
          <w:rFonts w:ascii="Arial" w:eastAsia="Arial" w:hAnsi="Arial" w:cs="Arial"/>
          <w:i/>
          <w:iCs/>
          <w:sz w:val="22"/>
          <w:szCs w:val="22"/>
        </w:rPr>
        <w:t>Bd</w:t>
      </w:r>
      <w:r w:rsidR="001B3CBA">
        <w:rPr>
          <w:rFonts w:ascii="Arial" w:eastAsia="Arial" w:hAnsi="Arial" w:cs="Arial"/>
          <w:sz w:val="22"/>
          <w:szCs w:val="22"/>
        </w:rPr>
        <w:t xml:space="preserve"> dynamics in multi-host communities</w:t>
      </w:r>
      <w:r w:rsidR="00B22378">
        <w:rPr>
          <w:rFonts w:ascii="Arial" w:eastAsia="Arial" w:hAnsi="Arial" w:cs="Arial"/>
          <w:sz w:val="22"/>
          <w:szCs w:val="22"/>
        </w:rPr>
        <w:t xml:space="preserve">. </w:t>
      </w:r>
      <w:r w:rsidR="001B3CBA">
        <w:rPr>
          <w:rFonts w:ascii="Arial" w:eastAsia="Arial" w:hAnsi="Arial" w:cs="Arial"/>
          <w:sz w:val="22"/>
          <w:szCs w:val="22"/>
        </w:rPr>
        <w:t>Neither the number of initially infected salamanders nor the number of infected salamanders at the end of the experiment predicted the final number of toad or frog infections, providing</w:t>
      </w:r>
      <w:r w:rsidR="00DC0F2D">
        <w:rPr>
          <w:rFonts w:ascii="Arial" w:eastAsia="Arial" w:hAnsi="Arial" w:cs="Arial"/>
          <w:sz w:val="22"/>
          <w:szCs w:val="22"/>
        </w:rPr>
        <w:t xml:space="preserve"> initial</w:t>
      </w:r>
      <w:r w:rsidR="001B3CBA">
        <w:rPr>
          <w:rFonts w:ascii="Arial" w:eastAsia="Arial" w:hAnsi="Arial" w:cs="Arial"/>
          <w:sz w:val="22"/>
          <w:szCs w:val="22"/>
        </w:rPr>
        <w:t xml:space="preserve"> evidence against scenarios 3,</w:t>
      </w:r>
      <w:r w:rsidR="00060962">
        <w:rPr>
          <w:rFonts w:ascii="Arial" w:eastAsia="Arial" w:hAnsi="Arial" w:cs="Arial"/>
          <w:sz w:val="22"/>
          <w:szCs w:val="22"/>
        </w:rPr>
        <w:t xml:space="preserve"> </w:t>
      </w:r>
      <w:r w:rsidR="001B3CBA">
        <w:rPr>
          <w:rFonts w:ascii="Arial" w:eastAsia="Arial" w:hAnsi="Arial" w:cs="Arial"/>
          <w:sz w:val="22"/>
          <w:szCs w:val="22"/>
        </w:rPr>
        <w:t xml:space="preserve">4 and 5 for </w:t>
      </w:r>
      <w:r w:rsidR="001B3CBA" w:rsidRPr="00BA21F2">
        <w:rPr>
          <w:rFonts w:ascii="Arial" w:eastAsia="Arial" w:hAnsi="Arial" w:cs="Arial"/>
          <w:i/>
          <w:iCs/>
          <w:sz w:val="22"/>
          <w:szCs w:val="22"/>
        </w:rPr>
        <w:t>Bd</w:t>
      </w:r>
      <w:r w:rsidR="001B3CBA">
        <w:rPr>
          <w:rFonts w:ascii="Arial" w:eastAsia="Arial" w:hAnsi="Arial" w:cs="Arial"/>
          <w:sz w:val="22"/>
          <w:szCs w:val="22"/>
        </w:rPr>
        <w:t xml:space="preserve"> dynamics.</w:t>
      </w:r>
      <w:r>
        <w:rPr>
          <w:rFonts w:ascii="Arial" w:eastAsia="Arial" w:hAnsi="Arial" w:cs="Arial"/>
          <w:sz w:val="22"/>
          <w:szCs w:val="22"/>
        </w:rPr>
        <w:t xml:space="preserve"> </w:t>
      </w:r>
      <w:r w:rsidR="002E05DF">
        <w:rPr>
          <w:rFonts w:ascii="Arial" w:eastAsia="Arial" w:hAnsi="Arial" w:cs="Arial"/>
          <w:sz w:val="22"/>
          <w:szCs w:val="22"/>
        </w:rPr>
        <w:t>T</w:t>
      </w:r>
      <w:r>
        <w:rPr>
          <w:rFonts w:ascii="Arial" w:eastAsia="Arial" w:hAnsi="Arial" w:cs="Arial"/>
          <w:sz w:val="22"/>
          <w:szCs w:val="22"/>
        </w:rPr>
        <w:t>he SEMs</w:t>
      </w:r>
      <w:r w:rsidR="002E05DF">
        <w:rPr>
          <w:rFonts w:ascii="Arial" w:eastAsia="Arial" w:hAnsi="Arial" w:cs="Arial"/>
          <w:sz w:val="22"/>
          <w:szCs w:val="22"/>
        </w:rPr>
        <w:t xml:space="preserve"> corroborated </w:t>
      </w:r>
      <w:r w:rsidR="001B3CBA">
        <w:rPr>
          <w:rFonts w:ascii="Arial" w:eastAsia="Arial" w:hAnsi="Arial" w:cs="Arial"/>
          <w:sz w:val="22"/>
          <w:szCs w:val="22"/>
        </w:rPr>
        <w:t xml:space="preserve">both lines of </w:t>
      </w:r>
      <w:r w:rsidR="002E05DF">
        <w:rPr>
          <w:rFonts w:ascii="Arial" w:eastAsia="Arial" w:hAnsi="Arial" w:cs="Arial"/>
          <w:sz w:val="22"/>
          <w:szCs w:val="22"/>
        </w:rPr>
        <w:t xml:space="preserve">evidence and clarified the pathways by which </w:t>
      </w:r>
      <w:r w:rsidR="002E05DF" w:rsidRPr="00BA21F2">
        <w:rPr>
          <w:rFonts w:ascii="Arial" w:eastAsia="Arial" w:hAnsi="Arial" w:cs="Arial"/>
          <w:i/>
          <w:iCs/>
          <w:sz w:val="22"/>
          <w:szCs w:val="22"/>
        </w:rPr>
        <w:t>Bd</w:t>
      </w:r>
      <w:r w:rsidR="002E05DF">
        <w:rPr>
          <w:rFonts w:ascii="Arial" w:eastAsia="Arial" w:hAnsi="Arial" w:cs="Arial"/>
          <w:sz w:val="22"/>
          <w:szCs w:val="22"/>
        </w:rPr>
        <w:t xml:space="preserve"> circulated between different host species</w:t>
      </w:r>
      <w:r>
        <w:rPr>
          <w:rFonts w:ascii="Arial" w:eastAsia="Arial" w:hAnsi="Arial" w:cs="Arial"/>
          <w:sz w:val="22"/>
          <w:szCs w:val="22"/>
        </w:rPr>
        <w:t xml:space="preserve">. In the best performing SEM, infected frogs facilitated infections in toads, both in terms of </w:t>
      </w:r>
      <w:r w:rsidR="00694F64">
        <w:rPr>
          <w:rFonts w:ascii="Arial" w:eastAsia="Arial" w:hAnsi="Arial" w:cs="Arial"/>
          <w:sz w:val="22"/>
          <w:szCs w:val="22"/>
        </w:rPr>
        <w:t xml:space="preserve">the number infected </w:t>
      </w:r>
      <w:r>
        <w:rPr>
          <w:rFonts w:ascii="Arial" w:eastAsia="Arial" w:hAnsi="Arial" w:cs="Arial"/>
          <w:sz w:val="22"/>
          <w:szCs w:val="22"/>
        </w:rPr>
        <w:t>and mean infection loads (Fig. S2</w:t>
      </w:r>
      <w:r w:rsidR="00C745D3">
        <w:rPr>
          <w:rFonts w:ascii="Arial" w:eastAsia="Arial" w:hAnsi="Arial" w:cs="Arial"/>
          <w:sz w:val="22"/>
          <w:szCs w:val="22"/>
        </w:rPr>
        <w:t>a</w:t>
      </w:r>
      <w:r>
        <w:rPr>
          <w:rFonts w:ascii="Arial" w:eastAsia="Arial" w:hAnsi="Arial" w:cs="Arial"/>
          <w:sz w:val="22"/>
          <w:szCs w:val="22"/>
        </w:rPr>
        <w:t>, Table S7</w:t>
      </w:r>
      <w:r w:rsidR="00C745D3">
        <w:rPr>
          <w:rFonts w:ascii="Arial" w:eastAsia="Arial" w:hAnsi="Arial" w:cs="Arial"/>
          <w:sz w:val="22"/>
          <w:szCs w:val="22"/>
        </w:rPr>
        <w:t xml:space="preserve">a – </w:t>
      </w:r>
      <w:r w:rsidR="00327689">
        <w:rPr>
          <w:rFonts w:ascii="Arial" w:eastAsia="Arial" w:hAnsi="Arial" w:cs="Arial"/>
          <w:sz w:val="22"/>
          <w:szCs w:val="22"/>
        </w:rPr>
        <w:t xml:space="preserve">scenario </w:t>
      </w:r>
      <w:r w:rsidR="00C745D3">
        <w:rPr>
          <w:rFonts w:ascii="Arial" w:eastAsia="Arial" w:hAnsi="Arial" w:cs="Arial"/>
          <w:sz w:val="22"/>
          <w:szCs w:val="22"/>
        </w:rPr>
        <w:t>1</w:t>
      </w:r>
      <w:r>
        <w:rPr>
          <w:rFonts w:ascii="Arial" w:eastAsia="Arial" w:hAnsi="Arial" w:cs="Arial"/>
          <w:sz w:val="22"/>
          <w:szCs w:val="22"/>
        </w:rPr>
        <w:t>). The reciprocal pathway from infected toads to infected frogs was also significant in a closely ranked model (Fig. S2</w:t>
      </w:r>
      <w:r w:rsidR="00C745D3">
        <w:rPr>
          <w:rFonts w:ascii="Arial" w:eastAsia="Arial" w:hAnsi="Arial" w:cs="Arial"/>
          <w:sz w:val="22"/>
          <w:szCs w:val="22"/>
        </w:rPr>
        <w:t>b</w:t>
      </w:r>
      <w:r>
        <w:rPr>
          <w:rFonts w:ascii="Arial" w:eastAsia="Arial" w:hAnsi="Arial" w:cs="Arial"/>
          <w:sz w:val="22"/>
          <w:szCs w:val="22"/>
        </w:rPr>
        <w:t xml:space="preserve">, Table </w:t>
      </w:r>
      <w:r w:rsidR="00971825">
        <w:rPr>
          <w:rFonts w:ascii="Arial" w:eastAsia="Arial" w:hAnsi="Arial" w:cs="Arial"/>
          <w:sz w:val="22"/>
          <w:szCs w:val="22"/>
        </w:rPr>
        <w:t xml:space="preserve">S7a </w:t>
      </w:r>
      <w:r w:rsidR="00C745D3">
        <w:rPr>
          <w:rFonts w:ascii="Arial" w:eastAsia="Arial" w:hAnsi="Arial" w:cs="Arial"/>
          <w:sz w:val="22"/>
          <w:szCs w:val="22"/>
        </w:rPr>
        <w:t xml:space="preserve">– </w:t>
      </w:r>
      <w:r w:rsidR="00327689">
        <w:rPr>
          <w:rFonts w:ascii="Arial" w:eastAsia="Arial" w:hAnsi="Arial" w:cs="Arial"/>
          <w:sz w:val="22"/>
          <w:szCs w:val="22"/>
        </w:rPr>
        <w:t xml:space="preserve">scenario </w:t>
      </w:r>
      <w:r w:rsidR="00C745D3">
        <w:rPr>
          <w:rFonts w:ascii="Arial" w:eastAsia="Arial" w:hAnsi="Arial" w:cs="Arial"/>
          <w:sz w:val="22"/>
          <w:szCs w:val="22"/>
        </w:rPr>
        <w:t>2</w:t>
      </w:r>
      <w:r>
        <w:rPr>
          <w:rFonts w:ascii="Arial" w:eastAsia="Arial" w:hAnsi="Arial" w:cs="Arial"/>
          <w:sz w:val="22"/>
          <w:szCs w:val="22"/>
        </w:rPr>
        <w:t xml:space="preserve">). Therefore, </w:t>
      </w:r>
      <w:r w:rsidR="00327689">
        <w:rPr>
          <w:rFonts w:ascii="Arial" w:eastAsia="Arial" w:hAnsi="Arial" w:cs="Arial"/>
          <w:sz w:val="22"/>
          <w:szCs w:val="22"/>
        </w:rPr>
        <w:t>infections circulated between frogs and toads with no clear directionality</w:t>
      </w:r>
      <w:r w:rsidR="00283588">
        <w:rPr>
          <w:rFonts w:ascii="Arial" w:eastAsia="Arial" w:hAnsi="Arial" w:cs="Arial"/>
          <w:sz w:val="22"/>
          <w:szCs w:val="22"/>
        </w:rPr>
        <w:t xml:space="preserve">, but there was clear agreement that salamanders did not play a significant </w:t>
      </w:r>
      <w:r w:rsidR="00CB4B4D">
        <w:rPr>
          <w:rFonts w:ascii="Arial" w:eastAsia="Arial" w:hAnsi="Arial" w:cs="Arial"/>
          <w:sz w:val="22"/>
          <w:szCs w:val="22"/>
        </w:rPr>
        <w:t>role</w:t>
      </w:r>
      <w:r w:rsidR="00283588">
        <w:rPr>
          <w:rFonts w:ascii="Arial" w:eastAsia="Arial" w:hAnsi="Arial" w:cs="Arial"/>
          <w:sz w:val="22"/>
          <w:szCs w:val="22"/>
        </w:rPr>
        <w:t xml:space="preserve"> in driving infection levels in either species</w:t>
      </w:r>
      <w:r w:rsidR="00327689">
        <w:rPr>
          <w:rFonts w:ascii="Arial" w:eastAsia="Arial" w:hAnsi="Arial" w:cs="Arial"/>
          <w:sz w:val="22"/>
          <w:szCs w:val="22"/>
        </w:rPr>
        <w:t xml:space="preserve"> (Fig. 2)</w:t>
      </w:r>
      <w:r>
        <w:rPr>
          <w:rFonts w:ascii="Arial" w:eastAsia="Arial" w:hAnsi="Arial" w:cs="Arial"/>
          <w:sz w:val="22"/>
          <w:szCs w:val="22"/>
        </w:rPr>
        <w:t xml:space="preserve">. </w:t>
      </w:r>
    </w:p>
    <w:p w14:paraId="2FE43E37" w14:textId="77777777" w:rsidR="00BF3D8E" w:rsidRDefault="00BF3D8E">
      <w:pPr>
        <w:spacing w:line="480" w:lineRule="auto"/>
        <w:ind w:firstLine="360"/>
        <w:rPr>
          <w:rFonts w:ascii="Arial" w:eastAsia="Arial" w:hAnsi="Arial" w:cs="Arial"/>
          <w:sz w:val="22"/>
          <w:szCs w:val="22"/>
        </w:rPr>
      </w:pPr>
    </w:p>
    <w:p w14:paraId="3A0EA631" w14:textId="77777777" w:rsidR="00147009" w:rsidRDefault="00B11315" w:rsidP="00147009">
      <w:pPr>
        <w:spacing w:line="480" w:lineRule="auto"/>
        <w:jc w:val="center"/>
        <w:rPr>
          <w:rFonts w:ascii="Arial" w:eastAsia="Arial" w:hAnsi="Arial" w:cs="Arial"/>
          <w:sz w:val="22"/>
          <w:szCs w:val="22"/>
        </w:rPr>
      </w:pPr>
      <w:r>
        <w:rPr>
          <w:rFonts w:ascii="Arial" w:eastAsia="Arial" w:hAnsi="Arial" w:cs="Arial"/>
          <w:i/>
          <w:sz w:val="22"/>
          <w:szCs w:val="22"/>
        </w:rPr>
        <w:t>Variation in community-level infection prevalence and intensity</w:t>
      </w:r>
    </w:p>
    <w:p w14:paraId="6E299644" w14:textId="726C2685" w:rsidR="00BF3D8E" w:rsidRPr="003D79F5" w:rsidRDefault="001029F3" w:rsidP="00147009">
      <w:pPr>
        <w:spacing w:line="480" w:lineRule="auto"/>
        <w:rPr>
          <w:rFonts w:ascii="Arial" w:eastAsia="Arial" w:hAnsi="Arial" w:cs="Arial"/>
          <w:sz w:val="22"/>
          <w:szCs w:val="22"/>
        </w:rPr>
      </w:pPr>
      <w:r>
        <w:rPr>
          <w:rFonts w:ascii="Arial" w:eastAsia="Arial" w:hAnsi="Arial" w:cs="Arial"/>
          <w:sz w:val="22"/>
          <w:szCs w:val="22"/>
        </w:rPr>
        <w:t xml:space="preserve">The null model </w:t>
      </w:r>
      <w:r w:rsidR="00EF347C">
        <w:rPr>
          <w:rFonts w:ascii="Arial" w:eastAsia="Arial" w:hAnsi="Arial" w:cs="Arial"/>
          <w:sz w:val="22"/>
          <w:szCs w:val="22"/>
        </w:rPr>
        <w:t xml:space="preserve">for community-level infection prevalence </w:t>
      </w:r>
      <w:r>
        <w:rPr>
          <w:rFonts w:ascii="Arial" w:eastAsia="Arial" w:hAnsi="Arial" w:cs="Arial"/>
          <w:sz w:val="22"/>
          <w:szCs w:val="22"/>
        </w:rPr>
        <w:t xml:space="preserve">was the worst-performing model examined (Table </w:t>
      </w:r>
      <w:r w:rsidR="004F0948">
        <w:rPr>
          <w:rFonts w:ascii="Arial" w:eastAsia="Arial" w:hAnsi="Arial" w:cs="Arial"/>
          <w:sz w:val="22"/>
          <w:szCs w:val="22"/>
        </w:rPr>
        <w:t>2</w:t>
      </w:r>
      <w:r w:rsidR="00F56E6D">
        <w:rPr>
          <w:rFonts w:ascii="Arial" w:eastAsia="Arial" w:hAnsi="Arial" w:cs="Arial"/>
          <w:sz w:val="22"/>
          <w:szCs w:val="22"/>
        </w:rPr>
        <w:t xml:space="preserve">; </w:t>
      </w:r>
      <w:r w:rsidR="00F56E6D" w:rsidRPr="008D412D">
        <w:rPr>
          <w:rFonts w:ascii="Arial" w:eastAsia="Arial Unicode MS" w:hAnsi="Arial" w:cs="Arial"/>
          <w:color w:val="000000"/>
          <w:sz w:val="22"/>
          <w:szCs w:val="22"/>
        </w:rPr>
        <w:t>∆</w:t>
      </w:r>
      <w:proofErr w:type="spellStart"/>
      <w:r w:rsidR="00F56E6D" w:rsidRPr="008D412D">
        <w:rPr>
          <w:rFonts w:ascii="Arial" w:eastAsia="Arial Unicode MS" w:hAnsi="Arial" w:cs="Arial"/>
          <w:color w:val="000000"/>
          <w:sz w:val="22"/>
          <w:szCs w:val="22"/>
        </w:rPr>
        <w:t>AICc</w:t>
      </w:r>
      <w:proofErr w:type="spellEnd"/>
      <w:r w:rsidR="00F56E6D" w:rsidRPr="008D412D">
        <w:rPr>
          <w:rFonts w:ascii="Arial" w:eastAsia="Arial Unicode MS" w:hAnsi="Arial" w:cs="Arial"/>
          <w:color w:val="000000"/>
          <w:sz w:val="22"/>
          <w:szCs w:val="22"/>
        </w:rPr>
        <w:t xml:space="preserve"> </w:t>
      </w:r>
      <w:r w:rsidR="00F56E6D">
        <w:rPr>
          <w:rFonts w:ascii="Arial" w:eastAsia="Arial Unicode MS" w:hAnsi="Arial" w:cs="Arial"/>
          <w:color w:val="000000"/>
          <w:sz w:val="22"/>
          <w:szCs w:val="22"/>
        </w:rPr>
        <w:t>s</w:t>
      </w:r>
      <w:r w:rsidR="00F56E6D" w:rsidRPr="008D412D">
        <w:rPr>
          <w:rFonts w:ascii="Arial" w:eastAsia="Arial Unicode MS" w:hAnsi="Arial" w:cs="Arial"/>
          <w:color w:val="000000"/>
          <w:sz w:val="22"/>
          <w:szCs w:val="22"/>
        </w:rPr>
        <w:t xml:space="preserve">cenarios </w:t>
      </w:r>
      <w:r w:rsidR="00F56E6D">
        <w:rPr>
          <w:rFonts w:ascii="Arial" w:eastAsia="Arial Unicode MS" w:hAnsi="Arial" w:cs="Arial"/>
          <w:color w:val="000000"/>
          <w:sz w:val="22"/>
          <w:szCs w:val="22"/>
        </w:rPr>
        <w:t>3</w:t>
      </w:r>
      <w:r w:rsidR="00F56E6D" w:rsidRPr="008D412D">
        <w:rPr>
          <w:rFonts w:ascii="Arial" w:eastAsia="Arial Unicode MS" w:hAnsi="Arial" w:cs="Arial"/>
          <w:color w:val="000000"/>
          <w:sz w:val="22"/>
          <w:szCs w:val="22"/>
        </w:rPr>
        <w:t xml:space="preserve"> v </w:t>
      </w:r>
      <w:r w:rsidR="00F56E6D">
        <w:rPr>
          <w:rFonts w:ascii="Arial" w:eastAsia="Arial Unicode MS" w:hAnsi="Arial" w:cs="Arial"/>
          <w:color w:val="000000"/>
          <w:sz w:val="22"/>
          <w:szCs w:val="22"/>
        </w:rPr>
        <w:t>1</w:t>
      </w:r>
      <w:r w:rsidR="00F56E6D" w:rsidRPr="008D412D">
        <w:rPr>
          <w:rFonts w:ascii="Arial" w:eastAsia="Arial Unicode MS" w:hAnsi="Arial" w:cs="Arial"/>
          <w:color w:val="000000"/>
          <w:sz w:val="22"/>
          <w:szCs w:val="22"/>
        </w:rPr>
        <w:t xml:space="preserve"> =</w:t>
      </w:r>
      <w:r w:rsidR="00F56E6D">
        <w:rPr>
          <w:rFonts w:ascii="Arial" w:eastAsia="Arial Unicode MS" w:hAnsi="Arial" w:cs="Arial"/>
          <w:color w:val="000000"/>
          <w:sz w:val="22"/>
          <w:szCs w:val="22"/>
        </w:rPr>
        <w:t xml:space="preserve"> 48.2</w:t>
      </w:r>
      <w:r>
        <w:rPr>
          <w:rFonts w:ascii="Arial" w:eastAsia="Arial" w:hAnsi="Arial" w:cs="Arial"/>
          <w:sz w:val="22"/>
          <w:szCs w:val="22"/>
        </w:rPr>
        <w:t>), confirming that c</w:t>
      </w:r>
      <w:r w:rsidR="00B11315">
        <w:rPr>
          <w:rFonts w:ascii="Arial" w:eastAsia="Arial" w:hAnsi="Arial" w:cs="Arial"/>
          <w:sz w:val="22"/>
          <w:szCs w:val="22"/>
        </w:rPr>
        <w:t xml:space="preserve">ommunity-wide infection prevalence was influenced by </w:t>
      </w:r>
      <w:r>
        <w:rPr>
          <w:rFonts w:ascii="Arial" w:eastAsia="Arial" w:hAnsi="Arial" w:cs="Arial"/>
          <w:sz w:val="22"/>
          <w:szCs w:val="22"/>
        </w:rPr>
        <w:t xml:space="preserve">some aspect of </w:t>
      </w:r>
      <w:r w:rsidR="00B11315">
        <w:rPr>
          <w:rFonts w:ascii="Arial" w:eastAsia="Arial" w:hAnsi="Arial" w:cs="Arial"/>
          <w:sz w:val="22"/>
          <w:szCs w:val="22"/>
        </w:rPr>
        <w:t xml:space="preserve">host species richness (Fig. 3a; Table </w:t>
      </w:r>
      <w:r w:rsidR="004F0948">
        <w:rPr>
          <w:rFonts w:ascii="Arial" w:eastAsia="Arial" w:hAnsi="Arial" w:cs="Arial"/>
          <w:sz w:val="22"/>
          <w:szCs w:val="22"/>
        </w:rPr>
        <w:t>2</w:t>
      </w:r>
      <w:r w:rsidR="00F56E6D">
        <w:rPr>
          <w:rFonts w:ascii="Arial" w:eastAsia="Arial" w:hAnsi="Arial" w:cs="Arial"/>
          <w:sz w:val="22"/>
          <w:szCs w:val="22"/>
        </w:rPr>
        <w:t xml:space="preserve">; </w:t>
      </w:r>
      <w:r w:rsidR="00F56E6D" w:rsidRPr="008D412D">
        <w:rPr>
          <w:rFonts w:ascii="Arial" w:eastAsia="Arial Unicode MS" w:hAnsi="Arial" w:cs="Arial"/>
          <w:color w:val="000000"/>
          <w:sz w:val="22"/>
          <w:szCs w:val="22"/>
        </w:rPr>
        <w:t>∆</w:t>
      </w:r>
      <w:proofErr w:type="spellStart"/>
      <w:r w:rsidR="00F56E6D" w:rsidRPr="008D412D">
        <w:rPr>
          <w:rFonts w:ascii="Arial" w:eastAsia="Arial Unicode MS" w:hAnsi="Arial" w:cs="Arial"/>
          <w:color w:val="000000"/>
          <w:sz w:val="22"/>
          <w:szCs w:val="22"/>
        </w:rPr>
        <w:t>AICc</w:t>
      </w:r>
      <w:proofErr w:type="spellEnd"/>
      <w:r w:rsidR="00F56E6D" w:rsidRPr="008D412D">
        <w:rPr>
          <w:rFonts w:ascii="Arial" w:eastAsia="Arial Unicode MS" w:hAnsi="Arial" w:cs="Arial"/>
          <w:color w:val="000000"/>
          <w:sz w:val="22"/>
          <w:szCs w:val="22"/>
        </w:rPr>
        <w:t xml:space="preserve"> </w:t>
      </w:r>
      <w:r w:rsidR="00F56E6D">
        <w:rPr>
          <w:rFonts w:ascii="Arial" w:eastAsia="Arial Unicode MS" w:hAnsi="Arial" w:cs="Arial"/>
          <w:color w:val="000000"/>
          <w:sz w:val="22"/>
          <w:szCs w:val="22"/>
        </w:rPr>
        <w:t>s</w:t>
      </w:r>
      <w:r w:rsidR="00F56E6D" w:rsidRPr="008D412D">
        <w:rPr>
          <w:rFonts w:ascii="Arial" w:eastAsia="Arial Unicode MS" w:hAnsi="Arial" w:cs="Arial"/>
          <w:color w:val="000000"/>
          <w:sz w:val="22"/>
          <w:szCs w:val="22"/>
        </w:rPr>
        <w:t xml:space="preserve">cenarios </w:t>
      </w:r>
      <w:r w:rsidR="00F56E6D">
        <w:rPr>
          <w:rFonts w:ascii="Arial" w:eastAsia="Arial Unicode MS" w:hAnsi="Arial" w:cs="Arial"/>
          <w:color w:val="000000"/>
          <w:sz w:val="22"/>
          <w:szCs w:val="22"/>
        </w:rPr>
        <w:t>2</w:t>
      </w:r>
      <w:r w:rsidR="00F56E6D" w:rsidRPr="008D412D">
        <w:rPr>
          <w:rFonts w:ascii="Arial" w:eastAsia="Arial Unicode MS" w:hAnsi="Arial" w:cs="Arial"/>
          <w:color w:val="000000"/>
          <w:sz w:val="22"/>
          <w:szCs w:val="22"/>
        </w:rPr>
        <w:t xml:space="preserve"> v </w:t>
      </w:r>
      <w:r w:rsidR="00F56E6D">
        <w:rPr>
          <w:rFonts w:ascii="Arial" w:eastAsia="Arial Unicode MS" w:hAnsi="Arial" w:cs="Arial"/>
          <w:color w:val="000000"/>
          <w:sz w:val="22"/>
          <w:szCs w:val="22"/>
        </w:rPr>
        <w:t>1</w:t>
      </w:r>
      <w:r w:rsidR="00F56E6D" w:rsidRPr="008D412D">
        <w:rPr>
          <w:rFonts w:ascii="Arial" w:eastAsia="Arial Unicode MS" w:hAnsi="Arial" w:cs="Arial"/>
          <w:color w:val="000000"/>
          <w:sz w:val="22"/>
          <w:szCs w:val="22"/>
        </w:rPr>
        <w:t xml:space="preserve"> = </w:t>
      </w:r>
      <w:r w:rsidR="00F56E6D">
        <w:rPr>
          <w:rFonts w:ascii="Arial" w:eastAsia="Arial Unicode MS" w:hAnsi="Arial" w:cs="Arial"/>
          <w:color w:val="000000"/>
          <w:sz w:val="22"/>
          <w:szCs w:val="22"/>
        </w:rPr>
        <w:t>16.7</w:t>
      </w:r>
      <w:r w:rsidR="00B11315">
        <w:rPr>
          <w:rFonts w:ascii="Arial" w:eastAsia="Arial" w:hAnsi="Arial" w:cs="Arial"/>
          <w:sz w:val="22"/>
          <w:szCs w:val="22"/>
        </w:rPr>
        <w:t xml:space="preserve">). However, distinguishing the proportion of auxiliary host species better predicted community-wide infection prevalence than host species richness alone (Table </w:t>
      </w:r>
      <w:r w:rsidR="004F0948">
        <w:rPr>
          <w:rFonts w:ascii="Arial" w:eastAsia="Arial" w:hAnsi="Arial" w:cs="Arial"/>
          <w:sz w:val="22"/>
          <w:szCs w:val="22"/>
        </w:rPr>
        <w:t>2</w:t>
      </w:r>
      <w:r w:rsidR="00B11315" w:rsidRPr="001029F3">
        <w:rPr>
          <w:rFonts w:ascii="Arial" w:eastAsia="Arial" w:hAnsi="Arial" w:cs="Arial"/>
          <w:sz w:val="22"/>
          <w:szCs w:val="22"/>
        </w:rPr>
        <w:t xml:space="preserve">; </w:t>
      </w:r>
      <w:r w:rsidR="00B11315" w:rsidRPr="008D412D">
        <w:rPr>
          <w:rFonts w:ascii="Arial" w:eastAsia="Arial Unicode MS" w:hAnsi="Arial" w:cs="Arial"/>
          <w:color w:val="000000"/>
          <w:sz w:val="22"/>
          <w:szCs w:val="22"/>
        </w:rPr>
        <w:t>∆</w:t>
      </w:r>
      <w:proofErr w:type="spellStart"/>
      <w:r w:rsidR="00B11315" w:rsidRPr="008D412D">
        <w:rPr>
          <w:rFonts w:ascii="Arial" w:eastAsia="Arial Unicode MS" w:hAnsi="Arial" w:cs="Arial"/>
          <w:color w:val="000000"/>
          <w:sz w:val="22"/>
          <w:szCs w:val="22"/>
        </w:rPr>
        <w:t>AICc</w:t>
      </w:r>
      <w:proofErr w:type="spellEnd"/>
      <w:r w:rsidR="00B11315" w:rsidRPr="008D412D">
        <w:rPr>
          <w:rFonts w:ascii="Arial" w:eastAsia="Arial Unicode MS" w:hAnsi="Arial" w:cs="Arial"/>
          <w:color w:val="000000"/>
          <w:sz w:val="22"/>
          <w:szCs w:val="22"/>
        </w:rPr>
        <w:t xml:space="preserve"> </w:t>
      </w:r>
      <w:r w:rsidR="00EF7B00">
        <w:rPr>
          <w:rFonts w:ascii="Arial" w:eastAsia="Arial Unicode MS" w:hAnsi="Arial" w:cs="Arial"/>
          <w:color w:val="000000"/>
          <w:sz w:val="22"/>
          <w:szCs w:val="22"/>
        </w:rPr>
        <w:t>s</w:t>
      </w:r>
      <w:r w:rsidRPr="008D412D">
        <w:rPr>
          <w:rFonts w:ascii="Arial" w:eastAsia="Arial Unicode MS" w:hAnsi="Arial" w:cs="Arial"/>
          <w:color w:val="000000"/>
          <w:sz w:val="22"/>
          <w:szCs w:val="22"/>
        </w:rPr>
        <w:t xml:space="preserve">cenarios </w:t>
      </w:r>
      <w:r w:rsidR="003D79F5">
        <w:rPr>
          <w:rFonts w:ascii="Arial" w:eastAsia="Arial Unicode MS" w:hAnsi="Arial" w:cs="Arial"/>
          <w:color w:val="000000"/>
          <w:sz w:val="22"/>
          <w:szCs w:val="22"/>
        </w:rPr>
        <w:t>3</w:t>
      </w:r>
      <w:r w:rsidRPr="008D412D">
        <w:rPr>
          <w:rFonts w:ascii="Arial" w:eastAsia="Arial Unicode MS" w:hAnsi="Arial" w:cs="Arial"/>
          <w:color w:val="000000"/>
          <w:sz w:val="22"/>
          <w:szCs w:val="22"/>
        </w:rPr>
        <w:t xml:space="preserve"> v </w:t>
      </w:r>
      <w:r w:rsidR="003D79F5">
        <w:rPr>
          <w:rFonts w:ascii="Arial" w:eastAsia="Arial Unicode MS" w:hAnsi="Arial" w:cs="Arial"/>
          <w:color w:val="000000"/>
          <w:sz w:val="22"/>
          <w:szCs w:val="22"/>
        </w:rPr>
        <w:t>2</w:t>
      </w:r>
      <w:r w:rsidRPr="008D412D">
        <w:rPr>
          <w:rFonts w:ascii="Arial" w:eastAsia="Arial Unicode MS" w:hAnsi="Arial" w:cs="Arial"/>
          <w:color w:val="000000"/>
          <w:sz w:val="22"/>
          <w:szCs w:val="22"/>
        </w:rPr>
        <w:t xml:space="preserve"> </w:t>
      </w:r>
      <w:r w:rsidR="00B11315" w:rsidRPr="008D412D">
        <w:rPr>
          <w:rFonts w:ascii="Arial" w:eastAsia="Arial Unicode MS" w:hAnsi="Arial" w:cs="Arial"/>
          <w:color w:val="000000"/>
          <w:sz w:val="22"/>
          <w:szCs w:val="22"/>
        </w:rPr>
        <w:t>= 31.52</w:t>
      </w:r>
      <w:r w:rsidR="00B11315" w:rsidRPr="001029F3">
        <w:rPr>
          <w:rFonts w:ascii="Arial" w:eastAsia="Arial" w:hAnsi="Arial" w:cs="Arial"/>
          <w:sz w:val="22"/>
          <w:szCs w:val="22"/>
        </w:rPr>
        <w:t>).</w:t>
      </w:r>
      <w:r w:rsidR="00B11315">
        <w:rPr>
          <w:rFonts w:ascii="Arial" w:eastAsia="Arial" w:hAnsi="Arial" w:cs="Arial"/>
          <w:sz w:val="22"/>
          <w:szCs w:val="22"/>
        </w:rPr>
        <w:t xml:space="preserve"> Further distinguishing between frogs and toads did not improve predictions for community-wide infection prevalence (</w:t>
      </w:r>
      <w:r w:rsidR="00B11315" w:rsidRPr="006F73D4">
        <w:rPr>
          <w:rFonts w:ascii="Arial" w:eastAsia="Arial" w:hAnsi="Arial" w:cs="Arial"/>
          <w:sz w:val="22"/>
          <w:szCs w:val="22"/>
        </w:rPr>
        <w:t xml:space="preserve">Table </w:t>
      </w:r>
      <w:r w:rsidR="004F0948">
        <w:rPr>
          <w:rFonts w:ascii="Arial" w:eastAsia="Arial" w:hAnsi="Arial" w:cs="Arial"/>
          <w:sz w:val="22"/>
          <w:szCs w:val="22"/>
        </w:rPr>
        <w:t>2</w:t>
      </w:r>
      <w:r w:rsidR="00B11315" w:rsidRPr="003D79F5">
        <w:rPr>
          <w:rFonts w:ascii="Arial" w:eastAsia="Arial" w:hAnsi="Arial" w:cs="Arial"/>
          <w:sz w:val="22"/>
          <w:szCs w:val="22"/>
        </w:rPr>
        <w:t xml:space="preserve">; </w:t>
      </w:r>
      <w:r w:rsidR="00B11315" w:rsidRPr="00EF7B00">
        <w:rPr>
          <w:rFonts w:ascii="Arial" w:eastAsia="Arial Unicode MS" w:hAnsi="Arial" w:cs="Arial"/>
          <w:color w:val="000000"/>
          <w:sz w:val="22"/>
          <w:szCs w:val="22"/>
        </w:rPr>
        <w:t>∆</w:t>
      </w:r>
      <w:proofErr w:type="spellStart"/>
      <w:r w:rsidR="00B11315" w:rsidRPr="00EF7B00">
        <w:rPr>
          <w:rFonts w:ascii="Arial" w:eastAsia="Arial Unicode MS" w:hAnsi="Arial" w:cs="Arial"/>
          <w:color w:val="000000"/>
          <w:sz w:val="22"/>
          <w:szCs w:val="22"/>
        </w:rPr>
        <w:t>AICc</w:t>
      </w:r>
      <w:proofErr w:type="spellEnd"/>
      <w:r w:rsidR="00B11315" w:rsidRPr="00EF7B00">
        <w:rPr>
          <w:rFonts w:ascii="Arial" w:eastAsia="Arial Unicode MS" w:hAnsi="Arial" w:cs="Arial"/>
          <w:color w:val="000000"/>
          <w:sz w:val="22"/>
          <w:szCs w:val="22"/>
        </w:rPr>
        <w:t xml:space="preserve"> </w:t>
      </w:r>
      <w:r w:rsidR="00EF7B00">
        <w:rPr>
          <w:rFonts w:ascii="Arial" w:eastAsia="Arial Unicode MS" w:hAnsi="Arial" w:cs="Arial"/>
          <w:color w:val="000000"/>
          <w:sz w:val="22"/>
          <w:szCs w:val="22"/>
        </w:rPr>
        <w:t>s</w:t>
      </w:r>
      <w:r w:rsidR="003D79F5">
        <w:rPr>
          <w:rFonts w:ascii="Arial" w:eastAsia="Arial Unicode MS" w:hAnsi="Arial" w:cs="Arial"/>
          <w:color w:val="000000"/>
          <w:sz w:val="22"/>
          <w:szCs w:val="22"/>
        </w:rPr>
        <w:t xml:space="preserve">cenarios 4 v 3 </w:t>
      </w:r>
      <w:r w:rsidR="00B11315" w:rsidRPr="00EF7B00">
        <w:rPr>
          <w:rFonts w:ascii="Arial" w:eastAsia="Arial Unicode MS" w:hAnsi="Arial" w:cs="Arial"/>
          <w:color w:val="000000"/>
          <w:sz w:val="22"/>
          <w:szCs w:val="22"/>
        </w:rPr>
        <w:t>= 1.16</w:t>
      </w:r>
      <w:r w:rsidR="00B11315" w:rsidRPr="006F73D4">
        <w:rPr>
          <w:rFonts w:ascii="Arial" w:eastAsia="Arial" w:hAnsi="Arial" w:cs="Arial"/>
          <w:sz w:val="22"/>
          <w:szCs w:val="22"/>
        </w:rPr>
        <w:t>). Co</w:t>
      </w:r>
      <w:r w:rsidR="00B11315">
        <w:rPr>
          <w:rFonts w:ascii="Arial" w:eastAsia="Arial" w:hAnsi="Arial" w:cs="Arial"/>
          <w:sz w:val="22"/>
          <w:szCs w:val="22"/>
        </w:rPr>
        <w:t xml:space="preserve">mmunity-level mean infection loads also increased with more host species in communities (Fig. 3b), and there was no </w:t>
      </w:r>
      <w:r w:rsidR="00B11315">
        <w:rPr>
          <w:rFonts w:ascii="Arial" w:eastAsia="Arial" w:hAnsi="Arial" w:cs="Arial"/>
          <w:sz w:val="22"/>
          <w:szCs w:val="22"/>
        </w:rPr>
        <w:lastRenderedPageBreak/>
        <w:t xml:space="preserve">evidence that distinguishing auxiliary species from </w:t>
      </w:r>
      <w:r w:rsidR="00B11315" w:rsidRPr="00EF7B00">
        <w:rPr>
          <w:rFonts w:ascii="Arial" w:eastAsia="Arial" w:hAnsi="Arial" w:cs="Arial"/>
          <w:sz w:val="22"/>
          <w:szCs w:val="22"/>
        </w:rPr>
        <w:t>salamanders</w:t>
      </w:r>
      <w:r w:rsidR="00B11315">
        <w:rPr>
          <w:rFonts w:ascii="Arial" w:eastAsia="Arial" w:hAnsi="Arial" w:cs="Arial"/>
          <w:sz w:val="22"/>
          <w:szCs w:val="22"/>
        </w:rPr>
        <w:t xml:space="preserve"> predicted community-level mean infection loads at the end of the experiment better than host </w:t>
      </w:r>
      <w:r w:rsidR="00B11315" w:rsidRPr="003D79F5">
        <w:rPr>
          <w:rFonts w:ascii="Arial" w:eastAsia="Arial" w:hAnsi="Arial" w:cs="Arial"/>
          <w:sz w:val="22"/>
          <w:szCs w:val="22"/>
        </w:rPr>
        <w:t xml:space="preserve">species richness (Table </w:t>
      </w:r>
      <w:r w:rsidR="004F0948">
        <w:rPr>
          <w:rFonts w:ascii="Arial" w:eastAsia="Arial" w:hAnsi="Arial" w:cs="Arial"/>
          <w:sz w:val="22"/>
          <w:szCs w:val="22"/>
        </w:rPr>
        <w:t>2</w:t>
      </w:r>
      <w:r w:rsidR="00B11315" w:rsidRPr="003D79F5">
        <w:rPr>
          <w:rFonts w:ascii="Arial" w:eastAsia="Arial" w:hAnsi="Arial" w:cs="Arial"/>
          <w:sz w:val="22"/>
          <w:szCs w:val="22"/>
        </w:rPr>
        <w:t xml:space="preserve">; </w:t>
      </w:r>
      <w:r w:rsidR="00B11315" w:rsidRPr="00EF7B00">
        <w:rPr>
          <w:rFonts w:ascii="Arial" w:eastAsia="Arial Unicode MS" w:hAnsi="Arial" w:cs="Arial"/>
          <w:color w:val="000000"/>
          <w:sz w:val="22"/>
          <w:szCs w:val="22"/>
        </w:rPr>
        <w:t>∆</w:t>
      </w:r>
      <w:proofErr w:type="spellStart"/>
      <w:r w:rsidR="00B11315" w:rsidRPr="00EF7B00">
        <w:rPr>
          <w:rFonts w:ascii="Arial" w:eastAsia="Arial Unicode MS" w:hAnsi="Arial" w:cs="Arial"/>
          <w:color w:val="000000"/>
          <w:sz w:val="22"/>
          <w:szCs w:val="22"/>
        </w:rPr>
        <w:t>AICc</w:t>
      </w:r>
      <w:proofErr w:type="spellEnd"/>
      <w:r w:rsidR="00B11315" w:rsidRPr="00EF7B00">
        <w:rPr>
          <w:rFonts w:ascii="Arial" w:eastAsia="Arial Unicode MS" w:hAnsi="Arial" w:cs="Arial"/>
          <w:color w:val="000000"/>
          <w:sz w:val="22"/>
          <w:szCs w:val="22"/>
        </w:rPr>
        <w:t xml:space="preserve"> </w:t>
      </w:r>
      <w:r w:rsidR="00EF7B00">
        <w:rPr>
          <w:rFonts w:ascii="Arial" w:eastAsia="Arial Unicode MS" w:hAnsi="Arial" w:cs="Arial"/>
          <w:color w:val="000000"/>
          <w:sz w:val="22"/>
          <w:szCs w:val="22"/>
        </w:rPr>
        <w:t>s</w:t>
      </w:r>
      <w:r w:rsidR="003D79F5">
        <w:rPr>
          <w:rFonts w:ascii="Arial" w:eastAsia="Arial Unicode MS" w:hAnsi="Arial" w:cs="Arial"/>
          <w:color w:val="000000"/>
          <w:sz w:val="22"/>
          <w:szCs w:val="22"/>
        </w:rPr>
        <w:t xml:space="preserve">cenarios 3 v 2 </w:t>
      </w:r>
      <w:r w:rsidR="00B11315" w:rsidRPr="00EF7B00">
        <w:rPr>
          <w:rFonts w:ascii="Arial" w:eastAsia="Arial Unicode MS" w:hAnsi="Arial" w:cs="Arial"/>
          <w:color w:val="000000"/>
          <w:sz w:val="22"/>
          <w:szCs w:val="22"/>
        </w:rPr>
        <w:t>= 0.04</w:t>
      </w:r>
      <w:r w:rsidR="00B11315" w:rsidRPr="003D79F5">
        <w:rPr>
          <w:rFonts w:ascii="Arial" w:eastAsia="Arial" w:hAnsi="Arial" w:cs="Arial"/>
          <w:sz w:val="22"/>
          <w:szCs w:val="22"/>
        </w:rPr>
        <w:t xml:space="preserve">). </w:t>
      </w:r>
    </w:p>
    <w:p w14:paraId="4C76949B" w14:textId="77777777" w:rsidR="00BF3D8E" w:rsidRDefault="00BF3D8E">
      <w:pPr>
        <w:spacing w:line="480" w:lineRule="auto"/>
        <w:ind w:firstLine="720"/>
        <w:rPr>
          <w:rFonts w:ascii="Arial" w:eastAsia="Arial" w:hAnsi="Arial" w:cs="Arial"/>
          <w:sz w:val="22"/>
          <w:szCs w:val="22"/>
        </w:rPr>
      </w:pPr>
    </w:p>
    <w:p w14:paraId="166F1D63" w14:textId="77777777" w:rsidR="00147009" w:rsidRDefault="003410CF" w:rsidP="00147009">
      <w:pPr>
        <w:pStyle w:val="NormalWeb"/>
        <w:spacing w:before="0" w:beforeAutospacing="0" w:after="0" w:afterAutospacing="0" w:line="480" w:lineRule="auto"/>
        <w:jc w:val="center"/>
      </w:pPr>
      <w:r>
        <w:rPr>
          <w:rFonts w:ascii="Arial" w:hAnsi="Arial" w:cs="Arial"/>
          <w:i/>
          <w:iCs/>
          <w:color w:val="000000"/>
          <w:sz w:val="22"/>
          <w:szCs w:val="22"/>
        </w:rPr>
        <w:t>Species-specific contributions to transmission</w:t>
      </w:r>
    </w:p>
    <w:p w14:paraId="511A1B9A" w14:textId="77777777" w:rsidR="009667B6" w:rsidRDefault="00147009" w:rsidP="00627D73">
      <w:pPr>
        <w:spacing w:line="480" w:lineRule="auto"/>
        <w:rPr>
          <w:rFonts w:ascii="Arial" w:hAnsi="Arial" w:cs="Arial"/>
          <w:color w:val="000000"/>
          <w:sz w:val="22"/>
          <w:szCs w:val="22"/>
        </w:rPr>
      </w:pPr>
      <w:r>
        <w:rPr>
          <w:rFonts w:ascii="Arial" w:hAnsi="Arial" w:cs="Arial"/>
          <w:color w:val="000000"/>
          <w:sz w:val="22"/>
          <w:szCs w:val="22"/>
        </w:rPr>
        <w:t xml:space="preserve">The </w:t>
      </w:r>
      <w:r w:rsidR="003410CF">
        <w:rPr>
          <w:rFonts w:ascii="Arial" w:hAnsi="Arial" w:cs="Arial"/>
          <w:color w:val="000000"/>
          <w:sz w:val="22"/>
          <w:szCs w:val="22"/>
        </w:rPr>
        <w:t xml:space="preserve">epidemiological model provided a reasonable fit to the observed data from the 3-species tanks </w:t>
      </w:r>
      <w:bookmarkStart w:id="0" w:name="_Hlk86674064"/>
      <w:r w:rsidR="003410CF">
        <w:rPr>
          <w:rFonts w:ascii="Arial" w:hAnsi="Arial" w:cs="Arial"/>
          <w:color w:val="000000"/>
          <w:sz w:val="22"/>
          <w:szCs w:val="22"/>
        </w:rPr>
        <w:t xml:space="preserve">(correlation between observed and </w:t>
      </w:r>
      <w:r w:rsidR="00094996">
        <w:rPr>
          <w:rFonts w:ascii="Arial" w:hAnsi="Arial" w:cs="Arial"/>
          <w:color w:val="000000"/>
          <w:sz w:val="22"/>
          <w:szCs w:val="22"/>
        </w:rPr>
        <w:t xml:space="preserve">median </w:t>
      </w:r>
      <w:r w:rsidR="003410CF">
        <w:rPr>
          <w:rFonts w:ascii="Arial" w:hAnsi="Arial" w:cs="Arial"/>
          <w:color w:val="000000"/>
          <w:sz w:val="22"/>
          <w:szCs w:val="22"/>
        </w:rPr>
        <w:t>predicted numbers infected = 0.70; R</w:t>
      </w:r>
      <w:r w:rsidR="003410CF">
        <w:rPr>
          <w:rFonts w:ascii="Arial" w:hAnsi="Arial" w:cs="Arial"/>
          <w:color w:val="000000"/>
          <w:sz w:val="13"/>
          <w:szCs w:val="13"/>
          <w:vertAlign w:val="superscript"/>
        </w:rPr>
        <w:t>2</w:t>
      </w:r>
      <w:r w:rsidR="003410CF">
        <w:rPr>
          <w:rFonts w:ascii="Arial" w:hAnsi="Arial" w:cs="Arial"/>
          <w:color w:val="000000"/>
          <w:sz w:val="22"/>
          <w:szCs w:val="22"/>
        </w:rPr>
        <w:t xml:space="preserve"> = 0.50</w:t>
      </w:r>
      <w:bookmarkEnd w:id="0"/>
      <w:r w:rsidR="003410CF">
        <w:rPr>
          <w:rFonts w:ascii="Arial" w:hAnsi="Arial" w:cs="Arial"/>
          <w:color w:val="000000"/>
          <w:sz w:val="22"/>
          <w:szCs w:val="22"/>
        </w:rPr>
        <w:t>; Fig</w:t>
      </w:r>
      <w:r w:rsidR="00801555">
        <w:rPr>
          <w:rFonts w:ascii="Arial" w:hAnsi="Arial" w:cs="Arial"/>
          <w:color w:val="000000"/>
          <w:sz w:val="22"/>
          <w:szCs w:val="22"/>
        </w:rPr>
        <w:t>.</w:t>
      </w:r>
      <w:r w:rsidR="003410CF">
        <w:rPr>
          <w:rFonts w:ascii="Arial" w:hAnsi="Arial" w:cs="Arial"/>
          <w:color w:val="000000"/>
          <w:sz w:val="22"/>
          <w:szCs w:val="22"/>
        </w:rPr>
        <w:t xml:space="preserve"> S</w:t>
      </w:r>
      <w:r w:rsidR="00F56E6D">
        <w:rPr>
          <w:rFonts w:ascii="Arial" w:hAnsi="Arial" w:cs="Arial"/>
          <w:color w:val="000000"/>
          <w:sz w:val="22"/>
          <w:szCs w:val="22"/>
        </w:rPr>
        <w:t>7</w:t>
      </w:r>
      <w:r w:rsidR="003410CF">
        <w:rPr>
          <w:rFonts w:ascii="Arial" w:hAnsi="Arial" w:cs="Arial"/>
          <w:color w:val="000000"/>
          <w:sz w:val="22"/>
          <w:szCs w:val="22"/>
        </w:rPr>
        <w:t>). Examining the posterior parameter distributions for the fitted model suggested that median estimated transmission rates for salamanders were considerably lower (~80%) than those for frogs and toads (Fig</w:t>
      </w:r>
      <w:r w:rsidR="00801555">
        <w:rPr>
          <w:rFonts w:ascii="Arial" w:hAnsi="Arial" w:cs="Arial"/>
          <w:color w:val="000000"/>
          <w:sz w:val="22"/>
          <w:szCs w:val="22"/>
        </w:rPr>
        <w:t>.</w:t>
      </w:r>
      <w:r w:rsidR="003410CF">
        <w:rPr>
          <w:rFonts w:ascii="Arial" w:hAnsi="Arial" w:cs="Arial"/>
          <w:color w:val="000000"/>
          <w:sz w:val="22"/>
          <w:szCs w:val="22"/>
        </w:rPr>
        <w:t xml:space="preserve"> 4a). Median estimated shedding rates of frogs were ~4 times higher than salamanders, and recovery rates were roughly equal for all species. Together these effects translated into salamanders contributing much less to the </w:t>
      </w:r>
      <w:r w:rsidR="003410CF" w:rsidRPr="0046125B">
        <w:rPr>
          <w:rFonts w:ascii="Arial" w:hAnsi="Arial" w:cs="Arial"/>
          <w:color w:val="000000"/>
          <w:sz w:val="22"/>
          <w:szCs w:val="22"/>
        </w:rPr>
        <w:t>overall R</w:t>
      </w:r>
      <w:r w:rsidR="003410CF" w:rsidRPr="007B4DB1">
        <w:rPr>
          <w:rFonts w:ascii="Arial" w:hAnsi="Arial" w:cs="Arial"/>
          <w:color w:val="000000"/>
          <w:sz w:val="22"/>
          <w:szCs w:val="22"/>
          <w:vertAlign w:val="subscript"/>
        </w:rPr>
        <w:t>0</w:t>
      </w:r>
      <w:r w:rsidR="003410CF" w:rsidRPr="0046125B">
        <w:rPr>
          <w:rFonts w:ascii="Arial" w:hAnsi="Arial" w:cs="Arial"/>
          <w:color w:val="000000"/>
          <w:sz w:val="22"/>
          <w:szCs w:val="22"/>
        </w:rPr>
        <w:t xml:space="preserve"> of </w:t>
      </w:r>
      <w:r w:rsidR="003410CF" w:rsidRPr="0046125B">
        <w:rPr>
          <w:rFonts w:ascii="Arial" w:hAnsi="Arial" w:cs="Arial"/>
          <w:i/>
          <w:iCs/>
          <w:color w:val="000000"/>
          <w:sz w:val="22"/>
          <w:szCs w:val="22"/>
        </w:rPr>
        <w:t>Bd</w:t>
      </w:r>
      <w:r w:rsidR="003410CF">
        <w:rPr>
          <w:rFonts w:ascii="Arial" w:hAnsi="Arial" w:cs="Arial"/>
          <w:color w:val="000000"/>
          <w:sz w:val="22"/>
          <w:szCs w:val="22"/>
        </w:rPr>
        <w:t xml:space="preserve"> compared to the other two species (Fig</w:t>
      </w:r>
      <w:r w:rsidR="00801555">
        <w:rPr>
          <w:rFonts w:ascii="Arial" w:hAnsi="Arial" w:cs="Arial"/>
          <w:color w:val="000000"/>
          <w:sz w:val="22"/>
          <w:szCs w:val="22"/>
        </w:rPr>
        <w:t>.</w:t>
      </w:r>
      <w:r w:rsidR="003410CF">
        <w:rPr>
          <w:rFonts w:ascii="Arial" w:hAnsi="Arial" w:cs="Arial"/>
          <w:color w:val="000000"/>
          <w:sz w:val="22"/>
          <w:szCs w:val="22"/>
        </w:rPr>
        <w:t xml:space="preserve"> 4b). As such, there was a general negative relationship between the proportion of salamanders in each tank and the </w:t>
      </w:r>
      <w:r w:rsidR="003410CF" w:rsidRPr="0046125B">
        <w:rPr>
          <w:rFonts w:ascii="Arial" w:hAnsi="Arial" w:cs="Arial"/>
          <w:color w:val="000000"/>
          <w:sz w:val="22"/>
          <w:szCs w:val="22"/>
        </w:rPr>
        <w:t>overall R</w:t>
      </w:r>
      <w:proofErr w:type="gramStart"/>
      <w:r w:rsidR="003410CF" w:rsidRPr="007B4DB1">
        <w:rPr>
          <w:rFonts w:ascii="Arial" w:hAnsi="Arial" w:cs="Arial"/>
          <w:color w:val="000000"/>
          <w:sz w:val="22"/>
          <w:szCs w:val="22"/>
          <w:vertAlign w:val="subscript"/>
        </w:rPr>
        <w:t>0,TOT</w:t>
      </w:r>
      <w:proofErr w:type="gramEnd"/>
      <w:r w:rsidR="003410CF" w:rsidRPr="0046125B">
        <w:rPr>
          <w:rFonts w:ascii="Arial" w:hAnsi="Arial" w:cs="Arial"/>
          <w:color w:val="000000"/>
          <w:sz w:val="22"/>
          <w:szCs w:val="22"/>
        </w:rPr>
        <w:t xml:space="preserve"> value</w:t>
      </w:r>
      <w:r w:rsidR="003410CF">
        <w:rPr>
          <w:rFonts w:ascii="Arial" w:hAnsi="Arial" w:cs="Arial"/>
          <w:color w:val="000000"/>
          <w:sz w:val="22"/>
          <w:szCs w:val="22"/>
        </w:rPr>
        <w:t xml:space="preserve"> for that tank (Fig</w:t>
      </w:r>
      <w:r w:rsidR="00801555">
        <w:rPr>
          <w:rFonts w:ascii="Arial" w:hAnsi="Arial" w:cs="Arial"/>
          <w:color w:val="000000"/>
          <w:sz w:val="22"/>
          <w:szCs w:val="22"/>
        </w:rPr>
        <w:t>.</w:t>
      </w:r>
      <w:r w:rsidR="003410CF">
        <w:rPr>
          <w:rFonts w:ascii="Arial" w:hAnsi="Arial" w:cs="Arial"/>
          <w:color w:val="000000"/>
          <w:sz w:val="22"/>
          <w:szCs w:val="22"/>
        </w:rPr>
        <w:t xml:space="preserve"> 4c). However, although frogs had highest shedding rates overall, varying the </w:t>
      </w:r>
      <w:r w:rsidR="0046125B">
        <w:rPr>
          <w:rFonts w:ascii="Arial" w:hAnsi="Arial" w:cs="Arial"/>
          <w:color w:val="000000"/>
          <w:sz w:val="22"/>
          <w:szCs w:val="22"/>
        </w:rPr>
        <w:t xml:space="preserve">initial </w:t>
      </w:r>
      <w:r w:rsidR="003410CF">
        <w:rPr>
          <w:rFonts w:ascii="Arial" w:hAnsi="Arial" w:cs="Arial"/>
          <w:color w:val="000000"/>
          <w:sz w:val="22"/>
          <w:szCs w:val="22"/>
        </w:rPr>
        <w:t>ratio of frog and toad</w:t>
      </w:r>
      <w:r w:rsidR="0046125B">
        <w:rPr>
          <w:rFonts w:ascii="Arial" w:hAnsi="Arial" w:cs="Arial"/>
          <w:color w:val="000000"/>
          <w:sz w:val="22"/>
          <w:szCs w:val="22"/>
        </w:rPr>
        <w:t xml:space="preserve"> abundance</w:t>
      </w:r>
      <w:r w:rsidR="003410CF">
        <w:rPr>
          <w:rFonts w:ascii="Arial" w:hAnsi="Arial" w:cs="Arial"/>
          <w:color w:val="000000"/>
          <w:sz w:val="22"/>
          <w:szCs w:val="22"/>
        </w:rPr>
        <w:t xml:space="preserve">s had little consequence for the </w:t>
      </w:r>
      <w:r w:rsidR="003410CF" w:rsidRPr="0046125B">
        <w:rPr>
          <w:rFonts w:ascii="Arial" w:hAnsi="Arial" w:cs="Arial"/>
          <w:color w:val="000000"/>
          <w:sz w:val="22"/>
          <w:szCs w:val="22"/>
        </w:rPr>
        <w:t>overall R</w:t>
      </w:r>
      <w:proofErr w:type="gramStart"/>
      <w:r w:rsidR="003410CF" w:rsidRPr="007B4DB1">
        <w:rPr>
          <w:rFonts w:ascii="Arial" w:hAnsi="Arial" w:cs="Arial"/>
          <w:color w:val="000000"/>
          <w:sz w:val="22"/>
          <w:szCs w:val="22"/>
          <w:vertAlign w:val="subscript"/>
        </w:rPr>
        <w:t>0,TOT</w:t>
      </w:r>
      <w:proofErr w:type="gramEnd"/>
      <w:r w:rsidR="003410CF" w:rsidRPr="0046125B">
        <w:rPr>
          <w:rFonts w:ascii="Arial" w:hAnsi="Arial" w:cs="Arial"/>
          <w:color w:val="000000"/>
          <w:sz w:val="22"/>
          <w:szCs w:val="22"/>
        </w:rPr>
        <w:t xml:space="preserve"> values</w:t>
      </w:r>
      <w:r w:rsidR="003410CF">
        <w:rPr>
          <w:rFonts w:ascii="Arial" w:hAnsi="Arial" w:cs="Arial"/>
          <w:color w:val="000000"/>
          <w:sz w:val="22"/>
          <w:szCs w:val="22"/>
        </w:rPr>
        <w:t xml:space="preserve"> across the different 3-species tanks (Fig</w:t>
      </w:r>
      <w:r w:rsidR="00801555">
        <w:rPr>
          <w:rFonts w:ascii="Arial" w:hAnsi="Arial" w:cs="Arial"/>
          <w:color w:val="000000"/>
          <w:sz w:val="22"/>
          <w:szCs w:val="22"/>
        </w:rPr>
        <w:t>.</w:t>
      </w:r>
      <w:r w:rsidR="003410CF">
        <w:rPr>
          <w:rFonts w:ascii="Arial" w:hAnsi="Arial" w:cs="Arial"/>
          <w:color w:val="000000"/>
          <w:sz w:val="22"/>
          <w:szCs w:val="22"/>
        </w:rPr>
        <w:t xml:space="preserve"> 4d), suggesting that frogs and toads were largely interchangeable and non-differentiable in their contributions to overall transmission.</w:t>
      </w:r>
      <w:r w:rsidR="00D52517">
        <w:rPr>
          <w:rFonts w:ascii="Arial" w:hAnsi="Arial" w:cs="Arial"/>
          <w:color w:val="000000"/>
          <w:sz w:val="22"/>
          <w:szCs w:val="22"/>
        </w:rPr>
        <w:t xml:space="preserve"> </w:t>
      </w:r>
    </w:p>
    <w:p w14:paraId="31B55968" w14:textId="77777777" w:rsidR="00BF3D8E" w:rsidRDefault="00BF3D8E">
      <w:pPr>
        <w:spacing w:line="480" w:lineRule="auto"/>
        <w:rPr>
          <w:rFonts w:ascii="Arial" w:eastAsia="Arial" w:hAnsi="Arial" w:cs="Arial"/>
          <w:sz w:val="22"/>
          <w:szCs w:val="22"/>
        </w:rPr>
      </w:pPr>
    </w:p>
    <w:p w14:paraId="1533C719" w14:textId="77777777" w:rsidR="00BF3D8E" w:rsidRDefault="00B11315" w:rsidP="00147009">
      <w:pPr>
        <w:spacing w:line="480" w:lineRule="auto"/>
        <w:jc w:val="center"/>
        <w:rPr>
          <w:rFonts w:ascii="Arial" w:eastAsia="Arial" w:hAnsi="Arial" w:cs="Arial"/>
          <w:b/>
          <w:sz w:val="22"/>
          <w:szCs w:val="22"/>
        </w:rPr>
      </w:pPr>
      <w:r>
        <w:rPr>
          <w:rFonts w:ascii="Arial" w:eastAsia="Arial" w:hAnsi="Arial" w:cs="Arial"/>
          <w:b/>
          <w:sz w:val="22"/>
          <w:szCs w:val="22"/>
        </w:rPr>
        <w:t>Discussion</w:t>
      </w:r>
    </w:p>
    <w:p w14:paraId="03C8E76F" w14:textId="422DC143" w:rsidR="00BB1FD0" w:rsidRDefault="00B11315" w:rsidP="001E0379">
      <w:pPr>
        <w:spacing w:line="480" w:lineRule="auto"/>
        <w:ind w:firstLine="567"/>
        <w:rPr>
          <w:rFonts w:ascii="Arial" w:eastAsia="Arial" w:hAnsi="Arial" w:cs="Arial"/>
          <w:strike/>
          <w:sz w:val="22"/>
          <w:szCs w:val="22"/>
        </w:rPr>
      </w:pPr>
      <w:r>
        <w:rPr>
          <w:rFonts w:ascii="Arial" w:eastAsia="Arial" w:hAnsi="Arial" w:cs="Arial"/>
          <w:sz w:val="22"/>
          <w:szCs w:val="22"/>
        </w:rPr>
        <w:t>Our mesocosm experiment</w:t>
      </w:r>
      <w:r w:rsidR="003A445D">
        <w:rPr>
          <w:rFonts w:ascii="Arial" w:eastAsia="Arial" w:hAnsi="Arial" w:cs="Arial"/>
          <w:sz w:val="22"/>
          <w:szCs w:val="22"/>
        </w:rPr>
        <w:t xml:space="preserve"> uncovered evidence that host species </w:t>
      </w:r>
      <w:r w:rsidR="008B3B30">
        <w:rPr>
          <w:rFonts w:ascii="Arial" w:eastAsia="Arial" w:hAnsi="Arial" w:cs="Arial"/>
          <w:sz w:val="22"/>
          <w:szCs w:val="22"/>
        </w:rPr>
        <w:t xml:space="preserve">exhibiting different </w:t>
      </w:r>
      <w:r w:rsidR="003A445D">
        <w:rPr>
          <w:rFonts w:ascii="Arial" w:eastAsia="Arial" w:hAnsi="Arial" w:cs="Arial"/>
          <w:sz w:val="22"/>
          <w:szCs w:val="22"/>
        </w:rPr>
        <w:t xml:space="preserve">epidemiologically functional traits - transmission, shedding and recovery - may play similar epidemiological roles in community-level </w:t>
      </w:r>
      <w:r w:rsidR="003A445D" w:rsidRPr="00BC1760">
        <w:rPr>
          <w:rFonts w:ascii="Arial" w:eastAsia="Arial" w:hAnsi="Arial" w:cs="Arial"/>
          <w:i/>
          <w:iCs/>
          <w:sz w:val="22"/>
          <w:szCs w:val="22"/>
        </w:rPr>
        <w:t>Bd</w:t>
      </w:r>
      <w:r w:rsidR="003A445D">
        <w:rPr>
          <w:rFonts w:ascii="Arial" w:eastAsia="Arial" w:hAnsi="Arial" w:cs="Arial"/>
          <w:i/>
          <w:iCs/>
          <w:sz w:val="22"/>
          <w:szCs w:val="22"/>
        </w:rPr>
        <w:t xml:space="preserve"> </w:t>
      </w:r>
      <w:r w:rsidR="003A445D">
        <w:rPr>
          <w:rFonts w:ascii="Arial" w:eastAsia="Arial" w:hAnsi="Arial" w:cs="Arial"/>
          <w:sz w:val="22"/>
          <w:szCs w:val="22"/>
        </w:rPr>
        <w:t>dynamics.</w:t>
      </w:r>
      <w:r w:rsidR="00BB1FD0">
        <w:rPr>
          <w:rFonts w:ascii="Arial" w:eastAsia="Arial" w:hAnsi="Arial" w:cs="Arial"/>
          <w:sz w:val="22"/>
          <w:szCs w:val="22"/>
        </w:rPr>
        <w:t xml:space="preserve"> Interspecific </w:t>
      </w:r>
      <w:r w:rsidR="008B3B30">
        <w:rPr>
          <w:rFonts w:ascii="Arial" w:eastAsia="Arial" w:hAnsi="Arial" w:cs="Arial"/>
          <w:sz w:val="22"/>
          <w:szCs w:val="22"/>
        </w:rPr>
        <w:t xml:space="preserve"> </w:t>
      </w:r>
      <w:r w:rsidR="00BB1FD0">
        <w:rPr>
          <w:rFonts w:ascii="Arial" w:eastAsia="Arial" w:hAnsi="Arial" w:cs="Arial"/>
          <w:sz w:val="22"/>
          <w:szCs w:val="22"/>
        </w:rPr>
        <w:t>differences in epidemiologically functional traits are well documented in other amphibian-</w:t>
      </w:r>
      <w:r w:rsidR="00BB1FD0" w:rsidRPr="0094385E">
        <w:rPr>
          <w:rFonts w:ascii="Arial" w:eastAsia="Arial" w:hAnsi="Arial" w:cs="Arial"/>
          <w:i/>
          <w:iCs/>
          <w:sz w:val="22"/>
          <w:szCs w:val="22"/>
        </w:rPr>
        <w:t>Bd</w:t>
      </w:r>
      <w:r w:rsidR="00BB1FD0">
        <w:rPr>
          <w:rFonts w:ascii="Arial" w:eastAsia="Arial" w:hAnsi="Arial" w:cs="Arial"/>
          <w:sz w:val="22"/>
          <w:szCs w:val="22"/>
        </w:rPr>
        <w:t xml:space="preserve"> systems </w:t>
      </w:r>
      <w:r w:rsidR="00BB1FD0">
        <w:rPr>
          <w:rFonts w:ascii="Arial" w:eastAsia="Arial" w:hAnsi="Arial" w:cs="Arial"/>
          <w:sz w:val="22"/>
          <w:szCs w:val="22"/>
        </w:rPr>
        <w:fldChar w:fldCharType="begin"/>
      </w:r>
      <w:r w:rsidR="00BB1FD0">
        <w:rPr>
          <w:rFonts w:ascii="Arial" w:eastAsia="Arial" w:hAnsi="Arial" w:cs="Arial"/>
          <w:sz w:val="22"/>
          <w:szCs w:val="22"/>
        </w:rPr>
        <w:instrText xml:space="preserve"> ADDIN ZOTERO_ITEM CSL_CITATION {"citationID":"WNO7UWYg","properties":{"formattedCitation":"(Reeder et al. 2012; Gervasi et al. 2013; Venesky et al. 2014; Han et al. 2015; Fern\\uc0\\u225{}ndez-Beaskoetxea et al. 2016)","plainCitation":"(Reeder et al. 2012; Gervasi et al. 2013; Venesky et al. 2014; Han et al. 2015; Fernández-Beaskoetxea et al. 2016)","noteIndex":0},"citationItems":[{"id":8386,"uris":["http://zotero.org/users/865335/items/CG4TW74N"],"uri":["http://zotero.org/users/865335/items/CG4TW74N"],"itemData":{"id":8386,"type":"article-journal","abstract":"Chytridiomycosis, a disease caused by the fungal pathogen Batrachochytrium dendrobatidis (Bd), is driving amphibian declines and extinctions in protected areas globally. The introduction of invasive reservoir species has been implicated in the spread of Bd but does not explain the appearance of the pathogen in remote protected areas. In the high elevation (.1500 m) Sierra Nevada of California, the native Pacific chorus frog, Pseudacris regilla, appears unaffected by chytridiomycosis while sympatric species experience catastrophic declines. We investigated whether P. regilla is a reservoir of Bd by comparing habitat occupancy before and after a major Bd outbreak and measuring infection in P. regilla in the field, monitoring susceptibility of P. regilla to Bd in the laboratory, examining tissues with histology to determine patterns of infection, and using an innovative soak technique to determine individual output of Bd zoospores in water. Pseudacris regilla persists at 100% of sites where a sympatric species has been extirpated from 72% in synchrony with a wave of Bd. In the laboratory, P. regilla carried loads of Bd as much as an order of magnitude higher than loads found lethal to sympatric species. Histology shows heavy Bd infection in patchy areas next to normal skin, a possible mechanism for tolerance. The soak technique was 77.8% effective at detecting Bd in water and showed an average output of 68 zoospores per minute per individual. The results of this study suggest P. regilla should act as a Bd reservoir and provide evidence of a tolerance mechanism in a reservoir species.","container-title":"PLoS ONE","DOI":"10.1371/journal.pone.0033567","ISSN":"1932-6203","issue":"3","journalAbbreviation":"PLoS ONE","language":"en","page":"e33567","source":"DOI.org (Crossref)","title":"A Reservoir species for the emerging amphibian pathogen &lt;i&gt;Batrachochytrium dendrobatidis&lt;/i&gt; thrives in a landscape decimated by disease","volume":"7","author":[{"family":"Reeder","given":"Natalie M. M."},{"family":"Pessier","given":"Allan P."},{"family":"Vredenburg","given":"Vance T."}],"editor":[{"family":"Litvintseva","given":"Anastasia P."}],"issued":{"date-parts":[["2012",3,12]]}}},{"id":4365,"uris":["http://zotero.org/users/865335/items/JZ224W3M"],"uri":["http://zotero.org/users/865335/items/JZ224W3M"],"itemData":{"id":4365,"type":"article-journal","container-title":"PLoS ONE","DOI":"10.1371/journal.pone.0054490","ISSN":"1932-6203","issue":"1","language":"en","page":"e54490","source":"CrossRef","title":"Host identity matters in the amphibian-&lt;i&gt;Batrachochytrium dendrobatidis&lt;/i&gt; system: Fine-scale patterns of variation in responses to a multi-host pathogen","title-short":"Host Identity Matters in the Amphibian-Batrachochytrium dendrobatidis System","volume":"8","author":[{"family":"Gervasi","given":"Stephanie"},{"family":"Gondhalekar","given":"Carmen"},{"family":"Olson","given":"Deanna H."},{"family":"Blaustein","given":"Andrew R."}],"editor":[{"family":"Gratwicke","given":"Brian"}],"issued":{"date-parts":[["2013",1,24]]}}},{"id":3104,"uris":["http://zotero.org/users/865335/items/XZ92VR6J"],"uri":["http://zotero.org/users/865335/items/XZ92VR6J"],"itemData":{"id":3104,"type":"article-journal","container-title":"Journal of Animal Ecology","DOI":"10.1111/1365-2656.12159","ISSN":"00218790","issue":"3","language":"en","page":"557-565","source":"CrossRef","title":"Linking manipulative experiments to field data to test the dilution effect","volume":"83","author":[{"family":"Venesky","given":"Matthew D."},{"family":"Liu","given":"Xuan"},{"family":"Sauer","given":"Erin L."},{"family":"Rohr","given":"Jason R."}],"editor":[{"family":"Boots","given":"Mike"}],"issued":{"date-parts":[["2014",5]]}}},{"id":2948,"uris":["http://zotero.org/users/865335/items/MPW4GF6I"],"uri":["http://zotero.org/users/865335/items/MPW4GF6I"],"itemData":{"id":2948,"type":"article-journal","container-title":"Ecology and Evolution","DOI":"10.1002/ece3.1385","ISSN":"20457758","issue":"7","language":"en","page":"1432-1439","source":"CrossRef","title":"Host species composition influences infection severity among amphibians in the absence of spillover transmission","volume":"5","author":[{"family":"Han","given":"Barbara A."},{"family":"Kerby","given":"Jacob L."},{"family":"Searle","given":"Catherine L."},{"family":"Storfer","given":"Andrew"},{"family":"Blaustein","given":"Andrew R."}],"issued":{"date-parts":[["2015",4]]}}},{"id":5224,"uris":["http://zotero.org/users/865335/items/5D2FDVVF"],"uri":["http://zotero.org/users/865335/items/5D2FDVVF"],"itemData":{"id":5224,"type":"article-journal","source":"Google Scholar","title":"Infection and transmission heterogeneity of a multi-host pathogen (Batrachochytrium dendrobatidis) within an amphibian community","URL":"http://digital.csic.es/handle/10261/129698","author":[{"family":"Fernández-Beaskoetxea","given":"Saioa"},{"family":"Bosch","given":"Jaime"},{"family":"Bielby","given":"J."}],"accessed":{"date-parts":[["2016",12,17]]},"issued":{"date-parts":[["2016"]]}}}],"schema":"https://github.com/citation-style-language/schema/raw/master/csl-citation.json"} </w:instrText>
      </w:r>
      <w:r w:rsidR="00BB1FD0">
        <w:rPr>
          <w:rFonts w:ascii="Arial" w:eastAsia="Arial" w:hAnsi="Arial" w:cs="Arial"/>
          <w:sz w:val="22"/>
          <w:szCs w:val="22"/>
        </w:rPr>
        <w:fldChar w:fldCharType="separate"/>
      </w:r>
      <w:r w:rsidR="00BB1FD0" w:rsidRPr="00CE3F95">
        <w:rPr>
          <w:rFonts w:ascii="Arial" w:hAnsi="Arial" w:cs="Arial"/>
          <w:sz w:val="22"/>
        </w:rPr>
        <w:t>(Reeder et al. 2012; Gervasi et al. 2013; Venesky et al. 2014; Han et al. 2015; Fernández-Beaskoetxea et al. 2016)</w:t>
      </w:r>
      <w:r w:rsidR="00BB1FD0">
        <w:rPr>
          <w:rFonts w:ascii="Arial" w:eastAsia="Arial" w:hAnsi="Arial" w:cs="Arial"/>
          <w:sz w:val="22"/>
          <w:szCs w:val="22"/>
        </w:rPr>
        <w:fldChar w:fldCharType="end"/>
      </w:r>
      <w:r w:rsidR="00BB1FD0" w:rsidRPr="00CE3F95">
        <w:rPr>
          <w:rFonts w:ascii="Arial" w:eastAsia="Arial" w:hAnsi="Arial" w:cs="Arial"/>
          <w:sz w:val="22"/>
          <w:szCs w:val="22"/>
        </w:rPr>
        <w:t xml:space="preserve">, leading some to posit that host species identity is critical for understanding multi-host </w:t>
      </w:r>
      <w:r w:rsidR="00BB1FD0" w:rsidRPr="00CE3F95">
        <w:rPr>
          <w:rFonts w:ascii="Arial" w:eastAsia="Arial" w:hAnsi="Arial" w:cs="Arial"/>
          <w:i/>
          <w:iCs/>
          <w:sz w:val="22"/>
          <w:szCs w:val="22"/>
        </w:rPr>
        <w:t>Bd</w:t>
      </w:r>
      <w:r w:rsidR="00BB1FD0" w:rsidRPr="00CE3F95">
        <w:rPr>
          <w:rFonts w:ascii="Arial" w:eastAsia="Arial" w:hAnsi="Arial" w:cs="Arial"/>
          <w:sz w:val="22"/>
          <w:szCs w:val="22"/>
        </w:rPr>
        <w:t xml:space="preserve"> dynamics </w:t>
      </w:r>
      <w:r w:rsidR="00BB1FD0">
        <w:rPr>
          <w:rFonts w:ascii="Arial" w:eastAsia="Arial" w:hAnsi="Arial" w:cs="Arial"/>
          <w:sz w:val="22"/>
          <w:szCs w:val="22"/>
        </w:rPr>
        <w:fldChar w:fldCharType="begin"/>
      </w:r>
      <w:r w:rsidR="00BB1FD0" w:rsidRPr="00CE3F95">
        <w:rPr>
          <w:rFonts w:ascii="Arial" w:eastAsia="Arial" w:hAnsi="Arial" w:cs="Arial"/>
          <w:sz w:val="22"/>
          <w:szCs w:val="22"/>
        </w:rPr>
        <w:instrText xml:space="preserve"> ADDIN ZOTERO_ITEM CSL_CITATION {"citationID":"bWm3FLXE","properties":{"formattedCitation":"(Gervasi et al. 2013)","plainCitation":"(Gervasi et al. 2013)","noteIndex":0},"citationItems":[{"id":4365,"uris":["http://zotero.org/users/865335/items/JZ224W3M"],"uri":["http://zotero.org/users/865335/items/JZ224W3M"],"itemData":{"id":4365,"type":"article-journal","container-title":"PLoS ONE","DOI":"10.1371/journal.pone.0054490","ISSN":"1932-6203","issue":"1","language":"en","page":"e54490","source":"CrossRef","title":"Host identity matters in the amphibian-&lt;i&gt;Batrachochytrium dendrobatidis&lt;/i&gt; system: Fine-scale patterns of variation in responses to a multi-host pathogen","title-short":"Host Identity Matters in the Amphibian-Batrachochytrium dendrobatidis System","volume":"8","author":[{"family":"Gervasi","given":"Stephanie"},{"family":"Gondhalekar","given":"Carmen"},{"family":"Olson","given":"Deanna H."},{"family":"Blaustein","given":"Andrew R."}],"editor":[{"family":"Gratwicke","given":"Brian"}],"issued":{"date-parts":[["2013",1,24]]}}}],"schema":"https://github.com/citation-style-language/schema/raw/master/csl-citation.json"} </w:instrText>
      </w:r>
      <w:r w:rsidR="00BB1FD0">
        <w:rPr>
          <w:rFonts w:ascii="Arial" w:eastAsia="Arial" w:hAnsi="Arial" w:cs="Arial"/>
          <w:sz w:val="22"/>
          <w:szCs w:val="22"/>
        </w:rPr>
        <w:fldChar w:fldCharType="separate"/>
      </w:r>
      <w:r w:rsidR="00BB1FD0">
        <w:rPr>
          <w:rFonts w:ascii="Arial" w:eastAsia="Arial" w:hAnsi="Arial" w:cs="Arial"/>
          <w:noProof/>
          <w:sz w:val="22"/>
          <w:szCs w:val="22"/>
        </w:rPr>
        <w:t>(Gervasi et al. 2013)</w:t>
      </w:r>
      <w:r w:rsidR="00BB1FD0">
        <w:rPr>
          <w:rFonts w:ascii="Arial" w:eastAsia="Arial" w:hAnsi="Arial" w:cs="Arial"/>
          <w:sz w:val="22"/>
          <w:szCs w:val="22"/>
        </w:rPr>
        <w:fldChar w:fldCharType="end"/>
      </w:r>
      <w:r w:rsidR="00BB1FD0" w:rsidRPr="00CE3F95">
        <w:rPr>
          <w:rFonts w:ascii="Arial" w:eastAsia="Arial" w:hAnsi="Arial" w:cs="Arial"/>
          <w:sz w:val="22"/>
          <w:szCs w:val="22"/>
        </w:rPr>
        <w:t xml:space="preserve">. </w:t>
      </w:r>
      <w:r w:rsidR="00F12A6A">
        <w:rPr>
          <w:rFonts w:ascii="Arial" w:eastAsia="Arial" w:hAnsi="Arial" w:cs="Arial"/>
          <w:sz w:val="22"/>
          <w:szCs w:val="22"/>
        </w:rPr>
        <w:t>O</w:t>
      </w:r>
      <w:r w:rsidR="00BB1FD0">
        <w:rPr>
          <w:rFonts w:ascii="Arial" w:eastAsia="Arial" w:hAnsi="Arial" w:cs="Arial"/>
          <w:sz w:val="22"/>
          <w:szCs w:val="22"/>
        </w:rPr>
        <w:t xml:space="preserve">ur findings challenge this argument </w:t>
      </w:r>
      <w:r w:rsidR="008B3B30">
        <w:rPr>
          <w:rFonts w:ascii="Arial" w:eastAsia="Arial" w:hAnsi="Arial" w:cs="Arial"/>
          <w:sz w:val="22"/>
          <w:szCs w:val="22"/>
        </w:rPr>
        <w:t>by showing that</w:t>
      </w:r>
      <w:r w:rsidR="00BB1FD0">
        <w:rPr>
          <w:rFonts w:ascii="Arial" w:eastAsia="Arial" w:hAnsi="Arial" w:cs="Arial"/>
          <w:sz w:val="22"/>
          <w:szCs w:val="22"/>
        </w:rPr>
        <w:t xml:space="preserve"> sometimes interspecific differences in </w:t>
      </w:r>
      <w:r w:rsidR="00BB1FD0">
        <w:rPr>
          <w:rFonts w:ascii="Arial" w:eastAsia="Arial" w:hAnsi="Arial" w:cs="Arial"/>
          <w:sz w:val="22"/>
          <w:szCs w:val="22"/>
        </w:rPr>
        <w:lastRenderedPageBreak/>
        <w:t>host functional traits scale up to influence community-level infection dynamics (exemplified here by the differences between salamanders and the other species), but sometimes they do not (exemplified here by frogs and toads).</w:t>
      </w:r>
      <w:r w:rsidR="00BB1FD0">
        <w:rPr>
          <w:rFonts w:ascii="Arial" w:eastAsia="Arial" w:hAnsi="Arial" w:cs="Arial"/>
          <w:strike/>
          <w:sz w:val="22"/>
          <w:szCs w:val="22"/>
        </w:rPr>
        <w:t xml:space="preserve"> </w:t>
      </w:r>
    </w:p>
    <w:p w14:paraId="3857F71B" w14:textId="1FB29BD5" w:rsidR="00BF3D8E" w:rsidRPr="0086605E" w:rsidRDefault="00BB1FD0" w:rsidP="001E0379">
      <w:pPr>
        <w:spacing w:line="480" w:lineRule="auto"/>
        <w:ind w:firstLine="567"/>
        <w:rPr>
          <w:rFonts w:ascii="Arial" w:eastAsia="Arial" w:hAnsi="Arial" w:cs="Arial"/>
          <w:strike/>
          <w:sz w:val="22"/>
          <w:szCs w:val="22"/>
        </w:rPr>
      </w:pPr>
      <w:r>
        <w:rPr>
          <w:rFonts w:ascii="Arial" w:eastAsia="Arial" w:hAnsi="Arial" w:cs="Arial"/>
          <w:sz w:val="22"/>
          <w:szCs w:val="22"/>
        </w:rPr>
        <w:t xml:space="preserve">Similar epidemiological roles exhibited by frogs and toads resulted in </w:t>
      </w:r>
      <w:r w:rsidR="00B11315">
        <w:rPr>
          <w:rFonts w:ascii="Arial" w:eastAsia="Arial" w:hAnsi="Arial" w:cs="Arial"/>
          <w:sz w:val="22"/>
          <w:szCs w:val="22"/>
        </w:rPr>
        <w:t xml:space="preserve">an intermediate level of detail on host communities </w:t>
      </w:r>
      <w:r>
        <w:rPr>
          <w:rFonts w:ascii="Arial" w:eastAsia="Arial" w:hAnsi="Arial" w:cs="Arial"/>
          <w:sz w:val="22"/>
          <w:szCs w:val="22"/>
        </w:rPr>
        <w:t>being optimal</w:t>
      </w:r>
      <w:r w:rsidR="00F40174">
        <w:rPr>
          <w:rFonts w:ascii="Arial" w:eastAsia="Arial" w:hAnsi="Arial" w:cs="Arial"/>
          <w:sz w:val="22"/>
          <w:szCs w:val="22"/>
        </w:rPr>
        <w:t xml:space="preserve"> for </w:t>
      </w:r>
      <w:r w:rsidR="00BD6E64">
        <w:rPr>
          <w:rFonts w:ascii="Arial" w:eastAsia="Arial" w:hAnsi="Arial" w:cs="Arial"/>
          <w:sz w:val="22"/>
          <w:szCs w:val="22"/>
        </w:rPr>
        <w:t>predicting</w:t>
      </w:r>
      <w:r w:rsidR="00B11315">
        <w:rPr>
          <w:rFonts w:ascii="Arial" w:eastAsia="Arial" w:hAnsi="Arial" w:cs="Arial"/>
          <w:sz w:val="22"/>
          <w:szCs w:val="22"/>
        </w:rPr>
        <w:t xml:space="preserve"> the outcomes of </w:t>
      </w:r>
      <w:r w:rsidR="00B11315" w:rsidRPr="007B4DB1">
        <w:rPr>
          <w:rFonts w:ascii="Arial" w:eastAsia="Arial" w:hAnsi="Arial" w:cs="Arial"/>
          <w:i/>
          <w:iCs/>
          <w:sz w:val="22"/>
          <w:szCs w:val="22"/>
        </w:rPr>
        <w:t>Bd</w:t>
      </w:r>
      <w:r w:rsidR="00B11315">
        <w:rPr>
          <w:rFonts w:ascii="Arial" w:eastAsia="Arial" w:hAnsi="Arial" w:cs="Arial"/>
          <w:sz w:val="22"/>
          <w:szCs w:val="22"/>
        </w:rPr>
        <w:t xml:space="preserve"> invasions.</w:t>
      </w:r>
      <w:r w:rsidR="002854F1">
        <w:rPr>
          <w:rFonts w:ascii="Arial" w:eastAsia="Arial" w:hAnsi="Arial" w:cs="Arial"/>
          <w:sz w:val="22"/>
          <w:szCs w:val="22"/>
        </w:rPr>
        <w:t xml:space="preserve"> </w:t>
      </w:r>
      <w:r w:rsidR="002F6324">
        <w:rPr>
          <w:rFonts w:ascii="Arial" w:eastAsia="Arial" w:hAnsi="Arial" w:cs="Arial"/>
          <w:sz w:val="22"/>
          <w:szCs w:val="22"/>
        </w:rPr>
        <w:t xml:space="preserve">Distinguishing between </w:t>
      </w:r>
      <w:r w:rsidR="002854F1">
        <w:rPr>
          <w:rFonts w:ascii="Arial" w:eastAsia="Arial" w:hAnsi="Arial" w:cs="Arial"/>
          <w:sz w:val="22"/>
          <w:szCs w:val="22"/>
        </w:rPr>
        <w:t>salamanders</w:t>
      </w:r>
      <w:r w:rsidR="00CA175C">
        <w:rPr>
          <w:rFonts w:ascii="Arial" w:eastAsia="Arial" w:hAnsi="Arial" w:cs="Arial"/>
          <w:sz w:val="22"/>
          <w:szCs w:val="22"/>
        </w:rPr>
        <w:t xml:space="preserve"> </w:t>
      </w:r>
      <w:r w:rsidR="002F6324">
        <w:rPr>
          <w:rFonts w:ascii="Arial" w:eastAsia="Arial" w:hAnsi="Arial" w:cs="Arial"/>
          <w:sz w:val="22"/>
          <w:szCs w:val="22"/>
        </w:rPr>
        <w:t xml:space="preserve">and the other host species (frogs and toads) </w:t>
      </w:r>
      <w:r w:rsidR="00CA175C">
        <w:rPr>
          <w:rFonts w:ascii="Arial" w:eastAsia="Arial" w:hAnsi="Arial" w:cs="Arial"/>
          <w:sz w:val="22"/>
          <w:szCs w:val="22"/>
        </w:rPr>
        <w:t>was important for explaining variation in infection prevalence and R</w:t>
      </w:r>
      <w:r w:rsidR="00CA175C" w:rsidRPr="0094385E">
        <w:rPr>
          <w:rFonts w:ascii="Arial" w:eastAsia="Arial" w:hAnsi="Arial" w:cs="Arial"/>
          <w:sz w:val="22"/>
          <w:szCs w:val="22"/>
          <w:vertAlign w:val="subscript"/>
        </w:rPr>
        <w:t>0</w:t>
      </w:r>
      <w:r w:rsidR="00CA175C">
        <w:rPr>
          <w:rFonts w:ascii="Arial" w:eastAsia="Arial" w:hAnsi="Arial" w:cs="Arial"/>
          <w:sz w:val="22"/>
          <w:szCs w:val="22"/>
        </w:rPr>
        <w:t xml:space="preserve"> of </w:t>
      </w:r>
      <w:r w:rsidR="006C1E86">
        <w:rPr>
          <w:rFonts w:ascii="Arial" w:eastAsia="Arial" w:hAnsi="Arial" w:cs="Arial"/>
          <w:sz w:val="22"/>
          <w:szCs w:val="22"/>
        </w:rPr>
        <w:t xml:space="preserve">invaded </w:t>
      </w:r>
      <w:r w:rsidR="00CA175C">
        <w:rPr>
          <w:rFonts w:ascii="Arial" w:eastAsia="Arial" w:hAnsi="Arial" w:cs="Arial"/>
          <w:sz w:val="22"/>
          <w:szCs w:val="22"/>
        </w:rPr>
        <w:t>host communities</w:t>
      </w:r>
      <w:r w:rsidR="002F6324">
        <w:rPr>
          <w:rFonts w:ascii="Arial" w:eastAsia="Arial" w:hAnsi="Arial" w:cs="Arial"/>
          <w:sz w:val="22"/>
          <w:szCs w:val="22"/>
        </w:rPr>
        <w:t xml:space="preserve">. </w:t>
      </w:r>
      <w:r w:rsidR="00F12A6A">
        <w:rPr>
          <w:rFonts w:ascii="Arial" w:eastAsia="Arial" w:hAnsi="Arial" w:cs="Arial"/>
          <w:sz w:val="22"/>
          <w:szCs w:val="22"/>
        </w:rPr>
        <w:t>D</w:t>
      </w:r>
      <w:r w:rsidR="002854F1">
        <w:rPr>
          <w:rFonts w:ascii="Arial" w:eastAsia="Arial" w:hAnsi="Arial" w:cs="Arial"/>
          <w:sz w:val="22"/>
          <w:szCs w:val="22"/>
        </w:rPr>
        <w:t xml:space="preserve">istinguishing </w:t>
      </w:r>
      <w:r>
        <w:rPr>
          <w:rFonts w:ascii="Arial" w:eastAsia="Arial" w:hAnsi="Arial" w:cs="Arial"/>
          <w:sz w:val="22"/>
          <w:szCs w:val="22"/>
        </w:rPr>
        <w:t xml:space="preserve">frogs and toads </w:t>
      </w:r>
      <w:proofErr w:type="gramStart"/>
      <w:r>
        <w:rPr>
          <w:rFonts w:ascii="Arial" w:eastAsia="Arial" w:hAnsi="Arial" w:cs="Arial"/>
          <w:sz w:val="22"/>
          <w:szCs w:val="22"/>
        </w:rPr>
        <w:t>was</w:t>
      </w:r>
      <w:proofErr w:type="gramEnd"/>
      <w:r>
        <w:rPr>
          <w:rFonts w:ascii="Arial" w:eastAsia="Arial" w:hAnsi="Arial" w:cs="Arial"/>
          <w:sz w:val="22"/>
          <w:szCs w:val="22"/>
        </w:rPr>
        <w:t xml:space="preserve"> not necessary however, because </w:t>
      </w:r>
      <w:r w:rsidR="002854F1">
        <w:rPr>
          <w:rFonts w:ascii="Arial" w:eastAsia="Arial" w:hAnsi="Arial" w:cs="Arial"/>
          <w:sz w:val="22"/>
          <w:szCs w:val="22"/>
        </w:rPr>
        <w:t xml:space="preserve">their contribution to </w:t>
      </w:r>
      <w:r w:rsidR="002854F1" w:rsidRPr="00EE65E6">
        <w:rPr>
          <w:rFonts w:ascii="Arial" w:eastAsia="Arial" w:hAnsi="Arial" w:cs="Arial"/>
          <w:i/>
          <w:iCs/>
          <w:sz w:val="22"/>
          <w:szCs w:val="22"/>
        </w:rPr>
        <w:t>Bd</w:t>
      </w:r>
      <w:r w:rsidR="002854F1">
        <w:rPr>
          <w:rFonts w:ascii="Arial" w:eastAsia="Arial" w:hAnsi="Arial" w:cs="Arial"/>
          <w:sz w:val="22"/>
          <w:szCs w:val="22"/>
        </w:rPr>
        <w:t xml:space="preserve"> transmission</w:t>
      </w:r>
      <w:r>
        <w:rPr>
          <w:rFonts w:ascii="Arial" w:eastAsia="Arial" w:hAnsi="Arial" w:cs="Arial"/>
          <w:sz w:val="22"/>
          <w:szCs w:val="22"/>
        </w:rPr>
        <w:t xml:space="preserve"> overlapped.</w:t>
      </w:r>
      <w:r w:rsidR="00F12A6A">
        <w:rPr>
          <w:rFonts w:ascii="Arial" w:eastAsia="Arial" w:hAnsi="Arial" w:cs="Arial"/>
          <w:sz w:val="22"/>
          <w:szCs w:val="22"/>
        </w:rPr>
        <w:t xml:space="preserve"> </w:t>
      </w:r>
      <w:r w:rsidR="00BC1760">
        <w:rPr>
          <w:rFonts w:ascii="Arial" w:eastAsia="Arial" w:hAnsi="Arial" w:cs="Arial"/>
          <w:sz w:val="22"/>
          <w:szCs w:val="22"/>
        </w:rPr>
        <w:t xml:space="preserve">The best predictor of invasion outcomes was the proportion of salamanders versus ‘other’ host species in communities. </w:t>
      </w:r>
      <w:r w:rsidR="00BD6E64">
        <w:rPr>
          <w:rFonts w:ascii="Arial" w:eastAsia="Arial" w:hAnsi="Arial" w:cs="Arial"/>
          <w:sz w:val="22"/>
          <w:szCs w:val="22"/>
        </w:rPr>
        <w:t xml:space="preserve">More detail on host communities is not always better in terms of characterizing infection dynamics. </w:t>
      </w:r>
    </w:p>
    <w:p w14:paraId="21AFA18D" w14:textId="7E0DDD5D" w:rsidR="00BF3D8E" w:rsidRDefault="000B2522">
      <w:pPr>
        <w:spacing w:line="480" w:lineRule="auto"/>
        <w:ind w:firstLine="567"/>
        <w:rPr>
          <w:rFonts w:ascii="Arial" w:eastAsia="Arial" w:hAnsi="Arial" w:cs="Arial"/>
          <w:sz w:val="22"/>
          <w:szCs w:val="22"/>
        </w:rPr>
      </w:pPr>
      <w:r>
        <w:rPr>
          <w:rFonts w:ascii="Arial" w:eastAsia="Arial" w:hAnsi="Arial" w:cs="Arial"/>
          <w:sz w:val="22"/>
          <w:szCs w:val="22"/>
        </w:rPr>
        <w:t>Salamanders consistently exhibited vastly different traits from frogs and toads, resulting in consistently negligible contributions to R</w:t>
      </w:r>
      <w:r w:rsidRPr="00686926">
        <w:rPr>
          <w:rFonts w:ascii="Arial" w:eastAsia="Arial" w:hAnsi="Arial" w:cs="Arial"/>
          <w:sz w:val="22"/>
          <w:szCs w:val="22"/>
          <w:vertAlign w:val="subscript"/>
        </w:rPr>
        <w:t>0</w:t>
      </w:r>
      <w:r>
        <w:rPr>
          <w:rFonts w:ascii="Arial" w:eastAsia="Arial" w:hAnsi="Arial" w:cs="Arial"/>
          <w:sz w:val="22"/>
          <w:szCs w:val="22"/>
        </w:rPr>
        <w:t>. The distinctly low rates of shedding and, in particular, transmission exhibited by salamanders scaled up to impact community R</w:t>
      </w:r>
      <w:r w:rsidRPr="0086605E">
        <w:rPr>
          <w:rFonts w:ascii="Arial" w:eastAsia="Arial" w:hAnsi="Arial" w:cs="Arial"/>
          <w:sz w:val="22"/>
          <w:szCs w:val="22"/>
          <w:vertAlign w:val="subscript"/>
        </w:rPr>
        <w:t>0</w:t>
      </w:r>
      <w:r>
        <w:rPr>
          <w:rFonts w:ascii="Arial" w:eastAsia="Arial" w:hAnsi="Arial" w:cs="Arial"/>
          <w:sz w:val="22"/>
          <w:szCs w:val="22"/>
        </w:rPr>
        <w:t xml:space="preserve"> and infection prevalence negatively, such that overall R</w:t>
      </w:r>
      <w:proofErr w:type="gramStart"/>
      <w:r w:rsidRPr="003E4C5B">
        <w:rPr>
          <w:rFonts w:ascii="Arial" w:eastAsia="Arial" w:hAnsi="Arial" w:cs="Arial"/>
          <w:sz w:val="22"/>
          <w:szCs w:val="22"/>
          <w:vertAlign w:val="subscript"/>
        </w:rPr>
        <w:t>0,TOT</w:t>
      </w:r>
      <w:proofErr w:type="gramEnd"/>
      <w:r>
        <w:rPr>
          <w:rFonts w:ascii="Arial" w:eastAsia="Arial" w:hAnsi="Arial" w:cs="Arial"/>
          <w:sz w:val="22"/>
          <w:szCs w:val="22"/>
        </w:rPr>
        <w:t xml:space="preserve"> was estimated to decrease with increasing salamander abundance</w:t>
      </w:r>
      <w:r w:rsidR="00C3304F">
        <w:rPr>
          <w:rFonts w:ascii="Arial" w:eastAsia="Arial" w:hAnsi="Arial" w:cs="Arial"/>
          <w:sz w:val="22"/>
          <w:szCs w:val="22"/>
        </w:rPr>
        <w:t xml:space="preserve"> (Fig. 4c)</w:t>
      </w:r>
      <w:r>
        <w:rPr>
          <w:rFonts w:ascii="Arial" w:eastAsia="Arial" w:hAnsi="Arial" w:cs="Arial"/>
          <w:sz w:val="22"/>
          <w:szCs w:val="22"/>
        </w:rPr>
        <w:t xml:space="preserve">. Hence, salamanders played a dilution role in our system, making their </w:t>
      </w:r>
      <w:r w:rsidR="00E57270">
        <w:rPr>
          <w:rFonts w:ascii="Arial" w:eastAsia="Arial" w:hAnsi="Arial" w:cs="Arial"/>
          <w:sz w:val="22"/>
          <w:szCs w:val="22"/>
        </w:rPr>
        <w:t xml:space="preserve">taxonomic </w:t>
      </w:r>
      <w:r>
        <w:rPr>
          <w:rFonts w:ascii="Arial" w:eastAsia="Arial" w:hAnsi="Arial" w:cs="Arial"/>
          <w:sz w:val="22"/>
          <w:szCs w:val="22"/>
        </w:rPr>
        <w:t>identities important to distinguish</w:t>
      </w:r>
      <w:r w:rsidR="0076290F">
        <w:rPr>
          <w:rFonts w:ascii="Arial" w:eastAsia="Arial" w:hAnsi="Arial" w:cs="Arial"/>
          <w:sz w:val="22"/>
          <w:szCs w:val="22"/>
        </w:rPr>
        <w:t xml:space="preserve"> from the other species</w:t>
      </w:r>
      <w:r>
        <w:rPr>
          <w:rFonts w:ascii="Arial" w:eastAsia="Arial" w:hAnsi="Arial" w:cs="Arial"/>
          <w:sz w:val="22"/>
          <w:szCs w:val="22"/>
        </w:rPr>
        <w:t>.</w:t>
      </w:r>
      <w:r w:rsidR="00B93629">
        <w:rPr>
          <w:rFonts w:ascii="Arial" w:eastAsia="Arial" w:hAnsi="Arial" w:cs="Arial"/>
          <w:sz w:val="22"/>
          <w:szCs w:val="22"/>
        </w:rPr>
        <w:t xml:space="preserve"> </w:t>
      </w:r>
      <w:r w:rsidR="00696C68">
        <w:rPr>
          <w:rFonts w:ascii="Arial" w:eastAsia="Arial" w:hAnsi="Arial" w:cs="Arial"/>
          <w:sz w:val="22"/>
          <w:szCs w:val="22"/>
        </w:rPr>
        <w:t xml:space="preserve">As for the frogs and toads in our experiments, </w:t>
      </w:r>
      <w:r w:rsidR="00696C68" w:rsidRPr="001A0090">
        <w:rPr>
          <w:rFonts w:ascii="Arial" w:eastAsia="Arial" w:hAnsi="Arial" w:cs="Arial"/>
          <w:sz w:val="22"/>
          <w:szCs w:val="22"/>
        </w:rPr>
        <w:t xml:space="preserve">our fitted mechanistic model suggested </w:t>
      </w:r>
      <w:r w:rsidR="008045C1" w:rsidRPr="001A0090">
        <w:rPr>
          <w:rFonts w:ascii="Arial" w:eastAsia="Arial" w:hAnsi="Arial" w:cs="Arial"/>
          <w:sz w:val="22"/>
          <w:szCs w:val="22"/>
        </w:rPr>
        <w:t>the</w:t>
      </w:r>
      <w:r w:rsidR="00696C68" w:rsidRPr="001A0090">
        <w:rPr>
          <w:rFonts w:ascii="Arial" w:eastAsia="Arial" w:hAnsi="Arial" w:cs="Arial"/>
          <w:sz w:val="22"/>
          <w:szCs w:val="22"/>
        </w:rPr>
        <w:t>se</w:t>
      </w:r>
      <w:r w:rsidR="008045C1" w:rsidRPr="001A0090">
        <w:rPr>
          <w:rFonts w:ascii="Arial" w:eastAsia="Arial" w:hAnsi="Arial" w:cs="Arial"/>
          <w:sz w:val="22"/>
          <w:szCs w:val="22"/>
        </w:rPr>
        <w:t xml:space="preserve"> two host</w:t>
      </w:r>
      <w:r w:rsidR="008045C1" w:rsidRPr="00D237D0">
        <w:rPr>
          <w:rFonts w:ascii="Arial" w:eastAsia="Arial" w:hAnsi="Arial" w:cs="Arial"/>
          <w:sz w:val="22"/>
          <w:szCs w:val="22"/>
        </w:rPr>
        <w:t xml:space="preserve"> species </w:t>
      </w:r>
      <w:r w:rsidR="00C3304F">
        <w:rPr>
          <w:rFonts w:ascii="Arial" w:eastAsia="Arial" w:hAnsi="Arial" w:cs="Arial"/>
          <w:sz w:val="22"/>
          <w:szCs w:val="22"/>
        </w:rPr>
        <w:t>showed</w:t>
      </w:r>
      <w:r w:rsidR="008045C1" w:rsidRPr="00D237D0">
        <w:rPr>
          <w:rFonts w:ascii="Arial" w:eastAsia="Arial" w:hAnsi="Arial" w:cs="Arial"/>
          <w:sz w:val="22"/>
          <w:szCs w:val="22"/>
        </w:rPr>
        <w:t xml:space="preserve"> differ</w:t>
      </w:r>
      <w:r w:rsidR="00C3304F">
        <w:rPr>
          <w:rFonts w:ascii="Arial" w:eastAsia="Arial" w:hAnsi="Arial" w:cs="Arial"/>
          <w:sz w:val="22"/>
          <w:szCs w:val="22"/>
        </w:rPr>
        <w:t>ences</w:t>
      </w:r>
      <w:r w:rsidR="008045C1" w:rsidRPr="00D237D0">
        <w:rPr>
          <w:rFonts w:ascii="Arial" w:eastAsia="Arial" w:hAnsi="Arial" w:cs="Arial"/>
          <w:sz w:val="22"/>
          <w:szCs w:val="22"/>
        </w:rPr>
        <w:t xml:space="preserve"> in </w:t>
      </w:r>
      <w:r w:rsidR="00C3304F">
        <w:rPr>
          <w:rFonts w:ascii="Arial" w:eastAsia="Arial" w:hAnsi="Arial" w:cs="Arial"/>
          <w:sz w:val="22"/>
          <w:szCs w:val="22"/>
        </w:rPr>
        <w:t xml:space="preserve">their median estimated </w:t>
      </w:r>
      <w:r w:rsidR="008045C1" w:rsidRPr="00D237D0">
        <w:rPr>
          <w:rFonts w:ascii="Arial" w:eastAsia="Arial" w:hAnsi="Arial" w:cs="Arial"/>
          <w:sz w:val="22"/>
          <w:szCs w:val="22"/>
        </w:rPr>
        <w:t xml:space="preserve">shedding </w:t>
      </w:r>
      <w:r w:rsidR="00C3304F">
        <w:rPr>
          <w:rFonts w:ascii="Arial" w:eastAsia="Arial" w:hAnsi="Arial" w:cs="Arial"/>
          <w:sz w:val="22"/>
          <w:szCs w:val="22"/>
        </w:rPr>
        <w:t xml:space="preserve">rates, </w:t>
      </w:r>
      <w:r w:rsidR="00DE5CD0">
        <w:rPr>
          <w:rFonts w:ascii="Arial" w:eastAsia="Arial" w:hAnsi="Arial" w:cs="Arial"/>
          <w:sz w:val="22"/>
          <w:szCs w:val="22"/>
        </w:rPr>
        <w:t>which</w:t>
      </w:r>
      <w:r w:rsidR="008045C1" w:rsidRPr="00D237D0">
        <w:rPr>
          <w:rFonts w:ascii="Arial" w:eastAsia="Arial" w:hAnsi="Arial" w:cs="Arial"/>
          <w:sz w:val="22"/>
          <w:szCs w:val="22"/>
        </w:rPr>
        <w:t xml:space="preserve"> translated into different </w:t>
      </w:r>
      <w:r w:rsidR="00696C68" w:rsidRPr="001A0090">
        <w:rPr>
          <w:rFonts w:ascii="Arial" w:eastAsia="Arial" w:hAnsi="Arial" w:cs="Arial"/>
          <w:sz w:val="22"/>
          <w:szCs w:val="22"/>
        </w:rPr>
        <w:t xml:space="preserve">species-specific </w:t>
      </w:r>
      <w:r w:rsidR="008045C1" w:rsidRPr="001A0090">
        <w:rPr>
          <w:rFonts w:ascii="Arial" w:eastAsia="Arial" w:hAnsi="Arial" w:cs="Arial"/>
          <w:sz w:val="22"/>
          <w:szCs w:val="22"/>
        </w:rPr>
        <w:t>contributions to R</w:t>
      </w:r>
      <w:r w:rsidR="008045C1" w:rsidRPr="001A0090">
        <w:rPr>
          <w:rFonts w:ascii="Arial" w:eastAsia="Arial" w:hAnsi="Arial" w:cs="Arial"/>
          <w:sz w:val="22"/>
          <w:szCs w:val="22"/>
          <w:vertAlign w:val="subscript"/>
        </w:rPr>
        <w:t>0</w:t>
      </w:r>
      <w:r w:rsidR="00C22F41" w:rsidRPr="001A0090">
        <w:rPr>
          <w:rFonts w:ascii="Arial" w:eastAsia="Arial" w:hAnsi="Arial" w:cs="Arial"/>
          <w:sz w:val="22"/>
          <w:szCs w:val="22"/>
        </w:rPr>
        <w:t>.</w:t>
      </w:r>
      <w:r w:rsidR="00696C68" w:rsidRPr="001A0090">
        <w:rPr>
          <w:rFonts w:ascii="Arial" w:eastAsia="Arial" w:hAnsi="Arial" w:cs="Arial"/>
          <w:sz w:val="22"/>
          <w:szCs w:val="22"/>
        </w:rPr>
        <w:t xml:space="preserve"> </w:t>
      </w:r>
      <w:r w:rsidR="00D237D0" w:rsidRPr="00B41DBC">
        <w:rPr>
          <w:rFonts w:ascii="Arial" w:eastAsia="Arial" w:hAnsi="Arial" w:cs="Arial"/>
          <w:sz w:val="22"/>
          <w:szCs w:val="22"/>
        </w:rPr>
        <w:t xml:space="preserve">However, in the context of overall </w:t>
      </w:r>
      <w:r w:rsidR="00D237D0" w:rsidRPr="00274A8E">
        <w:rPr>
          <w:rFonts w:ascii="Arial" w:eastAsia="Arial" w:hAnsi="Arial" w:cs="Arial"/>
          <w:sz w:val="22"/>
          <w:szCs w:val="22"/>
        </w:rPr>
        <w:t xml:space="preserve">community transmission dynamics, </w:t>
      </w:r>
      <w:r w:rsidR="00B41DBC" w:rsidRPr="00B41DBC">
        <w:rPr>
          <w:rFonts w:ascii="Arial" w:eastAsia="Arial" w:hAnsi="Arial" w:cs="Arial"/>
          <w:sz w:val="22"/>
          <w:szCs w:val="22"/>
        </w:rPr>
        <w:t>the</w:t>
      </w:r>
      <w:r w:rsidR="00D237D0" w:rsidRPr="00B41DBC">
        <w:rPr>
          <w:rFonts w:ascii="Arial" w:eastAsia="Arial" w:hAnsi="Arial" w:cs="Arial"/>
          <w:sz w:val="22"/>
          <w:szCs w:val="22"/>
        </w:rPr>
        <w:t xml:space="preserve"> variation in abundances and community compositions</w:t>
      </w:r>
      <w:r w:rsidR="00B41DBC" w:rsidRPr="00B41DBC">
        <w:rPr>
          <w:rFonts w:ascii="Arial" w:eastAsia="Arial" w:hAnsi="Arial" w:cs="Arial"/>
          <w:sz w:val="22"/>
          <w:szCs w:val="22"/>
        </w:rPr>
        <w:t xml:space="preserve"> across our experiment</w:t>
      </w:r>
      <w:r w:rsidR="00C3304F">
        <w:rPr>
          <w:rFonts w:ascii="Arial" w:eastAsia="Arial" w:hAnsi="Arial" w:cs="Arial"/>
          <w:sz w:val="22"/>
          <w:szCs w:val="22"/>
        </w:rPr>
        <w:t xml:space="preserve"> resulted in </w:t>
      </w:r>
      <w:r w:rsidR="00D237D0" w:rsidRPr="00B41DBC">
        <w:rPr>
          <w:rFonts w:ascii="Arial" w:eastAsia="Arial" w:hAnsi="Arial" w:cs="Arial"/>
          <w:sz w:val="22"/>
          <w:szCs w:val="22"/>
        </w:rPr>
        <w:t xml:space="preserve">those </w:t>
      </w:r>
      <w:r w:rsidR="00B41DBC" w:rsidRPr="00B41DBC">
        <w:rPr>
          <w:rFonts w:ascii="Arial" w:eastAsia="Arial" w:hAnsi="Arial" w:cs="Arial"/>
          <w:sz w:val="22"/>
          <w:szCs w:val="22"/>
        </w:rPr>
        <w:t xml:space="preserve">species-specific </w:t>
      </w:r>
      <w:r w:rsidR="00D237D0" w:rsidRPr="00B41DBC">
        <w:rPr>
          <w:rFonts w:ascii="Arial" w:eastAsia="Arial" w:hAnsi="Arial" w:cs="Arial"/>
          <w:sz w:val="22"/>
          <w:szCs w:val="22"/>
        </w:rPr>
        <w:t xml:space="preserve">differences </w:t>
      </w:r>
      <w:r w:rsidR="00C3304F">
        <w:rPr>
          <w:rFonts w:ascii="Arial" w:eastAsia="Arial" w:hAnsi="Arial" w:cs="Arial"/>
          <w:sz w:val="22"/>
          <w:szCs w:val="22"/>
        </w:rPr>
        <w:t>having only marginal effects o</w:t>
      </w:r>
      <w:r w:rsidR="00D237D0" w:rsidRPr="00B41DBC">
        <w:rPr>
          <w:rFonts w:ascii="Arial" w:eastAsia="Arial" w:hAnsi="Arial" w:cs="Arial"/>
          <w:sz w:val="22"/>
          <w:szCs w:val="22"/>
        </w:rPr>
        <w:t xml:space="preserve">n overall </w:t>
      </w:r>
      <w:r w:rsidR="00B41DBC" w:rsidRPr="00B41DBC">
        <w:rPr>
          <w:rFonts w:ascii="Arial" w:eastAsia="Arial" w:hAnsi="Arial" w:cs="Arial"/>
          <w:sz w:val="22"/>
          <w:szCs w:val="22"/>
        </w:rPr>
        <w:t>R</w:t>
      </w:r>
      <w:proofErr w:type="gramStart"/>
      <w:r w:rsidR="00B41DBC" w:rsidRPr="00B41DBC">
        <w:rPr>
          <w:rFonts w:ascii="Arial" w:eastAsia="Arial" w:hAnsi="Arial" w:cs="Arial"/>
          <w:sz w:val="22"/>
          <w:szCs w:val="22"/>
          <w:vertAlign w:val="subscript"/>
        </w:rPr>
        <w:t>0,TOT</w:t>
      </w:r>
      <w:proofErr w:type="gramEnd"/>
      <w:r w:rsidR="00B41DBC" w:rsidRPr="00B41DBC">
        <w:rPr>
          <w:rFonts w:ascii="Arial" w:eastAsia="Arial" w:hAnsi="Arial" w:cs="Arial"/>
          <w:sz w:val="22"/>
          <w:szCs w:val="22"/>
        </w:rPr>
        <w:t xml:space="preserve"> values as the relative </w:t>
      </w:r>
      <w:r w:rsidR="00D237D0" w:rsidRPr="00B41DBC">
        <w:rPr>
          <w:rFonts w:ascii="Arial" w:eastAsia="Arial" w:hAnsi="Arial" w:cs="Arial"/>
          <w:sz w:val="22"/>
          <w:szCs w:val="22"/>
        </w:rPr>
        <w:t>abundance of frogs</w:t>
      </w:r>
      <w:r w:rsidR="00B41DBC" w:rsidRPr="00B41DBC">
        <w:rPr>
          <w:rFonts w:ascii="Arial" w:eastAsia="Arial" w:hAnsi="Arial" w:cs="Arial"/>
          <w:sz w:val="22"/>
          <w:szCs w:val="22"/>
        </w:rPr>
        <w:t xml:space="preserve"> and toads varied across tanks</w:t>
      </w:r>
      <w:r w:rsidR="00C3304F">
        <w:rPr>
          <w:rFonts w:ascii="Arial" w:eastAsia="Arial" w:hAnsi="Arial" w:cs="Arial"/>
          <w:sz w:val="22"/>
          <w:szCs w:val="22"/>
        </w:rPr>
        <w:t xml:space="preserve"> (Fig. 4d)</w:t>
      </w:r>
      <w:r w:rsidR="00B41DBC" w:rsidRPr="00B41DBC">
        <w:rPr>
          <w:rFonts w:ascii="Arial" w:eastAsia="Arial" w:hAnsi="Arial" w:cs="Arial"/>
          <w:sz w:val="22"/>
          <w:szCs w:val="22"/>
        </w:rPr>
        <w:t xml:space="preserve">. These findings of </w:t>
      </w:r>
      <w:r w:rsidR="002A0FF6" w:rsidRPr="00B41DBC">
        <w:rPr>
          <w:rFonts w:ascii="Arial" w:eastAsia="Arial" w:hAnsi="Arial" w:cs="Arial"/>
          <w:sz w:val="22"/>
          <w:szCs w:val="22"/>
        </w:rPr>
        <w:t xml:space="preserve">different </w:t>
      </w:r>
      <w:r w:rsidR="002A0FF6" w:rsidRPr="00274A8E">
        <w:rPr>
          <w:rFonts w:ascii="Arial" w:eastAsia="Arial" w:hAnsi="Arial" w:cs="Arial"/>
          <w:sz w:val="22"/>
          <w:szCs w:val="22"/>
        </w:rPr>
        <w:t>functional traits</w:t>
      </w:r>
      <w:r w:rsidR="00505BDC">
        <w:rPr>
          <w:rFonts w:ascii="Arial" w:eastAsia="Arial" w:hAnsi="Arial" w:cs="Arial"/>
          <w:sz w:val="22"/>
          <w:szCs w:val="22"/>
        </w:rPr>
        <w:t xml:space="preserve"> (shedding rates)</w:t>
      </w:r>
      <w:r w:rsidR="00CA175C" w:rsidRPr="00B41DBC">
        <w:rPr>
          <w:rFonts w:ascii="Arial" w:eastAsia="Arial" w:hAnsi="Arial" w:cs="Arial"/>
          <w:sz w:val="22"/>
          <w:szCs w:val="22"/>
        </w:rPr>
        <w:t>,</w:t>
      </w:r>
      <w:r w:rsidR="002A0FF6" w:rsidRPr="00B41DBC">
        <w:rPr>
          <w:rFonts w:ascii="Arial" w:eastAsia="Arial" w:hAnsi="Arial" w:cs="Arial"/>
          <w:sz w:val="22"/>
          <w:szCs w:val="22"/>
        </w:rPr>
        <w:t xml:space="preserve"> yet similar epidemiological roles exhib</w:t>
      </w:r>
      <w:r w:rsidR="002A0FF6" w:rsidRPr="00274A8E">
        <w:rPr>
          <w:rFonts w:ascii="Arial" w:eastAsia="Arial" w:hAnsi="Arial" w:cs="Arial"/>
          <w:sz w:val="22"/>
          <w:szCs w:val="22"/>
        </w:rPr>
        <w:t>ited by frogs and toads</w:t>
      </w:r>
      <w:r w:rsidR="00B41DBC" w:rsidRPr="00B41DBC">
        <w:rPr>
          <w:rFonts w:ascii="Arial" w:eastAsia="Arial" w:hAnsi="Arial" w:cs="Arial"/>
          <w:sz w:val="22"/>
          <w:szCs w:val="22"/>
        </w:rPr>
        <w:t>,</w:t>
      </w:r>
      <w:r w:rsidR="00B11315" w:rsidRPr="00B41DBC">
        <w:rPr>
          <w:rFonts w:ascii="Arial" w:eastAsia="Arial" w:hAnsi="Arial" w:cs="Arial"/>
          <w:sz w:val="22"/>
          <w:szCs w:val="22"/>
        </w:rPr>
        <w:t xml:space="preserve"> raises the question of </w:t>
      </w:r>
      <w:r w:rsidR="002A0FF6" w:rsidRPr="00B41DBC">
        <w:rPr>
          <w:rFonts w:ascii="Arial" w:eastAsia="Arial" w:hAnsi="Arial" w:cs="Arial"/>
          <w:sz w:val="22"/>
          <w:szCs w:val="22"/>
        </w:rPr>
        <w:t xml:space="preserve">when differences in host functional traits </w:t>
      </w:r>
      <w:r w:rsidR="003F2B44" w:rsidRPr="00B41DBC">
        <w:rPr>
          <w:rFonts w:ascii="Arial" w:eastAsia="Arial" w:hAnsi="Arial" w:cs="Arial"/>
          <w:sz w:val="22"/>
          <w:szCs w:val="22"/>
        </w:rPr>
        <w:t xml:space="preserve">make </w:t>
      </w:r>
      <w:r w:rsidR="00B11315" w:rsidRPr="00B41DBC">
        <w:rPr>
          <w:rFonts w:ascii="Arial" w:eastAsia="Arial" w:hAnsi="Arial" w:cs="Arial"/>
          <w:sz w:val="22"/>
          <w:szCs w:val="22"/>
        </w:rPr>
        <w:t xml:space="preserve">host identity relevant to community-level </w:t>
      </w:r>
      <w:r w:rsidR="003F2B44" w:rsidRPr="00274A8E">
        <w:rPr>
          <w:rFonts w:ascii="Arial" w:eastAsia="Arial" w:hAnsi="Arial" w:cs="Arial"/>
          <w:sz w:val="22"/>
          <w:szCs w:val="22"/>
        </w:rPr>
        <w:t>infection</w:t>
      </w:r>
      <w:r w:rsidR="00B11315" w:rsidRPr="00274A8E">
        <w:rPr>
          <w:rFonts w:ascii="Arial" w:eastAsia="Arial" w:hAnsi="Arial" w:cs="Arial"/>
          <w:sz w:val="22"/>
          <w:szCs w:val="22"/>
        </w:rPr>
        <w:t xml:space="preserve"> dynamics. </w:t>
      </w:r>
      <w:r w:rsidR="002A0FF6" w:rsidRPr="00274A8E">
        <w:rPr>
          <w:rFonts w:ascii="Arial" w:eastAsia="Arial" w:hAnsi="Arial" w:cs="Arial"/>
          <w:sz w:val="22"/>
          <w:szCs w:val="22"/>
        </w:rPr>
        <w:t>Definitively a</w:t>
      </w:r>
      <w:r w:rsidR="00B11315" w:rsidRPr="00274A8E">
        <w:rPr>
          <w:rFonts w:ascii="Arial" w:eastAsia="Arial" w:hAnsi="Arial" w:cs="Arial"/>
          <w:sz w:val="22"/>
          <w:szCs w:val="22"/>
        </w:rPr>
        <w:t>nswering this question would require further testing, but our experiments hint</w:t>
      </w:r>
      <w:r w:rsidR="003F2B44" w:rsidRPr="00274A8E">
        <w:rPr>
          <w:rFonts w:ascii="Arial" w:eastAsia="Arial" w:hAnsi="Arial" w:cs="Arial"/>
          <w:sz w:val="22"/>
          <w:szCs w:val="22"/>
        </w:rPr>
        <w:t xml:space="preserve"> that the degree of </w:t>
      </w:r>
      <w:r w:rsidR="003F2B44" w:rsidRPr="00274A8E">
        <w:rPr>
          <w:rFonts w:ascii="Arial" w:eastAsia="Arial" w:hAnsi="Arial" w:cs="Arial"/>
          <w:sz w:val="22"/>
          <w:szCs w:val="22"/>
        </w:rPr>
        <w:lastRenderedPageBreak/>
        <w:t>difference in mean trait values</w:t>
      </w:r>
      <w:r w:rsidR="00CA175C" w:rsidRPr="00274A8E">
        <w:rPr>
          <w:rFonts w:ascii="Arial" w:eastAsia="Arial" w:hAnsi="Arial" w:cs="Arial"/>
          <w:sz w:val="22"/>
          <w:szCs w:val="22"/>
        </w:rPr>
        <w:t xml:space="preserve">, combined with the </w:t>
      </w:r>
      <w:r w:rsidR="003F2B44" w:rsidRPr="00274A8E">
        <w:rPr>
          <w:rFonts w:ascii="Arial" w:eastAsia="Arial" w:hAnsi="Arial" w:cs="Arial"/>
          <w:sz w:val="22"/>
          <w:szCs w:val="22"/>
        </w:rPr>
        <w:t>amount of trait variation that a species exhibits</w:t>
      </w:r>
      <w:r w:rsidR="00CA175C" w:rsidRPr="00274A8E">
        <w:rPr>
          <w:rFonts w:ascii="Arial" w:eastAsia="Arial" w:hAnsi="Arial" w:cs="Arial"/>
          <w:sz w:val="22"/>
          <w:szCs w:val="22"/>
        </w:rPr>
        <w:t>,</w:t>
      </w:r>
      <w:r w:rsidR="003F2B44" w:rsidRPr="00274A8E">
        <w:rPr>
          <w:rFonts w:ascii="Arial" w:eastAsia="Arial" w:hAnsi="Arial" w:cs="Arial"/>
          <w:sz w:val="22"/>
          <w:szCs w:val="22"/>
        </w:rPr>
        <w:t xml:space="preserve"> are important determinants. </w:t>
      </w:r>
      <w:r w:rsidR="003F2B44" w:rsidRPr="00505BDC">
        <w:rPr>
          <w:rFonts w:ascii="Arial" w:eastAsia="Arial" w:hAnsi="Arial" w:cs="Arial"/>
          <w:sz w:val="22"/>
          <w:szCs w:val="22"/>
        </w:rPr>
        <w:t>In our system, f</w:t>
      </w:r>
      <w:r w:rsidR="00B11315" w:rsidRPr="00505BDC">
        <w:rPr>
          <w:rFonts w:ascii="Arial" w:eastAsia="Arial" w:hAnsi="Arial" w:cs="Arial"/>
          <w:sz w:val="22"/>
          <w:szCs w:val="22"/>
        </w:rPr>
        <w:t xml:space="preserve">rogs may have </w:t>
      </w:r>
      <w:r w:rsidR="00505BDC" w:rsidRPr="00505BDC">
        <w:rPr>
          <w:rFonts w:ascii="Arial" w:eastAsia="Arial" w:hAnsi="Arial" w:cs="Arial"/>
          <w:sz w:val="22"/>
          <w:szCs w:val="22"/>
        </w:rPr>
        <w:t>been predict</w:t>
      </w:r>
      <w:r w:rsidR="00FB4D63">
        <w:rPr>
          <w:rFonts w:ascii="Arial" w:eastAsia="Arial" w:hAnsi="Arial" w:cs="Arial"/>
          <w:sz w:val="22"/>
          <w:szCs w:val="22"/>
        </w:rPr>
        <w:t>e</w:t>
      </w:r>
      <w:r w:rsidR="00505BDC" w:rsidRPr="00505BDC">
        <w:rPr>
          <w:rFonts w:ascii="Arial" w:eastAsia="Arial" w:hAnsi="Arial" w:cs="Arial"/>
          <w:sz w:val="22"/>
          <w:szCs w:val="22"/>
        </w:rPr>
        <w:t xml:space="preserve">d to </w:t>
      </w:r>
      <w:r w:rsidR="00B11315" w:rsidRPr="00505BDC">
        <w:rPr>
          <w:rFonts w:ascii="Arial" w:eastAsia="Arial" w:hAnsi="Arial" w:cs="Arial"/>
          <w:sz w:val="22"/>
          <w:szCs w:val="22"/>
        </w:rPr>
        <w:t>contribute</w:t>
      </w:r>
      <w:r w:rsidR="00B11315" w:rsidRPr="00F63C78">
        <w:rPr>
          <w:rFonts w:ascii="Arial" w:eastAsia="Arial" w:hAnsi="Arial" w:cs="Arial"/>
          <w:sz w:val="22"/>
          <w:szCs w:val="22"/>
        </w:rPr>
        <w:t xml:space="preserve"> the most to R</w:t>
      </w:r>
      <w:r w:rsidR="00B11315" w:rsidRPr="00961E50">
        <w:rPr>
          <w:rFonts w:ascii="Arial" w:eastAsia="Arial" w:hAnsi="Arial" w:cs="Arial"/>
          <w:sz w:val="22"/>
          <w:szCs w:val="22"/>
          <w:vertAlign w:val="subscript"/>
        </w:rPr>
        <w:t>0</w:t>
      </w:r>
      <w:r w:rsidR="00505BDC" w:rsidRPr="00505BDC">
        <w:rPr>
          <w:rFonts w:ascii="Arial" w:eastAsia="Arial" w:hAnsi="Arial" w:cs="Arial"/>
          <w:sz w:val="22"/>
          <w:szCs w:val="22"/>
        </w:rPr>
        <w:t xml:space="preserve"> on average,</w:t>
      </w:r>
      <w:r w:rsidR="00B11315" w:rsidRPr="00505BDC">
        <w:rPr>
          <w:rFonts w:ascii="Arial" w:eastAsia="Arial" w:hAnsi="Arial" w:cs="Arial"/>
          <w:sz w:val="22"/>
          <w:szCs w:val="22"/>
        </w:rPr>
        <w:t xml:space="preserve"> but there was substantial variation in their </w:t>
      </w:r>
      <w:r w:rsidR="00C22F41" w:rsidRPr="00505BDC">
        <w:rPr>
          <w:rFonts w:ascii="Arial" w:eastAsia="Arial" w:hAnsi="Arial" w:cs="Arial"/>
          <w:sz w:val="22"/>
          <w:szCs w:val="22"/>
        </w:rPr>
        <w:t>estimated</w:t>
      </w:r>
      <w:r w:rsidR="00B11315" w:rsidRPr="00505BDC">
        <w:rPr>
          <w:rFonts w:ascii="Arial" w:eastAsia="Arial" w:hAnsi="Arial" w:cs="Arial"/>
          <w:sz w:val="22"/>
          <w:szCs w:val="22"/>
        </w:rPr>
        <w:t xml:space="preserve"> </w:t>
      </w:r>
      <w:r w:rsidR="00CA175C" w:rsidRPr="00505BDC">
        <w:rPr>
          <w:rFonts w:ascii="Arial" w:eastAsia="Arial" w:hAnsi="Arial" w:cs="Arial"/>
          <w:sz w:val="22"/>
          <w:szCs w:val="22"/>
        </w:rPr>
        <w:t>R</w:t>
      </w:r>
      <w:r w:rsidR="00CA175C" w:rsidRPr="00505BDC">
        <w:rPr>
          <w:rFonts w:ascii="Arial" w:eastAsia="Arial" w:hAnsi="Arial" w:cs="Arial"/>
          <w:sz w:val="22"/>
          <w:szCs w:val="22"/>
          <w:vertAlign w:val="subscript"/>
        </w:rPr>
        <w:t>0</w:t>
      </w:r>
      <w:r w:rsidR="00CA175C" w:rsidRPr="00F63C78">
        <w:rPr>
          <w:rFonts w:ascii="Arial" w:eastAsia="Arial" w:hAnsi="Arial" w:cs="Arial"/>
          <w:sz w:val="22"/>
          <w:szCs w:val="22"/>
        </w:rPr>
        <w:t xml:space="preserve"> </w:t>
      </w:r>
      <w:r w:rsidR="00B11315" w:rsidRPr="00961E50">
        <w:rPr>
          <w:rFonts w:ascii="Arial" w:eastAsia="Arial" w:hAnsi="Arial" w:cs="Arial"/>
          <w:sz w:val="22"/>
          <w:szCs w:val="22"/>
        </w:rPr>
        <w:t xml:space="preserve">contributions that overlapped with </w:t>
      </w:r>
      <w:r w:rsidR="00C22F41" w:rsidRPr="00505BDC">
        <w:rPr>
          <w:rFonts w:ascii="Arial" w:eastAsia="Arial" w:hAnsi="Arial" w:cs="Arial"/>
          <w:sz w:val="22"/>
          <w:szCs w:val="22"/>
        </w:rPr>
        <w:t>the</w:t>
      </w:r>
      <w:r w:rsidR="00B11315" w:rsidRPr="00505BDC">
        <w:rPr>
          <w:rFonts w:ascii="Arial" w:eastAsia="Arial" w:hAnsi="Arial" w:cs="Arial"/>
          <w:sz w:val="22"/>
          <w:szCs w:val="22"/>
        </w:rPr>
        <w:t xml:space="preserve"> </w:t>
      </w:r>
      <w:r w:rsidR="00686926" w:rsidRPr="00505BDC">
        <w:rPr>
          <w:rFonts w:ascii="Arial" w:eastAsia="Arial" w:hAnsi="Arial" w:cs="Arial"/>
          <w:sz w:val="22"/>
          <w:szCs w:val="22"/>
        </w:rPr>
        <w:t>R</w:t>
      </w:r>
      <w:r w:rsidR="00686926" w:rsidRPr="00505BDC">
        <w:rPr>
          <w:rFonts w:ascii="Arial" w:eastAsia="Arial" w:hAnsi="Arial" w:cs="Arial"/>
          <w:sz w:val="22"/>
          <w:szCs w:val="22"/>
          <w:vertAlign w:val="subscript"/>
        </w:rPr>
        <w:t xml:space="preserve">0 </w:t>
      </w:r>
      <w:r w:rsidR="00B11315" w:rsidRPr="00F63C78">
        <w:rPr>
          <w:rFonts w:ascii="Arial" w:eastAsia="Arial" w:hAnsi="Arial" w:cs="Arial"/>
          <w:sz w:val="22"/>
          <w:szCs w:val="22"/>
        </w:rPr>
        <w:t xml:space="preserve">contributions </w:t>
      </w:r>
      <w:r w:rsidR="00686926" w:rsidRPr="00961E50">
        <w:rPr>
          <w:rFonts w:ascii="Arial" w:eastAsia="Arial" w:hAnsi="Arial" w:cs="Arial"/>
          <w:sz w:val="22"/>
          <w:szCs w:val="22"/>
        </w:rPr>
        <w:t>of toads</w:t>
      </w:r>
      <w:r w:rsidR="00B11315" w:rsidRPr="00961E50">
        <w:rPr>
          <w:rFonts w:ascii="Arial" w:eastAsia="Arial" w:hAnsi="Arial" w:cs="Arial"/>
          <w:sz w:val="22"/>
          <w:szCs w:val="22"/>
        </w:rPr>
        <w:t xml:space="preserve">. </w:t>
      </w:r>
      <w:r w:rsidR="00686926" w:rsidRPr="00CF01C6">
        <w:rPr>
          <w:rFonts w:ascii="Arial" w:eastAsia="Arial" w:hAnsi="Arial" w:cs="Arial"/>
          <w:sz w:val="22"/>
          <w:szCs w:val="22"/>
        </w:rPr>
        <w:t>The wide trait</w:t>
      </w:r>
      <w:r w:rsidR="00B11315" w:rsidRPr="009D6473">
        <w:rPr>
          <w:rFonts w:ascii="Arial" w:eastAsia="Arial" w:hAnsi="Arial" w:cs="Arial"/>
          <w:sz w:val="22"/>
          <w:szCs w:val="22"/>
        </w:rPr>
        <w:t xml:space="preserve"> variation</w:t>
      </w:r>
      <w:r w:rsidR="00686926" w:rsidRPr="00505BDC">
        <w:rPr>
          <w:rFonts w:ascii="Arial" w:eastAsia="Arial" w:hAnsi="Arial" w:cs="Arial"/>
          <w:sz w:val="22"/>
          <w:szCs w:val="22"/>
        </w:rPr>
        <w:t xml:space="preserve"> of frogs</w:t>
      </w:r>
      <w:r w:rsidR="00505BDC" w:rsidRPr="00505BDC">
        <w:rPr>
          <w:rFonts w:ascii="Arial" w:eastAsia="Arial" w:hAnsi="Arial" w:cs="Arial"/>
          <w:sz w:val="22"/>
          <w:szCs w:val="22"/>
        </w:rPr>
        <w:t>, together with variation in abundances and community compositions,</w:t>
      </w:r>
      <w:r w:rsidR="00B11315" w:rsidRPr="00505BDC">
        <w:rPr>
          <w:rFonts w:ascii="Arial" w:eastAsia="Arial" w:hAnsi="Arial" w:cs="Arial"/>
          <w:sz w:val="22"/>
          <w:szCs w:val="22"/>
        </w:rPr>
        <w:t xml:space="preserve"> likely mediated the epidemiological differences between frogs and toads when </w:t>
      </w:r>
      <w:r w:rsidR="00686926" w:rsidRPr="00505BDC">
        <w:rPr>
          <w:rFonts w:ascii="Arial" w:eastAsia="Arial" w:hAnsi="Arial" w:cs="Arial"/>
          <w:sz w:val="22"/>
          <w:szCs w:val="22"/>
        </w:rPr>
        <w:t>scaling up</w:t>
      </w:r>
      <w:r w:rsidR="00B11315" w:rsidRPr="00F63C78">
        <w:rPr>
          <w:rFonts w:ascii="Arial" w:eastAsia="Arial" w:hAnsi="Arial" w:cs="Arial"/>
          <w:sz w:val="22"/>
          <w:szCs w:val="22"/>
        </w:rPr>
        <w:t xml:space="preserve"> to community-level </w:t>
      </w:r>
      <w:r w:rsidR="00B11315" w:rsidRPr="00961E50">
        <w:rPr>
          <w:rFonts w:ascii="Arial" w:eastAsia="Arial" w:hAnsi="Arial" w:cs="Arial"/>
          <w:i/>
          <w:iCs/>
          <w:sz w:val="22"/>
          <w:szCs w:val="22"/>
        </w:rPr>
        <w:t>Bd</w:t>
      </w:r>
      <w:r w:rsidR="00B11315" w:rsidRPr="00961E50">
        <w:rPr>
          <w:rFonts w:ascii="Arial" w:eastAsia="Arial" w:hAnsi="Arial" w:cs="Arial"/>
          <w:sz w:val="22"/>
          <w:szCs w:val="22"/>
        </w:rPr>
        <w:t xml:space="preserve"> dynamics</w:t>
      </w:r>
      <w:r w:rsidR="00B11315">
        <w:rPr>
          <w:rFonts w:ascii="Arial" w:eastAsia="Arial" w:hAnsi="Arial" w:cs="Arial"/>
          <w:sz w:val="22"/>
          <w:szCs w:val="22"/>
        </w:rPr>
        <w:t>.</w:t>
      </w:r>
      <w:r w:rsidR="0094385E">
        <w:rPr>
          <w:rFonts w:ascii="Arial" w:eastAsia="Arial" w:hAnsi="Arial" w:cs="Arial"/>
          <w:sz w:val="22"/>
          <w:szCs w:val="22"/>
        </w:rPr>
        <w:t xml:space="preserve"> </w:t>
      </w:r>
      <w:bookmarkStart w:id="1" w:name="_Hlk86676100"/>
    </w:p>
    <w:bookmarkEnd w:id="1"/>
    <w:p w14:paraId="69D5506C" w14:textId="7FFF8519"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Documented </w:t>
      </w:r>
      <w:r w:rsidR="00BB7DB7">
        <w:rPr>
          <w:rFonts w:ascii="Arial" w:eastAsia="Arial" w:hAnsi="Arial" w:cs="Arial"/>
          <w:sz w:val="22"/>
          <w:szCs w:val="22"/>
        </w:rPr>
        <w:t xml:space="preserve">within-species </w:t>
      </w:r>
      <w:r>
        <w:rPr>
          <w:rFonts w:ascii="Arial" w:eastAsia="Arial" w:hAnsi="Arial" w:cs="Arial"/>
          <w:sz w:val="22"/>
          <w:szCs w:val="22"/>
        </w:rPr>
        <w:t xml:space="preserve">variation </w:t>
      </w:r>
      <w:r w:rsidR="00140473">
        <w:rPr>
          <w:rFonts w:ascii="Arial" w:eastAsia="Arial" w:hAnsi="Arial" w:cs="Arial"/>
          <w:sz w:val="22"/>
          <w:szCs w:val="22"/>
        </w:rPr>
        <w:t>in functional traits of</w:t>
      </w:r>
      <w:r>
        <w:rPr>
          <w:rFonts w:ascii="Arial" w:eastAsia="Arial" w:hAnsi="Arial" w:cs="Arial"/>
          <w:sz w:val="22"/>
          <w:szCs w:val="22"/>
        </w:rPr>
        <w:t xml:space="preserve"> </w:t>
      </w:r>
      <w:r w:rsidRPr="0086605E">
        <w:rPr>
          <w:rFonts w:ascii="Arial" w:eastAsia="Arial" w:hAnsi="Arial" w:cs="Arial"/>
          <w:i/>
          <w:iCs/>
          <w:sz w:val="22"/>
          <w:szCs w:val="22"/>
        </w:rPr>
        <w:t>Bd</w:t>
      </w:r>
      <w:r>
        <w:rPr>
          <w:rFonts w:ascii="Arial" w:eastAsia="Arial" w:hAnsi="Arial" w:cs="Arial"/>
          <w:sz w:val="22"/>
          <w:szCs w:val="22"/>
        </w:rPr>
        <w:t xml:space="preserve"> </w:t>
      </w:r>
      <w:r w:rsidR="00140473">
        <w:rPr>
          <w:rFonts w:ascii="Arial" w:eastAsia="Arial" w:hAnsi="Arial" w:cs="Arial"/>
          <w:sz w:val="22"/>
          <w:szCs w:val="22"/>
        </w:rPr>
        <w:t xml:space="preserve">hosts </w:t>
      </w:r>
      <w:r w:rsidR="00722E03">
        <w:rPr>
          <w:rFonts w:ascii="Arial" w:eastAsia="Arial" w:hAnsi="Arial" w:cs="Arial"/>
          <w:sz w:val="22"/>
          <w:szCs w:val="22"/>
        </w:rPr>
        <w:fldChar w:fldCharType="begin"/>
      </w:r>
      <w:r w:rsidR="008347CF">
        <w:rPr>
          <w:rFonts w:ascii="Arial" w:eastAsia="Arial" w:hAnsi="Arial" w:cs="Arial"/>
          <w:sz w:val="22"/>
          <w:szCs w:val="22"/>
        </w:rPr>
        <w:instrText xml:space="preserve"> ADDIN ZOTERO_ITEM CSL_CITATION {"citationID":"Z3qcxTKP","properties":{"formattedCitation":"(Briggs et al. 2010; Raffel et al. 2015; Daversa et al. 2018; McMillan et al. 2020)","plainCitation":"(Briggs et al. 2010; Raffel et al. 2015; Daversa et al. 2018; McMillan et al. 2020)","noteIndex":0},"citationItems":[{"id":181,"uris":["http://zotero.org/users/865335/items/VSZ9SXS7"],"uri":["http://zotero.org/users/865335/items/VSZ9SXS7"],"itemData":{"id":181,"type":"article-journal","container-title":"Proceedings of the National Academy of Sciences","DOI":"10.1073/pnas.0912886107","ISSN":"0027-8424, 1091-6490","issue":"21","page":"9695-9700","source":"CrossRef","title":"Enzootic and epizootic dynamics of the chytrid fungal pathogen of amphibians","volume":"107","author":[{"family":"Briggs","given":"C. J."},{"family":"Knapp","given":"R. A."},{"family":"Vredenburg","given":"V. T."}],"issued":{"date-parts":[["2010",5,10]]}}},{"id":2612,"uris":["http://zotero.org/users/865335/items/87H3U4RQ"],"uri":["http://zotero.org/users/865335/items/87H3U4RQ"],"itemData":{"id":2612,"type":"article-journal","container-title":"Proceedings of the Royal Society B: Biological Sciences","DOI":"10.1098/rspb.2014.2039","ISSN":"0962-8452, 1471-2954","issue":"1801","language":"en","page":"20142039-20142039","source":"CrossRef","title":"Temperature variability and moisture synergistically interact to exacerbate an epizootic disease","volume":"282","author":[{"family":"Raffel","given":"T. R."},{"family":"Halstead","given":"N. T."},{"family":"McMahon","given":"T. A."},{"family":"Davis","given":"A. K."},{"family":"Rohr","given":"J. R."}],"issued":{"date-parts":[["2015",1,7]]}}},{"id":6625,"uris":["http://zotero.org/users/865335/items/Z8F3G6FW"],"uri":["http://zotero.org/users/865335/items/Z8F3G6FW"],"itemData":{"id":6625,"type":"article-journal","abstract":"1. Animals switch habitats on a regular basis, and when habitats vary in suitability for parasitism, routine habitat switching alters the frequency of parasite exposure and may affect post-i­nfection parasite proliferation. However, the effects of routine habitat switching on infection dynamics are not well understood.","container-title":"Functional Ecology","DOI":"10.1111/1365-2435.13038","ISSN":"02698463","issue":"5","language":"en","page":"1262-1270","source":"Crossref","title":"Routine habitat switching alters the likelihood and persistence of infection with a pathogenic parasite","volume":"32","author":[{"family":"Daversa","given":"David R."},{"family":"Manica","given":"Andrea"},{"family":"Bosch","given":"Jaime"},{"family":"Jolles","given":"Jolle W."},{"family":"Garner","given":"Trenton W. J."}],"editor":[{"family":"Hawley","given":"Dana"}],"issued":{"date-parts":[["2018",5]]}}},{"id":8430,"uris":["http://zotero.org/users/865335/items/9U5LNY2W"],"uri":["http://zotero.org/users/865335/items/9U5LNY2W"],"itemData":{"id":8430,"type":"article-journal","container-title":"Journal of Animal Ecology","DOI":"10.1111/1365-2656.13170","ISSN":"0021-8790, 1365-2656","issue":"4","journalAbbreviation":"J Anim Ecol","language":"en","page":"1109-1121","source":"DOI.org (Crossref)","title":"Spatiotemporal heterogeneity decouples infection parameters of amphibian chytridiomycosis","volume":"89","author":[{"family":"McMillan","given":"Kirsten M."},{"family":"Lesbarrères","given":"David"},{"family":"Harrison","given":"Xavier A."},{"family":"Garner","given":"Trenton W. J."}],"editor":[{"family":"Cattadori","given":"Isabella"}],"issued":{"date-parts":[["2020",4]]}}}],"schema":"https://github.com/citation-style-language/schema/raw/master/csl-citation.json"} </w:instrText>
      </w:r>
      <w:r w:rsidR="00722E03">
        <w:rPr>
          <w:rFonts w:ascii="Arial" w:eastAsia="Arial" w:hAnsi="Arial" w:cs="Arial"/>
          <w:sz w:val="22"/>
          <w:szCs w:val="22"/>
        </w:rPr>
        <w:fldChar w:fldCharType="separate"/>
      </w:r>
      <w:r w:rsidR="00CE3F95">
        <w:rPr>
          <w:rFonts w:ascii="Arial" w:eastAsia="Arial" w:hAnsi="Arial" w:cs="Arial"/>
          <w:noProof/>
          <w:sz w:val="22"/>
          <w:szCs w:val="22"/>
        </w:rPr>
        <w:t>(Briggs et al. 2010; Raffel et al. 2015; Daversa et al. 2018; McMillan et al. 2020)</w:t>
      </w:r>
      <w:r w:rsidR="00722E03">
        <w:rPr>
          <w:rFonts w:ascii="Arial" w:eastAsia="Arial" w:hAnsi="Arial" w:cs="Arial"/>
          <w:sz w:val="22"/>
          <w:szCs w:val="22"/>
        </w:rPr>
        <w:fldChar w:fldCharType="end"/>
      </w:r>
      <w:r w:rsidR="00722E03">
        <w:rPr>
          <w:rFonts w:ascii="Arial" w:eastAsia="Arial" w:hAnsi="Arial" w:cs="Arial"/>
          <w:sz w:val="22"/>
          <w:szCs w:val="22"/>
        </w:rPr>
        <w:t xml:space="preserve"> </w:t>
      </w:r>
      <w:r>
        <w:rPr>
          <w:rFonts w:ascii="Arial" w:eastAsia="Arial" w:hAnsi="Arial" w:cs="Arial"/>
          <w:sz w:val="22"/>
          <w:szCs w:val="22"/>
        </w:rPr>
        <w:t xml:space="preserve">suggests that overlaps in species contributions to </w:t>
      </w:r>
      <w:r w:rsidRPr="0086605E">
        <w:rPr>
          <w:rFonts w:ascii="Arial" w:eastAsia="Arial" w:hAnsi="Arial" w:cs="Arial"/>
          <w:i/>
          <w:iCs/>
          <w:sz w:val="22"/>
          <w:szCs w:val="22"/>
        </w:rPr>
        <w:t>Bd</w:t>
      </w:r>
      <w:r>
        <w:rPr>
          <w:rFonts w:ascii="Arial" w:eastAsia="Arial" w:hAnsi="Arial" w:cs="Arial"/>
          <w:sz w:val="22"/>
          <w:szCs w:val="22"/>
        </w:rPr>
        <w:t xml:space="preserve"> </w:t>
      </w:r>
      <w:r w:rsidR="00C123F8">
        <w:rPr>
          <w:rFonts w:ascii="Arial" w:eastAsia="Arial" w:hAnsi="Arial" w:cs="Arial"/>
          <w:sz w:val="22"/>
          <w:szCs w:val="22"/>
        </w:rPr>
        <w:t>transmission</w:t>
      </w:r>
      <w:r>
        <w:rPr>
          <w:rFonts w:ascii="Arial" w:eastAsia="Arial" w:hAnsi="Arial" w:cs="Arial"/>
          <w:sz w:val="22"/>
          <w:szCs w:val="22"/>
        </w:rPr>
        <w:t>, like those we observed between frogs and toads, may be common in other host assemblages.</w:t>
      </w:r>
      <w:r w:rsidR="00692D69">
        <w:rPr>
          <w:rFonts w:ascii="Arial" w:eastAsia="Arial" w:hAnsi="Arial" w:cs="Arial"/>
          <w:sz w:val="22"/>
          <w:szCs w:val="22"/>
        </w:rPr>
        <w:t xml:space="preserve"> </w:t>
      </w:r>
      <w:r>
        <w:rPr>
          <w:rFonts w:ascii="Arial" w:eastAsia="Arial" w:hAnsi="Arial" w:cs="Arial"/>
          <w:sz w:val="22"/>
          <w:szCs w:val="22"/>
        </w:rPr>
        <w:t>We therefore expect functional similarities among host species to occur in other systems as well.</w:t>
      </w:r>
      <w:r w:rsidR="00686926">
        <w:rPr>
          <w:rFonts w:ascii="Arial" w:eastAsia="Arial" w:hAnsi="Arial" w:cs="Arial"/>
          <w:sz w:val="22"/>
          <w:szCs w:val="22"/>
        </w:rPr>
        <w:t xml:space="preserve"> </w:t>
      </w:r>
      <w:r>
        <w:rPr>
          <w:rFonts w:ascii="Arial" w:eastAsia="Arial" w:hAnsi="Arial" w:cs="Arial"/>
          <w:sz w:val="22"/>
          <w:szCs w:val="22"/>
        </w:rPr>
        <w:t>Overlapping host traits across species may also produce functional similarities as more species are incorporated into systems.</w:t>
      </w:r>
      <w:r w:rsidR="00692D69">
        <w:rPr>
          <w:rFonts w:ascii="Arial" w:eastAsia="Arial" w:hAnsi="Arial" w:cs="Arial"/>
          <w:sz w:val="22"/>
          <w:szCs w:val="22"/>
        </w:rPr>
        <w:t xml:space="preserve"> </w:t>
      </w:r>
      <w:r>
        <w:rPr>
          <w:rFonts w:ascii="Arial" w:eastAsia="Arial" w:hAnsi="Arial" w:cs="Arial"/>
          <w:sz w:val="22"/>
          <w:szCs w:val="22"/>
        </w:rPr>
        <w:t xml:space="preserve">Whereas we focused here on experimental three-species systems, many </w:t>
      </w:r>
      <w:r w:rsidRPr="0094385E">
        <w:rPr>
          <w:rFonts w:ascii="Arial" w:eastAsia="Arial" w:hAnsi="Arial" w:cs="Arial"/>
          <w:i/>
          <w:iCs/>
          <w:sz w:val="22"/>
          <w:szCs w:val="22"/>
        </w:rPr>
        <w:t>Bd</w:t>
      </w:r>
      <w:r>
        <w:rPr>
          <w:rFonts w:ascii="Arial" w:eastAsia="Arial" w:hAnsi="Arial" w:cs="Arial"/>
          <w:sz w:val="22"/>
          <w:szCs w:val="22"/>
        </w:rPr>
        <w:t xml:space="preserve"> systems in the wild comprise </w:t>
      </w:r>
      <w:r w:rsidR="000003F2">
        <w:rPr>
          <w:rFonts w:ascii="Arial" w:eastAsia="Arial" w:hAnsi="Arial" w:cs="Arial"/>
          <w:sz w:val="22"/>
          <w:szCs w:val="22"/>
        </w:rPr>
        <w:t>higher levels of</w:t>
      </w:r>
      <w:r>
        <w:rPr>
          <w:rFonts w:ascii="Arial" w:eastAsia="Arial" w:hAnsi="Arial" w:cs="Arial"/>
          <w:sz w:val="22"/>
          <w:szCs w:val="22"/>
        </w:rPr>
        <w:t xml:space="preserve"> host species diversity.</w:t>
      </w:r>
      <w:r w:rsidR="00BB7DB7">
        <w:rPr>
          <w:rFonts w:ascii="Arial" w:eastAsia="Arial" w:hAnsi="Arial" w:cs="Arial"/>
          <w:sz w:val="22"/>
          <w:szCs w:val="22"/>
        </w:rPr>
        <w:t xml:space="preserve"> </w:t>
      </w:r>
      <w:r>
        <w:rPr>
          <w:rFonts w:ascii="Arial" w:eastAsia="Arial" w:hAnsi="Arial" w:cs="Arial"/>
          <w:sz w:val="22"/>
          <w:szCs w:val="22"/>
        </w:rPr>
        <w:t xml:space="preserve">Our findings </w:t>
      </w:r>
      <w:r w:rsidR="00722E03">
        <w:rPr>
          <w:rFonts w:ascii="Arial" w:eastAsia="Arial" w:hAnsi="Arial" w:cs="Arial"/>
          <w:sz w:val="22"/>
          <w:szCs w:val="22"/>
        </w:rPr>
        <w:t xml:space="preserve">point out </w:t>
      </w:r>
      <w:r>
        <w:rPr>
          <w:rFonts w:ascii="Arial" w:eastAsia="Arial" w:hAnsi="Arial" w:cs="Arial"/>
          <w:sz w:val="22"/>
          <w:szCs w:val="22"/>
        </w:rPr>
        <w:t xml:space="preserve">that overlaps in </w:t>
      </w:r>
      <w:r w:rsidR="00E57270">
        <w:rPr>
          <w:rFonts w:ascii="Arial" w:eastAsia="Arial" w:hAnsi="Arial" w:cs="Arial"/>
          <w:sz w:val="22"/>
          <w:szCs w:val="22"/>
        </w:rPr>
        <w:t xml:space="preserve">rates of </w:t>
      </w:r>
      <w:r w:rsidR="00C74BF0">
        <w:rPr>
          <w:rFonts w:ascii="Arial" w:eastAsia="Arial" w:hAnsi="Arial" w:cs="Arial"/>
          <w:sz w:val="22"/>
          <w:szCs w:val="22"/>
        </w:rPr>
        <w:t>transmission and</w:t>
      </w:r>
      <w:r w:rsidR="00E57270">
        <w:rPr>
          <w:rFonts w:ascii="Arial" w:eastAsia="Arial" w:hAnsi="Arial" w:cs="Arial"/>
          <w:sz w:val="22"/>
          <w:szCs w:val="22"/>
        </w:rPr>
        <w:t xml:space="preserve"> shedding</w:t>
      </w:r>
      <w:r>
        <w:rPr>
          <w:rFonts w:ascii="Arial" w:eastAsia="Arial" w:hAnsi="Arial" w:cs="Arial"/>
          <w:sz w:val="22"/>
          <w:szCs w:val="22"/>
        </w:rPr>
        <w:t xml:space="preserve"> of different host species </w:t>
      </w:r>
      <w:r w:rsidR="00722E03">
        <w:rPr>
          <w:rFonts w:ascii="Arial" w:eastAsia="Arial" w:hAnsi="Arial" w:cs="Arial"/>
          <w:sz w:val="22"/>
          <w:szCs w:val="22"/>
        </w:rPr>
        <w:t xml:space="preserve">can </w:t>
      </w:r>
      <w:r>
        <w:rPr>
          <w:rFonts w:ascii="Arial" w:eastAsia="Arial" w:hAnsi="Arial" w:cs="Arial"/>
          <w:sz w:val="22"/>
          <w:szCs w:val="22"/>
        </w:rPr>
        <w:t xml:space="preserve">result in diverse host species communities exhibiting reduced functional diversity in terms of </w:t>
      </w:r>
      <w:r w:rsidRPr="0094385E">
        <w:rPr>
          <w:rFonts w:ascii="Arial" w:eastAsia="Arial" w:hAnsi="Arial" w:cs="Arial"/>
          <w:i/>
          <w:iCs/>
          <w:sz w:val="22"/>
          <w:szCs w:val="22"/>
        </w:rPr>
        <w:t>Bd</w:t>
      </w:r>
      <w:r>
        <w:rPr>
          <w:rFonts w:ascii="Arial" w:eastAsia="Arial" w:hAnsi="Arial" w:cs="Arial"/>
          <w:sz w:val="22"/>
          <w:szCs w:val="22"/>
        </w:rPr>
        <w:t xml:space="preserve"> circulation and maintenance.</w:t>
      </w:r>
      <w:r w:rsidR="00692D69">
        <w:rPr>
          <w:rFonts w:ascii="Arial" w:eastAsia="Arial" w:hAnsi="Arial" w:cs="Arial"/>
          <w:sz w:val="22"/>
          <w:szCs w:val="22"/>
        </w:rPr>
        <w:t xml:space="preserve"> </w:t>
      </w:r>
    </w:p>
    <w:p w14:paraId="11A358A7" w14:textId="636D2EF2" w:rsidR="00BF3D8E" w:rsidRPr="0086605E" w:rsidRDefault="00124793">
      <w:pPr>
        <w:spacing w:line="480" w:lineRule="auto"/>
        <w:ind w:firstLine="567"/>
        <w:rPr>
          <w:rFonts w:ascii="Arial" w:eastAsia="Arial" w:hAnsi="Arial" w:cs="Arial"/>
          <w:sz w:val="22"/>
          <w:szCs w:val="22"/>
        </w:rPr>
      </w:pPr>
      <w:r>
        <w:rPr>
          <w:rFonts w:ascii="Arial" w:eastAsia="Arial" w:hAnsi="Arial" w:cs="Arial"/>
          <w:sz w:val="22"/>
          <w:szCs w:val="22"/>
        </w:rPr>
        <w:t>H</w:t>
      </w:r>
      <w:r w:rsidR="0071066C" w:rsidRPr="0086605E">
        <w:rPr>
          <w:rFonts w:ascii="Arial" w:eastAsia="Arial" w:hAnsi="Arial" w:cs="Arial"/>
          <w:sz w:val="22"/>
          <w:szCs w:val="22"/>
        </w:rPr>
        <w:t>ost species richness was a strong predictor of the mean infection loads in host communities.</w:t>
      </w:r>
      <w:r w:rsidR="0071066C">
        <w:rPr>
          <w:rFonts w:ascii="Arial" w:eastAsia="Arial" w:hAnsi="Arial" w:cs="Arial"/>
          <w:sz w:val="22"/>
          <w:szCs w:val="22"/>
        </w:rPr>
        <w:t xml:space="preserve"> </w:t>
      </w:r>
      <w:r w:rsidR="002B073B">
        <w:rPr>
          <w:rFonts w:ascii="Arial" w:eastAsia="Arial" w:hAnsi="Arial" w:cs="Arial"/>
          <w:sz w:val="22"/>
          <w:szCs w:val="22"/>
        </w:rPr>
        <w:t>Although c</w:t>
      </w:r>
      <w:r w:rsidR="0071066C" w:rsidRPr="0086605E">
        <w:rPr>
          <w:rFonts w:ascii="Arial" w:eastAsia="Arial" w:hAnsi="Arial" w:cs="Arial"/>
          <w:sz w:val="22"/>
          <w:szCs w:val="22"/>
        </w:rPr>
        <w:t xml:space="preserve">hallenges in obtaining reliable infection load data from qPCR should be taken into account when interpreting </w:t>
      </w:r>
      <w:r w:rsidR="00E57270">
        <w:rPr>
          <w:rFonts w:ascii="Arial" w:eastAsia="Arial" w:hAnsi="Arial" w:cs="Arial"/>
          <w:sz w:val="22"/>
          <w:szCs w:val="22"/>
        </w:rPr>
        <w:t>patterns in</w:t>
      </w:r>
      <w:r w:rsidR="0071066C" w:rsidRPr="0086605E">
        <w:rPr>
          <w:rFonts w:ascii="Arial" w:eastAsia="Arial" w:hAnsi="Arial" w:cs="Arial"/>
          <w:sz w:val="22"/>
          <w:szCs w:val="22"/>
        </w:rPr>
        <w:t xml:space="preserve"> infection loads</w:t>
      </w:r>
      <w:r w:rsidR="00CE3F95">
        <w:rPr>
          <w:rFonts w:ascii="Arial" w:eastAsia="Arial" w:hAnsi="Arial" w:cs="Arial"/>
          <w:sz w:val="22"/>
          <w:szCs w:val="22"/>
        </w:rPr>
        <w:t xml:space="preserve"> </w:t>
      </w:r>
      <w:r w:rsidR="00CE3F95">
        <w:rPr>
          <w:rFonts w:ascii="Arial" w:eastAsia="Arial" w:hAnsi="Arial" w:cs="Arial"/>
          <w:sz w:val="22"/>
          <w:szCs w:val="22"/>
        </w:rPr>
        <w:fldChar w:fldCharType="begin"/>
      </w:r>
      <w:r w:rsidR="00CE3F95">
        <w:rPr>
          <w:rFonts w:ascii="Arial" w:eastAsia="Arial" w:hAnsi="Arial" w:cs="Arial"/>
          <w:sz w:val="22"/>
          <w:szCs w:val="22"/>
        </w:rPr>
        <w:instrText xml:space="preserve"> ADDIN ZOTERO_ITEM CSL_CITATION {"citationID":"zLvsbiqG","properties":{"formattedCitation":"(Clare et al. 2016)","plainCitation":"(Clare et al. 2016)","noteIndex":0},"citationItems":[{"id":8432,"uris":["http://zotero.org/users/865335/items/LCVHZJ4B"],"uri":["http://zotero.org/users/865335/items/LCVHZJ4B"],"itemData":{"id":8432,"type":"article-journal","abstract":"Batrachochytrium dendrobatidis (Bd) is a pathogenic fungus which causes the disease chytridiomycosis in amphibians by infecting the animals’ epidermis. The most commonly applied method for the detection of Bd is the use of a sterile swab, rubbed over the keratinized areas of an amphibian and then processed to yield DNA for detection by qPCR. This method has been used to infer a threshold of lethal infection in some species; however, how reliable and reproducible the swabbing method is at detecting the true burden of infection suffered by individuals is not known. European midwife toads, Alytes obstetricans, are susceptible to chytridiomycosis and are highly parasitised by Bd across Europe. By quantifying Bd-load throughout the entire skin and comparing this to swab results taken from the same individual, we determined whether epidermal swabs provide a quantiﬁable and accurate indication of the true fungal burden suffered. Further, we examined whether we could infer a threshold for lethal infection based on comparison of swab data taken from infected A. obstetricans exhibiting different clinical states. From swab data, we detected signiﬁcantly higher fungal burdens from moribund metamorphs compared to visually healthy individuals; however, the ability of these swab data to provide an accurate indication of the true fungal burden was not reliable. These data suggest that fungal load dynamics play an important role in disease-induced mortality in A. obstetricans at these sites, but that using swab data to infer an exact threshold for Bd-associated mortality might be inappropriate and misleading.","container-title":"EcoHealth","DOI":"10.1007/s10393-016-1114-z","ISSN":"1612-9202, 1612-9210","issue":"2","journalAbbreviation":"EcoHealth","language":"en","page":"360-367","source":"DOI.org (Crossref)","title":"Assessing the ability of swab data to determine the true burden of infection for the amphibian pathogen &lt;i&gt;Batrachochytrium dendrobatidis&lt;/i&gt;","volume":"13","author":[{"family":"Clare","given":"Frances"},{"family":"Daniel","given":"Olivia"},{"family":"Garner","given":"Trent"},{"family":"Fisher","given":"Matthew"}],"issued":{"date-parts":[["2016",6]]}}}],"schema":"https://github.com/citation-style-language/schema/raw/master/csl-citation.json"} </w:instrText>
      </w:r>
      <w:r w:rsidR="00CE3F95">
        <w:rPr>
          <w:rFonts w:ascii="Arial" w:eastAsia="Arial" w:hAnsi="Arial" w:cs="Arial"/>
          <w:sz w:val="22"/>
          <w:szCs w:val="22"/>
        </w:rPr>
        <w:fldChar w:fldCharType="separate"/>
      </w:r>
      <w:r w:rsidR="00CE3F95">
        <w:rPr>
          <w:rFonts w:ascii="Arial" w:eastAsia="Arial" w:hAnsi="Arial" w:cs="Arial"/>
          <w:noProof/>
          <w:sz w:val="22"/>
          <w:szCs w:val="22"/>
        </w:rPr>
        <w:t>(Clare et al. 2016)</w:t>
      </w:r>
      <w:r w:rsidR="00CE3F95">
        <w:rPr>
          <w:rFonts w:ascii="Arial" w:eastAsia="Arial" w:hAnsi="Arial" w:cs="Arial"/>
          <w:sz w:val="22"/>
          <w:szCs w:val="22"/>
        </w:rPr>
        <w:fldChar w:fldCharType="end"/>
      </w:r>
      <w:r w:rsidR="0071066C" w:rsidRPr="00BF5FF1">
        <w:rPr>
          <w:rFonts w:ascii="Arial" w:eastAsia="Arial" w:hAnsi="Arial" w:cs="Arial"/>
          <w:sz w:val="22"/>
          <w:szCs w:val="22"/>
        </w:rPr>
        <w:t xml:space="preserve">, our infection load data provide evidence that host species richness </w:t>
      </w:r>
      <w:r w:rsidR="007B4DB1" w:rsidRPr="00BF5FF1">
        <w:rPr>
          <w:rFonts w:ascii="Arial" w:eastAsia="Arial" w:hAnsi="Arial" w:cs="Arial"/>
          <w:sz w:val="22"/>
          <w:szCs w:val="22"/>
        </w:rPr>
        <w:t>can influence infections loads</w:t>
      </w:r>
      <w:r w:rsidR="0071066C" w:rsidRPr="00BF5FF1">
        <w:rPr>
          <w:rFonts w:ascii="Arial" w:eastAsia="Arial" w:hAnsi="Arial" w:cs="Arial"/>
          <w:sz w:val="22"/>
          <w:szCs w:val="22"/>
        </w:rPr>
        <w:t>.</w:t>
      </w:r>
      <w:r w:rsidR="0071066C">
        <w:rPr>
          <w:rFonts w:ascii="Arial" w:eastAsia="Arial" w:hAnsi="Arial" w:cs="Arial"/>
          <w:sz w:val="22"/>
          <w:szCs w:val="22"/>
        </w:rPr>
        <w:t xml:space="preserve"> In terms of</w:t>
      </w:r>
      <w:r w:rsidR="00881A0C">
        <w:rPr>
          <w:rFonts w:ascii="Arial" w:eastAsia="Arial" w:hAnsi="Arial" w:cs="Arial"/>
          <w:sz w:val="22"/>
          <w:szCs w:val="22"/>
        </w:rPr>
        <w:t xml:space="preserve"> effects of host species richness on</w:t>
      </w:r>
      <w:r w:rsidR="0071066C">
        <w:rPr>
          <w:rFonts w:ascii="Arial" w:eastAsia="Arial" w:hAnsi="Arial" w:cs="Arial"/>
          <w:sz w:val="22"/>
          <w:szCs w:val="22"/>
        </w:rPr>
        <w:t xml:space="preserve"> </w:t>
      </w:r>
      <w:r w:rsidR="0071066C" w:rsidRPr="0094385E">
        <w:rPr>
          <w:rFonts w:ascii="Arial" w:eastAsia="Arial" w:hAnsi="Arial" w:cs="Arial"/>
          <w:i/>
          <w:iCs/>
          <w:sz w:val="22"/>
          <w:szCs w:val="22"/>
        </w:rPr>
        <w:t>Bd</w:t>
      </w:r>
      <w:r w:rsidR="0071066C">
        <w:rPr>
          <w:rFonts w:ascii="Arial" w:eastAsia="Arial" w:hAnsi="Arial" w:cs="Arial"/>
          <w:sz w:val="22"/>
          <w:szCs w:val="22"/>
        </w:rPr>
        <w:t xml:space="preserve"> prevalence, </w:t>
      </w:r>
      <w:r w:rsidR="00881A0C">
        <w:rPr>
          <w:rFonts w:ascii="Arial" w:eastAsia="Arial" w:hAnsi="Arial" w:cs="Arial"/>
          <w:sz w:val="22"/>
          <w:szCs w:val="22"/>
        </w:rPr>
        <w:t xml:space="preserve">we found clear </w:t>
      </w:r>
      <w:r w:rsidR="0071066C" w:rsidRPr="0086605E">
        <w:rPr>
          <w:rFonts w:ascii="Arial" w:eastAsia="Arial" w:hAnsi="Arial" w:cs="Arial"/>
          <w:sz w:val="22"/>
          <w:szCs w:val="22"/>
        </w:rPr>
        <w:t>differences between single-species (salamander only) and multi-species communities (containing either frogs or toads, or both)</w:t>
      </w:r>
      <w:r w:rsidR="00881A0C">
        <w:rPr>
          <w:rFonts w:ascii="Arial" w:eastAsia="Arial" w:hAnsi="Arial" w:cs="Arial"/>
          <w:sz w:val="22"/>
          <w:szCs w:val="22"/>
        </w:rPr>
        <w:t>, whereas</w:t>
      </w:r>
      <w:r w:rsidR="0071066C">
        <w:rPr>
          <w:rFonts w:ascii="Arial" w:eastAsia="Arial" w:hAnsi="Arial" w:cs="Arial"/>
          <w:sz w:val="22"/>
          <w:szCs w:val="22"/>
        </w:rPr>
        <w:t xml:space="preserve"> </w:t>
      </w:r>
      <w:r w:rsidR="0094385E">
        <w:rPr>
          <w:rFonts w:ascii="Arial" w:eastAsia="Arial" w:hAnsi="Arial" w:cs="Arial"/>
          <w:sz w:val="22"/>
          <w:szCs w:val="22"/>
        </w:rPr>
        <w:t xml:space="preserve">two- and three-species communities exhibited similar </w:t>
      </w:r>
      <w:r w:rsidR="00881A0C">
        <w:rPr>
          <w:rFonts w:ascii="Arial" w:eastAsia="Arial" w:hAnsi="Arial" w:cs="Arial"/>
          <w:sz w:val="22"/>
          <w:szCs w:val="22"/>
        </w:rPr>
        <w:t xml:space="preserve">levels of </w:t>
      </w:r>
      <w:r w:rsidR="0094385E" w:rsidRPr="00EC44AA">
        <w:rPr>
          <w:rFonts w:ascii="Arial" w:eastAsia="Arial" w:hAnsi="Arial" w:cs="Arial"/>
          <w:i/>
          <w:iCs/>
          <w:sz w:val="22"/>
          <w:szCs w:val="22"/>
        </w:rPr>
        <w:t>Bd</w:t>
      </w:r>
      <w:r w:rsidR="0094385E">
        <w:rPr>
          <w:rFonts w:ascii="Arial" w:eastAsia="Arial" w:hAnsi="Arial" w:cs="Arial"/>
          <w:sz w:val="22"/>
          <w:szCs w:val="22"/>
        </w:rPr>
        <w:t xml:space="preserve"> prevalence</w:t>
      </w:r>
      <w:r w:rsidR="00B11315" w:rsidRPr="0086605E">
        <w:rPr>
          <w:rFonts w:ascii="Arial" w:eastAsia="Arial" w:hAnsi="Arial" w:cs="Arial"/>
          <w:sz w:val="22"/>
          <w:szCs w:val="22"/>
        </w:rPr>
        <w:t>.</w:t>
      </w:r>
      <w:r w:rsidR="0094385E">
        <w:rPr>
          <w:rFonts w:ascii="Arial" w:eastAsia="Arial" w:hAnsi="Arial" w:cs="Arial"/>
          <w:sz w:val="22"/>
          <w:szCs w:val="22"/>
        </w:rPr>
        <w:t xml:space="preserve"> </w:t>
      </w:r>
      <w:r w:rsidR="00881A0C">
        <w:rPr>
          <w:rFonts w:ascii="Arial" w:eastAsia="Arial" w:hAnsi="Arial" w:cs="Arial"/>
          <w:sz w:val="22"/>
          <w:szCs w:val="22"/>
        </w:rPr>
        <w:t>Hence</w:t>
      </w:r>
      <w:r w:rsidR="0094385E">
        <w:rPr>
          <w:rFonts w:ascii="Arial" w:eastAsia="Arial" w:hAnsi="Arial" w:cs="Arial"/>
          <w:sz w:val="22"/>
          <w:szCs w:val="22"/>
        </w:rPr>
        <w:t xml:space="preserve">, increasing </w:t>
      </w:r>
      <w:r w:rsidR="00881A0C">
        <w:rPr>
          <w:rFonts w:ascii="Arial" w:eastAsia="Arial" w:hAnsi="Arial" w:cs="Arial"/>
          <w:sz w:val="22"/>
          <w:szCs w:val="22"/>
        </w:rPr>
        <w:t xml:space="preserve">from </w:t>
      </w:r>
      <w:r w:rsidR="00C74BF0">
        <w:rPr>
          <w:rFonts w:ascii="Arial" w:eastAsia="Arial" w:hAnsi="Arial" w:cs="Arial"/>
          <w:sz w:val="22"/>
          <w:szCs w:val="22"/>
        </w:rPr>
        <w:t xml:space="preserve">one species </w:t>
      </w:r>
      <w:r w:rsidR="0094385E">
        <w:rPr>
          <w:rFonts w:ascii="Arial" w:eastAsia="Arial" w:hAnsi="Arial" w:cs="Arial"/>
          <w:sz w:val="22"/>
          <w:szCs w:val="22"/>
        </w:rPr>
        <w:t xml:space="preserve">to multiple species actually amplified community-level infection prevalence, in contrast to reported dilution effects </w:t>
      </w:r>
      <w:r w:rsidR="0094385E">
        <w:rPr>
          <w:rFonts w:ascii="Arial" w:eastAsia="Arial" w:hAnsi="Arial" w:cs="Arial"/>
          <w:sz w:val="22"/>
          <w:szCs w:val="22"/>
        </w:rPr>
        <w:fldChar w:fldCharType="begin"/>
      </w:r>
      <w:r w:rsidR="0094385E">
        <w:rPr>
          <w:rFonts w:ascii="Arial" w:eastAsia="Arial" w:hAnsi="Arial" w:cs="Arial"/>
          <w:sz w:val="22"/>
          <w:szCs w:val="22"/>
        </w:rPr>
        <w:instrText xml:space="preserve"> ADDIN ZOTERO_ITEM CSL_CITATION {"citationID":"WUFTdrYF","properties":{"formattedCitation":"(Venesky et al. 2014)","plainCitation":"(Venesky et al. 2014)","noteIndex":0},"citationItems":[{"id":3104,"uris":["http://zotero.org/users/865335/items/XZ92VR6J"],"uri":["http://zotero.org/users/865335/items/XZ92VR6J"],"itemData":{"id":3104,"type":"article-journal","container-title":"Journal of Animal Ecology","DOI":"10.1111/1365-2656.12159","ISSN":"00218790","issue":"3","language":"en","page":"557-565","source":"CrossRef","title":"Linking manipulative experiments to field data to test the dilution effect","volume":"83","author":[{"family":"Venesky","given":"Matthew D."},{"family":"Liu","given":"Xuan"},{"family":"Sauer","given":"Erin L."},{"family":"Rohr","given":"Jason R."}],"editor":[{"family":"Boots","given":"Mike"}],"issued":{"date-parts":[["2014",5]]}}}],"schema":"https://github.com/citation-style-language/schema/raw/master/csl-citation.json"} </w:instrText>
      </w:r>
      <w:r w:rsidR="0094385E">
        <w:rPr>
          <w:rFonts w:ascii="Arial" w:eastAsia="Arial" w:hAnsi="Arial" w:cs="Arial"/>
          <w:sz w:val="22"/>
          <w:szCs w:val="22"/>
        </w:rPr>
        <w:fldChar w:fldCharType="separate"/>
      </w:r>
      <w:r w:rsidR="00CE3F95">
        <w:rPr>
          <w:rFonts w:ascii="Arial" w:eastAsia="Arial" w:hAnsi="Arial" w:cs="Arial"/>
          <w:noProof/>
          <w:sz w:val="22"/>
          <w:szCs w:val="22"/>
        </w:rPr>
        <w:t>(Venesky et al. 2014)</w:t>
      </w:r>
      <w:r w:rsidR="0094385E">
        <w:rPr>
          <w:rFonts w:ascii="Arial" w:eastAsia="Arial" w:hAnsi="Arial" w:cs="Arial"/>
          <w:sz w:val="22"/>
          <w:szCs w:val="22"/>
        </w:rPr>
        <w:fldChar w:fldCharType="end"/>
      </w:r>
      <w:r w:rsidR="00B23007">
        <w:rPr>
          <w:rFonts w:ascii="Arial" w:eastAsia="Arial" w:hAnsi="Arial" w:cs="Arial"/>
          <w:sz w:val="22"/>
          <w:szCs w:val="22"/>
        </w:rPr>
        <w:t>. T</w:t>
      </w:r>
      <w:r w:rsidR="0094385E">
        <w:rPr>
          <w:rFonts w:ascii="Arial" w:eastAsia="Arial" w:hAnsi="Arial" w:cs="Arial"/>
          <w:sz w:val="22"/>
          <w:szCs w:val="22"/>
        </w:rPr>
        <w:t xml:space="preserve">his </w:t>
      </w:r>
      <w:r w:rsidR="00B23007">
        <w:rPr>
          <w:rFonts w:ascii="Arial" w:eastAsia="Arial" w:hAnsi="Arial" w:cs="Arial"/>
          <w:sz w:val="22"/>
          <w:szCs w:val="22"/>
        </w:rPr>
        <w:t xml:space="preserve">is likely </w:t>
      </w:r>
      <w:r w:rsidR="0094385E">
        <w:rPr>
          <w:rFonts w:ascii="Arial" w:eastAsia="Arial" w:hAnsi="Arial" w:cs="Arial"/>
          <w:sz w:val="22"/>
          <w:szCs w:val="22"/>
        </w:rPr>
        <w:t>due to the design of our experiment</w:t>
      </w:r>
      <w:r w:rsidR="00B23007">
        <w:rPr>
          <w:rFonts w:ascii="Arial" w:eastAsia="Arial" w:hAnsi="Arial" w:cs="Arial"/>
          <w:sz w:val="22"/>
          <w:szCs w:val="22"/>
        </w:rPr>
        <w:t>; s</w:t>
      </w:r>
      <w:r w:rsidR="0094385E">
        <w:rPr>
          <w:rFonts w:ascii="Arial" w:eastAsia="Arial" w:hAnsi="Arial" w:cs="Arial"/>
          <w:sz w:val="22"/>
          <w:szCs w:val="22"/>
        </w:rPr>
        <w:t xml:space="preserve">ingle-species communities </w:t>
      </w:r>
      <w:r w:rsidR="00DE5CD0">
        <w:rPr>
          <w:rFonts w:ascii="Arial" w:eastAsia="Arial" w:hAnsi="Arial" w:cs="Arial"/>
          <w:sz w:val="22"/>
          <w:szCs w:val="22"/>
        </w:rPr>
        <w:t>were always comprised of</w:t>
      </w:r>
      <w:r w:rsidR="0094385E">
        <w:rPr>
          <w:rFonts w:ascii="Arial" w:eastAsia="Arial" w:hAnsi="Arial" w:cs="Arial"/>
          <w:sz w:val="22"/>
          <w:szCs w:val="22"/>
        </w:rPr>
        <w:t xml:space="preserve"> salamanders, </w:t>
      </w:r>
      <w:r w:rsidR="0094385E">
        <w:rPr>
          <w:rFonts w:ascii="Arial" w:eastAsia="Arial" w:hAnsi="Arial" w:cs="Arial"/>
          <w:sz w:val="22"/>
          <w:szCs w:val="22"/>
        </w:rPr>
        <w:lastRenderedPageBreak/>
        <w:t xml:space="preserve">whereas multi-species communities always contained frogs or toads. </w:t>
      </w:r>
      <w:r w:rsidR="00641AE5">
        <w:rPr>
          <w:rFonts w:ascii="Arial" w:eastAsia="Arial" w:hAnsi="Arial" w:cs="Arial"/>
          <w:sz w:val="22"/>
          <w:szCs w:val="22"/>
        </w:rPr>
        <w:t>Now k</w:t>
      </w:r>
      <w:r w:rsidR="0094385E">
        <w:rPr>
          <w:rFonts w:ascii="Arial" w:eastAsia="Arial" w:hAnsi="Arial" w:cs="Arial"/>
          <w:sz w:val="22"/>
          <w:szCs w:val="22"/>
        </w:rPr>
        <w:t xml:space="preserve">nowing the epidemiological roles of the hosts, it makes sense that </w:t>
      </w:r>
      <w:r w:rsidR="0094385E" w:rsidRPr="0094385E">
        <w:rPr>
          <w:rFonts w:ascii="Arial" w:eastAsia="Arial" w:hAnsi="Arial" w:cs="Arial"/>
          <w:i/>
          <w:iCs/>
          <w:sz w:val="22"/>
          <w:szCs w:val="22"/>
        </w:rPr>
        <w:t>Bd</w:t>
      </w:r>
      <w:r w:rsidR="0094385E">
        <w:rPr>
          <w:rFonts w:ascii="Arial" w:eastAsia="Arial" w:hAnsi="Arial" w:cs="Arial"/>
          <w:sz w:val="22"/>
          <w:szCs w:val="22"/>
        </w:rPr>
        <w:t xml:space="preserve"> prevalence</w:t>
      </w:r>
      <w:r w:rsidR="00DE5CD0">
        <w:rPr>
          <w:rFonts w:ascii="Arial" w:eastAsia="Arial" w:hAnsi="Arial" w:cs="Arial"/>
          <w:sz w:val="22"/>
          <w:szCs w:val="22"/>
        </w:rPr>
        <w:t xml:space="preserve"> in single-species (</w:t>
      </w:r>
      <w:proofErr w:type="gramStart"/>
      <w:r w:rsidR="00DE5CD0">
        <w:rPr>
          <w:rFonts w:ascii="Arial" w:eastAsia="Arial" w:hAnsi="Arial" w:cs="Arial"/>
          <w:sz w:val="22"/>
          <w:szCs w:val="22"/>
        </w:rPr>
        <w:t>i.e.</w:t>
      </w:r>
      <w:proofErr w:type="gramEnd"/>
      <w:r w:rsidR="00DE5CD0">
        <w:rPr>
          <w:rFonts w:ascii="Arial" w:eastAsia="Arial" w:hAnsi="Arial" w:cs="Arial"/>
          <w:sz w:val="22"/>
          <w:szCs w:val="22"/>
        </w:rPr>
        <w:t xml:space="preserve"> salamander only) communities</w:t>
      </w:r>
      <w:r w:rsidR="0094385E">
        <w:rPr>
          <w:rFonts w:ascii="Arial" w:eastAsia="Arial" w:hAnsi="Arial" w:cs="Arial"/>
          <w:sz w:val="22"/>
          <w:szCs w:val="22"/>
        </w:rPr>
        <w:t xml:space="preserve"> was always lower than that observed in multi-species communities. Expanding our experimental design to include single-species communities of frogs and toads </w:t>
      </w:r>
      <w:r w:rsidR="00D37CED">
        <w:rPr>
          <w:rFonts w:ascii="Arial" w:eastAsia="Arial" w:hAnsi="Arial" w:cs="Arial"/>
          <w:sz w:val="22"/>
          <w:szCs w:val="22"/>
        </w:rPr>
        <w:t>would likely</w:t>
      </w:r>
      <w:r w:rsidR="0094385E">
        <w:rPr>
          <w:rFonts w:ascii="Arial" w:eastAsia="Arial" w:hAnsi="Arial" w:cs="Arial"/>
          <w:sz w:val="22"/>
          <w:szCs w:val="22"/>
        </w:rPr>
        <w:t xml:space="preserve"> change the relationship between host species richness and </w:t>
      </w:r>
      <w:r w:rsidR="0094385E" w:rsidRPr="00FB4D63">
        <w:rPr>
          <w:rFonts w:ascii="Arial" w:eastAsia="Arial" w:hAnsi="Arial" w:cs="Arial"/>
          <w:i/>
          <w:sz w:val="22"/>
          <w:szCs w:val="22"/>
        </w:rPr>
        <w:t>Bd</w:t>
      </w:r>
      <w:r w:rsidR="0094385E">
        <w:rPr>
          <w:rFonts w:ascii="Arial" w:eastAsia="Arial" w:hAnsi="Arial" w:cs="Arial"/>
          <w:sz w:val="22"/>
          <w:szCs w:val="22"/>
        </w:rPr>
        <w:t xml:space="preserve"> prevalence observed here.</w:t>
      </w:r>
      <w:r w:rsidR="00D37CED">
        <w:rPr>
          <w:rFonts w:ascii="Arial" w:eastAsia="Arial" w:hAnsi="Arial" w:cs="Arial"/>
          <w:sz w:val="22"/>
          <w:szCs w:val="22"/>
        </w:rPr>
        <w:t xml:space="preserve"> </w:t>
      </w:r>
      <w:r>
        <w:rPr>
          <w:rFonts w:ascii="Arial" w:eastAsia="Arial" w:hAnsi="Arial" w:cs="Arial"/>
          <w:sz w:val="22"/>
          <w:szCs w:val="22"/>
        </w:rPr>
        <w:t xml:space="preserve">It </w:t>
      </w:r>
      <w:r w:rsidR="00D37CED">
        <w:rPr>
          <w:rFonts w:ascii="Arial" w:eastAsia="Arial" w:hAnsi="Arial" w:cs="Arial"/>
          <w:sz w:val="22"/>
          <w:szCs w:val="22"/>
        </w:rPr>
        <w:t xml:space="preserve">is </w:t>
      </w:r>
      <w:r>
        <w:rPr>
          <w:rFonts w:ascii="Arial" w:eastAsia="Arial" w:hAnsi="Arial" w:cs="Arial"/>
          <w:sz w:val="22"/>
          <w:szCs w:val="22"/>
        </w:rPr>
        <w:t xml:space="preserve">therefore </w:t>
      </w:r>
      <w:r w:rsidR="00D37CED">
        <w:rPr>
          <w:rFonts w:ascii="Arial" w:eastAsia="Arial" w:hAnsi="Arial" w:cs="Arial"/>
          <w:sz w:val="22"/>
          <w:szCs w:val="22"/>
        </w:rPr>
        <w:t xml:space="preserve">unlikely that there is a general rule, even in our simplified communities, that </w:t>
      </w:r>
      <w:r w:rsidR="00585D91">
        <w:rPr>
          <w:rFonts w:ascii="Arial" w:eastAsia="Arial" w:hAnsi="Arial" w:cs="Arial"/>
          <w:sz w:val="22"/>
          <w:szCs w:val="22"/>
        </w:rPr>
        <w:t xml:space="preserve">increasing </w:t>
      </w:r>
      <w:r w:rsidR="00D37CED">
        <w:rPr>
          <w:rFonts w:ascii="Arial" w:eastAsia="Arial" w:hAnsi="Arial" w:cs="Arial"/>
          <w:sz w:val="22"/>
          <w:szCs w:val="22"/>
        </w:rPr>
        <w:t xml:space="preserve">host species richness inevitably increases or decreases transmission; the outcome would depend at least to some extent on </w:t>
      </w:r>
      <w:r w:rsidR="00402DD0">
        <w:rPr>
          <w:rFonts w:ascii="Arial" w:eastAsia="Arial" w:hAnsi="Arial" w:cs="Arial"/>
          <w:sz w:val="22"/>
          <w:szCs w:val="22"/>
        </w:rPr>
        <w:t>which</w:t>
      </w:r>
      <w:r w:rsidR="00D37CED">
        <w:rPr>
          <w:rFonts w:ascii="Arial" w:eastAsia="Arial" w:hAnsi="Arial" w:cs="Arial"/>
          <w:sz w:val="22"/>
          <w:szCs w:val="22"/>
        </w:rPr>
        <w:t xml:space="preserve"> species </w:t>
      </w:r>
      <w:r w:rsidR="00402DD0">
        <w:rPr>
          <w:rFonts w:ascii="Arial" w:eastAsia="Arial" w:hAnsi="Arial" w:cs="Arial"/>
          <w:sz w:val="22"/>
          <w:szCs w:val="22"/>
        </w:rPr>
        <w:t xml:space="preserve">are present </w:t>
      </w:r>
      <w:r w:rsidR="00D37CED">
        <w:rPr>
          <w:rFonts w:ascii="Arial" w:eastAsia="Arial" w:hAnsi="Arial" w:cs="Arial"/>
          <w:sz w:val="22"/>
          <w:szCs w:val="22"/>
        </w:rPr>
        <w:t>in the lower richness communit</w:t>
      </w:r>
      <w:r w:rsidR="00402DD0">
        <w:rPr>
          <w:rFonts w:ascii="Arial" w:eastAsia="Arial" w:hAnsi="Arial" w:cs="Arial"/>
          <w:sz w:val="22"/>
          <w:szCs w:val="22"/>
        </w:rPr>
        <w:t>ies</w:t>
      </w:r>
      <w:r w:rsidR="00D37CED">
        <w:rPr>
          <w:rFonts w:ascii="Arial" w:eastAsia="Arial" w:hAnsi="Arial" w:cs="Arial"/>
          <w:sz w:val="22"/>
          <w:szCs w:val="22"/>
        </w:rPr>
        <w:t xml:space="preserve"> and </w:t>
      </w:r>
      <w:r w:rsidR="00585D91">
        <w:rPr>
          <w:rFonts w:ascii="Arial" w:eastAsia="Arial" w:hAnsi="Arial" w:cs="Arial"/>
          <w:sz w:val="22"/>
          <w:szCs w:val="22"/>
        </w:rPr>
        <w:t xml:space="preserve">on </w:t>
      </w:r>
      <w:r w:rsidR="00402DD0">
        <w:rPr>
          <w:rFonts w:ascii="Arial" w:eastAsia="Arial" w:hAnsi="Arial" w:cs="Arial"/>
          <w:sz w:val="22"/>
          <w:szCs w:val="22"/>
        </w:rPr>
        <w:t>which species are</w:t>
      </w:r>
      <w:r w:rsidR="00D37CED">
        <w:rPr>
          <w:rFonts w:ascii="Arial" w:eastAsia="Arial" w:hAnsi="Arial" w:cs="Arial"/>
          <w:sz w:val="22"/>
          <w:szCs w:val="22"/>
        </w:rPr>
        <w:t xml:space="preserve"> added to create new communit</w:t>
      </w:r>
      <w:r w:rsidR="00402DD0">
        <w:rPr>
          <w:rFonts w:ascii="Arial" w:eastAsia="Arial" w:hAnsi="Arial" w:cs="Arial"/>
          <w:sz w:val="22"/>
          <w:szCs w:val="22"/>
        </w:rPr>
        <w:t>ies</w:t>
      </w:r>
      <w:r w:rsidR="00D37CED">
        <w:rPr>
          <w:rFonts w:ascii="Arial" w:eastAsia="Arial" w:hAnsi="Arial" w:cs="Arial"/>
          <w:sz w:val="22"/>
          <w:szCs w:val="22"/>
        </w:rPr>
        <w:t>.</w:t>
      </w:r>
    </w:p>
    <w:p w14:paraId="2BB79A50" w14:textId="568311FA" w:rsidR="00BF3D8E" w:rsidRDefault="00B11315">
      <w:pPr>
        <w:spacing w:line="480" w:lineRule="auto"/>
        <w:ind w:firstLine="720"/>
        <w:rPr>
          <w:rFonts w:ascii="Arial" w:eastAsia="Arial" w:hAnsi="Arial" w:cs="Arial"/>
          <w:sz w:val="22"/>
          <w:szCs w:val="22"/>
        </w:rPr>
      </w:pPr>
      <w:r>
        <w:rPr>
          <w:rFonts w:ascii="Arial" w:eastAsia="Arial" w:hAnsi="Arial" w:cs="Arial"/>
          <w:sz w:val="22"/>
          <w:szCs w:val="22"/>
        </w:rPr>
        <w:t xml:space="preserve">Although salamanders were not the drivers of </w:t>
      </w:r>
      <w:r>
        <w:rPr>
          <w:rFonts w:ascii="Arial" w:eastAsia="Arial" w:hAnsi="Arial" w:cs="Arial"/>
          <w:i/>
          <w:sz w:val="22"/>
          <w:szCs w:val="22"/>
        </w:rPr>
        <w:t>Bd</w:t>
      </w:r>
      <w:r>
        <w:rPr>
          <w:rFonts w:ascii="Arial" w:eastAsia="Arial" w:hAnsi="Arial" w:cs="Arial"/>
          <w:sz w:val="22"/>
          <w:szCs w:val="22"/>
        </w:rPr>
        <w:t xml:space="preserve"> persistence in our mesocosm experiments, their population in the field site at </w:t>
      </w:r>
      <w:proofErr w:type="spellStart"/>
      <w:r>
        <w:rPr>
          <w:rFonts w:ascii="Arial" w:eastAsia="Arial" w:hAnsi="Arial" w:cs="Arial"/>
          <w:sz w:val="22"/>
          <w:szCs w:val="22"/>
        </w:rPr>
        <w:t>Guadarrama</w:t>
      </w:r>
      <w:proofErr w:type="spellEnd"/>
      <w:r>
        <w:rPr>
          <w:rFonts w:ascii="Arial" w:eastAsia="Arial" w:hAnsi="Arial" w:cs="Arial"/>
          <w:sz w:val="22"/>
          <w:szCs w:val="22"/>
        </w:rPr>
        <w:t xml:space="preserve"> continues a decline that began with the discovery of </w:t>
      </w:r>
      <w:r>
        <w:rPr>
          <w:rFonts w:ascii="Arial" w:eastAsia="Arial" w:hAnsi="Arial" w:cs="Arial"/>
          <w:i/>
          <w:sz w:val="22"/>
          <w:szCs w:val="22"/>
        </w:rPr>
        <w:t>Bd</w:t>
      </w:r>
      <w:r>
        <w:rPr>
          <w:rFonts w:ascii="Arial" w:eastAsia="Arial" w:hAnsi="Arial" w:cs="Arial"/>
          <w:sz w:val="22"/>
          <w:szCs w:val="22"/>
        </w:rPr>
        <w:t xml:space="preserve"> at the site nearly two decades ago</w:t>
      </w:r>
      <w:r w:rsidR="00BF5FF1">
        <w:rPr>
          <w:rFonts w:ascii="Arial" w:eastAsia="Arial" w:hAnsi="Arial" w:cs="Arial"/>
          <w:sz w:val="22"/>
          <w:szCs w:val="22"/>
        </w:rPr>
        <w:t xml:space="preserve"> </w:t>
      </w:r>
      <w:r w:rsidR="00BF5FF1">
        <w:rPr>
          <w:rFonts w:ascii="Arial" w:eastAsia="Arial" w:hAnsi="Arial" w:cs="Arial"/>
          <w:sz w:val="22"/>
          <w:szCs w:val="22"/>
        </w:rPr>
        <w:fldChar w:fldCharType="begin"/>
      </w:r>
      <w:r w:rsidR="00BF5FF1">
        <w:rPr>
          <w:rFonts w:ascii="Arial" w:eastAsia="Arial" w:hAnsi="Arial" w:cs="Arial"/>
          <w:sz w:val="22"/>
          <w:szCs w:val="22"/>
        </w:rPr>
        <w:instrText xml:space="preserve"> ADDIN ZOTERO_ITEM CSL_CITATION {"citationID":"sA07x5JU","properties":{"formattedCitation":"(Bosch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sidR="00BF5FF1">
        <w:rPr>
          <w:rFonts w:ascii="Arial" w:eastAsia="Arial" w:hAnsi="Arial" w:cs="Arial"/>
          <w:sz w:val="22"/>
          <w:szCs w:val="22"/>
        </w:rPr>
        <w:fldChar w:fldCharType="separate"/>
      </w:r>
      <w:r w:rsidR="00CE3F95">
        <w:rPr>
          <w:rFonts w:ascii="Arial" w:eastAsia="Arial" w:hAnsi="Arial" w:cs="Arial"/>
          <w:noProof/>
          <w:sz w:val="22"/>
          <w:szCs w:val="22"/>
        </w:rPr>
        <w:t>(Bosch et al. 2018)</w:t>
      </w:r>
      <w:r w:rsidR="00BF5FF1">
        <w:rPr>
          <w:rFonts w:ascii="Arial" w:eastAsia="Arial" w:hAnsi="Arial" w:cs="Arial"/>
          <w:sz w:val="22"/>
          <w:szCs w:val="22"/>
        </w:rPr>
        <w:fldChar w:fldCharType="end"/>
      </w:r>
      <w:r>
        <w:rPr>
          <w:rFonts w:ascii="Arial" w:eastAsia="Arial" w:hAnsi="Arial" w:cs="Arial"/>
          <w:sz w:val="22"/>
          <w:szCs w:val="22"/>
        </w:rPr>
        <w:t xml:space="preserve">. To the extent that </w:t>
      </w:r>
      <w:r>
        <w:rPr>
          <w:rFonts w:ascii="Arial" w:eastAsia="Arial" w:hAnsi="Arial" w:cs="Arial"/>
          <w:i/>
          <w:sz w:val="22"/>
          <w:szCs w:val="22"/>
        </w:rPr>
        <w:t>Bd</w:t>
      </w:r>
      <w:r>
        <w:rPr>
          <w:rFonts w:ascii="Arial" w:eastAsia="Arial" w:hAnsi="Arial" w:cs="Arial"/>
          <w:sz w:val="22"/>
          <w:szCs w:val="22"/>
        </w:rPr>
        <w:t xml:space="preserve"> is driving these declines, our findings suggest that management strategies for counteracting salamander declines will need to broaden interventions to co-occurring amphibian species, such as spiny toads and tree frogs, that may actually be responsible for </w:t>
      </w:r>
      <w:r>
        <w:rPr>
          <w:rFonts w:ascii="Arial" w:eastAsia="Arial" w:hAnsi="Arial" w:cs="Arial"/>
          <w:i/>
          <w:sz w:val="22"/>
          <w:szCs w:val="22"/>
        </w:rPr>
        <w:t>Bd</w:t>
      </w:r>
      <w:r>
        <w:rPr>
          <w:rFonts w:ascii="Arial" w:eastAsia="Arial" w:hAnsi="Arial" w:cs="Arial"/>
          <w:sz w:val="22"/>
          <w:szCs w:val="22"/>
        </w:rPr>
        <w:t xml:space="preserve"> maintenance in the communities, with </w:t>
      </w:r>
      <w:proofErr w:type="spellStart"/>
      <w:r>
        <w:rPr>
          <w:rFonts w:ascii="Arial" w:eastAsia="Arial" w:hAnsi="Arial" w:cs="Arial"/>
          <w:sz w:val="22"/>
          <w:szCs w:val="22"/>
        </w:rPr>
        <w:t>spillover</w:t>
      </w:r>
      <w:proofErr w:type="spellEnd"/>
      <w:r>
        <w:rPr>
          <w:rFonts w:ascii="Arial" w:eastAsia="Arial" w:hAnsi="Arial" w:cs="Arial"/>
          <w:sz w:val="22"/>
          <w:szCs w:val="22"/>
        </w:rPr>
        <w:t xml:space="preserve"> into salamanders potentially driving their decline. More generally, our findings provide promise that tailoring management interventions to each host species may not be necessary when, as we observed in frogs and toads, the epidemiologically functional traits of species are similar. </w:t>
      </w:r>
    </w:p>
    <w:p w14:paraId="3DA7B01A" w14:textId="11EED540" w:rsidR="00BF3D8E" w:rsidRDefault="00B11315">
      <w:pPr>
        <w:spacing w:line="480" w:lineRule="auto"/>
        <w:ind w:firstLine="567"/>
        <w:rPr>
          <w:rFonts w:ascii="Arial" w:eastAsia="Arial" w:hAnsi="Arial" w:cs="Arial"/>
          <w:sz w:val="22"/>
          <w:szCs w:val="22"/>
        </w:rPr>
      </w:pPr>
      <w:r>
        <w:rPr>
          <w:rFonts w:ascii="Arial" w:eastAsia="Arial" w:hAnsi="Arial" w:cs="Arial"/>
          <w:sz w:val="22"/>
          <w:szCs w:val="22"/>
        </w:rPr>
        <w:t xml:space="preserve">The trivial epidemiological role that yearling salamander larvae played in our experiment does not imply that the species as a whole is inconsequential to </w:t>
      </w:r>
      <w:r>
        <w:rPr>
          <w:rFonts w:ascii="Arial" w:eastAsia="Arial" w:hAnsi="Arial" w:cs="Arial"/>
          <w:i/>
          <w:sz w:val="22"/>
          <w:szCs w:val="22"/>
        </w:rPr>
        <w:t>Bd</w:t>
      </w:r>
      <w:r>
        <w:rPr>
          <w:rFonts w:ascii="Arial" w:eastAsia="Arial" w:hAnsi="Arial" w:cs="Arial"/>
          <w:sz w:val="22"/>
          <w:szCs w:val="22"/>
        </w:rPr>
        <w:t xml:space="preserve"> dynamics in natural communities. Fire salamanders exhibit multiple life stages, including an overwintering larval stage. </w:t>
      </w:r>
      <w:r>
        <w:rPr>
          <w:rFonts w:ascii="Arial" w:eastAsia="Arial" w:hAnsi="Arial" w:cs="Arial"/>
          <w:i/>
          <w:sz w:val="22"/>
          <w:szCs w:val="22"/>
        </w:rPr>
        <w:t>Bd</w:t>
      </w:r>
      <w:r>
        <w:rPr>
          <w:rFonts w:ascii="Arial" w:eastAsia="Arial" w:hAnsi="Arial" w:cs="Arial"/>
          <w:sz w:val="22"/>
          <w:szCs w:val="22"/>
        </w:rPr>
        <w:t xml:space="preserve"> prevalence in overwintered salamander larvae can reach near 100% early in breeding seasons</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A8738E">
        <w:rPr>
          <w:rFonts w:ascii="Arial" w:eastAsia="Arial" w:hAnsi="Arial" w:cs="Arial"/>
          <w:sz w:val="22"/>
          <w:szCs w:val="22"/>
        </w:rPr>
        <w:instrText xml:space="preserve"> ADDIN ZOTERO_ITEM CSL_CITATION {"citationID":"mz5FE9gH","properties":{"formattedCitation":"(Bosch et al. 2018, 2020)","plainCitation":"(Bosch et al. 2018, 2020)","noteIndex":0},"citationItems":[{"id":6923,"uris":["http://zotero.org/users/865335/items/ITWSASEL"],"uri":["http://zotero.org/users/865335/items/ITWSASEL"],"itemData":{"id":6923,"type":"article-journal","abstract":"Infectious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María"}],"issued":{"date-parts":[["2018",6]]}}},{"id":7887,"uris":["http://zotero.org/users/865335/items/5U465CQ2"],"uri":["http://zotero.org/users/865335/items/5U465CQ2"],"itemData":{"id":7887,"type":"article-journal","abstract":"Infectious diseases are considered major threats to biodiversity, however strategies to mitigate their impacts in the natural world are scarce and largely unsuccessful. Chytridiomycosis is responsible for the decline of hundreds of amphibian species worldwide, but an effective disease management strategy that could be applied across natural habitats is still lacking. In general amphibian larvae can be easily captured, offering opportunities to ascertain the impact of altering the abundance of hosts, considered to be a key parameter affecting the severity of the disease. Here, we report the results of two experiments to investigate how altering host abundance affects infection intensity in amphibian populations of a montane area of Central Spain suffering from lethal amphibian chytridiomycosis. Our laboratory-based experiment supported the conclusion that varying density had a significant effect on infection intensity when salamander larvae were housed at low densities. Our field experiment showed that reducing the abundance of salamander larvae in the field also had a significant, but weak, impact on infection the following year, but only when removals were extreme. While this suggests adjusting host abundance as a mitigation strategy to reduce infection intensity could be useful, our evidence suggests only heavy culling efforts will succeed, which may run contrary to objectives for conservation.","container-title":"PLOS ONE","DOI":"10.1371/journal.pone.0242913","ISSN":"1932-6203","issue":"11","journalAbbreviation":"PLOS ONE","language":"en","note":"publisher: Public Library of Science","page":"e0242913","source":"PLoS Journals","title":"Significant reductions of host abundance weakly impact infection intensity of &lt;i&gt;Batrachochytrium dendrobatidis&lt;/i&gt;","volume":"15","author":[{"family":"Bosch","given":"Jaime"},{"family":"Carrascal","given":"Luis M."},{"family":"Manica","given":"Andrea"},{"family":"Garner","given":"Trenton W. J."}],"issued":{"date-parts":[["2020",11,30]]}}}],"schema":"https://github.com/citation-style-language/schema/raw/master/csl-citation.json"}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(Bosch et al. 2018, 2020)</w:t>
      </w:r>
      <w:r w:rsidR="004A09A9">
        <w:rPr>
          <w:rFonts w:ascii="Arial" w:eastAsia="Arial" w:hAnsi="Arial" w:cs="Arial"/>
          <w:sz w:val="22"/>
          <w:szCs w:val="22"/>
        </w:rPr>
        <w:fldChar w:fldCharType="end"/>
      </w:r>
      <w:r>
        <w:rPr>
          <w:rFonts w:ascii="Arial" w:eastAsia="Arial" w:hAnsi="Arial" w:cs="Arial"/>
          <w:sz w:val="22"/>
          <w:szCs w:val="22"/>
        </w:rPr>
        <w:t xml:space="preserve">. Further, overwintering salamander larvae are one of the few hosts that remain in ponds during winter months, making them an important seasonal reservoir of </w:t>
      </w:r>
      <w:r>
        <w:rPr>
          <w:rFonts w:ascii="Arial" w:eastAsia="Arial" w:hAnsi="Arial" w:cs="Arial"/>
          <w:i/>
          <w:sz w:val="22"/>
          <w:szCs w:val="22"/>
        </w:rPr>
        <w:t>Bd</w:t>
      </w:r>
      <w:r>
        <w:rPr>
          <w:rFonts w:ascii="Arial" w:eastAsia="Arial" w:hAnsi="Arial" w:cs="Arial"/>
          <w:sz w:val="22"/>
          <w:szCs w:val="22"/>
        </w:rPr>
        <w:t xml:space="preserve"> that reactivates transmission within </w:t>
      </w:r>
      <w:r w:rsidR="00402DD0">
        <w:rPr>
          <w:rFonts w:ascii="Arial" w:eastAsia="Arial" w:hAnsi="Arial" w:cs="Arial"/>
          <w:sz w:val="22"/>
          <w:szCs w:val="22"/>
        </w:rPr>
        <w:t>ponds</w:t>
      </w:r>
      <w:r>
        <w:rPr>
          <w:rFonts w:ascii="Arial" w:eastAsia="Arial" w:hAnsi="Arial" w:cs="Arial"/>
          <w:sz w:val="22"/>
          <w:szCs w:val="22"/>
        </w:rPr>
        <w:t xml:space="preserve"> in </w:t>
      </w:r>
      <w:r w:rsidR="00402DD0">
        <w:rPr>
          <w:rFonts w:ascii="Arial" w:eastAsia="Arial" w:hAnsi="Arial" w:cs="Arial"/>
          <w:sz w:val="22"/>
          <w:szCs w:val="22"/>
        </w:rPr>
        <w:t>the springtime</w:t>
      </w:r>
      <w:r w:rsidR="004A09A9">
        <w:rPr>
          <w:rFonts w:ascii="Arial" w:eastAsia="Arial" w:hAnsi="Arial" w:cs="Arial"/>
          <w:sz w:val="22"/>
          <w:szCs w:val="22"/>
        </w:rPr>
        <w:t xml:space="preserve"> </w:t>
      </w:r>
      <w:r w:rsidR="004A09A9">
        <w:rPr>
          <w:rFonts w:ascii="Arial" w:eastAsia="Arial" w:hAnsi="Arial" w:cs="Arial"/>
          <w:sz w:val="22"/>
          <w:szCs w:val="22"/>
        </w:rPr>
        <w:fldChar w:fldCharType="begin"/>
      </w:r>
      <w:r w:rsidR="004A09A9">
        <w:rPr>
          <w:rFonts w:ascii="Arial" w:eastAsia="Arial" w:hAnsi="Arial" w:cs="Arial"/>
          <w:sz w:val="22"/>
          <w:szCs w:val="22"/>
        </w:rPr>
        <w:instrText xml:space="preserve"> ADDIN ZOTERO_ITEM CSL_CITATION {"citationID":"Lz4rybou","properties":{"formattedCitation":"(Medina et al. 2015)","plainCitation":"(Medina et al. 2015)","noteIndex":0},"citationItems":[{"id":5198,"uris":["http://zotero.org/users/865335/items/Z74BHTJR"],"uri":["http://zotero.org/users/865335/items/Z74BHTJR"],"itemData":{"id":5198,"type":"article-journal","container-title":"Diseases of Aquatic Organisms","DOI":"10.3354/dao02934","ISSN":"0177-5103, 1616-1580","issue":"2","language":"en","page":"85-92","source":"CrossRef","title":"Delayed metamorphosis of amphibian larvae facilitates &lt;i&gt;Batrachochytrium dendrobatidis&lt;/i&gt; transmission and persistence","volume":"117","author":[{"family":"Medina","given":"D"},{"family":"Garner","given":"Twj"},{"family":"Carrascal","given":"Lm"},{"family":"Bosch","given":"J"}],"issued":{"date-parts":[["2015",12,9]]}}}],"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(Medina et al. 2015)</w:t>
      </w:r>
      <w:r w:rsidR="004A09A9">
        <w:rPr>
          <w:rFonts w:ascii="Arial" w:eastAsia="Arial" w:hAnsi="Arial" w:cs="Arial"/>
          <w:sz w:val="22"/>
          <w:szCs w:val="22"/>
        </w:rPr>
        <w:fldChar w:fldCharType="end"/>
      </w:r>
      <w:r w:rsidR="004A09A9">
        <w:rPr>
          <w:rFonts w:ascii="Arial" w:eastAsia="Arial" w:hAnsi="Arial" w:cs="Arial"/>
          <w:i/>
          <w:sz w:val="22"/>
          <w:szCs w:val="22"/>
        </w:rPr>
        <w:t xml:space="preserve">. </w:t>
      </w:r>
      <w:r>
        <w:rPr>
          <w:rFonts w:ascii="Arial" w:eastAsia="Arial" w:hAnsi="Arial" w:cs="Arial"/>
          <w:sz w:val="22"/>
          <w:szCs w:val="22"/>
        </w:rPr>
        <w:t xml:space="preserve">Salamanders therefore clearly impact </w:t>
      </w:r>
      <w:r>
        <w:rPr>
          <w:rFonts w:ascii="Arial" w:eastAsia="Arial" w:hAnsi="Arial" w:cs="Arial"/>
          <w:i/>
          <w:sz w:val="22"/>
          <w:szCs w:val="22"/>
        </w:rPr>
        <w:t>Bd</w:t>
      </w:r>
      <w:r>
        <w:rPr>
          <w:rFonts w:ascii="Arial" w:eastAsia="Arial" w:hAnsi="Arial" w:cs="Arial"/>
          <w:sz w:val="22"/>
          <w:szCs w:val="22"/>
        </w:rPr>
        <w:t xml:space="preserve"> dynamics at specific life stages, but our experiment indicates that </w:t>
      </w:r>
      <w:r>
        <w:rPr>
          <w:rFonts w:ascii="Arial" w:eastAsia="Arial" w:hAnsi="Arial" w:cs="Arial"/>
          <w:i/>
          <w:sz w:val="22"/>
          <w:szCs w:val="22"/>
        </w:rPr>
        <w:t>Bd</w:t>
      </w:r>
      <w:r>
        <w:rPr>
          <w:rFonts w:ascii="Arial" w:eastAsia="Arial" w:hAnsi="Arial" w:cs="Arial"/>
          <w:sz w:val="22"/>
          <w:szCs w:val="22"/>
        </w:rPr>
        <w:t xml:space="preserve"> cannot persist in </w:t>
      </w:r>
      <w:r>
        <w:rPr>
          <w:rFonts w:ascii="Arial" w:eastAsia="Arial" w:hAnsi="Arial" w:cs="Arial"/>
          <w:sz w:val="22"/>
          <w:szCs w:val="22"/>
        </w:rPr>
        <w:lastRenderedPageBreak/>
        <w:t xml:space="preserve">salamanders alone, as hypothesized previously </w:t>
      </w:r>
      <w:r w:rsidR="004A09A9">
        <w:rPr>
          <w:rFonts w:ascii="Arial" w:eastAsia="Arial" w:hAnsi="Arial" w:cs="Arial"/>
          <w:sz w:val="22"/>
          <w:szCs w:val="22"/>
        </w:rPr>
        <w:fldChar w:fldCharType="begin"/>
      </w:r>
      <w:r w:rsidR="00D11849">
        <w:rPr>
          <w:rFonts w:ascii="Arial" w:eastAsia="Arial" w:hAnsi="Arial" w:cs="Arial"/>
          <w:sz w:val="22"/>
          <w:szCs w:val="22"/>
        </w:rPr>
        <w:instrText xml:space="preserve"> ADDIN ZOTERO_ITEM CSL_CITATION {"citationID":"93w2dOBs","properties":{"formattedCitation":"(Medina et al. 2015)","plainCitation":"(Medina et al. 2015)","noteIndex":0},"citationItems":[{"id":5198,"uris":["http://zotero.org/users/865335/items/Z74BHTJR"],"uri":["http://zotero.org/users/865335/items/Z74BHTJR"],"itemData":{"id":5198,"type":"article-journal","container-title":"Diseases of Aquatic Organisms","DOI":"10.3354/dao02934","ISSN":"0177-5103, 1616-1580","issue":"2","language":"en","page":"85-92","source":"CrossRef","title":"Delayed metamorphosis of amphibian larvae facilitates &lt;i&gt;Batrachochytrium dendrobatidis&lt;/i&gt; transmission and persistence","volume":"117","author":[{"family":"Medina","given":"D"},{"family":"Garner","given":"Twj"},{"family":"Carrascal","given":"Lm"},{"family":"Bosch","given":"J"}],"issued":{"date-parts":[["2015",12,9]]}}}],"schema":"https://github.com/citation-style-language/schema/raw/master/csl-citation.json"} </w:instrText>
      </w:r>
      <w:r w:rsidR="004A09A9">
        <w:rPr>
          <w:rFonts w:ascii="Arial" w:eastAsia="Arial" w:hAnsi="Arial" w:cs="Arial"/>
          <w:sz w:val="22"/>
          <w:szCs w:val="22"/>
        </w:rPr>
        <w:fldChar w:fldCharType="separate"/>
      </w:r>
      <w:r w:rsidR="00CE3F95">
        <w:rPr>
          <w:rFonts w:ascii="Arial" w:eastAsia="Arial" w:hAnsi="Arial" w:cs="Arial"/>
          <w:noProof/>
          <w:sz w:val="22"/>
          <w:szCs w:val="22"/>
        </w:rPr>
        <w:t>(Medina et al. 2015)</w:t>
      </w:r>
      <w:r w:rsidR="004A09A9">
        <w:rPr>
          <w:rFonts w:ascii="Arial" w:eastAsia="Arial" w:hAnsi="Arial" w:cs="Arial"/>
          <w:sz w:val="22"/>
          <w:szCs w:val="22"/>
        </w:rPr>
        <w:fldChar w:fldCharType="end"/>
      </w:r>
      <w:r>
        <w:rPr>
          <w:rFonts w:ascii="Arial" w:eastAsia="Arial" w:hAnsi="Arial" w:cs="Arial"/>
          <w:sz w:val="22"/>
          <w:szCs w:val="22"/>
        </w:rPr>
        <w:t xml:space="preserve">, at least not during latter stages of breeding seasons when overwintered larval stages are absent. Collectively, studies of salamanders emphasize that the role a host species plays in </w:t>
      </w:r>
      <w:r>
        <w:rPr>
          <w:rFonts w:ascii="Arial" w:eastAsia="Arial" w:hAnsi="Arial" w:cs="Arial"/>
          <w:i/>
          <w:sz w:val="22"/>
          <w:szCs w:val="22"/>
        </w:rPr>
        <w:t>Bd</w:t>
      </w:r>
      <w:r>
        <w:rPr>
          <w:rFonts w:ascii="Arial" w:eastAsia="Arial" w:hAnsi="Arial" w:cs="Arial"/>
          <w:sz w:val="22"/>
          <w:szCs w:val="22"/>
        </w:rPr>
        <w:t xml:space="preserve"> dynamics may change dramatically across different stages of ontogeny. In the multitude of systems that exhibit distinct life stages like amphibians, host diversity may be a function of both the number of host species and the number of different susceptible life stages of those species.</w:t>
      </w:r>
    </w:p>
    <w:p w14:paraId="651BA265" w14:textId="77777777" w:rsidR="00BF3D8E" w:rsidRDefault="00B11315">
      <w:pPr>
        <w:spacing w:line="480" w:lineRule="auto"/>
        <w:ind w:firstLine="567"/>
        <w:rPr>
          <w:rFonts w:ascii="Arial" w:eastAsia="Arial" w:hAnsi="Arial" w:cs="Arial"/>
          <w:sz w:val="22"/>
          <w:szCs w:val="22"/>
        </w:rPr>
      </w:pPr>
      <w:r>
        <w:rPr>
          <w:rFonts w:ascii="Arial" w:eastAsia="Arial" w:hAnsi="Arial" w:cs="Arial"/>
          <w:sz w:val="22"/>
          <w:szCs w:val="22"/>
        </w:rPr>
        <w:t xml:space="preserve">Because host ontogeny in our system is intertwined with seasonality, our data on new cohorts of hosts lays groundwork for bridging the community ecology of infectious diseases with the seasonality of infectious diseases. Amphibians exhibit distinct </w:t>
      </w:r>
      <w:proofErr w:type="spellStart"/>
      <w:r>
        <w:rPr>
          <w:rFonts w:ascii="Arial" w:eastAsia="Arial" w:hAnsi="Arial" w:cs="Arial"/>
          <w:sz w:val="22"/>
          <w:szCs w:val="22"/>
        </w:rPr>
        <w:t>phenologies</w:t>
      </w:r>
      <w:proofErr w:type="spellEnd"/>
      <w:r>
        <w:rPr>
          <w:rFonts w:ascii="Arial" w:eastAsia="Arial" w:hAnsi="Arial" w:cs="Arial"/>
          <w:sz w:val="22"/>
          <w:szCs w:val="22"/>
        </w:rPr>
        <w:t xml:space="preserve"> that create dynamic compositions of host species for </w:t>
      </w:r>
      <w:r>
        <w:rPr>
          <w:rFonts w:ascii="Arial" w:eastAsia="Arial" w:hAnsi="Arial" w:cs="Arial"/>
          <w:i/>
          <w:sz w:val="22"/>
          <w:szCs w:val="22"/>
        </w:rPr>
        <w:t>Bd</w:t>
      </w:r>
      <w:r>
        <w:rPr>
          <w:rFonts w:ascii="Arial" w:eastAsia="Arial" w:hAnsi="Arial" w:cs="Arial"/>
          <w:sz w:val="22"/>
          <w:szCs w:val="22"/>
        </w:rPr>
        <w:t xml:space="preserve"> to infect throughout the year. Extending our approach to multiple seasons could assess how the host community context of </w:t>
      </w:r>
      <w:r>
        <w:rPr>
          <w:rFonts w:ascii="Arial" w:eastAsia="Arial" w:hAnsi="Arial" w:cs="Arial"/>
          <w:i/>
          <w:sz w:val="22"/>
          <w:szCs w:val="22"/>
        </w:rPr>
        <w:t>Bd</w:t>
      </w:r>
      <w:r>
        <w:rPr>
          <w:rFonts w:ascii="Arial" w:eastAsia="Arial" w:hAnsi="Arial" w:cs="Arial"/>
          <w:sz w:val="22"/>
          <w:szCs w:val="22"/>
        </w:rPr>
        <w:t xml:space="preserve"> varies across seasons to drive longer-term </w:t>
      </w:r>
      <w:r>
        <w:rPr>
          <w:rFonts w:ascii="Arial" w:eastAsia="Arial" w:hAnsi="Arial" w:cs="Arial"/>
          <w:i/>
          <w:sz w:val="22"/>
          <w:szCs w:val="22"/>
        </w:rPr>
        <w:t>Bd</w:t>
      </w:r>
      <w:r>
        <w:rPr>
          <w:rFonts w:ascii="Arial" w:eastAsia="Arial" w:hAnsi="Arial" w:cs="Arial"/>
          <w:sz w:val="22"/>
          <w:szCs w:val="22"/>
        </w:rPr>
        <w:t xml:space="preserve"> dynamics. Amid increasingly dynamic and changing environmental conditions, accounting for seasonal fluctuations in host community characteristics is likely to be critical for mitigating the harmful consequences of future parasite invasions. </w:t>
      </w:r>
    </w:p>
    <w:p w14:paraId="7031EB6F" w14:textId="77777777" w:rsidR="00BF3D8E" w:rsidRDefault="00BF3D8E">
      <w:pPr>
        <w:spacing w:line="480" w:lineRule="auto"/>
        <w:ind w:firstLine="567"/>
        <w:rPr>
          <w:rFonts w:ascii="Arial" w:eastAsia="Arial" w:hAnsi="Arial" w:cs="Arial"/>
          <w:sz w:val="22"/>
          <w:szCs w:val="22"/>
        </w:rPr>
      </w:pPr>
    </w:p>
    <w:p w14:paraId="4621ECFF" w14:textId="77777777" w:rsidR="00BF3D8E" w:rsidRDefault="00B11315" w:rsidP="00147009">
      <w:pPr>
        <w:spacing w:line="480" w:lineRule="auto"/>
        <w:jc w:val="center"/>
        <w:rPr>
          <w:rFonts w:ascii="Arial" w:eastAsia="Arial" w:hAnsi="Arial" w:cs="Arial"/>
          <w:b/>
          <w:sz w:val="22"/>
          <w:szCs w:val="22"/>
        </w:rPr>
      </w:pPr>
      <w:r>
        <w:rPr>
          <w:rFonts w:ascii="Arial" w:eastAsia="Arial" w:hAnsi="Arial" w:cs="Arial"/>
          <w:b/>
          <w:sz w:val="22"/>
          <w:szCs w:val="22"/>
        </w:rPr>
        <w:t>Conclusion</w:t>
      </w:r>
    </w:p>
    <w:p w14:paraId="4106F4B3" w14:textId="28277E4B" w:rsidR="00BF3D8E" w:rsidRPr="003D02C5" w:rsidRDefault="00B11315" w:rsidP="006A7303">
      <w:pPr>
        <w:spacing w:line="480" w:lineRule="auto"/>
        <w:rPr>
          <w:rFonts w:ascii="Arial" w:eastAsia="Arial" w:hAnsi="Arial" w:cs="Arial"/>
          <w:strike/>
          <w:sz w:val="22"/>
          <w:szCs w:val="22"/>
        </w:rPr>
      </w:pPr>
      <w:r>
        <w:rPr>
          <w:rFonts w:ascii="Arial" w:eastAsia="Arial" w:hAnsi="Arial" w:cs="Arial"/>
          <w:sz w:val="22"/>
          <w:szCs w:val="22"/>
        </w:rPr>
        <w:tab/>
      </w:r>
      <w:r w:rsidR="008B3B30">
        <w:rPr>
          <w:rFonts w:ascii="Arial" w:eastAsia="Arial" w:hAnsi="Arial" w:cs="Arial"/>
          <w:sz w:val="22"/>
          <w:szCs w:val="22"/>
        </w:rPr>
        <w:t>A</w:t>
      </w:r>
      <w:r w:rsidR="006A7303">
        <w:rPr>
          <w:rFonts w:ascii="Arial" w:eastAsia="Arial" w:hAnsi="Arial" w:cs="Arial"/>
          <w:sz w:val="22"/>
          <w:szCs w:val="22"/>
        </w:rPr>
        <w:t>sking what level of detail is needed to understand the outcomes of invasions by generalist parasites</w:t>
      </w:r>
      <w:r w:rsidR="008B3B30">
        <w:rPr>
          <w:rFonts w:ascii="Arial" w:eastAsia="Arial" w:hAnsi="Arial" w:cs="Arial"/>
          <w:sz w:val="22"/>
          <w:szCs w:val="22"/>
        </w:rPr>
        <w:t xml:space="preserve"> revealed new insights into multi-host transmission dynamics.</w:t>
      </w:r>
      <w:r w:rsidR="003E30E3">
        <w:rPr>
          <w:rFonts w:ascii="Arial" w:eastAsia="Arial" w:hAnsi="Arial" w:cs="Arial"/>
          <w:sz w:val="22"/>
          <w:szCs w:val="22"/>
        </w:rPr>
        <w:t xml:space="preserve"> </w:t>
      </w:r>
      <w:r w:rsidR="008B3B30">
        <w:rPr>
          <w:rFonts w:ascii="Arial" w:eastAsia="Arial" w:hAnsi="Arial" w:cs="Arial"/>
          <w:sz w:val="22"/>
          <w:szCs w:val="22"/>
        </w:rPr>
        <w:t xml:space="preserve">First, host species that exhibit different </w:t>
      </w:r>
      <w:r w:rsidR="00542527">
        <w:rPr>
          <w:rFonts w:ascii="Arial" w:eastAsia="Arial" w:hAnsi="Arial" w:cs="Arial"/>
          <w:sz w:val="22"/>
          <w:szCs w:val="22"/>
        </w:rPr>
        <w:t xml:space="preserve">functional traits (e.g., shedding </w:t>
      </w:r>
      <w:r w:rsidR="008B3B30">
        <w:rPr>
          <w:rFonts w:ascii="Arial" w:eastAsia="Arial" w:hAnsi="Arial" w:cs="Arial"/>
          <w:sz w:val="22"/>
          <w:szCs w:val="22"/>
        </w:rPr>
        <w:t xml:space="preserve">rates, </w:t>
      </w:r>
      <w:r w:rsidR="00542527">
        <w:rPr>
          <w:rFonts w:ascii="Arial" w:eastAsia="Arial" w:hAnsi="Arial" w:cs="Arial"/>
          <w:sz w:val="22"/>
          <w:szCs w:val="22"/>
        </w:rPr>
        <w:t>as seen with the frogs in this study)</w:t>
      </w:r>
      <w:r w:rsidR="008B3B30">
        <w:rPr>
          <w:rFonts w:ascii="Arial" w:eastAsia="Arial" w:hAnsi="Arial" w:cs="Arial"/>
          <w:sz w:val="22"/>
          <w:szCs w:val="22"/>
        </w:rPr>
        <w:t xml:space="preserve"> may make similar contributions to the </w:t>
      </w:r>
      <w:r w:rsidR="00542527">
        <w:rPr>
          <w:rFonts w:ascii="Arial" w:eastAsia="Arial" w:hAnsi="Arial" w:cs="Arial"/>
          <w:sz w:val="22"/>
          <w:szCs w:val="22"/>
        </w:rPr>
        <w:t xml:space="preserve">overall </w:t>
      </w:r>
      <w:r w:rsidR="008B3B30">
        <w:rPr>
          <w:rFonts w:ascii="Arial" w:eastAsia="Arial" w:hAnsi="Arial" w:cs="Arial"/>
          <w:sz w:val="22"/>
          <w:szCs w:val="22"/>
        </w:rPr>
        <w:t>maintenance of parasites</w:t>
      </w:r>
      <w:r w:rsidR="00542527">
        <w:rPr>
          <w:rFonts w:ascii="Arial" w:eastAsia="Arial" w:hAnsi="Arial" w:cs="Arial"/>
          <w:sz w:val="22"/>
          <w:szCs w:val="22"/>
        </w:rPr>
        <w:t xml:space="preserve"> in larger ecological communities</w:t>
      </w:r>
      <w:r w:rsidR="008B3B30">
        <w:rPr>
          <w:rFonts w:ascii="Arial" w:eastAsia="Arial" w:hAnsi="Arial" w:cs="Arial"/>
          <w:sz w:val="22"/>
          <w:szCs w:val="22"/>
        </w:rPr>
        <w:t>. Second, the identities of host species with overlapping contributions to R</w:t>
      </w:r>
      <w:r w:rsidR="008B3B30" w:rsidRPr="00821C02">
        <w:rPr>
          <w:rFonts w:ascii="Arial" w:eastAsia="Arial" w:hAnsi="Arial" w:cs="Arial"/>
          <w:sz w:val="22"/>
          <w:szCs w:val="22"/>
          <w:vertAlign w:val="subscript"/>
        </w:rPr>
        <w:t>0</w:t>
      </w:r>
      <w:r w:rsidR="008B3B30">
        <w:rPr>
          <w:rFonts w:ascii="Arial" w:eastAsia="Arial" w:hAnsi="Arial" w:cs="Arial"/>
          <w:sz w:val="22"/>
          <w:szCs w:val="22"/>
        </w:rPr>
        <w:t xml:space="preserve"> may be interchangeable in models of multi-host infection dynamics.</w:t>
      </w:r>
      <w:r w:rsidR="003E30E3">
        <w:rPr>
          <w:rFonts w:ascii="Arial" w:eastAsia="Arial" w:hAnsi="Arial" w:cs="Arial"/>
          <w:sz w:val="22"/>
          <w:szCs w:val="22"/>
        </w:rPr>
        <w:t xml:space="preserve"> </w:t>
      </w:r>
      <w:r w:rsidR="00542527">
        <w:rPr>
          <w:rFonts w:ascii="Arial" w:eastAsia="Arial" w:hAnsi="Arial" w:cs="Arial"/>
          <w:sz w:val="22"/>
          <w:szCs w:val="22"/>
        </w:rPr>
        <w:t>Teasing apart species-specific contributions to pathogen transmission</w:t>
      </w:r>
      <w:r w:rsidR="00EE2069">
        <w:rPr>
          <w:rFonts w:ascii="Arial" w:eastAsia="Arial" w:hAnsi="Arial" w:cs="Arial"/>
          <w:sz w:val="22"/>
          <w:szCs w:val="22"/>
        </w:rPr>
        <w:t xml:space="preserve"> </w:t>
      </w:r>
      <w:r w:rsidR="00271EF9">
        <w:rPr>
          <w:rFonts w:ascii="Arial" w:eastAsia="Arial" w:hAnsi="Arial" w:cs="Arial"/>
          <w:sz w:val="22"/>
          <w:szCs w:val="22"/>
        </w:rPr>
        <w:t>and maintenance</w:t>
      </w:r>
      <w:r w:rsidR="00542527">
        <w:rPr>
          <w:rFonts w:ascii="Arial" w:eastAsia="Arial" w:hAnsi="Arial" w:cs="Arial"/>
          <w:sz w:val="22"/>
          <w:szCs w:val="22"/>
        </w:rPr>
        <w:t xml:space="preserve"> is </w:t>
      </w:r>
      <w:r w:rsidR="00C74BF0">
        <w:rPr>
          <w:rFonts w:ascii="Arial" w:eastAsia="Arial" w:hAnsi="Arial" w:cs="Arial"/>
          <w:sz w:val="22"/>
          <w:szCs w:val="22"/>
        </w:rPr>
        <w:t xml:space="preserve">both </w:t>
      </w:r>
      <w:r w:rsidR="00542527">
        <w:rPr>
          <w:rFonts w:ascii="Arial" w:eastAsia="Arial" w:hAnsi="Arial" w:cs="Arial"/>
          <w:sz w:val="22"/>
          <w:szCs w:val="22"/>
        </w:rPr>
        <w:t>important</w:t>
      </w:r>
      <w:r w:rsidR="00C74BF0">
        <w:rPr>
          <w:rFonts w:ascii="Arial" w:eastAsia="Arial" w:hAnsi="Arial" w:cs="Arial"/>
          <w:sz w:val="22"/>
          <w:szCs w:val="22"/>
        </w:rPr>
        <w:t xml:space="preserve"> and</w:t>
      </w:r>
      <w:r w:rsidR="00542527">
        <w:rPr>
          <w:rFonts w:ascii="Arial" w:eastAsia="Arial" w:hAnsi="Arial" w:cs="Arial"/>
          <w:sz w:val="22"/>
          <w:szCs w:val="22"/>
        </w:rPr>
        <w:t xml:space="preserve"> a major logistical challenge, and experimental data is vital to clarifying understanding of transmission dynamics in </w:t>
      </w:r>
      <w:r w:rsidR="004A0118">
        <w:rPr>
          <w:rFonts w:ascii="Arial" w:eastAsia="Arial" w:hAnsi="Arial" w:cs="Arial"/>
          <w:sz w:val="22"/>
          <w:szCs w:val="22"/>
        </w:rPr>
        <w:t xml:space="preserve">such potentially </w:t>
      </w:r>
      <w:r w:rsidR="00542527">
        <w:rPr>
          <w:rFonts w:ascii="Arial" w:eastAsia="Arial" w:hAnsi="Arial" w:cs="Arial"/>
          <w:sz w:val="22"/>
          <w:szCs w:val="22"/>
        </w:rPr>
        <w:t>complex systems. In particular, t</w:t>
      </w:r>
      <w:r w:rsidR="008B3B30">
        <w:rPr>
          <w:rFonts w:ascii="Arial" w:eastAsia="Arial" w:hAnsi="Arial" w:cs="Arial"/>
          <w:sz w:val="22"/>
          <w:szCs w:val="22"/>
        </w:rPr>
        <w:t>his work builds on</w:t>
      </w:r>
      <w:r w:rsidR="006A7303">
        <w:rPr>
          <w:rFonts w:ascii="Arial" w:eastAsia="Arial" w:hAnsi="Arial" w:cs="Arial"/>
          <w:sz w:val="22"/>
          <w:szCs w:val="22"/>
        </w:rPr>
        <w:t xml:space="preserve"> findings </w:t>
      </w:r>
      <w:r w:rsidR="008B3B30">
        <w:rPr>
          <w:rFonts w:ascii="Arial" w:eastAsia="Arial" w:hAnsi="Arial" w:cs="Arial"/>
          <w:sz w:val="22"/>
          <w:szCs w:val="22"/>
        </w:rPr>
        <w:t>from</w:t>
      </w:r>
      <w:r w:rsidR="006A7303">
        <w:rPr>
          <w:rFonts w:ascii="Arial" w:eastAsia="Arial" w:hAnsi="Arial" w:cs="Arial"/>
          <w:sz w:val="22"/>
          <w:szCs w:val="22"/>
        </w:rPr>
        <w:t xml:space="preserve"> </w:t>
      </w:r>
      <w:r w:rsidR="00722E03">
        <w:rPr>
          <w:rFonts w:ascii="Arial" w:eastAsia="Arial" w:hAnsi="Arial" w:cs="Arial"/>
          <w:sz w:val="22"/>
          <w:szCs w:val="22"/>
        </w:rPr>
        <w:t>related</w:t>
      </w:r>
      <w:r w:rsidR="006A7303">
        <w:rPr>
          <w:rFonts w:ascii="Arial" w:eastAsia="Arial" w:hAnsi="Arial" w:cs="Arial"/>
          <w:sz w:val="22"/>
          <w:szCs w:val="22"/>
        </w:rPr>
        <w:t xml:space="preserve"> </w:t>
      </w:r>
      <w:r w:rsidR="008B3B30">
        <w:rPr>
          <w:rFonts w:ascii="Arial" w:eastAsia="Arial" w:hAnsi="Arial" w:cs="Arial"/>
          <w:sz w:val="22"/>
          <w:szCs w:val="22"/>
        </w:rPr>
        <w:t xml:space="preserve">studies </w:t>
      </w:r>
      <w:r w:rsidR="00D11849">
        <w:rPr>
          <w:rFonts w:ascii="Arial" w:eastAsia="Arial" w:hAnsi="Arial" w:cs="Arial"/>
          <w:sz w:val="22"/>
          <w:szCs w:val="22"/>
        </w:rPr>
        <w:fldChar w:fldCharType="begin"/>
      </w:r>
      <w:r w:rsidR="00D11849">
        <w:rPr>
          <w:rFonts w:ascii="Arial" w:eastAsia="Arial" w:hAnsi="Arial" w:cs="Arial"/>
          <w:sz w:val="22"/>
          <w:szCs w:val="22"/>
        </w:rPr>
        <w:instrText xml:space="preserve"> ADDIN ZOTERO_ITEM CSL_CITATION {"citationID":"Ygjpuokb","properties":{"formattedCitation":"(Gervasi et al. 2013; Venesky et al. 2014; Han et al. 2015)","plainCitation":"(Gervasi et al. 2013; Venesky et al. 2014; Han et al. 2015)","noteIndex":0},"citationItems":[{"id":4365,"uris":["http://zotero.org/users/865335/items/JZ224W3M"],"uri":["http://zotero.org/users/865335/items/JZ224W3M"],"itemData":{"id":4365,"type":"article-journal","container-title":"PLoS ONE","DOI":"10.1371/journal.pone.0054490","ISSN":"1932-6203","issue":"1","language":"en","page":"e54490","source":"CrossRef","title":"Host identity matters in the amphibian-&lt;i&gt;Batrachochytrium dendrobatidis&lt;/i&gt; system: Fine-scale patterns of variation in responses to a multi-host pathogen","title-short":"Host Identity Matters in the Amphibian-Batrachochytrium dendrobatidis System","volume":"8","author":[{"family":"Gervasi","given":"Stephanie"},{"family":"Gondhalekar","given":"Carmen"},{"family":"Olson","given":"Deanna H."},{"family":"Blaustein","given":"Andrew R."}],"editor":[{"family":"Gratwicke","given":"Brian"}],"issued":{"date-parts":[["2013",1,24]]}}},{"id":3104,"uris":["http://zotero.org/users/865335/items/XZ92VR6J"],"uri":["http://zotero.org/users/865335/items/XZ92VR6J"],"itemData":{"id":3104,"type":"article-journal","container-title":"Journal of Animal Ecology","DOI":"10.1111/1365-2656.12159","ISSN":"00218790","issue":"3","language":"en","page":"557-565","source":"CrossRef","title":"Linking manipulative experiments to field data to test the dilution effect","volume":"83","author":[{"family":"Venesky","given":"Matthew D."},{"family":"Liu","given":"Xuan"},{"family":"Sauer","given":"Erin L."},{"family":"Rohr","given":"Jason R."}],"editor":[{"family":"Boots","given":"Mike"}],"issued":{"date-parts":[["2014",5]]}}},{"id":2948,"uris":["http://zotero.org/users/865335/items/MPW4GF6I"],"uri":["http://zotero.org/users/865335/items/MPW4GF6I"],"itemData":{"id":2948,"type":"article-journal","container-title":"Ecology and Evolution","DOI":"10.1002/ece3.1385","ISSN":"20457758","issue":"7","language":"en","page":"1432-1439","source":"CrossRef","title":"Host species composition influences infection severity among amphibians in the absence of spillover transmission","volume":"5","author":[{"family":"Han","given":"Barbara A."},{"family":"Kerby","given":"Jacob L."},{"family":"Searle","given":"Catherine L."},{"family":"Storfer","given":"Andrew"},{"family":"Blaustein","given":"Andrew R."}],"issued":{"date-parts":[["2015",4]]}}}],"schema":"https://github.com/citation-style-language/schema/raw/master/csl-citation.json"} </w:instrText>
      </w:r>
      <w:r w:rsidR="00D11849">
        <w:rPr>
          <w:rFonts w:ascii="Arial" w:eastAsia="Arial" w:hAnsi="Arial" w:cs="Arial"/>
          <w:sz w:val="22"/>
          <w:szCs w:val="22"/>
        </w:rPr>
        <w:fldChar w:fldCharType="separate"/>
      </w:r>
      <w:r w:rsidR="00CE3F95">
        <w:rPr>
          <w:rFonts w:ascii="Arial" w:eastAsia="Arial" w:hAnsi="Arial" w:cs="Arial"/>
          <w:noProof/>
          <w:sz w:val="22"/>
          <w:szCs w:val="22"/>
        </w:rPr>
        <w:t xml:space="preserve">(Gervasi et al. </w:t>
      </w:r>
      <w:r w:rsidR="00CE3F95">
        <w:rPr>
          <w:rFonts w:ascii="Arial" w:eastAsia="Arial" w:hAnsi="Arial" w:cs="Arial"/>
          <w:noProof/>
          <w:sz w:val="22"/>
          <w:szCs w:val="22"/>
        </w:rPr>
        <w:lastRenderedPageBreak/>
        <w:t>2013; Venesky et al. 2014; Han et al. 2015)</w:t>
      </w:r>
      <w:r w:rsidR="00D11849">
        <w:rPr>
          <w:rFonts w:ascii="Arial" w:eastAsia="Arial" w:hAnsi="Arial" w:cs="Arial"/>
          <w:sz w:val="22"/>
          <w:szCs w:val="22"/>
        </w:rPr>
        <w:fldChar w:fldCharType="end"/>
      </w:r>
      <w:r w:rsidR="00722E03">
        <w:rPr>
          <w:rFonts w:ascii="Arial" w:eastAsia="Arial" w:hAnsi="Arial" w:cs="Arial"/>
          <w:sz w:val="22"/>
          <w:szCs w:val="22"/>
        </w:rPr>
        <w:t xml:space="preserve"> </w:t>
      </w:r>
      <w:r w:rsidR="006A7303">
        <w:rPr>
          <w:rFonts w:ascii="Arial" w:eastAsia="Arial" w:hAnsi="Arial" w:cs="Arial"/>
          <w:sz w:val="22"/>
          <w:szCs w:val="22"/>
        </w:rPr>
        <w:t xml:space="preserve">to show that there </w:t>
      </w:r>
      <w:r w:rsidR="00641AE5">
        <w:rPr>
          <w:rFonts w:ascii="Arial" w:eastAsia="Arial" w:hAnsi="Arial" w:cs="Arial"/>
          <w:sz w:val="22"/>
          <w:szCs w:val="22"/>
        </w:rPr>
        <w:t>can be</w:t>
      </w:r>
      <w:r w:rsidR="006A7303">
        <w:rPr>
          <w:rFonts w:ascii="Arial" w:eastAsia="Arial" w:hAnsi="Arial" w:cs="Arial"/>
          <w:sz w:val="22"/>
          <w:szCs w:val="22"/>
        </w:rPr>
        <w:t xml:space="preserve"> limits to </w:t>
      </w:r>
      <w:r w:rsidR="00436964">
        <w:rPr>
          <w:rFonts w:ascii="Arial" w:eastAsia="Arial" w:hAnsi="Arial" w:cs="Arial"/>
          <w:sz w:val="22"/>
          <w:szCs w:val="22"/>
        </w:rPr>
        <w:t>the importance of</w:t>
      </w:r>
      <w:r w:rsidR="006A7303">
        <w:rPr>
          <w:rFonts w:ascii="Arial" w:eastAsia="Arial" w:hAnsi="Arial" w:cs="Arial"/>
          <w:sz w:val="22"/>
          <w:szCs w:val="22"/>
        </w:rPr>
        <w:t xml:space="preserve"> host species identities in </w:t>
      </w:r>
      <w:r w:rsidR="00436964">
        <w:rPr>
          <w:rFonts w:ascii="Arial" w:eastAsia="Arial" w:hAnsi="Arial" w:cs="Arial"/>
          <w:sz w:val="22"/>
          <w:szCs w:val="22"/>
        </w:rPr>
        <w:t>multi-host infection dynamics</w:t>
      </w:r>
      <w:r w:rsidR="006A7303">
        <w:rPr>
          <w:rFonts w:ascii="Arial" w:eastAsia="Arial" w:hAnsi="Arial" w:cs="Arial"/>
          <w:sz w:val="22"/>
          <w:szCs w:val="22"/>
        </w:rPr>
        <w:t>.</w:t>
      </w:r>
      <w:r w:rsidR="00436964">
        <w:rPr>
          <w:rFonts w:ascii="Arial" w:eastAsia="Arial" w:hAnsi="Arial" w:cs="Arial"/>
          <w:sz w:val="22"/>
          <w:szCs w:val="22"/>
        </w:rPr>
        <w:t xml:space="preserve"> </w:t>
      </w:r>
    </w:p>
    <w:p w14:paraId="183AAC03" w14:textId="77777777" w:rsidR="00BF3D8E" w:rsidRDefault="00BF3D8E">
      <w:pPr>
        <w:spacing w:line="480" w:lineRule="auto"/>
        <w:rPr>
          <w:rFonts w:ascii="Arial" w:eastAsia="Arial" w:hAnsi="Arial" w:cs="Arial"/>
          <w:b/>
          <w:sz w:val="22"/>
          <w:szCs w:val="22"/>
        </w:rPr>
      </w:pPr>
    </w:p>
    <w:p w14:paraId="1DE5BDFE" w14:textId="77777777" w:rsidR="00BF3D8E" w:rsidRDefault="00B11315" w:rsidP="00BF57BC">
      <w:pPr>
        <w:spacing w:line="480" w:lineRule="auto"/>
        <w:jc w:val="center"/>
        <w:rPr>
          <w:rFonts w:ascii="Arial" w:eastAsia="Arial" w:hAnsi="Arial" w:cs="Arial"/>
          <w:b/>
          <w:sz w:val="22"/>
          <w:szCs w:val="22"/>
        </w:rPr>
      </w:pPr>
      <w:r>
        <w:rPr>
          <w:rFonts w:ascii="Arial" w:eastAsia="Arial" w:hAnsi="Arial" w:cs="Arial"/>
          <w:b/>
          <w:sz w:val="22"/>
          <w:szCs w:val="22"/>
        </w:rPr>
        <w:t>Acknowledgements</w:t>
      </w:r>
    </w:p>
    <w:p w14:paraId="11B67704" w14:textId="7317BF20" w:rsidR="00BF3D8E" w:rsidRDefault="00B11315" w:rsidP="005D447A">
      <w:pPr>
        <w:spacing w:line="480" w:lineRule="auto"/>
        <w:rPr>
          <w:rFonts w:ascii="Arial" w:eastAsia="Arial" w:hAnsi="Arial" w:cs="Arial"/>
          <w:sz w:val="22"/>
          <w:szCs w:val="22"/>
        </w:rPr>
      </w:pPr>
      <w:r>
        <w:rPr>
          <w:rFonts w:ascii="Arial" w:eastAsia="Arial" w:hAnsi="Arial" w:cs="Arial"/>
          <w:sz w:val="22"/>
          <w:szCs w:val="22"/>
        </w:rPr>
        <w:t xml:space="preserve">We thank Matthew Fisher for collecting and housing the </w:t>
      </w:r>
      <w:r>
        <w:rPr>
          <w:rFonts w:ascii="Arial" w:eastAsia="Arial" w:hAnsi="Arial" w:cs="Arial"/>
          <w:i/>
          <w:sz w:val="22"/>
          <w:szCs w:val="22"/>
        </w:rPr>
        <w:t>Bd</w:t>
      </w:r>
      <w:r>
        <w:rPr>
          <w:rFonts w:ascii="Arial" w:eastAsia="Arial" w:hAnsi="Arial" w:cs="Arial"/>
          <w:sz w:val="22"/>
          <w:szCs w:val="22"/>
        </w:rPr>
        <w:t xml:space="preserve">-GPL isolates used in our experiments; Celia Serano for her work in collecting animals, running the mesocosm experiment, and processing samples for </w:t>
      </w:r>
      <w:r>
        <w:rPr>
          <w:rFonts w:ascii="Arial" w:eastAsia="Arial" w:hAnsi="Arial" w:cs="Arial"/>
          <w:i/>
          <w:sz w:val="22"/>
          <w:szCs w:val="22"/>
        </w:rPr>
        <w:t>Bd</w:t>
      </w:r>
      <w:r>
        <w:rPr>
          <w:rFonts w:ascii="Arial" w:eastAsia="Arial" w:hAnsi="Arial" w:cs="Arial"/>
          <w:sz w:val="22"/>
          <w:szCs w:val="22"/>
        </w:rPr>
        <w:t xml:space="preserve"> detection; the Lloyd-Smith lab at the University of California, Los Angeles and the ‘</w:t>
      </w:r>
      <w:r>
        <w:rPr>
          <w:rFonts w:ascii="Arial" w:eastAsia="Arial" w:hAnsi="Arial" w:cs="Arial"/>
          <w:i/>
          <w:sz w:val="22"/>
          <w:szCs w:val="22"/>
        </w:rPr>
        <w:t>EGLIDE</w:t>
      </w:r>
      <w:r>
        <w:rPr>
          <w:rFonts w:ascii="Arial" w:eastAsia="Arial" w:hAnsi="Arial" w:cs="Arial"/>
          <w:sz w:val="22"/>
          <w:szCs w:val="22"/>
        </w:rPr>
        <w:t>’ group of the Universities of Liverpool, Edinburgh and Glasgow for helpful comments on the study. This work was funded by a grant from the Natural Environment Research Council, UK (grant number NE/N009800/1) awarded to AF, TWJG and AM.</w:t>
      </w:r>
    </w:p>
    <w:p w14:paraId="710C327F" w14:textId="77777777" w:rsidR="005D447A" w:rsidRDefault="005D447A" w:rsidP="005D447A">
      <w:pPr>
        <w:spacing w:line="480" w:lineRule="auto"/>
        <w:rPr>
          <w:rFonts w:ascii="Arial" w:eastAsia="Arial" w:hAnsi="Arial" w:cs="Arial"/>
          <w:sz w:val="22"/>
          <w:szCs w:val="22"/>
        </w:rPr>
      </w:pPr>
    </w:p>
    <w:p w14:paraId="7EEACE40" w14:textId="77777777" w:rsidR="00BF57BC" w:rsidRDefault="00BF57BC" w:rsidP="00BF57BC">
      <w:pPr>
        <w:spacing w:line="480" w:lineRule="auto"/>
        <w:jc w:val="center"/>
        <w:rPr>
          <w:rFonts w:ascii="Arial" w:eastAsia="Arial" w:hAnsi="Arial" w:cs="Arial"/>
          <w:b/>
          <w:sz w:val="22"/>
          <w:szCs w:val="22"/>
        </w:rPr>
      </w:pPr>
      <w:r>
        <w:rPr>
          <w:rFonts w:ascii="Arial" w:eastAsia="Arial" w:hAnsi="Arial" w:cs="Arial"/>
          <w:b/>
          <w:sz w:val="22"/>
          <w:szCs w:val="22"/>
        </w:rPr>
        <w:t>Statement of Authorship</w:t>
      </w:r>
    </w:p>
    <w:p w14:paraId="57FC0272" w14:textId="34D86278" w:rsidR="00F54DD8" w:rsidRDefault="00F54DD8" w:rsidP="005D447A">
      <w:pPr>
        <w:spacing w:line="480" w:lineRule="auto"/>
        <w:jc w:val="both"/>
        <w:rPr>
          <w:rFonts w:ascii="Arial" w:eastAsia="Arial" w:hAnsi="Arial" w:cs="Arial"/>
          <w:sz w:val="22"/>
          <w:szCs w:val="22"/>
        </w:rPr>
      </w:pPr>
      <w:r>
        <w:rPr>
          <w:rFonts w:ascii="Arial" w:eastAsia="Arial" w:hAnsi="Arial" w:cs="Arial"/>
          <w:sz w:val="22"/>
          <w:szCs w:val="22"/>
        </w:rPr>
        <w:t>All authors contributed to the original idea and design for the study. JB led animal collection and husbandry and ran the experiments. DRD, AF and AM executed the data analys</w:t>
      </w:r>
      <w:r w:rsidR="004A0118">
        <w:rPr>
          <w:rFonts w:ascii="Arial" w:eastAsia="Arial" w:hAnsi="Arial" w:cs="Arial"/>
          <w:sz w:val="22"/>
          <w:szCs w:val="22"/>
        </w:rPr>
        <w:t>e</w:t>
      </w:r>
      <w:r>
        <w:rPr>
          <w:rFonts w:ascii="Arial" w:eastAsia="Arial" w:hAnsi="Arial" w:cs="Arial"/>
          <w:sz w:val="22"/>
          <w:szCs w:val="22"/>
        </w:rPr>
        <w:t xml:space="preserve">s. AF completed the predictive disease modelling. DRD wrote the original draft of the manuscript, which was improved through revision by all co-authors. </w:t>
      </w:r>
    </w:p>
    <w:p w14:paraId="79F6ADF8" w14:textId="77777777" w:rsidR="00F54DD8" w:rsidRDefault="00F54DD8" w:rsidP="005D447A">
      <w:pPr>
        <w:spacing w:line="480" w:lineRule="auto"/>
        <w:rPr>
          <w:rFonts w:ascii="Arial" w:eastAsia="Arial" w:hAnsi="Arial" w:cs="Arial"/>
          <w:b/>
          <w:sz w:val="22"/>
          <w:szCs w:val="22"/>
        </w:rPr>
      </w:pPr>
    </w:p>
    <w:p w14:paraId="20A6C2E9" w14:textId="77777777" w:rsidR="00BF57BC" w:rsidRDefault="00F54DD8" w:rsidP="00BF57BC">
      <w:pPr>
        <w:spacing w:line="480" w:lineRule="auto"/>
        <w:jc w:val="center"/>
        <w:rPr>
          <w:rFonts w:ascii="Arial" w:eastAsia="Arial" w:hAnsi="Arial" w:cs="Arial"/>
          <w:b/>
          <w:sz w:val="22"/>
          <w:szCs w:val="22"/>
        </w:rPr>
      </w:pPr>
      <w:r>
        <w:rPr>
          <w:rFonts w:ascii="Arial" w:eastAsia="Arial" w:hAnsi="Arial" w:cs="Arial"/>
          <w:b/>
          <w:sz w:val="22"/>
          <w:szCs w:val="22"/>
        </w:rPr>
        <w:t xml:space="preserve">Data </w:t>
      </w:r>
      <w:r w:rsidR="00BF57BC">
        <w:rPr>
          <w:rFonts w:ascii="Arial" w:eastAsia="Arial" w:hAnsi="Arial" w:cs="Arial"/>
          <w:b/>
          <w:sz w:val="22"/>
          <w:szCs w:val="22"/>
        </w:rPr>
        <w:t xml:space="preserve">code and </w:t>
      </w:r>
      <w:r>
        <w:rPr>
          <w:rFonts w:ascii="Arial" w:eastAsia="Arial" w:hAnsi="Arial" w:cs="Arial"/>
          <w:b/>
          <w:sz w:val="22"/>
          <w:szCs w:val="22"/>
        </w:rPr>
        <w:t>accessibility</w:t>
      </w:r>
    </w:p>
    <w:p w14:paraId="077D0C24" w14:textId="47E1131B" w:rsidR="00F54DD8" w:rsidRPr="00875BF7" w:rsidRDefault="00F54DD8" w:rsidP="005D447A">
      <w:pPr>
        <w:spacing w:line="480" w:lineRule="auto"/>
      </w:pPr>
      <w:r>
        <w:rPr>
          <w:rFonts w:ascii="Arial" w:eastAsia="Arial" w:hAnsi="Arial" w:cs="Arial"/>
          <w:sz w:val="22"/>
          <w:szCs w:val="22"/>
        </w:rPr>
        <w:t xml:space="preserve">Raw data and R scripts are available on Dryad: </w:t>
      </w:r>
    </w:p>
    <w:p w14:paraId="63477D18" w14:textId="77777777" w:rsidR="00F54DD8" w:rsidRPr="00875BF7" w:rsidRDefault="00F54DD8" w:rsidP="005D447A">
      <w:pPr>
        <w:spacing w:line="480" w:lineRule="auto"/>
        <w:rPr>
          <w:rFonts w:ascii="Arial" w:hAnsi="Arial" w:cs="Arial"/>
          <w:sz w:val="22"/>
          <w:szCs w:val="22"/>
        </w:rPr>
      </w:pPr>
      <w:r w:rsidRPr="00875BF7">
        <w:rPr>
          <w:rFonts w:ascii="Arial" w:hAnsi="Arial" w:cs="Arial"/>
          <w:sz w:val="22"/>
          <w:szCs w:val="22"/>
        </w:rPr>
        <w:t>https://datadryad.org/stash/share/ij67wH2jleTeuYAk8ElqO7_mCLwrP7c2-2wTjrZgbvE</w:t>
      </w:r>
    </w:p>
    <w:p w14:paraId="2000A1B5" w14:textId="77777777" w:rsidR="00BF3D8E" w:rsidRDefault="00BF3D8E">
      <w:pPr>
        <w:spacing w:line="360" w:lineRule="auto"/>
        <w:rPr>
          <w:rFonts w:ascii="Arial" w:eastAsia="Arial" w:hAnsi="Arial" w:cs="Arial"/>
          <w:sz w:val="22"/>
          <w:szCs w:val="22"/>
        </w:rPr>
      </w:pPr>
    </w:p>
    <w:p w14:paraId="53485AA5" w14:textId="406EA949" w:rsidR="00BF3D8E" w:rsidRDefault="00BF57BC" w:rsidP="00BF57BC">
      <w:pPr>
        <w:spacing w:line="480" w:lineRule="auto"/>
        <w:jc w:val="center"/>
        <w:rPr>
          <w:rFonts w:ascii="Arial" w:eastAsia="Arial" w:hAnsi="Arial" w:cs="Arial"/>
          <w:b/>
          <w:sz w:val="22"/>
          <w:szCs w:val="22"/>
        </w:rPr>
      </w:pPr>
      <w:r>
        <w:rPr>
          <w:rFonts w:ascii="Arial" w:eastAsia="Arial" w:hAnsi="Arial" w:cs="Arial"/>
          <w:b/>
          <w:sz w:val="22"/>
          <w:szCs w:val="22"/>
        </w:rPr>
        <w:t>Literature Cited</w:t>
      </w:r>
    </w:p>
    <w:p w14:paraId="60190AF6" w14:textId="77777777" w:rsidR="00A8738E" w:rsidRPr="00A8738E" w:rsidRDefault="00CE3F95" w:rsidP="002E426E">
      <w:pPr>
        <w:pStyle w:val="Bibliography"/>
        <w:spacing w:line="480" w:lineRule="auto"/>
      </w:pPr>
      <w:r>
        <w:fldChar w:fldCharType="begin"/>
      </w:r>
      <w:r>
        <w:instrText xml:space="preserve"> ADDIN ZOTERO_BIBL {"uncited":[],"omitted":[],"custom":[]} CSL_BIBLIOGRAPHY </w:instrText>
      </w:r>
      <w:r>
        <w:fldChar w:fldCharType="separate"/>
      </w:r>
      <w:r w:rsidR="00A8738E" w:rsidRPr="00A8738E">
        <w:t>Bielby, J., M. C. Fisher, F. C. Clare, G. M. Rosa, and T. W. J. Garner. 2015. Host species vary in infection probability, sub-lethal effects, and costs of immune response when exposed to an amphibian parasite. Scientific Reports 5:10828.</w:t>
      </w:r>
    </w:p>
    <w:p w14:paraId="3BC65ED4" w14:textId="77777777" w:rsidR="00A8738E" w:rsidRPr="00A8738E" w:rsidRDefault="00A8738E" w:rsidP="002E426E">
      <w:pPr>
        <w:pStyle w:val="Bibliography"/>
        <w:spacing w:line="480" w:lineRule="auto"/>
      </w:pPr>
      <w:r w:rsidRPr="00A8738E">
        <w:lastRenderedPageBreak/>
        <w:t xml:space="preserve">Bosch, J., L. M. Carrascal, A. Manica, and T. W. J. Garner. 2020. Significant reductions of host abundance weakly impact infection intensity of </w:t>
      </w:r>
      <w:r w:rsidRPr="00A8738E">
        <w:rPr>
          <w:i/>
          <w:iCs/>
        </w:rPr>
        <w:t>Batrachochytrium dendrobatidis</w:t>
      </w:r>
      <w:r w:rsidRPr="00A8738E">
        <w:t>. PLOS ONE 15:e0242913.</w:t>
      </w:r>
    </w:p>
    <w:p w14:paraId="4430AE3A" w14:textId="77777777" w:rsidR="00A8738E" w:rsidRPr="00A8738E" w:rsidRDefault="00A8738E" w:rsidP="002E426E">
      <w:pPr>
        <w:pStyle w:val="Bibliography"/>
        <w:spacing w:line="480" w:lineRule="auto"/>
      </w:pPr>
      <w:r w:rsidRPr="00A8738E">
        <w:t>Bosch, J., S. Fernández-Beaskoetxea, T. W. J. Garner, and L. M. Carrascal. 2018. Long-term monitoring of an amphibian community after a climate change- and infectious disease-driven species extirpation. Global Change Biology 24:2622–2632.</w:t>
      </w:r>
    </w:p>
    <w:p w14:paraId="1A98BE4A" w14:textId="77777777" w:rsidR="00A8738E" w:rsidRPr="00A8738E" w:rsidRDefault="00A8738E" w:rsidP="002E426E">
      <w:pPr>
        <w:pStyle w:val="Bibliography"/>
        <w:spacing w:line="480" w:lineRule="auto"/>
      </w:pPr>
      <w:r w:rsidRPr="00A8738E">
        <w:t>Bosch, J., I. Martı́nez-Solano, and M. Garcı́a-Parı́s. 2001. Evidence of a chytrid fungus infection involved in the decline of the common midwife toad (</w:t>
      </w:r>
      <w:r w:rsidRPr="00A8738E">
        <w:rPr>
          <w:i/>
          <w:iCs/>
        </w:rPr>
        <w:t>Alytes obstetricans</w:t>
      </w:r>
      <w:r w:rsidRPr="00A8738E">
        <w:t>) in protected areas of central Spain. Biological conservation 97:331–337.</w:t>
      </w:r>
    </w:p>
    <w:p w14:paraId="70C8E0D7" w14:textId="77777777" w:rsidR="00A8738E" w:rsidRPr="00A8738E" w:rsidRDefault="00A8738E" w:rsidP="002E426E">
      <w:pPr>
        <w:pStyle w:val="Bibliography"/>
        <w:spacing w:line="480" w:lineRule="auto"/>
      </w:pPr>
      <w:r w:rsidRPr="00A8738E">
        <w:t>Boyle, D. G., D. B. Boyle, V. Olsen, J. A. T. Morgan, and A. D. Hyatt. 2004. Rapid quantitative detection of chytridiomycosis (</w:t>
      </w:r>
      <w:r w:rsidRPr="00A8738E">
        <w:rPr>
          <w:i/>
          <w:iCs/>
        </w:rPr>
        <w:t>Batrachochytrium dendrobatidis</w:t>
      </w:r>
      <w:r w:rsidRPr="00A8738E">
        <w:t>) in amphibian samples using real-time Taqman PCR assay. Diseases of aquatic organisms 60:141–148.</w:t>
      </w:r>
    </w:p>
    <w:p w14:paraId="65668EA4" w14:textId="77777777" w:rsidR="00A8738E" w:rsidRPr="00A8738E" w:rsidRDefault="00A8738E" w:rsidP="002E426E">
      <w:pPr>
        <w:pStyle w:val="Bibliography"/>
        <w:spacing w:line="480" w:lineRule="auto"/>
      </w:pPr>
      <w:r w:rsidRPr="00A8738E">
        <w:t>Briggs, C. J., R. A. Knapp, and V. T. Vredenburg. 2010. Enzootic and epizootic dynamics of the chytrid fungal pathogen of amphibians. Proceedings of the National Academy of Sciences 107:9695–9700.</w:t>
      </w:r>
    </w:p>
    <w:p w14:paraId="2A7B1135" w14:textId="77777777" w:rsidR="00A8738E" w:rsidRPr="00A8738E" w:rsidRDefault="00A8738E" w:rsidP="002E426E">
      <w:pPr>
        <w:pStyle w:val="Bibliography"/>
        <w:spacing w:line="480" w:lineRule="auto"/>
      </w:pPr>
      <w:r w:rsidRPr="00A8738E">
        <w:t>Burnham, K. P., and D. R. Anderson. 2002. Model selection and multimodel inference: a practical information-theoretic approach. Springer, New York, NY.</w:t>
      </w:r>
    </w:p>
    <w:p w14:paraId="4E4FD9BF" w14:textId="77777777" w:rsidR="00A8738E" w:rsidRPr="00A8738E" w:rsidRDefault="00A8738E" w:rsidP="002E426E">
      <w:pPr>
        <w:pStyle w:val="Bibliography"/>
        <w:spacing w:line="480" w:lineRule="auto"/>
      </w:pPr>
      <w:r w:rsidRPr="00A8738E">
        <w:t xml:space="preserve">Clare, F., O. Daniel, T. Garner, and M. Fisher. 2016. Assessing the ability of swab data to determine the true burden of infection for the amphibian pathogen </w:t>
      </w:r>
      <w:r w:rsidRPr="00A8738E">
        <w:rPr>
          <w:i/>
          <w:iCs/>
        </w:rPr>
        <w:t>Batrachochytrium dendrobatidis</w:t>
      </w:r>
      <w:r w:rsidRPr="00A8738E">
        <w:t>. EcoHealth 13:360–367.</w:t>
      </w:r>
    </w:p>
    <w:p w14:paraId="686156C4" w14:textId="77777777" w:rsidR="00A8738E" w:rsidRPr="00A8738E" w:rsidRDefault="00A8738E" w:rsidP="002E426E">
      <w:pPr>
        <w:pStyle w:val="Bibliography"/>
        <w:spacing w:line="480" w:lineRule="auto"/>
      </w:pPr>
      <w:r w:rsidRPr="00A8738E">
        <w:t>Cleaveland, S., M. K. Laurenson, and L. H. Taylor. 2001. Diseases of humans and their domestic mammals: pathogen characteristics, host range and the risk of emergence. (M. E. J. Woolhouse &amp; C. Dye, eds.)Philosophical Transactions of the Royal Society of London. Series B: Biological Sciences 356:991–999.</w:t>
      </w:r>
    </w:p>
    <w:p w14:paraId="794A89FF" w14:textId="77777777" w:rsidR="00A8738E" w:rsidRPr="00A8738E" w:rsidRDefault="00A8738E" w:rsidP="002E426E">
      <w:pPr>
        <w:pStyle w:val="Bibliography"/>
        <w:spacing w:line="480" w:lineRule="auto"/>
      </w:pPr>
      <w:r w:rsidRPr="00A8738E">
        <w:lastRenderedPageBreak/>
        <w:t xml:space="preserve">Daversa, D., J. Bosch, A. Manica, T. Garner, and A. Fenton. 2022. Host identity matters – up to a point: the community context of </w:t>
      </w:r>
      <w:r w:rsidRPr="00DF691A">
        <w:rPr>
          <w:i/>
          <w:iCs/>
        </w:rPr>
        <w:t>Batrachochytrium dendrobatidis</w:t>
      </w:r>
      <w:r w:rsidRPr="00A8738E">
        <w:t xml:space="preserve"> transmission. Dryad, Dataset.</w:t>
      </w:r>
    </w:p>
    <w:p w14:paraId="3B9CF1F3" w14:textId="716CBB26" w:rsidR="00A8738E" w:rsidRPr="00A8738E" w:rsidRDefault="00A8738E" w:rsidP="002E426E">
      <w:pPr>
        <w:pStyle w:val="Bibliography"/>
        <w:spacing w:line="480" w:lineRule="auto"/>
      </w:pPr>
      <w:r w:rsidRPr="00A8738E">
        <w:t>Daversa, D. R., A. Manica, J. Bosch, J. W. Jolles, and T. W. J. Garner. 2018. Routine habitat switching alters the likelihood and persistence of infection with a pathogenic parasite. Functional Ecology 32:1262–1270.</w:t>
      </w:r>
    </w:p>
    <w:p w14:paraId="0EFAC9ED" w14:textId="77777777" w:rsidR="00A8738E" w:rsidRPr="00A8738E" w:rsidRDefault="00A8738E" w:rsidP="002E426E">
      <w:pPr>
        <w:pStyle w:val="Bibliography"/>
        <w:spacing w:line="480" w:lineRule="auto"/>
      </w:pPr>
      <w:r w:rsidRPr="00A8738E">
        <w:t>Fenton, A., and A. B. Pedersen. 2005. Community epidemiology framework for classifying disease threats. Emerging Infectious Diseases 11:1815–1821.</w:t>
      </w:r>
    </w:p>
    <w:p w14:paraId="462149FC" w14:textId="77777777" w:rsidR="00A8738E" w:rsidRPr="00A8738E" w:rsidRDefault="00A8738E" w:rsidP="002E426E">
      <w:pPr>
        <w:pStyle w:val="Bibliography"/>
        <w:spacing w:line="480" w:lineRule="auto"/>
      </w:pPr>
      <w:r w:rsidRPr="00A8738E">
        <w:t>Fenton, A., D. G. Streicker, O. L. Petchey, and A. B. Pedersen. 2015. Are all hosts created equal? Partitioning host species contributions to parasite persistence in multihost communities. The American Naturalist 186:610–622.</w:t>
      </w:r>
    </w:p>
    <w:p w14:paraId="06202DEE" w14:textId="77777777" w:rsidR="00A8738E" w:rsidRPr="00A8738E" w:rsidRDefault="00A8738E" w:rsidP="002E426E">
      <w:pPr>
        <w:pStyle w:val="Bibliography"/>
        <w:spacing w:line="480" w:lineRule="auto"/>
      </w:pPr>
      <w:r w:rsidRPr="00A8738E">
        <w:t>Fernández-Beaskoetxea, S., J. Bosch, and J. Bielby. 2016. Infection and transmission heterogeneity of a multi-host pathogen (</w:t>
      </w:r>
      <w:r w:rsidRPr="00DF691A">
        <w:rPr>
          <w:i/>
          <w:iCs/>
        </w:rPr>
        <w:t>Batrachochytrium dendrobatidis</w:t>
      </w:r>
      <w:r w:rsidRPr="00A8738E">
        <w:t>) within an amphibian community.</w:t>
      </w:r>
    </w:p>
    <w:p w14:paraId="1B8EADB9" w14:textId="77777777" w:rsidR="00A8738E" w:rsidRPr="00A8738E" w:rsidRDefault="00A8738E" w:rsidP="002E426E">
      <w:pPr>
        <w:pStyle w:val="Bibliography"/>
        <w:spacing w:line="480" w:lineRule="auto"/>
      </w:pPr>
      <w:r w:rsidRPr="00A8738E">
        <w:t xml:space="preserve">Garner, T. W. J., S. Walker, J. Bosch, S. Leech, J. Marcus Rowcliffe, A. A. Cunningham, and M. C. Fisher. 2009. Life history tradeoffs influence mortality associated with the amphibian pathogen </w:t>
      </w:r>
      <w:r w:rsidRPr="00A8738E">
        <w:rPr>
          <w:i/>
          <w:iCs/>
        </w:rPr>
        <w:t>Batrachochytrium dendrobatidis</w:t>
      </w:r>
      <w:r w:rsidRPr="00A8738E">
        <w:t>. Oikos 118:783–791.</w:t>
      </w:r>
    </w:p>
    <w:p w14:paraId="4BAB56C4" w14:textId="1840A0BA" w:rsidR="00A8738E" w:rsidRPr="00A8738E" w:rsidRDefault="00A8738E" w:rsidP="002E426E">
      <w:pPr>
        <w:pStyle w:val="Bibliography"/>
        <w:spacing w:line="480" w:lineRule="auto"/>
      </w:pPr>
      <w:r w:rsidRPr="00A8738E">
        <w:t>Gervasi, S., C. Gondhalekar, D. H. Olson, and A. R. Blaustein. 2013. Host identity matters in the amphibian-</w:t>
      </w:r>
      <w:r w:rsidRPr="00A8738E">
        <w:rPr>
          <w:i/>
          <w:iCs/>
        </w:rPr>
        <w:t>Batrachochytrium dendrobatidis</w:t>
      </w:r>
      <w:r w:rsidRPr="00A8738E">
        <w:t xml:space="preserve"> system: Fine-scale patterns of variation in responses to a multi-host pathogen. PLoS ONE 8:e54490.</w:t>
      </w:r>
    </w:p>
    <w:p w14:paraId="072C7EC3" w14:textId="77777777" w:rsidR="00A8738E" w:rsidRPr="00A8738E" w:rsidRDefault="00A8738E" w:rsidP="002E426E">
      <w:pPr>
        <w:pStyle w:val="Bibliography"/>
        <w:spacing w:line="480" w:lineRule="auto"/>
      </w:pPr>
      <w:r w:rsidRPr="00A8738E">
        <w:t>Graystock, P., W. H. Ng, K. Parks, A. D. Tripodi, P. A. Muñiz, A. A. Fersch, C. R. Myers, et al. 2020. Dominant bee species and floral abundance drive parasite temporal dynamics in plant-pollinator communities. Nature Ecology &amp; Evolution 4:1358–1367.</w:t>
      </w:r>
    </w:p>
    <w:p w14:paraId="5107C559" w14:textId="77777777" w:rsidR="00A8738E" w:rsidRPr="00A8738E" w:rsidRDefault="00A8738E" w:rsidP="002E426E">
      <w:pPr>
        <w:pStyle w:val="Bibliography"/>
        <w:spacing w:line="480" w:lineRule="auto"/>
      </w:pPr>
      <w:r w:rsidRPr="00A8738E">
        <w:lastRenderedPageBreak/>
        <w:t>Han, B. A., J. L. Kerby, C. L. Searle, A. Storfer, and A. R. Blaustein. 2015. Host species composition influences infection severity among amphibians in the absence of spillover transmission. Ecology and Evolution 5:1432–1439.</w:t>
      </w:r>
    </w:p>
    <w:p w14:paraId="322ABE40" w14:textId="77777777" w:rsidR="00A8738E" w:rsidRPr="00A8738E" w:rsidRDefault="00A8738E" w:rsidP="002E426E">
      <w:pPr>
        <w:pStyle w:val="Bibliography"/>
        <w:spacing w:line="480" w:lineRule="auto"/>
      </w:pPr>
      <w:r w:rsidRPr="00A8738E">
        <w:t>Harrison, X. A., L. Donaldson, M. E. Correa-Cano, J. Evans, D. N. Fisher, C. E. D. Goodwin, B. S. Robinson, et al. 2018. A brief introduction to mixed effects modelling and multi-model inference in ecology. PeerJ 6:e4794.</w:t>
      </w:r>
    </w:p>
    <w:p w14:paraId="2CD16BB4" w14:textId="0E88EC17" w:rsidR="00A8738E" w:rsidRPr="00A8738E" w:rsidRDefault="00A8738E" w:rsidP="002E426E">
      <w:pPr>
        <w:pStyle w:val="Bibliography"/>
        <w:spacing w:line="480" w:lineRule="auto"/>
      </w:pPr>
      <w:r w:rsidRPr="00A8738E">
        <w:t>Hartig, F., F. Minunno, and P. Stefan. 2019. BayesianTools: General-</w:t>
      </w:r>
      <w:r w:rsidR="00DF691A">
        <w:t>p</w:t>
      </w:r>
      <w:r w:rsidRPr="00A8738E">
        <w:t xml:space="preserve">urpose MCMC and SMC </w:t>
      </w:r>
      <w:r w:rsidR="00DF691A">
        <w:t>s</w:t>
      </w:r>
      <w:r w:rsidRPr="00A8738E">
        <w:t xml:space="preserve">amplers and </w:t>
      </w:r>
      <w:r w:rsidR="00DF691A">
        <w:t>t</w:t>
      </w:r>
      <w:r w:rsidRPr="00A8738E">
        <w:t xml:space="preserve">ools for </w:t>
      </w:r>
      <w:r w:rsidR="00DF691A">
        <w:t>B</w:t>
      </w:r>
      <w:r w:rsidRPr="00A8738E">
        <w:t xml:space="preserve">ayesian </w:t>
      </w:r>
      <w:r w:rsidR="00DF691A">
        <w:t>s</w:t>
      </w:r>
      <w:r w:rsidRPr="00A8738E">
        <w:t>tatistics.</w:t>
      </w:r>
    </w:p>
    <w:p w14:paraId="791D92AF" w14:textId="77777777" w:rsidR="00A8738E" w:rsidRPr="00A8738E" w:rsidRDefault="00A8738E" w:rsidP="002E426E">
      <w:pPr>
        <w:pStyle w:val="Bibliography"/>
        <w:spacing w:line="480" w:lineRule="auto"/>
      </w:pPr>
      <w:r w:rsidRPr="00A8738E">
        <w:t>Johnson, P. T. J., D. M. Calhoun, T. Riepe, T. McDevitt-Galles, and J. Koprivnikar. 2019. Community disassembly and disease: realistic—but not randomized—biodiversity losses enhance parasite transmission. Proceedings of the Royal Society B: Biological Sciences 286:20190260.</w:t>
      </w:r>
    </w:p>
    <w:p w14:paraId="7E91298C" w14:textId="77777777" w:rsidR="00A8738E" w:rsidRPr="00A8738E" w:rsidRDefault="00A8738E" w:rsidP="002E426E">
      <w:pPr>
        <w:pStyle w:val="Bibliography"/>
        <w:spacing w:line="480" w:lineRule="auto"/>
      </w:pPr>
      <w:r w:rsidRPr="00A8738E">
        <w:t>Johnson, P. T. J., J. C. de Roode, and A. Fenton. 2015. Why infectious disease research needs community ecology. Science 349:1259504–1259504.</w:t>
      </w:r>
    </w:p>
    <w:p w14:paraId="21F3E84E" w14:textId="77777777" w:rsidR="00A8738E" w:rsidRPr="00A8738E" w:rsidRDefault="00A8738E" w:rsidP="002E426E">
      <w:pPr>
        <w:pStyle w:val="Bibliography"/>
        <w:spacing w:line="480" w:lineRule="auto"/>
      </w:pPr>
      <w:r w:rsidRPr="00A8738E">
        <w:t>Johnson, P. T. J., D. L. Preston, J. T. Hoverman, and K. L. D. Richgels. 2013. Biodiversity decreases disease through predictable changes in host community competence. Nature 494:230–233.</w:t>
      </w:r>
    </w:p>
    <w:p w14:paraId="2523C956" w14:textId="2DBC06A1" w:rsidR="00A8738E" w:rsidRPr="00A8738E" w:rsidRDefault="00A8738E" w:rsidP="002E426E">
      <w:pPr>
        <w:pStyle w:val="Bibliography"/>
        <w:spacing w:line="480" w:lineRule="auto"/>
      </w:pPr>
      <w:r w:rsidRPr="00A8738E">
        <w:t xml:space="preserve">Lefcheck, J. S. 2016. </w:t>
      </w:r>
      <w:r w:rsidRPr="00A8738E">
        <w:rPr>
          <w:smallCaps/>
        </w:rPr>
        <w:t>piecewiseSEM</w:t>
      </w:r>
      <w:r w:rsidRPr="00A8738E">
        <w:t xml:space="preserve"> : Piecewise structural equation modelling in </w:t>
      </w:r>
      <w:r w:rsidRPr="00A8738E">
        <w:rPr>
          <w:smallCaps/>
        </w:rPr>
        <w:t>r</w:t>
      </w:r>
      <w:r w:rsidRPr="00A8738E">
        <w:t xml:space="preserve"> for ecology, evolution, and systematics. Methods in Ecology and Evolution 7:573–579.</w:t>
      </w:r>
    </w:p>
    <w:p w14:paraId="68EFA947" w14:textId="77777777" w:rsidR="00A8738E" w:rsidRPr="00A8738E" w:rsidRDefault="00A8738E" w:rsidP="002E426E">
      <w:pPr>
        <w:pStyle w:val="Bibliography"/>
        <w:spacing w:line="480" w:lineRule="auto"/>
      </w:pPr>
      <w:r w:rsidRPr="00A8738E">
        <w:t>Lloyd-Smith, J. O., S. J. Schreiber, P. E. Kopp, and W. M. Getz. 2005. Superspreading and the effect of individual variation on disease emergence. Nature 438:355–359.</w:t>
      </w:r>
    </w:p>
    <w:p w14:paraId="4D3DFC1B" w14:textId="77777777" w:rsidR="00A8738E" w:rsidRPr="00A8738E" w:rsidRDefault="00A8738E" w:rsidP="002E426E">
      <w:pPr>
        <w:pStyle w:val="Bibliography"/>
        <w:spacing w:line="480" w:lineRule="auto"/>
      </w:pPr>
      <w:r w:rsidRPr="00A8738E">
        <w:t>LoGiudice, K., S. T. Duerr, M. J. Newhouse, K. A. Schmidt, M. E. Killilea, and R. S. Ostfeld. 2008. Impact of host community composition on Lyme disease risk. Ecology 89:2841–2849.</w:t>
      </w:r>
    </w:p>
    <w:p w14:paraId="5DFD868D" w14:textId="77777777" w:rsidR="00A8738E" w:rsidRPr="00A8738E" w:rsidRDefault="00A8738E" w:rsidP="002E426E">
      <w:pPr>
        <w:pStyle w:val="Bibliography"/>
        <w:spacing w:line="480" w:lineRule="auto"/>
      </w:pPr>
      <w:r w:rsidRPr="00A8738E">
        <w:lastRenderedPageBreak/>
        <w:t>Luquet, E., T. W. J. Garner, J.-P. Léna, C. Bruel, P. Joly, T. Lengagne, O. Grolet, et al. 2012. Genetic erosion in wild populations makes resistance to a pathogen more costly. Evolution 66:1942–1952.</w:t>
      </w:r>
    </w:p>
    <w:p w14:paraId="621FBAE5" w14:textId="7BCF2BF6" w:rsidR="00A8738E" w:rsidRPr="00A8738E" w:rsidRDefault="00A8738E" w:rsidP="002E426E">
      <w:pPr>
        <w:pStyle w:val="Bibliography"/>
        <w:spacing w:line="480" w:lineRule="auto"/>
      </w:pPr>
      <w:r w:rsidRPr="00A8738E">
        <w:t>McMillan, K. M., D. Lesbarrères, X. A. Harrison, and T. W. J. Garner. 2020. Spatiotemporal heterogeneity decouples infection parameters of amphibian chytridiomycosis. Journal of Animal Ecology 89:1109–1121.</w:t>
      </w:r>
    </w:p>
    <w:p w14:paraId="7651BDB4" w14:textId="77777777" w:rsidR="00A8738E" w:rsidRPr="00A8738E" w:rsidRDefault="00A8738E" w:rsidP="002E426E">
      <w:pPr>
        <w:pStyle w:val="Bibliography"/>
        <w:spacing w:line="480" w:lineRule="auto"/>
      </w:pPr>
      <w:r w:rsidRPr="00A8738E">
        <w:t xml:space="preserve">Medina, D., T. Garner, L. Carrascal, and J. Bosch. 2015. Delayed metamorphosis of amphibian larvae facilitates </w:t>
      </w:r>
      <w:r w:rsidRPr="00A8738E">
        <w:rPr>
          <w:i/>
          <w:iCs/>
        </w:rPr>
        <w:t>Batrachochytrium dendrobatidis</w:t>
      </w:r>
      <w:r w:rsidRPr="00A8738E">
        <w:t xml:space="preserve"> transmission and persistence. Diseases of Aquatic Organisms 117:85–92.</w:t>
      </w:r>
    </w:p>
    <w:p w14:paraId="38E78C6A" w14:textId="77777777" w:rsidR="00A8738E" w:rsidRPr="00A8738E" w:rsidRDefault="00A8738E" w:rsidP="002E426E">
      <w:pPr>
        <w:pStyle w:val="Bibliography"/>
        <w:spacing w:line="480" w:lineRule="auto"/>
      </w:pPr>
      <w:r w:rsidRPr="00A8738E">
        <w:t>Ostfeld, R. S., and F. Keesing. 2012. Effects of host diversity on infectious disease. Annual Review of Ecology, Evolution, and Systematics 43:157–182.</w:t>
      </w:r>
    </w:p>
    <w:p w14:paraId="2602993F" w14:textId="77777777" w:rsidR="00A8738E" w:rsidRPr="00A8738E" w:rsidRDefault="00A8738E" w:rsidP="002E426E">
      <w:pPr>
        <w:pStyle w:val="Bibliography"/>
        <w:spacing w:line="480" w:lineRule="auto"/>
      </w:pPr>
      <w:r w:rsidRPr="00A8738E">
        <w:t>R Core Team. 2019. R: A language and environment for statistical computing. R Foundation for Statistical Computing, Vienna, Austria.</w:t>
      </w:r>
    </w:p>
    <w:p w14:paraId="4CBDDE74" w14:textId="77777777" w:rsidR="00A8738E" w:rsidRPr="00A8738E" w:rsidRDefault="00A8738E" w:rsidP="002E426E">
      <w:pPr>
        <w:pStyle w:val="Bibliography"/>
        <w:spacing w:line="480" w:lineRule="auto"/>
      </w:pPr>
      <w:r w:rsidRPr="00A8738E">
        <w:t>Raffel, T. R., N. T. Halstead, T. A. McMahon, A. K. Davis, and J. R. Rohr. 2015. Temperature variability and moisture synergistically interact to exacerbate an epizootic disease. Proceedings of the Royal Society B: Biological Sciences 282:20142039–20142039.</w:t>
      </w:r>
    </w:p>
    <w:p w14:paraId="2B0BD671" w14:textId="077CF056" w:rsidR="00A8738E" w:rsidRPr="00A8738E" w:rsidRDefault="00A8738E" w:rsidP="002E426E">
      <w:pPr>
        <w:pStyle w:val="Bibliography"/>
        <w:spacing w:line="480" w:lineRule="auto"/>
      </w:pPr>
      <w:r w:rsidRPr="00A8738E">
        <w:t xml:space="preserve">Reeder, N. M. M., A. P. Pessier, and V. T. Vredenburg. 2012. A Reservoir species for the emerging amphibian pathogen </w:t>
      </w:r>
      <w:r w:rsidRPr="00A8738E">
        <w:rPr>
          <w:i/>
          <w:iCs/>
        </w:rPr>
        <w:t>Batrachochytrium dendrobatidis</w:t>
      </w:r>
      <w:r w:rsidRPr="00A8738E">
        <w:t xml:space="preserve"> thrives in a landscape decimated by disease. PLoS ONE 7:e33567.</w:t>
      </w:r>
    </w:p>
    <w:p w14:paraId="002E7FC7" w14:textId="77777777" w:rsidR="00A8738E" w:rsidRPr="00A8738E" w:rsidRDefault="00A8738E" w:rsidP="002E426E">
      <w:pPr>
        <w:pStyle w:val="Bibliography"/>
        <w:spacing w:line="480" w:lineRule="auto"/>
      </w:pPr>
      <w:r w:rsidRPr="00A8738E">
        <w:t>Rohr, J. R., D. J. Civitello, F. W. Halliday, P. J. Hudson, K. D. Lafferty, C. L. Wood, and E. A. Mordecai. 2020. Towards common ground in the biodiversity–disease debate. Nature Ecology &amp; Evolution 4:24–33.</w:t>
      </w:r>
    </w:p>
    <w:p w14:paraId="12E896CA" w14:textId="77777777" w:rsidR="00A8738E" w:rsidRPr="00A8738E" w:rsidRDefault="00A8738E" w:rsidP="002E426E">
      <w:pPr>
        <w:pStyle w:val="Bibliography"/>
        <w:spacing w:line="480" w:lineRule="auto"/>
      </w:pPr>
      <w:r w:rsidRPr="00A8738E">
        <w:t xml:space="preserve">Rudge, J. W., J. P. Webster, D.-B. Lu, T.-P. Wang, G.-R. Fang, and M.-G. Basanez. 2013. Identifying host species driving transmission of </w:t>
      </w:r>
      <w:r w:rsidRPr="00A8738E">
        <w:rPr>
          <w:i/>
          <w:iCs/>
        </w:rPr>
        <w:t>schistosomiasis japonica</w:t>
      </w:r>
      <w:r w:rsidRPr="00A8738E">
        <w:t xml:space="preserve">, a multihost </w:t>
      </w:r>
      <w:r w:rsidRPr="00A8738E">
        <w:lastRenderedPageBreak/>
        <w:t>parasite system, in China. Proceedings of the National Academy of Sciences 110:11457–11462.</w:t>
      </w:r>
    </w:p>
    <w:p w14:paraId="7FED7E46" w14:textId="77777777" w:rsidR="00A8738E" w:rsidRPr="00A8738E" w:rsidRDefault="00A8738E" w:rsidP="002E426E">
      <w:pPr>
        <w:pStyle w:val="Bibliography"/>
        <w:spacing w:line="480" w:lineRule="auto"/>
      </w:pPr>
      <w:r w:rsidRPr="00A8738E">
        <w:t>Scheele, B. C., L. F. Skerratt, L. F. Grogan, D. A. Hunter, N. Clemann, M. McFadden, D. Newell, et al. 2017. After the epidemic: Ongoing declines, stabilizations and recoveries in amphibians afflicted by chytridiomycosis. Biological Conservation 206:37–46.</w:t>
      </w:r>
    </w:p>
    <w:p w14:paraId="55124928" w14:textId="77777777" w:rsidR="00A8738E" w:rsidRPr="00A8738E" w:rsidRDefault="00A8738E" w:rsidP="002E426E">
      <w:pPr>
        <w:pStyle w:val="Bibliography"/>
        <w:spacing w:line="480" w:lineRule="auto"/>
      </w:pPr>
      <w:r w:rsidRPr="00A8738E">
        <w:t>Spitzen-van der Sluijs, A., S. Canessa, A. Martel, and F. Pasmans. 2017. Fragile coexistence of a global chytrid pathogen with amphibian populations is mediated by environment and demography. Proceedings of the Royal Society B: Biological Sciences 284:20171444.</w:t>
      </w:r>
    </w:p>
    <w:p w14:paraId="398D6E01" w14:textId="77777777" w:rsidR="00A8738E" w:rsidRPr="00A8738E" w:rsidRDefault="00A8738E" w:rsidP="002E426E">
      <w:pPr>
        <w:pStyle w:val="Bibliography"/>
        <w:spacing w:line="480" w:lineRule="auto"/>
      </w:pPr>
      <w:r w:rsidRPr="00A8738E">
        <w:t>Stewart Merrill, T. E., and P. T. J. Johnson. 2020. Towards a mechanistic understanding of competence: a missing link in diversity–disease research. Parasitology 147:1159–1170.</w:t>
      </w:r>
    </w:p>
    <w:p w14:paraId="01C1FA7A" w14:textId="2630E7CA" w:rsidR="00A8738E" w:rsidRPr="00A8738E" w:rsidRDefault="00A8738E" w:rsidP="002E426E">
      <w:pPr>
        <w:pStyle w:val="Bibliography"/>
        <w:spacing w:line="480" w:lineRule="auto"/>
      </w:pPr>
      <w:r w:rsidRPr="00A8738E">
        <w:t>Streicker, D. G., A. Fenton, and A. B. Pedersen. 2013. Differential sources of host species heterogeneity influence the transmission and control of multihost parasites. Ecology Letters 16:975–984.</w:t>
      </w:r>
    </w:p>
    <w:p w14:paraId="09B2D332" w14:textId="60832D72" w:rsidR="00A8738E" w:rsidRPr="00A8738E" w:rsidRDefault="00A8738E" w:rsidP="002E426E">
      <w:pPr>
        <w:pStyle w:val="Bibliography"/>
        <w:spacing w:line="480" w:lineRule="auto"/>
      </w:pPr>
      <w:r w:rsidRPr="00A8738E">
        <w:t>Venesky, M. D., X. Liu, E. L. Sauer, and J. R. Rohr. 2014. Linking manipulative experiments to field data to test the dilution effect. Journal of Animal Ecology 83:557–565.</w:t>
      </w:r>
    </w:p>
    <w:p w14:paraId="2C5CD379" w14:textId="77777777" w:rsidR="00A8738E" w:rsidRPr="00A8738E" w:rsidRDefault="00A8738E" w:rsidP="002E426E">
      <w:pPr>
        <w:pStyle w:val="Bibliography"/>
        <w:spacing w:line="480" w:lineRule="auto"/>
      </w:pPr>
      <w:r w:rsidRPr="00A8738E">
        <w:t>Viana, M., R. Mancy, R. Biek, S. Cleaveland, P. C. Cross, J. O. Lloyd-Smith, and D. T. Haydon. 2014. Assembling evidence for identifying reservoirs of infection. Trends in Ecology &amp; Evolution 29:270–279.</w:t>
      </w:r>
    </w:p>
    <w:p w14:paraId="00299D2C" w14:textId="77777777" w:rsidR="00A8738E" w:rsidRPr="00A8738E" w:rsidRDefault="00A8738E" w:rsidP="002E426E">
      <w:pPr>
        <w:pStyle w:val="Bibliography"/>
        <w:spacing w:line="480" w:lineRule="auto"/>
      </w:pPr>
      <w:r w:rsidRPr="00A8738E">
        <w:t>Voyles, J., S. Young, L. Berger, C. Campbell, W. F. Voyles, A. Dinudom, D. Cook, et al. 2009. Pathogenesis of chytridiomycosis, a cause of catastrophic amphibian declines. Science 326:582–585.</w:t>
      </w:r>
    </w:p>
    <w:p w14:paraId="577F4B81" w14:textId="7B29A96B" w:rsidR="00A8738E" w:rsidRPr="00A8738E" w:rsidRDefault="00A8738E" w:rsidP="002E426E">
      <w:pPr>
        <w:pStyle w:val="Bibliography"/>
        <w:spacing w:line="480" w:lineRule="auto"/>
      </w:pPr>
      <w:r w:rsidRPr="00A8738E">
        <w:lastRenderedPageBreak/>
        <w:t>Wojdak, J. M., R. M. Edman, J. A. Wyderko, S. A. Zemmer, and L. K. Belden. 2014. Host density and competency determine the effects of host diversity on trematode parasite infection. PLoS ONE 9:e105059.</w:t>
      </w:r>
    </w:p>
    <w:p w14:paraId="498083FF" w14:textId="77777777" w:rsidR="00A8738E" w:rsidRPr="00A8738E" w:rsidRDefault="00A8738E" w:rsidP="002E426E">
      <w:pPr>
        <w:pStyle w:val="Bibliography"/>
        <w:spacing w:line="480" w:lineRule="auto"/>
      </w:pPr>
      <w:r w:rsidRPr="00A8738E">
        <w:t>Wood, C. L., and K. D. Lafferty. 2013. Biodiversity and disease: a synthesis of ecological perspectives on Lyme disease transmission. Trends in Ecology &amp; Evolution 28:239–247.</w:t>
      </w:r>
    </w:p>
    <w:p w14:paraId="00179901" w14:textId="5220595B" w:rsidR="00BF3D8E" w:rsidRDefault="00CE3F95" w:rsidP="002E426E">
      <w:pPr>
        <w:spacing w:line="480" w:lineRule="auto"/>
        <w:rPr>
          <w:rFonts w:ascii="Arial" w:eastAsia="Arial" w:hAnsi="Arial" w:cs="Arial"/>
          <w:b/>
          <w:sz w:val="22"/>
          <w:szCs w:val="22"/>
        </w:rPr>
      </w:pPr>
      <w:r>
        <w:fldChar w:fldCharType="end"/>
      </w:r>
      <w:r w:rsidR="00B11315">
        <w:br w:type="page"/>
      </w:r>
    </w:p>
    <w:p w14:paraId="245570F0" w14:textId="77777777" w:rsidR="00BF3D8E" w:rsidRDefault="00B11315">
      <w:pPr>
        <w:spacing w:line="480" w:lineRule="auto"/>
        <w:rPr>
          <w:rFonts w:ascii="Arial" w:eastAsia="Arial" w:hAnsi="Arial" w:cs="Arial"/>
          <w:b/>
          <w:sz w:val="22"/>
          <w:szCs w:val="22"/>
        </w:rPr>
      </w:pPr>
      <w:r>
        <w:rPr>
          <w:rFonts w:ascii="Arial" w:eastAsia="Arial" w:hAnsi="Arial" w:cs="Arial"/>
          <w:b/>
          <w:sz w:val="22"/>
          <w:szCs w:val="22"/>
        </w:rPr>
        <w:lastRenderedPageBreak/>
        <w:t>Figures and Tables</w:t>
      </w:r>
    </w:p>
    <w:p w14:paraId="2C07A925" w14:textId="74D6F0C8" w:rsidR="003E3D78" w:rsidRPr="003E3D78" w:rsidRDefault="003E3D78" w:rsidP="003E3D78">
      <w:pPr>
        <w:spacing w:line="480" w:lineRule="auto"/>
        <w:rPr>
          <w:rFonts w:ascii="Arial" w:eastAsia="Arial" w:hAnsi="Arial" w:cs="Arial"/>
          <w:sz w:val="22"/>
          <w:szCs w:val="22"/>
        </w:rPr>
      </w:pPr>
      <w:r w:rsidRPr="003E3D78">
        <w:rPr>
          <w:rFonts w:ascii="Arial" w:eastAsia="Arial" w:hAnsi="Arial" w:cs="Arial"/>
          <w:b/>
          <w:bCs/>
          <w:sz w:val="22"/>
          <w:szCs w:val="22"/>
        </w:rPr>
        <w:t xml:space="preserve">Table 1.  Drivers of </w:t>
      </w:r>
      <w:r w:rsidRPr="003E3D78">
        <w:rPr>
          <w:rFonts w:ascii="Arial" w:eastAsia="Arial" w:hAnsi="Arial" w:cs="Arial"/>
          <w:b/>
          <w:bCs/>
          <w:i/>
          <w:iCs/>
          <w:sz w:val="22"/>
          <w:szCs w:val="22"/>
        </w:rPr>
        <w:t>Bd</w:t>
      </w:r>
      <w:r w:rsidRPr="003E3D78">
        <w:rPr>
          <w:rFonts w:ascii="Arial" w:eastAsia="Arial" w:hAnsi="Arial" w:cs="Arial"/>
          <w:b/>
          <w:bCs/>
          <w:sz w:val="22"/>
          <w:szCs w:val="22"/>
        </w:rPr>
        <w:t xml:space="preserve"> dynamics in communities comprising salamanders, frogs, and toads</w:t>
      </w:r>
      <w:r w:rsidRPr="003E3D78">
        <w:rPr>
          <w:rFonts w:ascii="Arial" w:eastAsia="Arial" w:hAnsi="Arial" w:cs="Arial"/>
          <w:sz w:val="22"/>
          <w:szCs w:val="22"/>
        </w:rPr>
        <w:t xml:space="preserve">.  Shown are five scenarios for </w:t>
      </w:r>
      <w:r w:rsidRPr="003E3D78">
        <w:rPr>
          <w:rFonts w:ascii="Arial" w:eastAsia="Arial" w:hAnsi="Arial" w:cs="Arial"/>
          <w:i/>
          <w:iCs/>
          <w:sz w:val="22"/>
          <w:szCs w:val="22"/>
        </w:rPr>
        <w:t>Bd</w:t>
      </w:r>
      <w:r w:rsidRPr="003E3D78">
        <w:rPr>
          <w:rFonts w:ascii="Arial" w:eastAsia="Arial" w:hAnsi="Arial" w:cs="Arial"/>
          <w:sz w:val="22"/>
          <w:szCs w:val="22"/>
        </w:rPr>
        <w:t xml:space="preserve"> </w:t>
      </w:r>
      <w:r w:rsidR="00C81579" w:rsidRPr="003E3D78">
        <w:rPr>
          <w:rFonts w:ascii="Arial" w:eastAsia="Arial" w:hAnsi="Arial" w:cs="Arial"/>
          <w:sz w:val="22"/>
          <w:szCs w:val="22"/>
        </w:rPr>
        <w:t>circulat</w:t>
      </w:r>
      <w:r w:rsidR="00C81579">
        <w:rPr>
          <w:rFonts w:ascii="Arial" w:eastAsia="Arial" w:hAnsi="Arial" w:cs="Arial"/>
          <w:sz w:val="22"/>
          <w:szCs w:val="22"/>
        </w:rPr>
        <w:t>ion</w:t>
      </w:r>
      <w:r w:rsidRPr="003E3D78">
        <w:rPr>
          <w:rFonts w:ascii="Arial" w:eastAsia="Arial" w:hAnsi="Arial" w:cs="Arial"/>
          <w:sz w:val="22"/>
          <w:szCs w:val="22"/>
        </w:rPr>
        <w:t xml:space="preserve"> between hosts </w:t>
      </w:r>
      <w:r w:rsidR="00C81579">
        <w:rPr>
          <w:rFonts w:ascii="Arial" w:eastAsia="Arial" w:hAnsi="Arial" w:cs="Arial"/>
          <w:sz w:val="22"/>
          <w:szCs w:val="22"/>
        </w:rPr>
        <w:t xml:space="preserve">that </w:t>
      </w:r>
      <w:r w:rsidRPr="003E3D78">
        <w:rPr>
          <w:rFonts w:ascii="Arial" w:eastAsia="Arial" w:hAnsi="Arial" w:cs="Arial"/>
          <w:sz w:val="22"/>
          <w:szCs w:val="22"/>
        </w:rPr>
        <w:t>were assessed using structural equation modelling. The scenarios were informed by results from multi-model inference and assessed using structural equation models. The ‘supported</w:t>
      </w:r>
      <w:r w:rsidR="003822DA">
        <w:rPr>
          <w:rFonts w:ascii="Arial" w:eastAsia="Arial" w:hAnsi="Arial" w:cs="Arial"/>
          <w:sz w:val="22"/>
          <w:szCs w:val="22"/>
        </w:rPr>
        <w:t>’</w:t>
      </w:r>
      <w:r w:rsidRPr="003E3D78">
        <w:rPr>
          <w:rFonts w:ascii="Arial" w:eastAsia="Arial" w:hAnsi="Arial" w:cs="Arial"/>
          <w:sz w:val="22"/>
          <w:szCs w:val="22"/>
        </w:rPr>
        <w:t xml:space="preserve"> column denotes models that were supported </w:t>
      </w:r>
      <w:r>
        <w:rPr>
          <w:rFonts w:ascii="Arial" w:eastAsia="Arial" w:hAnsi="Arial" w:cs="Arial"/>
          <w:sz w:val="22"/>
          <w:szCs w:val="22"/>
        </w:rPr>
        <w:t xml:space="preserve">initially </w:t>
      </w:r>
      <w:r w:rsidRPr="003E3D78">
        <w:rPr>
          <w:rFonts w:ascii="Arial" w:eastAsia="Arial" w:hAnsi="Arial" w:cs="Arial"/>
          <w:sz w:val="22"/>
          <w:szCs w:val="22"/>
        </w:rPr>
        <w:t>by multi-model inference and</w:t>
      </w:r>
      <w:r>
        <w:rPr>
          <w:rFonts w:ascii="Arial" w:eastAsia="Arial" w:hAnsi="Arial" w:cs="Arial"/>
          <w:sz w:val="22"/>
          <w:szCs w:val="22"/>
        </w:rPr>
        <w:t xml:space="preserve"> subsequently by</w:t>
      </w:r>
      <w:r w:rsidRPr="003E3D78">
        <w:rPr>
          <w:rFonts w:ascii="Arial" w:eastAsia="Arial" w:hAnsi="Arial" w:cs="Arial"/>
          <w:sz w:val="22"/>
          <w:szCs w:val="22"/>
        </w:rPr>
        <w:t xml:space="preserve"> SEMs. </w:t>
      </w:r>
    </w:p>
    <w:p w14:paraId="6259E2FF" w14:textId="77777777" w:rsidR="00BF3D8E" w:rsidRDefault="00BF3D8E">
      <w:pPr>
        <w:spacing w:line="480" w:lineRule="auto"/>
        <w:rPr>
          <w:rFonts w:ascii="Arial" w:eastAsia="Arial" w:hAnsi="Arial" w:cs="Arial"/>
          <w:sz w:val="22"/>
          <w:szCs w:val="22"/>
        </w:rPr>
      </w:pPr>
    </w:p>
    <w:p w14:paraId="2D662921" w14:textId="74F79D33" w:rsidR="00BF3D8E" w:rsidRPr="00A05B19" w:rsidRDefault="00B11315" w:rsidP="00A05B19">
      <w:pPr>
        <w:spacing w:line="480" w:lineRule="auto"/>
        <w:rPr>
          <w:rFonts w:ascii="Arial" w:eastAsia="Arial" w:hAnsi="Arial" w:cs="Arial"/>
          <w:bCs/>
          <w:sz w:val="22"/>
          <w:szCs w:val="22"/>
        </w:rPr>
      </w:pPr>
      <w:bookmarkStart w:id="2" w:name="_gjdgxs" w:colFirst="0" w:colLast="0"/>
      <w:bookmarkEnd w:id="2"/>
      <w:r>
        <w:rPr>
          <w:rFonts w:ascii="Arial" w:eastAsia="Arial" w:hAnsi="Arial" w:cs="Arial"/>
          <w:b/>
          <w:sz w:val="22"/>
          <w:szCs w:val="22"/>
        </w:rPr>
        <w:t xml:space="preserve">Table </w:t>
      </w:r>
      <w:r w:rsidR="003E3D78">
        <w:rPr>
          <w:rFonts w:ascii="Arial" w:eastAsia="Arial" w:hAnsi="Arial" w:cs="Arial"/>
          <w:b/>
          <w:sz w:val="22"/>
          <w:szCs w:val="22"/>
        </w:rPr>
        <w:t>2</w:t>
      </w:r>
      <w:r>
        <w:rPr>
          <w:rFonts w:ascii="Arial" w:eastAsia="Arial" w:hAnsi="Arial" w:cs="Arial"/>
          <w:b/>
          <w:sz w:val="22"/>
          <w:szCs w:val="22"/>
        </w:rPr>
        <w:t>:</w:t>
      </w:r>
      <w:r>
        <w:rPr>
          <w:rFonts w:ascii="Arial" w:eastAsia="Arial" w:hAnsi="Arial" w:cs="Arial"/>
          <w:sz w:val="22"/>
          <w:szCs w:val="22"/>
        </w:rPr>
        <w:t xml:space="preserve"> </w:t>
      </w:r>
      <w:r w:rsidR="00EE2069">
        <w:rPr>
          <w:rFonts w:ascii="Arial" w:eastAsia="Arial" w:hAnsi="Arial" w:cs="Arial"/>
          <w:b/>
          <w:sz w:val="22"/>
          <w:szCs w:val="22"/>
        </w:rPr>
        <w:t>C</w:t>
      </w:r>
      <w:r w:rsidRPr="00EE2069">
        <w:rPr>
          <w:rFonts w:ascii="Arial" w:eastAsia="Arial" w:hAnsi="Arial" w:cs="Arial"/>
          <w:b/>
          <w:sz w:val="22"/>
          <w:szCs w:val="22"/>
        </w:rPr>
        <w:t>ommunity-level infection prevalence and mean infection loads</w:t>
      </w:r>
      <w:r>
        <w:rPr>
          <w:rFonts w:ascii="Arial" w:eastAsia="Arial" w:hAnsi="Arial" w:cs="Arial"/>
          <w:sz w:val="22"/>
          <w:szCs w:val="22"/>
        </w:rPr>
        <w:t xml:space="preserve">. </w:t>
      </w:r>
      <w:r w:rsidR="00C81579">
        <w:rPr>
          <w:rFonts w:ascii="Arial" w:eastAsia="Arial" w:hAnsi="Arial" w:cs="Arial"/>
          <w:bCs/>
          <w:sz w:val="22"/>
          <w:szCs w:val="22"/>
        </w:rPr>
        <w:t>Shown are s</w:t>
      </w:r>
      <w:r w:rsidR="00EE2069" w:rsidRPr="00EE2069">
        <w:rPr>
          <w:rFonts w:ascii="Arial" w:eastAsia="Arial" w:hAnsi="Arial" w:cs="Arial"/>
          <w:bCs/>
          <w:sz w:val="22"/>
          <w:szCs w:val="22"/>
        </w:rPr>
        <w:t>ummar</w:t>
      </w:r>
      <w:r w:rsidR="00C81579">
        <w:rPr>
          <w:rFonts w:ascii="Arial" w:eastAsia="Arial" w:hAnsi="Arial" w:cs="Arial"/>
          <w:bCs/>
          <w:sz w:val="22"/>
          <w:szCs w:val="22"/>
        </w:rPr>
        <w:t>ies</w:t>
      </w:r>
      <w:r w:rsidR="00EE2069" w:rsidRPr="00EE2069">
        <w:rPr>
          <w:rFonts w:ascii="Arial" w:eastAsia="Arial" w:hAnsi="Arial" w:cs="Arial"/>
          <w:bCs/>
          <w:sz w:val="22"/>
          <w:szCs w:val="22"/>
        </w:rPr>
        <w:t xml:space="preserve"> of generalised linear model outputs testing our scenarios </w:t>
      </w:r>
      <w:r w:rsidR="00C81579" w:rsidRPr="00C81579">
        <w:rPr>
          <w:rFonts w:ascii="Arial" w:eastAsia="Arial" w:hAnsi="Arial" w:cs="Arial"/>
          <w:bCs/>
          <w:sz w:val="22"/>
          <w:szCs w:val="22"/>
        </w:rPr>
        <w:t xml:space="preserve">for how </w:t>
      </w:r>
      <w:r w:rsidR="00A05B19">
        <w:rPr>
          <w:rFonts w:ascii="Arial" w:eastAsia="Arial" w:hAnsi="Arial" w:cs="Arial"/>
          <w:bCs/>
          <w:sz w:val="22"/>
          <w:szCs w:val="22"/>
        </w:rPr>
        <w:t>the level</w:t>
      </w:r>
      <w:r w:rsidR="00C81579" w:rsidRPr="00C81579">
        <w:rPr>
          <w:rFonts w:ascii="Arial" w:eastAsia="Arial" w:hAnsi="Arial" w:cs="Arial"/>
          <w:bCs/>
          <w:sz w:val="22"/>
          <w:szCs w:val="22"/>
        </w:rPr>
        <w:t xml:space="preserve"> of detail describing host communit</w:t>
      </w:r>
      <w:r w:rsidR="00A05B19">
        <w:rPr>
          <w:rFonts w:ascii="Arial" w:eastAsia="Arial" w:hAnsi="Arial" w:cs="Arial"/>
          <w:bCs/>
          <w:sz w:val="22"/>
          <w:szCs w:val="22"/>
        </w:rPr>
        <w:t>ies (ignoring host species identities, partially specifying host species identities, fully specifying host species identities)</w:t>
      </w:r>
      <w:r w:rsidR="00C81579" w:rsidRPr="00C81579">
        <w:rPr>
          <w:rFonts w:ascii="Arial" w:eastAsia="Arial" w:hAnsi="Arial" w:cs="Arial"/>
          <w:bCs/>
          <w:sz w:val="22"/>
          <w:szCs w:val="22"/>
        </w:rPr>
        <w:t xml:space="preserve"> affected </w:t>
      </w:r>
      <w:r w:rsidR="00A05B19">
        <w:rPr>
          <w:rFonts w:ascii="Arial" w:eastAsia="Arial" w:hAnsi="Arial" w:cs="Arial"/>
          <w:bCs/>
          <w:sz w:val="22"/>
          <w:szCs w:val="22"/>
        </w:rPr>
        <w:t>predictions for</w:t>
      </w:r>
      <w:r w:rsidR="00C81579" w:rsidRPr="00C81579">
        <w:rPr>
          <w:rFonts w:ascii="Arial" w:eastAsia="Arial" w:hAnsi="Arial" w:cs="Arial"/>
          <w:bCs/>
          <w:sz w:val="22"/>
          <w:szCs w:val="22"/>
        </w:rPr>
        <w:t xml:space="preserve"> community</w:t>
      </w:r>
      <w:r w:rsidR="00A05B19">
        <w:rPr>
          <w:rFonts w:ascii="Arial" w:eastAsia="Arial" w:hAnsi="Arial" w:cs="Arial"/>
          <w:bCs/>
          <w:sz w:val="22"/>
          <w:szCs w:val="22"/>
        </w:rPr>
        <w:t xml:space="preserve">-level </w:t>
      </w:r>
      <w:r w:rsidR="00C81579" w:rsidRPr="00C81579">
        <w:rPr>
          <w:rFonts w:ascii="Arial" w:eastAsia="Arial" w:hAnsi="Arial" w:cs="Arial"/>
          <w:bCs/>
          <w:sz w:val="22"/>
          <w:szCs w:val="22"/>
        </w:rPr>
        <w:t>infection prevalence</w:t>
      </w:r>
      <w:r w:rsidR="00EE2069" w:rsidRPr="00EE2069">
        <w:rPr>
          <w:rFonts w:ascii="Arial" w:eastAsia="Arial" w:hAnsi="Arial" w:cs="Arial"/>
          <w:bCs/>
          <w:sz w:val="22"/>
          <w:szCs w:val="22"/>
        </w:rPr>
        <w:t xml:space="preserve">. </w:t>
      </w:r>
      <w:r>
        <w:rPr>
          <w:rFonts w:ascii="Arial" w:eastAsia="Arial" w:hAnsi="Arial" w:cs="Arial"/>
          <w:sz w:val="22"/>
          <w:szCs w:val="22"/>
        </w:rPr>
        <w:t>Models of infection prevalence used a binom</w:t>
      </w:r>
      <w:r w:rsidR="00E07DF0">
        <w:rPr>
          <w:rFonts w:ascii="Arial" w:eastAsia="Arial" w:hAnsi="Arial" w:cs="Arial"/>
          <w:sz w:val="22"/>
          <w:szCs w:val="22"/>
        </w:rPr>
        <w:t>i</w:t>
      </w:r>
      <w:r>
        <w:rPr>
          <w:rFonts w:ascii="Arial" w:eastAsia="Arial" w:hAnsi="Arial" w:cs="Arial"/>
          <w:sz w:val="22"/>
          <w:szCs w:val="22"/>
        </w:rPr>
        <w:t xml:space="preserve">al error structure, and models of infection loads used a gaussian error structure. The </w:t>
      </w:r>
      <w:r w:rsidR="00513197">
        <w:rPr>
          <w:rFonts w:ascii="Arial" w:eastAsia="Arial" w:hAnsi="Arial" w:cs="Arial"/>
          <w:sz w:val="22"/>
          <w:szCs w:val="22"/>
        </w:rPr>
        <w:t xml:space="preserve">scenario </w:t>
      </w:r>
      <w:r>
        <w:rPr>
          <w:rFonts w:ascii="Arial" w:eastAsia="Arial" w:hAnsi="Arial" w:cs="Arial"/>
          <w:sz w:val="22"/>
          <w:szCs w:val="22"/>
        </w:rPr>
        <w:t>highlighted in grey had the best performing model according to ranking of Akaike’s information criterion for small sample sizes (</w:t>
      </w:r>
      <w:proofErr w:type="spellStart"/>
      <w:r>
        <w:rPr>
          <w:rFonts w:ascii="Arial" w:eastAsia="Arial" w:hAnsi="Arial" w:cs="Arial"/>
          <w:sz w:val="22"/>
          <w:szCs w:val="22"/>
        </w:rPr>
        <w:t>AICc</w:t>
      </w:r>
      <w:proofErr w:type="spellEnd"/>
      <w:r>
        <w:rPr>
          <w:rFonts w:ascii="Arial" w:eastAsia="Arial" w:hAnsi="Arial" w:cs="Arial"/>
          <w:sz w:val="22"/>
          <w:szCs w:val="22"/>
        </w:rPr>
        <w:t>)</w:t>
      </w:r>
      <w:r w:rsidR="00E06029">
        <w:rPr>
          <w:rFonts w:ascii="Arial" w:eastAsia="Arial" w:hAnsi="Arial" w:cs="Arial"/>
          <w:sz w:val="22"/>
          <w:szCs w:val="22"/>
        </w:rPr>
        <w:t>;</w:t>
      </w:r>
      <w:r>
        <w:rPr>
          <w:rFonts w:ascii="Arial" w:eastAsia="Arial" w:hAnsi="Arial" w:cs="Arial"/>
          <w:sz w:val="22"/>
          <w:szCs w:val="22"/>
        </w:rPr>
        <w:t xml:space="preserve"> </w:t>
      </w:r>
      <w:r w:rsidR="00E06029" w:rsidRPr="00513197">
        <w:rPr>
          <w:rFonts w:ascii="Arial Unicode MS" w:eastAsia="Arial Unicode MS" w:hAnsi="Arial Unicode MS" w:cs="Arial Unicode MS"/>
          <w:color w:val="000000"/>
          <w:sz w:val="22"/>
          <w:szCs w:val="22"/>
        </w:rPr>
        <w:t>∆</w:t>
      </w:r>
      <w:proofErr w:type="spellStart"/>
      <w:r w:rsidR="00E06029" w:rsidRPr="00513197">
        <w:rPr>
          <w:rFonts w:ascii="Arial Unicode MS" w:eastAsia="Arial Unicode MS" w:hAnsi="Arial Unicode MS" w:cs="Arial Unicode MS"/>
          <w:color w:val="000000"/>
          <w:sz w:val="22"/>
          <w:szCs w:val="22"/>
        </w:rPr>
        <w:t>AICc</w:t>
      </w:r>
      <w:proofErr w:type="spellEnd"/>
      <w:r w:rsidR="00E06029">
        <w:rPr>
          <w:rFonts w:ascii="Arial" w:eastAsia="Arial" w:hAnsi="Arial" w:cs="Arial"/>
          <w:sz w:val="22"/>
          <w:szCs w:val="22"/>
        </w:rPr>
        <w:t xml:space="preserve"> indicates the different in </w:t>
      </w:r>
      <w:proofErr w:type="spellStart"/>
      <w:r w:rsidR="00E06029">
        <w:rPr>
          <w:rFonts w:ascii="Arial" w:eastAsia="Arial" w:hAnsi="Arial" w:cs="Arial"/>
          <w:sz w:val="22"/>
          <w:szCs w:val="22"/>
        </w:rPr>
        <w:t>AICc</w:t>
      </w:r>
      <w:proofErr w:type="spellEnd"/>
      <w:r w:rsidR="00E06029">
        <w:rPr>
          <w:rFonts w:ascii="Arial" w:eastAsia="Arial" w:hAnsi="Arial" w:cs="Arial"/>
          <w:sz w:val="22"/>
          <w:szCs w:val="22"/>
        </w:rPr>
        <w:t xml:space="preserve"> units between the relevant model and the best performing model. </w:t>
      </w:r>
      <w:r>
        <w:rPr>
          <w:rFonts w:ascii="Arial" w:eastAsia="Arial" w:hAnsi="Arial" w:cs="Arial"/>
          <w:sz w:val="22"/>
          <w:szCs w:val="22"/>
        </w:rPr>
        <w:t xml:space="preserve">Df = degrees of freedom. </w:t>
      </w:r>
    </w:p>
    <w:p w14:paraId="43449E52" w14:textId="77777777" w:rsidR="00BF3D8E" w:rsidRDefault="00B11315">
      <w:pPr>
        <w:rPr>
          <w:rFonts w:ascii="Arial" w:eastAsia="Arial" w:hAnsi="Arial" w:cs="Arial"/>
          <w:sz w:val="22"/>
          <w:szCs w:val="22"/>
        </w:rPr>
      </w:pPr>
      <w:r>
        <w:br w:type="page"/>
      </w:r>
    </w:p>
    <w:p w14:paraId="36076BA1" w14:textId="4BB7D4A8" w:rsidR="00BF3D8E" w:rsidRDefault="00B11315" w:rsidP="00D52517">
      <w:pPr>
        <w:rPr>
          <w:rFonts w:ascii="Arial" w:eastAsia="Arial" w:hAnsi="Arial" w:cs="Arial"/>
          <w:sz w:val="22"/>
          <w:szCs w:val="22"/>
        </w:rPr>
      </w:pPr>
      <w:bookmarkStart w:id="3" w:name="_30j0zll" w:colFirst="0" w:colLast="0"/>
      <w:bookmarkEnd w:id="3"/>
      <w:r>
        <w:rPr>
          <w:rFonts w:ascii="Arial" w:eastAsia="Arial" w:hAnsi="Arial" w:cs="Arial"/>
          <w:sz w:val="22"/>
          <w:szCs w:val="22"/>
        </w:rPr>
        <w:lastRenderedPageBreak/>
        <w:t xml:space="preserve">Table </w:t>
      </w:r>
      <w:r w:rsidR="00BB7DB7">
        <w:rPr>
          <w:rFonts w:ascii="Arial" w:eastAsia="Arial" w:hAnsi="Arial" w:cs="Arial"/>
          <w:sz w:val="22"/>
          <w:szCs w:val="22"/>
        </w:rPr>
        <w:t>1</w:t>
      </w:r>
      <w:r>
        <w:rPr>
          <w:rFonts w:ascii="Arial" w:eastAsia="Arial" w:hAnsi="Arial" w:cs="Arial"/>
          <w:sz w:val="22"/>
          <w:szCs w:val="22"/>
        </w:rPr>
        <w:t>.</w:t>
      </w:r>
    </w:p>
    <w:p w14:paraId="706D6692" w14:textId="77777777" w:rsidR="003E3D78" w:rsidRDefault="003E3D78" w:rsidP="003E3D78">
      <w:pPr>
        <w:rPr>
          <w:rFonts w:ascii="Arial" w:hAnsi="Arial" w:cs="Arial"/>
          <w:sz w:val="20"/>
          <w:szCs w:val="20"/>
        </w:rPr>
      </w:pPr>
    </w:p>
    <w:tbl>
      <w:tblPr>
        <w:tblW w:w="8815" w:type="dxa"/>
        <w:tblLayout w:type="fixed"/>
        <w:tblLook w:val="04A0" w:firstRow="1" w:lastRow="0" w:firstColumn="1" w:lastColumn="0" w:noHBand="0" w:noVBand="1"/>
      </w:tblPr>
      <w:tblGrid>
        <w:gridCol w:w="1795"/>
        <w:gridCol w:w="3060"/>
        <w:gridCol w:w="2700"/>
        <w:gridCol w:w="1260"/>
      </w:tblGrid>
      <w:tr w:rsidR="00A24135" w:rsidRPr="00A24135" w14:paraId="4A7FFDF7" w14:textId="77777777" w:rsidTr="004F0948">
        <w:trPr>
          <w:trHeight w:val="420"/>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4E08F" w14:textId="77777777" w:rsidR="003E3D78" w:rsidRPr="00A24135" w:rsidRDefault="003E3D78" w:rsidP="00CC5D21">
            <w:pPr>
              <w:jc w:val="center"/>
              <w:rPr>
                <w:rFonts w:ascii="Arial" w:eastAsia="Times New Roman" w:hAnsi="Arial" w:cs="Arial"/>
                <w:b/>
                <w:bCs/>
                <w:color w:val="000000" w:themeColor="text1"/>
                <w:sz w:val="20"/>
                <w:szCs w:val="20"/>
              </w:rPr>
            </w:pPr>
            <w:r w:rsidRPr="00A24135">
              <w:rPr>
                <w:rFonts w:ascii="Arial" w:eastAsia="Times New Roman" w:hAnsi="Arial" w:cs="Arial"/>
                <w:b/>
                <w:bCs/>
                <w:color w:val="000000" w:themeColor="text1"/>
                <w:sz w:val="20"/>
                <w:szCs w:val="20"/>
              </w:rPr>
              <w:t>Scenario</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627889E" w14:textId="77777777" w:rsidR="003E3D78" w:rsidRPr="00A24135" w:rsidRDefault="003E3D78" w:rsidP="00CC5D21">
            <w:pPr>
              <w:jc w:val="center"/>
              <w:rPr>
                <w:rFonts w:ascii="Arial" w:eastAsia="Times New Roman" w:hAnsi="Arial" w:cs="Arial"/>
                <w:b/>
                <w:bCs/>
                <w:color w:val="000000" w:themeColor="text1"/>
                <w:sz w:val="20"/>
                <w:szCs w:val="20"/>
              </w:rPr>
            </w:pPr>
            <w:r w:rsidRPr="00A24135">
              <w:rPr>
                <w:rFonts w:ascii="Arial" w:eastAsia="Times New Roman" w:hAnsi="Arial" w:cs="Arial"/>
                <w:b/>
                <w:bCs/>
                <w:color w:val="000000" w:themeColor="text1"/>
                <w:sz w:val="20"/>
                <w:szCs w:val="20"/>
              </w:rPr>
              <w:t>Verbal explanation of models</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75B0F7DA" w14:textId="77777777" w:rsidR="003E3D78" w:rsidRPr="00A24135" w:rsidRDefault="003E3D78" w:rsidP="00CC5D21">
            <w:pPr>
              <w:jc w:val="center"/>
              <w:rPr>
                <w:rFonts w:ascii="Arial" w:eastAsia="Times New Roman" w:hAnsi="Arial" w:cs="Arial"/>
                <w:b/>
                <w:bCs/>
                <w:color w:val="000000" w:themeColor="text1"/>
                <w:sz w:val="20"/>
                <w:szCs w:val="20"/>
              </w:rPr>
            </w:pPr>
            <w:r w:rsidRPr="00A24135">
              <w:rPr>
                <w:rFonts w:ascii="Arial" w:eastAsia="Times New Roman" w:hAnsi="Arial" w:cs="Arial"/>
                <w:b/>
                <w:bCs/>
                <w:color w:val="000000" w:themeColor="text1"/>
                <w:sz w:val="20"/>
                <w:szCs w:val="20"/>
              </w:rPr>
              <w:t>Model components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12159F6" w14:textId="77777777" w:rsidR="003E3D78" w:rsidRPr="00A24135" w:rsidRDefault="003E3D78" w:rsidP="00CC5D21">
            <w:pPr>
              <w:jc w:val="center"/>
              <w:rPr>
                <w:rFonts w:ascii="Arial" w:eastAsia="Times New Roman" w:hAnsi="Arial" w:cs="Arial"/>
                <w:b/>
                <w:bCs/>
                <w:color w:val="000000" w:themeColor="text1"/>
                <w:sz w:val="20"/>
                <w:szCs w:val="20"/>
              </w:rPr>
            </w:pPr>
            <w:r w:rsidRPr="00A24135">
              <w:rPr>
                <w:rFonts w:ascii="Arial" w:eastAsia="Times New Roman" w:hAnsi="Arial" w:cs="Arial"/>
                <w:b/>
                <w:bCs/>
                <w:color w:val="000000" w:themeColor="text1"/>
                <w:sz w:val="20"/>
                <w:szCs w:val="20"/>
              </w:rPr>
              <w:t xml:space="preserve">Supported </w:t>
            </w:r>
          </w:p>
        </w:tc>
      </w:tr>
      <w:tr w:rsidR="00A24135" w:rsidRPr="00A24135" w14:paraId="287FD4E4" w14:textId="77777777" w:rsidTr="004F0948">
        <w:trPr>
          <w:trHeight w:val="280"/>
        </w:trPr>
        <w:tc>
          <w:tcPr>
            <w:tcW w:w="17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41B76FA"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1. Frogs drive infection dynamics</w:t>
            </w:r>
          </w:p>
        </w:tc>
        <w:tc>
          <w:tcPr>
            <w:tcW w:w="3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CB053D4"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infected frogs facilitate infection establishment in toads and salamanders </w:t>
            </w:r>
          </w:p>
        </w:tc>
        <w:tc>
          <w:tcPr>
            <w:tcW w:w="2700" w:type="dxa"/>
            <w:tcBorders>
              <w:top w:val="nil"/>
              <w:left w:val="nil"/>
              <w:bottom w:val="single" w:sz="4" w:space="0" w:color="auto"/>
              <w:right w:val="single" w:sz="4" w:space="0" w:color="auto"/>
            </w:tcBorders>
            <w:shd w:val="clear" w:color="auto" w:fill="auto"/>
            <w:noWrap/>
            <w:vAlign w:val="center"/>
            <w:hideMark/>
          </w:tcPr>
          <w:p w14:paraId="638C9AEB"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Toads </w:t>
            </w:r>
            <w:proofErr w:type="spellStart"/>
            <w:proofErr w:type="gram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rPr>
              <w:t xml:space="preserve">  ~</w:t>
            </w:r>
            <w:proofErr w:type="gramEnd"/>
            <w:r w:rsidRPr="00A24135">
              <w:rPr>
                <w:rFonts w:ascii="Arial" w:eastAsia="Times New Roman" w:hAnsi="Arial" w:cs="Arial"/>
                <w:color w:val="000000" w:themeColor="text1"/>
                <w:sz w:val="20"/>
                <w:szCs w:val="20"/>
              </w:rPr>
              <w:t xml:space="preserve"> Frogs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vertAlign w:val="subscript"/>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24201E56" w14:textId="77777777" w:rsidR="003E3D78" w:rsidRPr="00A24135" w:rsidRDefault="003E3D78" w:rsidP="00CC5D21">
            <w:pPr>
              <w:jc w:val="center"/>
              <w:rPr>
                <w:rFonts w:ascii="Calibri" w:eastAsia="Times New Roman" w:hAnsi="Calibri" w:cs="Calibri"/>
                <w:b/>
                <w:bCs/>
                <w:color w:val="000000" w:themeColor="text1"/>
                <w:sz w:val="20"/>
                <w:szCs w:val="20"/>
              </w:rPr>
            </w:pPr>
            <w:r w:rsidRPr="00A24135">
              <w:rPr>
                <w:rFonts w:ascii="Segoe UI Symbol" w:eastAsia="Times New Roman" w:hAnsi="Segoe UI Symbol" w:cs="Segoe UI Symbol"/>
                <w:b/>
                <w:bCs/>
                <w:color w:val="000000" w:themeColor="text1"/>
                <w:sz w:val="20"/>
                <w:szCs w:val="20"/>
              </w:rPr>
              <w:t>✓</w:t>
            </w:r>
          </w:p>
        </w:tc>
      </w:tr>
      <w:tr w:rsidR="00A24135" w:rsidRPr="00A24135" w14:paraId="4D9111E6"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3831ACB1"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64BAE521"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70F5133A"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Salamanders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 Frogs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04EF9C06"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26C167B3" w14:textId="77777777" w:rsidTr="004F0948">
        <w:trPr>
          <w:trHeight w:val="280"/>
        </w:trPr>
        <w:tc>
          <w:tcPr>
            <w:tcW w:w="17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D5C583E"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2. Toads drive infection dynamics</w:t>
            </w:r>
          </w:p>
        </w:tc>
        <w:tc>
          <w:tcPr>
            <w:tcW w:w="3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B1F8FE"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infected toads facilitate infection establishment in frogs and salamanders </w:t>
            </w:r>
          </w:p>
        </w:tc>
        <w:tc>
          <w:tcPr>
            <w:tcW w:w="2700" w:type="dxa"/>
            <w:tcBorders>
              <w:top w:val="nil"/>
              <w:left w:val="nil"/>
              <w:bottom w:val="single" w:sz="4" w:space="0" w:color="auto"/>
              <w:right w:val="single" w:sz="4" w:space="0" w:color="auto"/>
            </w:tcBorders>
            <w:shd w:val="clear" w:color="auto" w:fill="auto"/>
            <w:noWrap/>
            <w:vAlign w:val="center"/>
            <w:hideMark/>
          </w:tcPr>
          <w:p w14:paraId="18AA2A80"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Frogs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vertAlign w:val="subscript"/>
              </w:rPr>
              <w:t xml:space="preserve"> </w:t>
            </w:r>
            <w:r w:rsidRPr="00A24135">
              <w:rPr>
                <w:rFonts w:ascii="Arial" w:eastAsia="Times New Roman" w:hAnsi="Arial" w:cs="Arial"/>
                <w:color w:val="000000" w:themeColor="text1"/>
                <w:sz w:val="20"/>
                <w:szCs w:val="20"/>
              </w:rPr>
              <w:t xml:space="preserve">~ Toads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532D3EA6" w14:textId="77777777" w:rsidR="003E3D78" w:rsidRPr="00A24135" w:rsidRDefault="003E3D78" w:rsidP="00CC5D21">
            <w:pPr>
              <w:jc w:val="center"/>
              <w:rPr>
                <w:rFonts w:ascii="Calibri" w:eastAsia="Times New Roman" w:hAnsi="Calibri" w:cs="Calibri"/>
                <w:b/>
                <w:bCs/>
                <w:color w:val="000000" w:themeColor="text1"/>
                <w:sz w:val="20"/>
                <w:szCs w:val="20"/>
              </w:rPr>
            </w:pPr>
            <w:r w:rsidRPr="00A24135">
              <w:rPr>
                <w:rFonts w:ascii="Segoe UI Symbol" w:eastAsia="Times New Roman" w:hAnsi="Segoe UI Symbol" w:cs="Segoe UI Symbol"/>
                <w:b/>
                <w:bCs/>
                <w:color w:val="000000" w:themeColor="text1"/>
                <w:sz w:val="20"/>
                <w:szCs w:val="20"/>
              </w:rPr>
              <w:t>✓</w:t>
            </w:r>
          </w:p>
        </w:tc>
      </w:tr>
      <w:tr w:rsidR="00A24135" w:rsidRPr="00A24135" w14:paraId="3AF9AA49"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0B469F3E"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2F57C7AB"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5593C329"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Salamanders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 Toads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20B2E625"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42F0E1A8" w14:textId="77777777" w:rsidTr="004F0948">
        <w:trPr>
          <w:trHeight w:val="280"/>
        </w:trPr>
        <w:tc>
          <w:tcPr>
            <w:tcW w:w="17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38ABF8B"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3. Salamanders drive infection dynamics</w:t>
            </w:r>
          </w:p>
        </w:tc>
        <w:tc>
          <w:tcPr>
            <w:tcW w:w="3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E2E4AD"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infected salamanders facilitate infection establishment in frogs and toads </w:t>
            </w:r>
          </w:p>
        </w:tc>
        <w:tc>
          <w:tcPr>
            <w:tcW w:w="2700" w:type="dxa"/>
            <w:tcBorders>
              <w:top w:val="nil"/>
              <w:left w:val="nil"/>
              <w:bottom w:val="single" w:sz="4" w:space="0" w:color="auto"/>
              <w:right w:val="single" w:sz="4" w:space="0" w:color="auto"/>
            </w:tcBorders>
            <w:shd w:val="clear" w:color="auto" w:fill="auto"/>
            <w:noWrap/>
            <w:vAlign w:val="center"/>
            <w:hideMark/>
          </w:tcPr>
          <w:p w14:paraId="276BAEFE"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Frogs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vertAlign w:val="subscript"/>
              </w:rPr>
              <w:t xml:space="preserve"> </w:t>
            </w:r>
            <w:r w:rsidRPr="00A24135">
              <w:rPr>
                <w:rFonts w:ascii="Arial" w:eastAsia="Times New Roman" w:hAnsi="Arial" w:cs="Arial"/>
                <w:color w:val="000000" w:themeColor="text1"/>
                <w:sz w:val="20"/>
                <w:szCs w:val="20"/>
              </w:rPr>
              <w:t xml:space="preserve">~ Salamanders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692520B6" w14:textId="77777777" w:rsidR="003E3D78" w:rsidRPr="00A24135" w:rsidRDefault="003E3D78" w:rsidP="00CC5D21">
            <w:pPr>
              <w:rPr>
                <w:rFonts w:ascii="Calibri" w:eastAsia="Times New Roman" w:hAnsi="Calibri" w:cs="Calibri"/>
                <w:color w:val="000000" w:themeColor="text1"/>
                <w:sz w:val="20"/>
                <w:szCs w:val="20"/>
              </w:rPr>
            </w:pPr>
            <w:r w:rsidRPr="00A24135">
              <w:rPr>
                <w:rFonts w:ascii="Calibri" w:eastAsia="Times New Roman" w:hAnsi="Calibri" w:cs="Calibri"/>
                <w:color w:val="000000" w:themeColor="text1"/>
                <w:sz w:val="20"/>
                <w:szCs w:val="20"/>
              </w:rPr>
              <w:t> </w:t>
            </w:r>
          </w:p>
        </w:tc>
      </w:tr>
      <w:tr w:rsidR="00A24135" w:rsidRPr="00A24135" w14:paraId="608AC89E"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45867BC5"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534705CA"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66B5EC53"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Toads </w:t>
            </w:r>
            <w:proofErr w:type="spellStart"/>
            <w:proofErr w:type="gram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w:t>
            </w:r>
            <w:proofErr w:type="gramEnd"/>
            <w:r w:rsidRPr="005B6CFD">
              <w:rPr>
                <w:rFonts w:ascii="Arial" w:eastAsia="Times New Roman" w:hAnsi="Arial" w:cs="Arial"/>
                <w:color w:val="000000" w:themeColor="text1"/>
                <w:sz w:val="20"/>
                <w:szCs w:val="20"/>
              </w:rPr>
              <w:t xml:space="preserve"> Salamanders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6C38131A"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1A02D0F1" w14:textId="77777777" w:rsidTr="004F0948">
        <w:trPr>
          <w:trHeight w:val="280"/>
        </w:trPr>
        <w:tc>
          <w:tcPr>
            <w:tcW w:w="17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AE22A3E"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4. Salamanders seed infections, and frogs drive infection dynamics </w:t>
            </w:r>
          </w:p>
        </w:tc>
        <w:tc>
          <w:tcPr>
            <w:tcW w:w="3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17B7CEA"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Initially infected salamanders facilitate infections in frogs, which then facilitate further infections in frogs and salamanders</w:t>
            </w:r>
          </w:p>
        </w:tc>
        <w:tc>
          <w:tcPr>
            <w:tcW w:w="2700" w:type="dxa"/>
            <w:tcBorders>
              <w:top w:val="nil"/>
              <w:left w:val="nil"/>
              <w:bottom w:val="single" w:sz="4" w:space="0" w:color="auto"/>
              <w:right w:val="single" w:sz="4" w:space="0" w:color="auto"/>
            </w:tcBorders>
            <w:shd w:val="clear" w:color="auto" w:fill="auto"/>
            <w:noWrap/>
            <w:vAlign w:val="center"/>
            <w:hideMark/>
          </w:tcPr>
          <w:p w14:paraId="09740889"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Frogs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vertAlign w:val="subscript"/>
              </w:rPr>
              <w:t xml:space="preserve"> </w:t>
            </w:r>
            <w:r w:rsidRPr="00A24135">
              <w:rPr>
                <w:rFonts w:ascii="Arial" w:eastAsia="Times New Roman" w:hAnsi="Arial" w:cs="Arial"/>
                <w:color w:val="000000" w:themeColor="text1"/>
                <w:sz w:val="20"/>
                <w:szCs w:val="20"/>
              </w:rPr>
              <w:t xml:space="preserve">~ Salamanders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Initial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437815FC" w14:textId="77777777" w:rsidR="003E3D78" w:rsidRPr="00A24135" w:rsidRDefault="003E3D78" w:rsidP="00CC5D21">
            <w:pPr>
              <w:rPr>
                <w:rFonts w:ascii="Calibri" w:eastAsia="Times New Roman" w:hAnsi="Calibri" w:cs="Calibri"/>
                <w:color w:val="000000" w:themeColor="text1"/>
                <w:sz w:val="20"/>
                <w:szCs w:val="20"/>
              </w:rPr>
            </w:pPr>
            <w:r w:rsidRPr="00A24135">
              <w:rPr>
                <w:rFonts w:ascii="Calibri" w:eastAsia="Times New Roman" w:hAnsi="Calibri" w:cs="Calibri"/>
                <w:color w:val="000000" w:themeColor="text1"/>
                <w:sz w:val="20"/>
                <w:szCs w:val="20"/>
              </w:rPr>
              <w:t> </w:t>
            </w:r>
          </w:p>
        </w:tc>
      </w:tr>
      <w:tr w:rsidR="00A24135" w:rsidRPr="00A24135" w14:paraId="7DD906DC"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497F85B1"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3C38AFF1"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65C285D1"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Toads </w:t>
            </w:r>
            <w:proofErr w:type="spellStart"/>
            <w:proofErr w:type="gram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w:t>
            </w:r>
            <w:proofErr w:type="gramEnd"/>
            <w:r w:rsidRPr="005B6CFD">
              <w:rPr>
                <w:rFonts w:ascii="Arial" w:eastAsia="Times New Roman" w:hAnsi="Arial" w:cs="Arial"/>
                <w:color w:val="000000" w:themeColor="text1"/>
                <w:sz w:val="20"/>
                <w:szCs w:val="20"/>
              </w:rPr>
              <w:t xml:space="preserve"> Frogs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729497E3"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78005734"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4654F32F"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440234D4"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23B1924B"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Salamanders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 Frogs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6E460296"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085D3EC9" w14:textId="77777777" w:rsidTr="004F0948">
        <w:trPr>
          <w:trHeight w:val="280"/>
        </w:trPr>
        <w:tc>
          <w:tcPr>
            <w:tcW w:w="17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C96BB8"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5. Salamanders seed infections, and toads drive infection dynamics </w:t>
            </w:r>
          </w:p>
        </w:tc>
        <w:tc>
          <w:tcPr>
            <w:tcW w:w="30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6366E60"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Initially infected salamanders facilitate infections in toads, which then facilitate further infections in frogs and salamanders</w:t>
            </w:r>
          </w:p>
        </w:tc>
        <w:tc>
          <w:tcPr>
            <w:tcW w:w="2700" w:type="dxa"/>
            <w:tcBorders>
              <w:top w:val="nil"/>
              <w:left w:val="nil"/>
              <w:bottom w:val="single" w:sz="4" w:space="0" w:color="auto"/>
              <w:right w:val="single" w:sz="4" w:space="0" w:color="auto"/>
            </w:tcBorders>
            <w:shd w:val="clear" w:color="auto" w:fill="auto"/>
            <w:noWrap/>
            <w:vAlign w:val="center"/>
            <w:hideMark/>
          </w:tcPr>
          <w:p w14:paraId="01352E86" w14:textId="77777777" w:rsidR="003E3D78" w:rsidRPr="00A24135" w:rsidRDefault="003E3D78" w:rsidP="00CC5D21">
            <w:pPr>
              <w:jc w:val="center"/>
              <w:rPr>
                <w:rFonts w:ascii="Arial" w:eastAsia="Times New Roman" w:hAnsi="Arial" w:cs="Arial"/>
                <w:color w:val="000000" w:themeColor="text1"/>
                <w:sz w:val="20"/>
                <w:szCs w:val="20"/>
              </w:rPr>
            </w:pPr>
            <w:r w:rsidRPr="00A24135">
              <w:rPr>
                <w:rFonts w:ascii="Arial" w:eastAsia="Times New Roman" w:hAnsi="Arial" w:cs="Arial"/>
                <w:color w:val="000000" w:themeColor="text1"/>
                <w:sz w:val="20"/>
                <w:szCs w:val="20"/>
              </w:rPr>
              <w:t xml:space="preserve">Toads </w:t>
            </w:r>
            <w:proofErr w:type="spellStart"/>
            <w:proofErr w:type="gram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FINAL</w:t>
            </w:r>
            <w:proofErr w:type="spellEnd"/>
            <w:r w:rsidRPr="00A24135">
              <w:rPr>
                <w:rFonts w:ascii="Arial" w:eastAsia="Times New Roman" w:hAnsi="Arial" w:cs="Arial"/>
                <w:color w:val="000000" w:themeColor="text1"/>
                <w:sz w:val="20"/>
                <w:szCs w:val="20"/>
              </w:rPr>
              <w:t xml:space="preserve">  ~</w:t>
            </w:r>
            <w:proofErr w:type="gramEnd"/>
            <w:r w:rsidRPr="00A24135">
              <w:rPr>
                <w:rFonts w:ascii="Arial" w:eastAsia="Times New Roman" w:hAnsi="Arial" w:cs="Arial"/>
                <w:color w:val="000000" w:themeColor="text1"/>
                <w:sz w:val="20"/>
                <w:szCs w:val="20"/>
              </w:rPr>
              <w:t xml:space="preserve"> Salamanders </w:t>
            </w:r>
            <w:proofErr w:type="spellStart"/>
            <w:r w:rsidRPr="00A24135">
              <w:rPr>
                <w:rFonts w:ascii="Arial" w:eastAsia="Times New Roman" w:hAnsi="Arial" w:cs="Arial"/>
                <w:color w:val="000000" w:themeColor="text1"/>
                <w:sz w:val="20"/>
                <w:szCs w:val="20"/>
              </w:rPr>
              <w:t>infected</w:t>
            </w:r>
            <w:r w:rsidRPr="00A24135">
              <w:rPr>
                <w:rFonts w:ascii="Arial" w:eastAsia="Times New Roman" w:hAnsi="Arial" w:cs="Arial"/>
                <w:color w:val="000000" w:themeColor="text1"/>
                <w:sz w:val="20"/>
                <w:szCs w:val="20"/>
                <w:vertAlign w:val="subscript"/>
              </w:rPr>
              <w:t>Initial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70466F64" w14:textId="77777777" w:rsidR="003E3D78" w:rsidRPr="00A24135" w:rsidRDefault="003E3D78" w:rsidP="00CC5D21">
            <w:pPr>
              <w:rPr>
                <w:rFonts w:ascii="Calibri" w:eastAsia="Times New Roman" w:hAnsi="Calibri" w:cs="Calibri"/>
                <w:color w:val="000000" w:themeColor="text1"/>
                <w:sz w:val="20"/>
                <w:szCs w:val="20"/>
              </w:rPr>
            </w:pPr>
            <w:r w:rsidRPr="00A24135">
              <w:rPr>
                <w:rFonts w:ascii="Calibri" w:eastAsia="Times New Roman" w:hAnsi="Calibri" w:cs="Calibri"/>
                <w:color w:val="000000" w:themeColor="text1"/>
                <w:sz w:val="20"/>
                <w:szCs w:val="20"/>
              </w:rPr>
              <w:t> </w:t>
            </w:r>
          </w:p>
        </w:tc>
      </w:tr>
      <w:tr w:rsidR="00A24135" w:rsidRPr="00A24135" w14:paraId="124FDC9F"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13F9B170"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6D18C663"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6A7FC6B6"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Frogs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vertAlign w:val="subscript"/>
              </w:rPr>
              <w:t xml:space="preserve"> </w:t>
            </w:r>
            <w:r w:rsidRPr="005B6CFD">
              <w:rPr>
                <w:rFonts w:ascii="Arial" w:eastAsia="Times New Roman" w:hAnsi="Arial" w:cs="Arial"/>
                <w:color w:val="000000" w:themeColor="text1"/>
                <w:sz w:val="20"/>
                <w:szCs w:val="20"/>
              </w:rPr>
              <w:t xml:space="preserve">~ Toads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bottom"/>
            <w:hideMark/>
          </w:tcPr>
          <w:p w14:paraId="42F732F9"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r w:rsidR="00A24135" w:rsidRPr="00A24135" w14:paraId="344B7917" w14:textId="77777777" w:rsidTr="004F0948">
        <w:trPr>
          <w:trHeight w:val="280"/>
        </w:trPr>
        <w:tc>
          <w:tcPr>
            <w:tcW w:w="1795" w:type="dxa"/>
            <w:vMerge/>
            <w:tcBorders>
              <w:top w:val="nil"/>
              <w:left w:val="single" w:sz="4" w:space="0" w:color="auto"/>
              <w:bottom w:val="single" w:sz="4" w:space="0" w:color="000000"/>
              <w:right w:val="single" w:sz="4" w:space="0" w:color="auto"/>
            </w:tcBorders>
            <w:vAlign w:val="center"/>
            <w:hideMark/>
          </w:tcPr>
          <w:p w14:paraId="4DC7B939" w14:textId="77777777" w:rsidR="003E3D78" w:rsidRPr="005B6CFD" w:rsidRDefault="003E3D78" w:rsidP="00CC5D21">
            <w:pPr>
              <w:rPr>
                <w:rFonts w:ascii="Arial" w:eastAsia="Times New Roman" w:hAnsi="Arial" w:cs="Arial"/>
                <w:color w:val="000000" w:themeColor="text1"/>
                <w:sz w:val="20"/>
                <w:szCs w:val="20"/>
              </w:rPr>
            </w:pPr>
          </w:p>
        </w:tc>
        <w:tc>
          <w:tcPr>
            <w:tcW w:w="3060" w:type="dxa"/>
            <w:vMerge/>
            <w:tcBorders>
              <w:top w:val="nil"/>
              <w:left w:val="single" w:sz="4" w:space="0" w:color="auto"/>
              <w:bottom w:val="single" w:sz="4" w:space="0" w:color="000000"/>
              <w:right w:val="single" w:sz="4" w:space="0" w:color="auto"/>
            </w:tcBorders>
            <w:vAlign w:val="center"/>
            <w:hideMark/>
          </w:tcPr>
          <w:p w14:paraId="0219AD8E" w14:textId="77777777" w:rsidR="003E3D78" w:rsidRPr="005B6CFD" w:rsidRDefault="003E3D78" w:rsidP="00CC5D21">
            <w:pPr>
              <w:rPr>
                <w:rFonts w:ascii="Arial" w:eastAsia="Times New Roman" w:hAnsi="Arial" w:cs="Arial"/>
                <w:color w:val="000000" w:themeColor="text1"/>
                <w:sz w:val="20"/>
                <w:szCs w:val="20"/>
              </w:rPr>
            </w:pPr>
          </w:p>
        </w:tc>
        <w:tc>
          <w:tcPr>
            <w:tcW w:w="2700" w:type="dxa"/>
            <w:tcBorders>
              <w:top w:val="nil"/>
              <w:left w:val="nil"/>
              <w:bottom w:val="single" w:sz="4" w:space="0" w:color="auto"/>
              <w:right w:val="single" w:sz="4" w:space="0" w:color="auto"/>
            </w:tcBorders>
            <w:shd w:val="clear" w:color="auto" w:fill="auto"/>
            <w:noWrap/>
            <w:vAlign w:val="center"/>
            <w:hideMark/>
          </w:tcPr>
          <w:p w14:paraId="2E23DF01" w14:textId="77777777" w:rsidR="003E3D78" w:rsidRPr="005B6CFD" w:rsidRDefault="003E3D78" w:rsidP="00CC5D21">
            <w:pPr>
              <w:jc w:val="center"/>
              <w:rPr>
                <w:rFonts w:ascii="Arial" w:eastAsia="Times New Roman" w:hAnsi="Arial" w:cs="Arial"/>
                <w:color w:val="000000" w:themeColor="text1"/>
                <w:sz w:val="20"/>
                <w:szCs w:val="20"/>
              </w:rPr>
            </w:pPr>
            <w:r w:rsidRPr="005B6CFD">
              <w:rPr>
                <w:rFonts w:ascii="Arial" w:eastAsia="Times New Roman" w:hAnsi="Arial" w:cs="Arial"/>
                <w:color w:val="000000" w:themeColor="text1"/>
                <w:sz w:val="20"/>
                <w:szCs w:val="20"/>
              </w:rPr>
              <w:t xml:space="preserve">Salamanders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r w:rsidRPr="005B6CFD">
              <w:rPr>
                <w:rFonts w:ascii="Arial" w:eastAsia="Times New Roman" w:hAnsi="Arial" w:cs="Arial"/>
                <w:color w:val="000000" w:themeColor="text1"/>
                <w:sz w:val="20"/>
                <w:szCs w:val="20"/>
              </w:rPr>
              <w:t xml:space="preserve"> ~ Frogs </w:t>
            </w:r>
            <w:proofErr w:type="spellStart"/>
            <w:r w:rsidRPr="005B6CFD">
              <w:rPr>
                <w:rFonts w:ascii="Arial" w:eastAsia="Times New Roman" w:hAnsi="Arial" w:cs="Arial"/>
                <w:color w:val="000000" w:themeColor="text1"/>
                <w:sz w:val="20"/>
                <w:szCs w:val="20"/>
              </w:rPr>
              <w:t>infected</w:t>
            </w:r>
            <w:r w:rsidRPr="005B6CFD">
              <w:rPr>
                <w:rFonts w:ascii="Arial" w:eastAsia="Times New Roman" w:hAnsi="Arial" w:cs="Arial"/>
                <w:color w:val="000000" w:themeColor="text1"/>
                <w:sz w:val="20"/>
                <w:szCs w:val="20"/>
                <w:vertAlign w:val="subscript"/>
              </w:rPr>
              <w:t>FINAL</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312EE89B" w14:textId="77777777" w:rsidR="003E3D78" w:rsidRPr="005B6CFD" w:rsidRDefault="003E3D78" w:rsidP="00CC5D21">
            <w:pPr>
              <w:rPr>
                <w:rFonts w:ascii="Calibri" w:eastAsia="Times New Roman" w:hAnsi="Calibri" w:cs="Calibri"/>
                <w:color w:val="000000" w:themeColor="text1"/>
                <w:sz w:val="20"/>
                <w:szCs w:val="20"/>
              </w:rPr>
            </w:pPr>
            <w:r w:rsidRPr="005B6CFD">
              <w:rPr>
                <w:rFonts w:ascii="Calibri" w:eastAsia="Times New Roman" w:hAnsi="Calibri" w:cs="Calibri"/>
                <w:color w:val="000000" w:themeColor="text1"/>
                <w:sz w:val="20"/>
                <w:szCs w:val="20"/>
              </w:rPr>
              <w:t> </w:t>
            </w:r>
          </w:p>
        </w:tc>
      </w:tr>
    </w:tbl>
    <w:p w14:paraId="666611E9" w14:textId="369B768B" w:rsidR="003E3D78" w:rsidRDefault="003E3D78">
      <w:pPr>
        <w:spacing w:line="360" w:lineRule="auto"/>
        <w:rPr>
          <w:rFonts w:ascii="Arial" w:eastAsia="Arial" w:hAnsi="Arial" w:cs="Arial"/>
          <w:sz w:val="22"/>
          <w:szCs w:val="22"/>
        </w:rPr>
      </w:pPr>
    </w:p>
    <w:p w14:paraId="051F8F30" w14:textId="5F54CF68" w:rsidR="003E3D78" w:rsidRDefault="003E3D78">
      <w:pPr>
        <w:rPr>
          <w:rFonts w:ascii="Arial" w:eastAsia="Arial" w:hAnsi="Arial" w:cs="Arial"/>
          <w:sz w:val="22"/>
          <w:szCs w:val="22"/>
        </w:rPr>
      </w:pPr>
      <w:r>
        <w:rPr>
          <w:rFonts w:ascii="Arial" w:eastAsia="Arial" w:hAnsi="Arial" w:cs="Arial"/>
          <w:sz w:val="22"/>
          <w:szCs w:val="22"/>
        </w:rPr>
        <w:br w:type="page"/>
      </w:r>
    </w:p>
    <w:p w14:paraId="53A5A70A" w14:textId="4B6B7C49" w:rsidR="003E3D78" w:rsidRDefault="003E3D78">
      <w:pPr>
        <w:spacing w:line="360" w:lineRule="auto"/>
        <w:rPr>
          <w:rFonts w:ascii="Arial" w:eastAsia="Arial" w:hAnsi="Arial" w:cs="Arial"/>
          <w:sz w:val="22"/>
          <w:szCs w:val="22"/>
        </w:rPr>
      </w:pPr>
      <w:r>
        <w:rPr>
          <w:rFonts w:ascii="Arial" w:eastAsia="Arial" w:hAnsi="Arial" w:cs="Arial"/>
          <w:sz w:val="22"/>
          <w:szCs w:val="22"/>
        </w:rPr>
        <w:lastRenderedPageBreak/>
        <w:t>Table 2</w:t>
      </w:r>
    </w:p>
    <w:tbl>
      <w:tblPr>
        <w:tblStyle w:val="a"/>
        <w:tblW w:w="9573" w:type="dxa"/>
        <w:tblInd w:w="118" w:type="dxa"/>
        <w:tblLayout w:type="fixed"/>
        <w:tblLook w:val="0400" w:firstRow="0" w:lastRow="0" w:firstColumn="0" w:lastColumn="0" w:noHBand="0" w:noVBand="1"/>
      </w:tblPr>
      <w:tblGrid>
        <w:gridCol w:w="4408"/>
        <w:gridCol w:w="1317"/>
        <w:gridCol w:w="1235"/>
        <w:gridCol w:w="1417"/>
        <w:gridCol w:w="1174"/>
        <w:gridCol w:w="11"/>
        <w:gridCol w:w="11"/>
      </w:tblGrid>
      <w:tr w:rsidR="00BB7DB7" w:rsidRPr="00BB7DB7" w14:paraId="2B854A95" w14:textId="77777777" w:rsidTr="00BB7DB7">
        <w:trPr>
          <w:trHeight w:val="400"/>
        </w:trPr>
        <w:tc>
          <w:tcPr>
            <w:tcW w:w="9573"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55B8BF07" w14:textId="0FFC447F" w:rsidR="00BF3D8E" w:rsidRPr="00BB7DB7" w:rsidRDefault="001F78CF">
            <w:pPr>
              <w:rPr>
                <w:rFonts w:ascii="Arial" w:eastAsia="Arial" w:hAnsi="Arial" w:cs="Arial"/>
                <w:b/>
                <w:color w:val="000000"/>
                <w:sz w:val="20"/>
                <w:szCs w:val="20"/>
              </w:rPr>
            </w:pPr>
            <w:r w:rsidRPr="00BB7DB7">
              <w:rPr>
                <w:rFonts w:ascii="Arial" w:eastAsia="Arial" w:hAnsi="Arial" w:cs="Arial"/>
                <w:b/>
                <w:color w:val="000000"/>
                <w:sz w:val="20"/>
                <w:szCs w:val="20"/>
              </w:rPr>
              <w:t xml:space="preserve">Scenario </w:t>
            </w:r>
            <w:r w:rsidR="00A3647F" w:rsidRPr="00BB7DB7">
              <w:rPr>
                <w:rFonts w:ascii="Arial" w:eastAsia="Arial" w:hAnsi="Arial" w:cs="Arial"/>
                <w:b/>
                <w:color w:val="000000"/>
                <w:sz w:val="20"/>
                <w:szCs w:val="20"/>
              </w:rPr>
              <w:t>1</w:t>
            </w:r>
            <w:r w:rsidR="00B11315" w:rsidRPr="00BB7DB7">
              <w:rPr>
                <w:rFonts w:ascii="Arial" w:eastAsia="Arial" w:hAnsi="Arial" w:cs="Arial"/>
                <w:b/>
                <w:color w:val="000000"/>
                <w:sz w:val="20"/>
                <w:szCs w:val="20"/>
              </w:rPr>
              <w:t>: Host community characteristics do not predict invasion outcomes</w:t>
            </w:r>
          </w:p>
        </w:tc>
      </w:tr>
      <w:tr w:rsidR="00BB7DB7" w:rsidRPr="00BB7DB7" w14:paraId="3FF91B9C" w14:textId="77777777" w:rsidTr="00BB7DB7">
        <w:trPr>
          <w:gridAfter w:val="1"/>
          <w:wAfter w:w="11" w:type="dxa"/>
          <w:trHeight w:val="320"/>
        </w:trPr>
        <w:tc>
          <w:tcPr>
            <w:tcW w:w="4408" w:type="dxa"/>
            <w:vMerge w:val="restart"/>
            <w:tcBorders>
              <w:top w:val="single" w:sz="8" w:space="0" w:color="000000"/>
              <w:left w:val="single" w:sz="8" w:space="0" w:color="000000"/>
              <w:bottom w:val="single" w:sz="4" w:space="0" w:color="000000"/>
              <w:right w:val="single" w:sz="8" w:space="0" w:color="000000"/>
            </w:tcBorders>
            <w:shd w:val="clear" w:color="auto" w:fill="auto"/>
            <w:vAlign w:val="bottom"/>
          </w:tcPr>
          <w:p w14:paraId="338B0435"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 </w:t>
            </w:r>
          </w:p>
        </w:tc>
        <w:tc>
          <w:tcPr>
            <w:tcW w:w="2552" w:type="dxa"/>
            <w:gridSpan w:val="2"/>
            <w:tcBorders>
              <w:top w:val="nil"/>
              <w:left w:val="nil"/>
              <w:bottom w:val="single" w:sz="4" w:space="0" w:color="000000"/>
              <w:right w:val="single" w:sz="8" w:space="0" w:color="000000"/>
            </w:tcBorders>
            <w:shd w:val="clear" w:color="auto" w:fill="auto"/>
            <w:vAlign w:val="bottom"/>
          </w:tcPr>
          <w:p w14:paraId="772D2311"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prevalence</w:t>
            </w:r>
          </w:p>
        </w:tc>
        <w:tc>
          <w:tcPr>
            <w:tcW w:w="2602" w:type="dxa"/>
            <w:gridSpan w:val="3"/>
            <w:tcBorders>
              <w:top w:val="nil"/>
              <w:left w:val="nil"/>
              <w:bottom w:val="single" w:sz="4" w:space="0" w:color="000000"/>
              <w:right w:val="single" w:sz="8" w:space="0" w:color="000000"/>
            </w:tcBorders>
            <w:shd w:val="clear" w:color="auto" w:fill="auto"/>
            <w:vAlign w:val="bottom"/>
          </w:tcPr>
          <w:p w14:paraId="19A73DC3"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loads</w:t>
            </w:r>
          </w:p>
        </w:tc>
      </w:tr>
      <w:tr w:rsidR="00BB7DB7" w:rsidRPr="00BB7DB7" w14:paraId="4E5BFA21" w14:textId="77777777" w:rsidTr="00BB7DB7">
        <w:trPr>
          <w:gridAfter w:val="2"/>
          <w:wAfter w:w="22" w:type="dxa"/>
          <w:trHeight w:val="320"/>
        </w:trPr>
        <w:tc>
          <w:tcPr>
            <w:tcW w:w="4408" w:type="dxa"/>
            <w:vMerge/>
            <w:tcBorders>
              <w:top w:val="single" w:sz="8" w:space="0" w:color="000000"/>
              <w:left w:val="single" w:sz="8" w:space="0" w:color="000000"/>
              <w:bottom w:val="single" w:sz="4" w:space="0" w:color="000000"/>
              <w:right w:val="single" w:sz="8" w:space="0" w:color="000000"/>
            </w:tcBorders>
            <w:shd w:val="clear" w:color="auto" w:fill="auto"/>
            <w:vAlign w:val="bottom"/>
          </w:tcPr>
          <w:p w14:paraId="52A50B3C" w14:textId="77777777" w:rsidR="00BF3D8E" w:rsidRPr="00BB7DB7" w:rsidRDefault="00BF3D8E">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317" w:type="dxa"/>
            <w:tcBorders>
              <w:top w:val="nil"/>
              <w:left w:val="nil"/>
              <w:bottom w:val="single" w:sz="4" w:space="0" w:color="000000"/>
              <w:right w:val="single" w:sz="4" w:space="0" w:color="000000"/>
            </w:tcBorders>
            <w:shd w:val="clear" w:color="auto" w:fill="auto"/>
            <w:vAlign w:val="bottom"/>
          </w:tcPr>
          <w:p w14:paraId="20ACD54A"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235" w:type="dxa"/>
            <w:tcBorders>
              <w:top w:val="nil"/>
              <w:left w:val="nil"/>
              <w:bottom w:val="single" w:sz="4" w:space="0" w:color="000000"/>
              <w:right w:val="single" w:sz="8" w:space="0" w:color="000000"/>
            </w:tcBorders>
            <w:shd w:val="clear" w:color="auto" w:fill="auto"/>
            <w:vAlign w:val="bottom"/>
          </w:tcPr>
          <w:p w14:paraId="217F3F37"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48.22</w:t>
            </w:r>
          </w:p>
        </w:tc>
        <w:tc>
          <w:tcPr>
            <w:tcW w:w="1417" w:type="dxa"/>
            <w:tcBorders>
              <w:top w:val="nil"/>
              <w:left w:val="nil"/>
              <w:bottom w:val="single" w:sz="4" w:space="0" w:color="000000"/>
              <w:right w:val="single" w:sz="4" w:space="0" w:color="000000"/>
            </w:tcBorders>
            <w:shd w:val="clear" w:color="auto" w:fill="auto"/>
            <w:vAlign w:val="bottom"/>
          </w:tcPr>
          <w:p w14:paraId="29A8F7D3"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174" w:type="dxa"/>
            <w:tcBorders>
              <w:top w:val="nil"/>
              <w:left w:val="nil"/>
              <w:bottom w:val="single" w:sz="4" w:space="0" w:color="000000"/>
              <w:right w:val="single" w:sz="8" w:space="0" w:color="000000"/>
            </w:tcBorders>
            <w:shd w:val="clear" w:color="auto" w:fill="auto"/>
            <w:vAlign w:val="bottom"/>
          </w:tcPr>
          <w:p w14:paraId="52382122"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10.00</w:t>
            </w:r>
          </w:p>
        </w:tc>
      </w:tr>
      <w:tr w:rsidR="00BB7DB7" w:rsidRPr="00BB7DB7" w14:paraId="076FCA96"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3997A997"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model terms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0A51EB63"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235" w:type="dxa"/>
            <w:tcBorders>
              <w:top w:val="nil"/>
              <w:left w:val="nil"/>
              <w:bottom w:val="single" w:sz="4" w:space="0" w:color="000000"/>
              <w:right w:val="single" w:sz="8" w:space="0" w:color="000000"/>
            </w:tcBorders>
            <w:shd w:val="clear" w:color="auto" w:fill="auto"/>
            <w:vAlign w:val="bottom"/>
          </w:tcPr>
          <w:p w14:paraId="03BFED2A"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c>
          <w:tcPr>
            <w:tcW w:w="1417" w:type="dxa"/>
            <w:tcBorders>
              <w:top w:val="nil"/>
              <w:left w:val="nil"/>
              <w:bottom w:val="single" w:sz="4" w:space="0" w:color="000000"/>
              <w:right w:val="single" w:sz="4" w:space="0" w:color="000000"/>
            </w:tcBorders>
            <w:shd w:val="clear" w:color="auto" w:fill="auto"/>
            <w:vAlign w:val="bottom"/>
          </w:tcPr>
          <w:p w14:paraId="74FA2092"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174" w:type="dxa"/>
            <w:tcBorders>
              <w:top w:val="nil"/>
              <w:left w:val="nil"/>
              <w:bottom w:val="single" w:sz="4" w:space="0" w:color="000000"/>
              <w:right w:val="single" w:sz="8" w:space="0" w:color="000000"/>
            </w:tcBorders>
            <w:shd w:val="clear" w:color="auto" w:fill="auto"/>
            <w:vAlign w:val="bottom"/>
          </w:tcPr>
          <w:p w14:paraId="3AC089B5"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r>
      <w:tr w:rsidR="00BB7DB7" w:rsidRPr="00BB7DB7" w14:paraId="42883DCD" w14:textId="77777777" w:rsidTr="00BB7DB7">
        <w:trPr>
          <w:gridAfter w:val="2"/>
          <w:wAfter w:w="22" w:type="dxa"/>
          <w:trHeight w:val="320"/>
        </w:trPr>
        <w:tc>
          <w:tcPr>
            <w:tcW w:w="4408" w:type="dxa"/>
            <w:tcBorders>
              <w:top w:val="nil"/>
              <w:left w:val="single" w:sz="8" w:space="0" w:color="000000"/>
              <w:bottom w:val="nil"/>
              <w:right w:val="nil"/>
            </w:tcBorders>
            <w:shd w:val="clear" w:color="auto" w:fill="auto"/>
            <w:vAlign w:val="bottom"/>
          </w:tcPr>
          <w:p w14:paraId="66BB8A32"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w:t>
            </w:r>
          </w:p>
        </w:tc>
        <w:tc>
          <w:tcPr>
            <w:tcW w:w="1317" w:type="dxa"/>
            <w:tcBorders>
              <w:top w:val="nil"/>
              <w:left w:val="single" w:sz="8" w:space="0" w:color="000000"/>
              <w:bottom w:val="nil"/>
              <w:right w:val="single" w:sz="4" w:space="0" w:color="000000"/>
            </w:tcBorders>
            <w:shd w:val="clear" w:color="auto" w:fill="auto"/>
            <w:vAlign w:val="bottom"/>
          </w:tcPr>
          <w:p w14:paraId="43B198B9"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w:t>
            </w:r>
          </w:p>
        </w:tc>
        <w:tc>
          <w:tcPr>
            <w:tcW w:w="1235" w:type="dxa"/>
            <w:tcBorders>
              <w:top w:val="nil"/>
              <w:left w:val="nil"/>
              <w:bottom w:val="nil"/>
              <w:right w:val="single" w:sz="8" w:space="0" w:color="000000"/>
            </w:tcBorders>
            <w:shd w:val="clear" w:color="auto" w:fill="auto"/>
            <w:vAlign w:val="bottom"/>
          </w:tcPr>
          <w:p w14:paraId="0F3CD504"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w:t>
            </w:r>
          </w:p>
        </w:tc>
        <w:tc>
          <w:tcPr>
            <w:tcW w:w="1417" w:type="dxa"/>
            <w:tcBorders>
              <w:top w:val="nil"/>
              <w:left w:val="nil"/>
              <w:bottom w:val="nil"/>
              <w:right w:val="single" w:sz="4" w:space="0" w:color="000000"/>
            </w:tcBorders>
            <w:shd w:val="clear" w:color="auto" w:fill="auto"/>
            <w:vAlign w:val="bottom"/>
          </w:tcPr>
          <w:p w14:paraId="2BC4ABD5"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w:t>
            </w:r>
          </w:p>
        </w:tc>
        <w:tc>
          <w:tcPr>
            <w:tcW w:w="1174" w:type="dxa"/>
            <w:tcBorders>
              <w:top w:val="nil"/>
              <w:left w:val="nil"/>
              <w:bottom w:val="nil"/>
              <w:right w:val="single" w:sz="8" w:space="0" w:color="000000"/>
            </w:tcBorders>
            <w:shd w:val="clear" w:color="auto" w:fill="auto"/>
            <w:vAlign w:val="bottom"/>
          </w:tcPr>
          <w:p w14:paraId="3300D8C1"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w:t>
            </w:r>
          </w:p>
        </w:tc>
      </w:tr>
      <w:tr w:rsidR="00BB7DB7" w:rsidRPr="00BB7DB7" w14:paraId="0A5E24F9" w14:textId="77777777" w:rsidTr="00BB7DB7">
        <w:trPr>
          <w:gridAfter w:val="2"/>
          <w:wAfter w:w="22" w:type="dxa"/>
          <w:trHeight w:val="340"/>
        </w:trPr>
        <w:tc>
          <w:tcPr>
            <w:tcW w:w="4408" w:type="dxa"/>
            <w:tcBorders>
              <w:top w:val="single" w:sz="4" w:space="0" w:color="000000"/>
              <w:left w:val="single" w:sz="8" w:space="0" w:color="000000"/>
              <w:bottom w:val="nil"/>
              <w:right w:val="nil"/>
            </w:tcBorders>
            <w:shd w:val="clear" w:color="auto" w:fill="auto"/>
            <w:vAlign w:val="bottom"/>
          </w:tcPr>
          <w:p w14:paraId="7FB7CB91"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 </w:t>
            </w:r>
          </w:p>
        </w:tc>
        <w:tc>
          <w:tcPr>
            <w:tcW w:w="1317" w:type="dxa"/>
            <w:tcBorders>
              <w:top w:val="single" w:sz="4" w:space="0" w:color="000000"/>
              <w:left w:val="single" w:sz="8" w:space="0" w:color="000000"/>
              <w:bottom w:val="nil"/>
              <w:right w:val="single" w:sz="4" w:space="0" w:color="000000"/>
            </w:tcBorders>
            <w:shd w:val="clear" w:color="auto" w:fill="auto"/>
            <w:vAlign w:val="bottom"/>
          </w:tcPr>
          <w:p w14:paraId="490981AC"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235" w:type="dxa"/>
            <w:tcBorders>
              <w:top w:val="single" w:sz="4" w:space="0" w:color="000000"/>
              <w:left w:val="nil"/>
              <w:bottom w:val="nil"/>
              <w:right w:val="single" w:sz="8" w:space="0" w:color="000000"/>
            </w:tcBorders>
            <w:shd w:val="clear" w:color="auto" w:fill="auto"/>
            <w:vAlign w:val="bottom"/>
          </w:tcPr>
          <w:p w14:paraId="0CC0710A"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417" w:type="dxa"/>
            <w:tcBorders>
              <w:top w:val="single" w:sz="4" w:space="0" w:color="000000"/>
              <w:left w:val="nil"/>
              <w:bottom w:val="nil"/>
              <w:right w:val="single" w:sz="4" w:space="0" w:color="000000"/>
            </w:tcBorders>
            <w:shd w:val="clear" w:color="auto" w:fill="auto"/>
            <w:vAlign w:val="bottom"/>
          </w:tcPr>
          <w:p w14:paraId="4DBD4008"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174" w:type="dxa"/>
            <w:tcBorders>
              <w:top w:val="single" w:sz="4" w:space="0" w:color="000000"/>
              <w:left w:val="nil"/>
              <w:bottom w:val="nil"/>
              <w:right w:val="single" w:sz="8" w:space="0" w:color="000000"/>
            </w:tcBorders>
            <w:shd w:val="clear" w:color="auto" w:fill="auto"/>
            <w:vAlign w:val="bottom"/>
          </w:tcPr>
          <w:p w14:paraId="704E63F8"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r>
      <w:tr w:rsidR="00BB7DB7" w:rsidRPr="00BB7DB7" w14:paraId="67801230" w14:textId="77777777" w:rsidTr="00BB7DB7">
        <w:trPr>
          <w:trHeight w:val="400"/>
        </w:trPr>
        <w:tc>
          <w:tcPr>
            <w:tcW w:w="9573"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58BD0BF1" w14:textId="4B3D769D" w:rsidR="00BF3D8E" w:rsidRPr="00BB7DB7" w:rsidRDefault="001F78CF">
            <w:pPr>
              <w:rPr>
                <w:rFonts w:ascii="Arial" w:eastAsia="Arial" w:hAnsi="Arial" w:cs="Arial"/>
                <w:b/>
                <w:color w:val="000000"/>
                <w:sz w:val="20"/>
                <w:szCs w:val="20"/>
              </w:rPr>
            </w:pPr>
            <w:r w:rsidRPr="00BB7DB7">
              <w:rPr>
                <w:rFonts w:ascii="Arial" w:eastAsia="Arial" w:hAnsi="Arial" w:cs="Arial"/>
                <w:b/>
                <w:color w:val="000000"/>
                <w:sz w:val="20"/>
                <w:szCs w:val="20"/>
              </w:rPr>
              <w:t xml:space="preserve">Scenario </w:t>
            </w:r>
            <w:r w:rsidR="00A3647F" w:rsidRPr="00BB7DB7">
              <w:rPr>
                <w:rFonts w:ascii="Arial" w:eastAsia="Arial" w:hAnsi="Arial" w:cs="Arial"/>
                <w:b/>
                <w:color w:val="000000"/>
                <w:sz w:val="20"/>
                <w:szCs w:val="20"/>
              </w:rPr>
              <w:t>2</w:t>
            </w:r>
            <w:r w:rsidR="00B11315" w:rsidRPr="00BB7DB7">
              <w:rPr>
                <w:rFonts w:ascii="Arial" w:eastAsia="Arial" w:hAnsi="Arial" w:cs="Arial"/>
                <w:b/>
                <w:color w:val="000000"/>
                <w:sz w:val="20"/>
                <w:szCs w:val="20"/>
              </w:rPr>
              <w:t>: Host species richness best predicts invasion outcomes</w:t>
            </w:r>
          </w:p>
        </w:tc>
      </w:tr>
      <w:tr w:rsidR="00BB7DB7" w:rsidRPr="00BB7DB7" w14:paraId="1586D03D" w14:textId="77777777" w:rsidTr="00BB7DB7">
        <w:trPr>
          <w:gridAfter w:val="1"/>
          <w:wAfter w:w="11" w:type="dxa"/>
          <w:trHeight w:val="380"/>
        </w:trPr>
        <w:tc>
          <w:tcPr>
            <w:tcW w:w="4408" w:type="dxa"/>
            <w:vMerge w:val="restart"/>
            <w:tcBorders>
              <w:top w:val="single" w:sz="8" w:space="0" w:color="000000"/>
              <w:left w:val="single" w:sz="8" w:space="0" w:color="000000"/>
              <w:bottom w:val="single" w:sz="4" w:space="0" w:color="000000"/>
              <w:right w:val="single" w:sz="8" w:space="0" w:color="000000"/>
            </w:tcBorders>
            <w:shd w:val="clear" w:color="auto" w:fill="auto"/>
            <w:vAlign w:val="bottom"/>
          </w:tcPr>
          <w:p w14:paraId="37469C05"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 </w:t>
            </w:r>
          </w:p>
        </w:tc>
        <w:tc>
          <w:tcPr>
            <w:tcW w:w="2552" w:type="dxa"/>
            <w:gridSpan w:val="2"/>
            <w:tcBorders>
              <w:top w:val="nil"/>
              <w:left w:val="nil"/>
              <w:bottom w:val="single" w:sz="4" w:space="0" w:color="000000"/>
              <w:right w:val="single" w:sz="8" w:space="0" w:color="000000"/>
            </w:tcBorders>
            <w:shd w:val="clear" w:color="auto" w:fill="auto"/>
            <w:vAlign w:val="bottom"/>
          </w:tcPr>
          <w:p w14:paraId="2ADC4AD4"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prevalence</w:t>
            </w:r>
          </w:p>
        </w:tc>
        <w:tc>
          <w:tcPr>
            <w:tcW w:w="2602" w:type="dxa"/>
            <w:gridSpan w:val="3"/>
            <w:tcBorders>
              <w:top w:val="nil"/>
              <w:left w:val="nil"/>
              <w:bottom w:val="single" w:sz="4" w:space="0" w:color="000000"/>
              <w:right w:val="single" w:sz="8" w:space="0" w:color="000000"/>
            </w:tcBorders>
            <w:shd w:val="clear" w:color="auto" w:fill="auto"/>
            <w:vAlign w:val="bottom"/>
          </w:tcPr>
          <w:p w14:paraId="602F66C7"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loads</w:t>
            </w:r>
          </w:p>
        </w:tc>
      </w:tr>
      <w:tr w:rsidR="00BB7DB7" w:rsidRPr="00BB7DB7" w14:paraId="5DCA4321" w14:textId="77777777" w:rsidTr="00BB7DB7">
        <w:trPr>
          <w:gridAfter w:val="2"/>
          <w:wAfter w:w="22" w:type="dxa"/>
          <w:trHeight w:val="320"/>
        </w:trPr>
        <w:tc>
          <w:tcPr>
            <w:tcW w:w="4408" w:type="dxa"/>
            <w:vMerge/>
            <w:tcBorders>
              <w:top w:val="single" w:sz="8" w:space="0" w:color="000000"/>
              <w:left w:val="single" w:sz="8" w:space="0" w:color="000000"/>
              <w:bottom w:val="single" w:sz="4" w:space="0" w:color="000000"/>
              <w:right w:val="single" w:sz="8" w:space="0" w:color="000000"/>
            </w:tcBorders>
            <w:shd w:val="clear" w:color="auto" w:fill="auto"/>
            <w:vAlign w:val="bottom"/>
          </w:tcPr>
          <w:p w14:paraId="6FEF75DF" w14:textId="77777777" w:rsidR="00BF3D8E" w:rsidRPr="00BB7DB7" w:rsidRDefault="00BF3D8E">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317" w:type="dxa"/>
            <w:tcBorders>
              <w:top w:val="nil"/>
              <w:left w:val="nil"/>
              <w:bottom w:val="single" w:sz="4" w:space="0" w:color="000000"/>
              <w:right w:val="single" w:sz="4" w:space="0" w:color="000000"/>
            </w:tcBorders>
            <w:shd w:val="clear" w:color="auto" w:fill="auto"/>
            <w:vAlign w:val="bottom"/>
          </w:tcPr>
          <w:p w14:paraId="5089D150"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235" w:type="dxa"/>
            <w:tcBorders>
              <w:top w:val="nil"/>
              <w:left w:val="nil"/>
              <w:bottom w:val="single" w:sz="4" w:space="0" w:color="000000"/>
              <w:right w:val="single" w:sz="8" w:space="0" w:color="000000"/>
            </w:tcBorders>
            <w:shd w:val="clear" w:color="auto" w:fill="auto"/>
            <w:vAlign w:val="bottom"/>
          </w:tcPr>
          <w:p w14:paraId="522FDA14"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31.52</w:t>
            </w:r>
          </w:p>
        </w:tc>
        <w:tc>
          <w:tcPr>
            <w:tcW w:w="1417" w:type="dxa"/>
            <w:tcBorders>
              <w:top w:val="nil"/>
              <w:left w:val="nil"/>
              <w:bottom w:val="single" w:sz="4" w:space="0" w:color="000000"/>
              <w:right w:val="single" w:sz="4" w:space="0" w:color="000000"/>
            </w:tcBorders>
            <w:shd w:val="clear" w:color="auto" w:fill="auto"/>
            <w:vAlign w:val="bottom"/>
          </w:tcPr>
          <w:p w14:paraId="10CE2050"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174" w:type="dxa"/>
            <w:tcBorders>
              <w:top w:val="nil"/>
              <w:left w:val="nil"/>
              <w:bottom w:val="single" w:sz="4" w:space="0" w:color="000000"/>
              <w:right w:val="single" w:sz="8" w:space="0" w:color="000000"/>
            </w:tcBorders>
            <w:shd w:val="clear" w:color="auto" w:fill="auto"/>
            <w:vAlign w:val="bottom"/>
          </w:tcPr>
          <w:p w14:paraId="4EBA57E1"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0.04</w:t>
            </w:r>
          </w:p>
        </w:tc>
      </w:tr>
      <w:tr w:rsidR="00BB7DB7" w:rsidRPr="00BB7DB7" w14:paraId="69139130"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337E3483"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model terms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0BB1522C"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235" w:type="dxa"/>
            <w:tcBorders>
              <w:top w:val="nil"/>
              <w:left w:val="nil"/>
              <w:bottom w:val="single" w:sz="4" w:space="0" w:color="000000"/>
              <w:right w:val="single" w:sz="8" w:space="0" w:color="000000"/>
            </w:tcBorders>
            <w:shd w:val="clear" w:color="auto" w:fill="auto"/>
            <w:vAlign w:val="bottom"/>
          </w:tcPr>
          <w:p w14:paraId="2CAA0786"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c>
          <w:tcPr>
            <w:tcW w:w="1417" w:type="dxa"/>
            <w:tcBorders>
              <w:top w:val="nil"/>
              <w:left w:val="nil"/>
              <w:bottom w:val="single" w:sz="4" w:space="0" w:color="000000"/>
              <w:right w:val="single" w:sz="4" w:space="0" w:color="000000"/>
            </w:tcBorders>
            <w:shd w:val="clear" w:color="auto" w:fill="auto"/>
            <w:vAlign w:val="bottom"/>
          </w:tcPr>
          <w:p w14:paraId="11EF7999"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174" w:type="dxa"/>
            <w:tcBorders>
              <w:top w:val="nil"/>
              <w:left w:val="nil"/>
              <w:bottom w:val="single" w:sz="4" w:space="0" w:color="000000"/>
              <w:right w:val="single" w:sz="8" w:space="0" w:color="000000"/>
            </w:tcBorders>
            <w:shd w:val="clear" w:color="auto" w:fill="auto"/>
            <w:vAlign w:val="bottom"/>
          </w:tcPr>
          <w:p w14:paraId="2B1894DC"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r>
      <w:tr w:rsidR="00BB7DB7" w:rsidRPr="00BB7DB7" w14:paraId="36CE0E9C"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2EB5D367"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species richness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107BDEA7"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0.61</w:t>
            </w:r>
          </w:p>
        </w:tc>
        <w:tc>
          <w:tcPr>
            <w:tcW w:w="1235" w:type="dxa"/>
            <w:tcBorders>
              <w:top w:val="nil"/>
              <w:left w:val="nil"/>
              <w:bottom w:val="single" w:sz="4" w:space="0" w:color="000000"/>
              <w:right w:val="single" w:sz="8" w:space="0" w:color="000000"/>
            </w:tcBorders>
            <w:shd w:val="clear" w:color="auto" w:fill="auto"/>
            <w:vAlign w:val="bottom"/>
          </w:tcPr>
          <w:p w14:paraId="7B196409"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0.15</w:t>
            </w:r>
          </w:p>
        </w:tc>
        <w:tc>
          <w:tcPr>
            <w:tcW w:w="1417" w:type="dxa"/>
            <w:tcBorders>
              <w:top w:val="nil"/>
              <w:left w:val="nil"/>
              <w:bottom w:val="single" w:sz="4" w:space="0" w:color="000000"/>
              <w:right w:val="single" w:sz="4" w:space="0" w:color="000000"/>
            </w:tcBorders>
            <w:shd w:val="clear" w:color="auto" w:fill="auto"/>
            <w:vAlign w:val="bottom"/>
          </w:tcPr>
          <w:p w14:paraId="181FB664"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0.50</w:t>
            </w:r>
          </w:p>
        </w:tc>
        <w:tc>
          <w:tcPr>
            <w:tcW w:w="1174" w:type="dxa"/>
            <w:tcBorders>
              <w:top w:val="nil"/>
              <w:left w:val="nil"/>
              <w:bottom w:val="single" w:sz="4" w:space="0" w:color="000000"/>
              <w:right w:val="single" w:sz="8" w:space="0" w:color="000000"/>
            </w:tcBorders>
            <w:shd w:val="clear" w:color="auto" w:fill="auto"/>
            <w:vAlign w:val="bottom"/>
          </w:tcPr>
          <w:p w14:paraId="13A4DD64"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0.14</w:t>
            </w:r>
          </w:p>
        </w:tc>
      </w:tr>
      <w:tr w:rsidR="00BB7DB7" w:rsidRPr="00BB7DB7" w14:paraId="21FA8B34" w14:textId="77777777" w:rsidTr="00BB7DB7">
        <w:trPr>
          <w:gridAfter w:val="2"/>
          <w:wAfter w:w="22" w:type="dxa"/>
          <w:trHeight w:val="340"/>
        </w:trPr>
        <w:tc>
          <w:tcPr>
            <w:tcW w:w="4408" w:type="dxa"/>
            <w:tcBorders>
              <w:top w:val="nil"/>
              <w:left w:val="single" w:sz="8" w:space="0" w:color="000000"/>
              <w:bottom w:val="nil"/>
              <w:right w:val="nil"/>
            </w:tcBorders>
            <w:shd w:val="clear" w:color="auto" w:fill="auto"/>
            <w:vAlign w:val="bottom"/>
          </w:tcPr>
          <w:p w14:paraId="1A1342E0"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 </w:t>
            </w:r>
          </w:p>
        </w:tc>
        <w:tc>
          <w:tcPr>
            <w:tcW w:w="1317" w:type="dxa"/>
            <w:tcBorders>
              <w:top w:val="nil"/>
              <w:left w:val="single" w:sz="8" w:space="0" w:color="000000"/>
              <w:bottom w:val="nil"/>
              <w:right w:val="single" w:sz="4" w:space="0" w:color="000000"/>
            </w:tcBorders>
            <w:shd w:val="clear" w:color="auto" w:fill="auto"/>
            <w:vAlign w:val="bottom"/>
          </w:tcPr>
          <w:p w14:paraId="6FF95ACC"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235" w:type="dxa"/>
            <w:tcBorders>
              <w:top w:val="nil"/>
              <w:left w:val="nil"/>
              <w:bottom w:val="nil"/>
              <w:right w:val="single" w:sz="8" w:space="0" w:color="000000"/>
            </w:tcBorders>
            <w:shd w:val="clear" w:color="auto" w:fill="auto"/>
            <w:vAlign w:val="bottom"/>
          </w:tcPr>
          <w:p w14:paraId="4C1D32A1"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417" w:type="dxa"/>
            <w:tcBorders>
              <w:top w:val="nil"/>
              <w:left w:val="nil"/>
              <w:bottom w:val="nil"/>
              <w:right w:val="single" w:sz="4" w:space="0" w:color="000000"/>
            </w:tcBorders>
            <w:shd w:val="clear" w:color="auto" w:fill="auto"/>
            <w:vAlign w:val="bottom"/>
          </w:tcPr>
          <w:p w14:paraId="172C2155"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174" w:type="dxa"/>
            <w:tcBorders>
              <w:top w:val="nil"/>
              <w:left w:val="nil"/>
              <w:bottom w:val="nil"/>
              <w:right w:val="single" w:sz="8" w:space="0" w:color="000000"/>
            </w:tcBorders>
            <w:shd w:val="clear" w:color="auto" w:fill="auto"/>
            <w:vAlign w:val="bottom"/>
          </w:tcPr>
          <w:p w14:paraId="1307815D"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r>
      <w:tr w:rsidR="00BB7DB7" w:rsidRPr="00BB7DB7" w14:paraId="595A1C84" w14:textId="77777777" w:rsidTr="00BB7DB7">
        <w:trPr>
          <w:trHeight w:val="780"/>
        </w:trPr>
        <w:tc>
          <w:tcPr>
            <w:tcW w:w="9573" w:type="dxa"/>
            <w:gridSpan w:val="7"/>
            <w:tcBorders>
              <w:top w:val="single" w:sz="8" w:space="0" w:color="000000"/>
              <w:left w:val="single" w:sz="8" w:space="0" w:color="000000"/>
              <w:bottom w:val="single" w:sz="8" w:space="0" w:color="000000"/>
              <w:right w:val="single" w:sz="8" w:space="0" w:color="000000"/>
            </w:tcBorders>
            <w:shd w:val="clear" w:color="auto" w:fill="D9D9D9"/>
            <w:vAlign w:val="bottom"/>
          </w:tcPr>
          <w:p w14:paraId="23BB0922" w14:textId="5FD98C5F" w:rsidR="00BF3D8E" w:rsidRPr="00BB7DB7" w:rsidRDefault="001F78CF">
            <w:pPr>
              <w:rPr>
                <w:rFonts w:ascii="Arial" w:eastAsia="Arial" w:hAnsi="Arial" w:cs="Arial"/>
                <w:b/>
                <w:color w:val="000000"/>
                <w:sz w:val="20"/>
                <w:szCs w:val="20"/>
              </w:rPr>
            </w:pPr>
            <w:r w:rsidRPr="00BB7DB7">
              <w:rPr>
                <w:rFonts w:ascii="Arial" w:eastAsia="Arial" w:hAnsi="Arial" w:cs="Arial"/>
                <w:b/>
                <w:color w:val="000000"/>
                <w:sz w:val="20"/>
                <w:szCs w:val="20"/>
              </w:rPr>
              <w:t xml:space="preserve">Scenario </w:t>
            </w:r>
            <w:r w:rsidR="00A3647F" w:rsidRPr="00BB7DB7">
              <w:rPr>
                <w:rFonts w:ascii="Arial" w:eastAsia="Arial" w:hAnsi="Arial" w:cs="Arial"/>
                <w:b/>
                <w:color w:val="000000"/>
                <w:sz w:val="20"/>
                <w:szCs w:val="20"/>
              </w:rPr>
              <w:t>3</w:t>
            </w:r>
            <w:r w:rsidR="00B11315" w:rsidRPr="00BB7DB7">
              <w:rPr>
                <w:rFonts w:ascii="Arial" w:eastAsia="Arial" w:hAnsi="Arial" w:cs="Arial"/>
                <w:b/>
                <w:color w:val="000000"/>
                <w:sz w:val="20"/>
                <w:szCs w:val="20"/>
              </w:rPr>
              <w:t>: Distinguishing dominant vs. auxiliary hosts best predicts invasion outcomes</w:t>
            </w:r>
          </w:p>
        </w:tc>
      </w:tr>
      <w:tr w:rsidR="00BB7DB7" w:rsidRPr="00BB7DB7" w14:paraId="3E277536" w14:textId="77777777" w:rsidTr="00BB7DB7">
        <w:trPr>
          <w:gridAfter w:val="1"/>
          <w:wAfter w:w="11" w:type="dxa"/>
          <w:trHeight w:val="380"/>
        </w:trPr>
        <w:tc>
          <w:tcPr>
            <w:tcW w:w="4408" w:type="dxa"/>
            <w:vMerge w:val="restart"/>
            <w:tcBorders>
              <w:top w:val="nil"/>
              <w:left w:val="single" w:sz="8" w:space="0" w:color="000000"/>
              <w:bottom w:val="single" w:sz="4" w:space="0" w:color="000000"/>
              <w:right w:val="nil"/>
            </w:tcBorders>
            <w:shd w:val="clear" w:color="auto" w:fill="D9D9D9"/>
            <w:vAlign w:val="bottom"/>
          </w:tcPr>
          <w:p w14:paraId="7104D283"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 </w:t>
            </w:r>
          </w:p>
        </w:tc>
        <w:tc>
          <w:tcPr>
            <w:tcW w:w="2552" w:type="dxa"/>
            <w:gridSpan w:val="2"/>
            <w:tcBorders>
              <w:top w:val="single" w:sz="8" w:space="0" w:color="000000"/>
              <w:left w:val="single" w:sz="8" w:space="0" w:color="000000"/>
              <w:bottom w:val="single" w:sz="4" w:space="0" w:color="000000"/>
              <w:right w:val="single" w:sz="8" w:space="0" w:color="000000"/>
            </w:tcBorders>
            <w:shd w:val="clear" w:color="auto" w:fill="D9D9D9"/>
            <w:vAlign w:val="bottom"/>
          </w:tcPr>
          <w:p w14:paraId="610CCE45"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prevalence</w:t>
            </w:r>
          </w:p>
        </w:tc>
        <w:tc>
          <w:tcPr>
            <w:tcW w:w="2602" w:type="dxa"/>
            <w:gridSpan w:val="3"/>
            <w:tcBorders>
              <w:top w:val="single" w:sz="8" w:space="0" w:color="000000"/>
              <w:left w:val="nil"/>
              <w:bottom w:val="single" w:sz="4" w:space="0" w:color="000000"/>
              <w:right w:val="single" w:sz="8" w:space="0" w:color="000000"/>
            </w:tcBorders>
            <w:shd w:val="clear" w:color="auto" w:fill="D9D9D9"/>
            <w:vAlign w:val="bottom"/>
          </w:tcPr>
          <w:p w14:paraId="43520F73"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loads</w:t>
            </w:r>
          </w:p>
        </w:tc>
      </w:tr>
      <w:tr w:rsidR="00BB7DB7" w:rsidRPr="00BB7DB7" w14:paraId="38C757AC" w14:textId="77777777" w:rsidTr="00BB7DB7">
        <w:trPr>
          <w:gridAfter w:val="2"/>
          <w:wAfter w:w="22" w:type="dxa"/>
          <w:trHeight w:val="380"/>
        </w:trPr>
        <w:tc>
          <w:tcPr>
            <w:tcW w:w="4408" w:type="dxa"/>
            <w:vMerge/>
            <w:tcBorders>
              <w:top w:val="nil"/>
              <w:left w:val="single" w:sz="8" w:space="0" w:color="000000"/>
              <w:bottom w:val="single" w:sz="4" w:space="0" w:color="000000"/>
              <w:right w:val="nil"/>
            </w:tcBorders>
            <w:shd w:val="clear" w:color="auto" w:fill="D9D9D9"/>
            <w:vAlign w:val="bottom"/>
          </w:tcPr>
          <w:p w14:paraId="0AC86892" w14:textId="77777777" w:rsidR="00BF3D8E" w:rsidRPr="00BB7DB7" w:rsidRDefault="00BF3D8E">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317" w:type="dxa"/>
            <w:tcBorders>
              <w:top w:val="nil"/>
              <w:left w:val="single" w:sz="8" w:space="0" w:color="000000"/>
              <w:bottom w:val="single" w:sz="4" w:space="0" w:color="000000"/>
              <w:right w:val="single" w:sz="4" w:space="0" w:color="000000"/>
            </w:tcBorders>
            <w:shd w:val="clear" w:color="auto" w:fill="D9D9D9"/>
            <w:vAlign w:val="bottom"/>
          </w:tcPr>
          <w:p w14:paraId="4560553F" w14:textId="77777777" w:rsidR="00BF3D8E" w:rsidRPr="00BB7DB7" w:rsidRDefault="00B11315">
            <w:pPr>
              <w:jc w:val="right"/>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235" w:type="dxa"/>
            <w:tcBorders>
              <w:top w:val="nil"/>
              <w:left w:val="nil"/>
              <w:bottom w:val="single" w:sz="4" w:space="0" w:color="000000"/>
              <w:right w:val="single" w:sz="8" w:space="0" w:color="000000"/>
            </w:tcBorders>
            <w:shd w:val="clear" w:color="auto" w:fill="D9D9D9"/>
            <w:vAlign w:val="bottom"/>
          </w:tcPr>
          <w:p w14:paraId="1BB3322C"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0.00</w:t>
            </w:r>
          </w:p>
        </w:tc>
        <w:tc>
          <w:tcPr>
            <w:tcW w:w="1417" w:type="dxa"/>
            <w:tcBorders>
              <w:top w:val="nil"/>
              <w:left w:val="nil"/>
              <w:bottom w:val="single" w:sz="4" w:space="0" w:color="000000"/>
              <w:right w:val="single" w:sz="4" w:space="0" w:color="000000"/>
            </w:tcBorders>
            <w:shd w:val="clear" w:color="auto" w:fill="D9D9D9"/>
            <w:vAlign w:val="bottom"/>
          </w:tcPr>
          <w:p w14:paraId="4498851F"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174" w:type="dxa"/>
            <w:tcBorders>
              <w:top w:val="nil"/>
              <w:left w:val="nil"/>
              <w:bottom w:val="single" w:sz="4" w:space="0" w:color="000000"/>
              <w:right w:val="single" w:sz="8" w:space="0" w:color="000000"/>
            </w:tcBorders>
            <w:shd w:val="clear" w:color="auto" w:fill="D9D9D9"/>
            <w:vAlign w:val="bottom"/>
          </w:tcPr>
          <w:p w14:paraId="2A37C683"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0.00</w:t>
            </w:r>
          </w:p>
        </w:tc>
      </w:tr>
      <w:tr w:rsidR="00BB7DB7" w:rsidRPr="00BB7DB7" w14:paraId="38E5CF62" w14:textId="77777777" w:rsidTr="00BB7DB7">
        <w:trPr>
          <w:gridAfter w:val="2"/>
          <w:wAfter w:w="22" w:type="dxa"/>
          <w:trHeight w:val="380"/>
        </w:trPr>
        <w:tc>
          <w:tcPr>
            <w:tcW w:w="4408" w:type="dxa"/>
            <w:tcBorders>
              <w:top w:val="nil"/>
              <w:left w:val="single" w:sz="8" w:space="0" w:color="000000"/>
              <w:bottom w:val="single" w:sz="4" w:space="0" w:color="000000"/>
              <w:right w:val="nil"/>
            </w:tcBorders>
            <w:shd w:val="clear" w:color="auto" w:fill="D9D9D9"/>
            <w:vAlign w:val="bottom"/>
          </w:tcPr>
          <w:p w14:paraId="527B3148"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model terms</w:t>
            </w:r>
          </w:p>
        </w:tc>
        <w:tc>
          <w:tcPr>
            <w:tcW w:w="1317" w:type="dxa"/>
            <w:tcBorders>
              <w:top w:val="nil"/>
              <w:left w:val="single" w:sz="8" w:space="0" w:color="000000"/>
              <w:bottom w:val="single" w:sz="4" w:space="0" w:color="000000"/>
              <w:right w:val="single" w:sz="4" w:space="0" w:color="000000"/>
            </w:tcBorders>
            <w:shd w:val="clear" w:color="auto" w:fill="D9D9D9"/>
            <w:vAlign w:val="bottom"/>
          </w:tcPr>
          <w:p w14:paraId="5B1E8227"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235" w:type="dxa"/>
            <w:tcBorders>
              <w:top w:val="nil"/>
              <w:left w:val="nil"/>
              <w:bottom w:val="single" w:sz="4" w:space="0" w:color="000000"/>
              <w:right w:val="single" w:sz="8" w:space="0" w:color="000000"/>
            </w:tcBorders>
            <w:shd w:val="clear" w:color="auto" w:fill="D9D9D9"/>
            <w:vAlign w:val="bottom"/>
          </w:tcPr>
          <w:p w14:paraId="3C73FAB2"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c>
          <w:tcPr>
            <w:tcW w:w="1417" w:type="dxa"/>
            <w:tcBorders>
              <w:top w:val="nil"/>
              <w:left w:val="nil"/>
              <w:bottom w:val="single" w:sz="4" w:space="0" w:color="000000"/>
              <w:right w:val="single" w:sz="4" w:space="0" w:color="000000"/>
            </w:tcBorders>
            <w:shd w:val="clear" w:color="auto" w:fill="D9D9D9"/>
            <w:vAlign w:val="bottom"/>
          </w:tcPr>
          <w:p w14:paraId="4865410D"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174" w:type="dxa"/>
            <w:tcBorders>
              <w:top w:val="nil"/>
              <w:left w:val="nil"/>
              <w:bottom w:val="single" w:sz="4" w:space="0" w:color="000000"/>
              <w:right w:val="single" w:sz="8" w:space="0" w:color="000000"/>
            </w:tcBorders>
            <w:shd w:val="clear" w:color="auto" w:fill="D9D9D9"/>
            <w:vAlign w:val="bottom"/>
          </w:tcPr>
          <w:p w14:paraId="6F7D6703"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r>
      <w:tr w:rsidR="00BB7DB7" w:rsidRPr="00BB7DB7" w14:paraId="12B84ED6"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D9D9D9"/>
            <w:vAlign w:val="bottom"/>
          </w:tcPr>
          <w:p w14:paraId="6351AEA7"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species richness</w:t>
            </w:r>
          </w:p>
        </w:tc>
        <w:tc>
          <w:tcPr>
            <w:tcW w:w="1317" w:type="dxa"/>
            <w:tcBorders>
              <w:top w:val="nil"/>
              <w:left w:val="single" w:sz="8" w:space="0" w:color="000000"/>
              <w:bottom w:val="single" w:sz="4" w:space="0" w:color="000000"/>
              <w:right w:val="single" w:sz="4" w:space="0" w:color="000000"/>
            </w:tcBorders>
            <w:shd w:val="clear" w:color="auto" w:fill="D9D9D9"/>
            <w:vAlign w:val="bottom"/>
          </w:tcPr>
          <w:p w14:paraId="4FA62485"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0.26</w:t>
            </w:r>
          </w:p>
        </w:tc>
        <w:tc>
          <w:tcPr>
            <w:tcW w:w="1235" w:type="dxa"/>
            <w:tcBorders>
              <w:top w:val="nil"/>
              <w:left w:val="nil"/>
              <w:bottom w:val="single" w:sz="4" w:space="0" w:color="000000"/>
              <w:right w:val="single" w:sz="8" w:space="0" w:color="000000"/>
            </w:tcBorders>
            <w:shd w:val="clear" w:color="auto" w:fill="D9D9D9"/>
            <w:vAlign w:val="bottom"/>
          </w:tcPr>
          <w:p w14:paraId="33D3D2B7"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0.18</w:t>
            </w:r>
          </w:p>
        </w:tc>
        <w:tc>
          <w:tcPr>
            <w:tcW w:w="1417" w:type="dxa"/>
            <w:tcBorders>
              <w:top w:val="nil"/>
              <w:left w:val="nil"/>
              <w:bottom w:val="single" w:sz="4" w:space="0" w:color="000000"/>
              <w:right w:val="single" w:sz="4" w:space="0" w:color="000000"/>
            </w:tcBorders>
            <w:shd w:val="clear" w:color="auto" w:fill="D9D9D9"/>
            <w:vAlign w:val="bottom"/>
          </w:tcPr>
          <w:p w14:paraId="60478C7F"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0.37</w:t>
            </w:r>
          </w:p>
        </w:tc>
        <w:tc>
          <w:tcPr>
            <w:tcW w:w="1174" w:type="dxa"/>
            <w:tcBorders>
              <w:top w:val="nil"/>
              <w:left w:val="nil"/>
              <w:bottom w:val="single" w:sz="4" w:space="0" w:color="000000"/>
              <w:right w:val="single" w:sz="8" w:space="0" w:color="000000"/>
            </w:tcBorders>
            <w:shd w:val="clear" w:color="auto" w:fill="D9D9D9"/>
            <w:vAlign w:val="bottom"/>
          </w:tcPr>
          <w:p w14:paraId="33E5D20F"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0.16</w:t>
            </w:r>
          </w:p>
        </w:tc>
      </w:tr>
      <w:tr w:rsidR="00BB7DB7" w:rsidRPr="00BB7DB7" w14:paraId="1CD1F04F" w14:textId="77777777" w:rsidTr="00BB7DB7">
        <w:trPr>
          <w:gridAfter w:val="2"/>
          <w:wAfter w:w="22" w:type="dxa"/>
          <w:trHeight w:val="340"/>
        </w:trPr>
        <w:tc>
          <w:tcPr>
            <w:tcW w:w="4408" w:type="dxa"/>
            <w:tcBorders>
              <w:top w:val="nil"/>
              <w:left w:val="single" w:sz="8" w:space="0" w:color="000000"/>
              <w:bottom w:val="single" w:sz="8" w:space="0" w:color="000000"/>
              <w:right w:val="nil"/>
            </w:tcBorders>
            <w:shd w:val="clear" w:color="auto" w:fill="D9D9D9"/>
            <w:vAlign w:val="bottom"/>
          </w:tcPr>
          <w:p w14:paraId="43B522DC"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proportion of auxiliary hosts (frogs and toads)</w:t>
            </w:r>
          </w:p>
        </w:tc>
        <w:tc>
          <w:tcPr>
            <w:tcW w:w="1317" w:type="dxa"/>
            <w:tcBorders>
              <w:top w:val="nil"/>
              <w:left w:val="single" w:sz="8" w:space="0" w:color="000000"/>
              <w:bottom w:val="single" w:sz="8" w:space="0" w:color="000000"/>
              <w:right w:val="single" w:sz="4" w:space="0" w:color="000000"/>
            </w:tcBorders>
            <w:shd w:val="clear" w:color="auto" w:fill="D9D9D9"/>
            <w:vAlign w:val="bottom"/>
          </w:tcPr>
          <w:p w14:paraId="170737D4"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2.93</w:t>
            </w:r>
          </w:p>
        </w:tc>
        <w:tc>
          <w:tcPr>
            <w:tcW w:w="1235" w:type="dxa"/>
            <w:tcBorders>
              <w:top w:val="nil"/>
              <w:left w:val="nil"/>
              <w:bottom w:val="single" w:sz="8" w:space="0" w:color="000000"/>
              <w:right w:val="single" w:sz="8" w:space="0" w:color="000000"/>
            </w:tcBorders>
            <w:shd w:val="clear" w:color="auto" w:fill="D9D9D9"/>
            <w:vAlign w:val="bottom"/>
          </w:tcPr>
          <w:p w14:paraId="0AF574B2"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0.54</w:t>
            </w:r>
          </w:p>
        </w:tc>
        <w:tc>
          <w:tcPr>
            <w:tcW w:w="1417" w:type="dxa"/>
            <w:tcBorders>
              <w:top w:val="nil"/>
              <w:left w:val="nil"/>
              <w:bottom w:val="single" w:sz="8" w:space="0" w:color="000000"/>
              <w:right w:val="single" w:sz="4" w:space="0" w:color="000000"/>
            </w:tcBorders>
            <w:shd w:val="clear" w:color="auto" w:fill="D9D9D9"/>
            <w:vAlign w:val="bottom"/>
          </w:tcPr>
          <w:p w14:paraId="058A7861"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0.65</w:t>
            </w:r>
          </w:p>
        </w:tc>
        <w:tc>
          <w:tcPr>
            <w:tcW w:w="1174" w:type="dxa"/>
            <w:tcBorders>
              <w:top w:val="nil"/>
              <w:left w:val="nil"/>
              <w:bottom w:val="single" w:sz="8" w:space="0" w:color="000000"/>
              <w:right w:val="single" w:sz="8" w:space="0" w:color="000000"/>
            </w:tcBorders>
            <w:shd w:val="clear" w:color="auto" w:fill="D9D9D9"/>
            <w:vAlign w:val="bottom"/>
          </w:tcPr>
          <w:p w14:paraId="2C38DF0E"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0.47</w:t>
            </w:r>
          </w:p>
        </w:tc>
      </w:tr>
      <w:tr w:rsidR="00BB7DB7" w:rsidRPr="00BB7DB7" w14:paraId="253150CF" w14:textId="77777777" w:rsidTr="00BB7DB7">
        <w:trPr>
          <w:gridAfter w:val="2"/>
          <w:wAfter w:w="22" w:type="dxa"/>
          <w:trHeight w:val="340"/>
        </w:trPr>
        <w:tc>
          <w:tcPr>
            <w:tcW w:w="4408" w:type="dxa"/>
            <w:tcBorders>
              <w:top w:val="nil"/>
              <w:left w:val="single" w:sz="8" w:space="0" w:color="000000"/>
              <w:bottom w:val="nil"/>
              <w:right w:val="nil"/>
            </w:tcBorders>
            <w:shd w:val="clear" w:color="auto" w:fill="auto"/>
            <w:vAlign w:val="bottom"/>
          </w:tcPr>
          <w:p w14:paraId="3CFCC078" w14:textId="77777777" w:rsidR="00BF3D8E" w:rsidRPr="00BB7DB7" w:rsidRDefault="00B11315">
            <w:pPr>
              <w:rPr>
                <w:rFonts w:ascii="Arial" w:eastAsia="Arial" w:hAnsi="Arial" w:cs="Arial"/>
                <w:color w:val="000000"/>
                <w:sz w:val="20"/>
                <w:szCs w:val="20"/>
              </w:rPr>
            </w:pPr>
            <w:r w:rsidRPr="00BB7DB7">
              <w:rPr>
                <w:rFonts w:ascii="Arial" w:eastAsia="Arial" w:hAnsi="Arial" w:cs="Arial"/>
                <w:color w:val="000000"/>
                <w:sz w:val="20"/>
                <w:szCs w:val="20"/>
              </w:rPr>
              <w:t> </w:t>
            </w:r>
          </w:p>
        </w:tc>
        <w:tc>
          <w:tcPr>
            <w:tcW w:w="1317" w:type="dxa"/>
            <w:tcBorders>
              <w:top w:val="nil"/>
              <w:left w:val="single" w:sz="8" w:space="0" w:color="000000"/>
              <w:bottom w:val="single" w:sz="8" w:space="0" w:color="000000"/>
              <w:right w:val="single" w:sz="4" w:space="0" w:color="000000"/>
            </w:tcBorders>
            <w:shd w:val="clear" w:color="auto" w:fill="auto"/>
            <w:vAlign w:val="bottom"/>
          </w:tcPr>
          <w:p w14:paraId="47709728"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235" w:type="dxa"/>
            <w:tcBorders>
              <w:top w:val="nil"/>
              <w:left w:val="nil"/>
              <w:bottom w:val="single" w:sz="8" w:space="0" w:color="000000"/>
              <w:right w:val="single" w:sz="8" w:space="0" w:color="000000"/>
            </w:tcBorders>
            <w:shd w:val="clear" w:color="auto" w:fill="auto"/>
            <w:vAlign w:val="bottom"/>
          </w:tcPr>
          <w:p w14:paraId="4563B206"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417" w:type="dxa"/>
            <w:tcBorders>
              <w:top w:val="nil"/>
              <w:left w:val="nil"/>
              <w:bottom w:val="nil"/>
              <w:right w:val="single" w:sz="4" w:space="0" w:color="000000"/>
            </w:tcBorders>
            <w:shd w:val="clear" w:color="auto" w:fill="auto"/>
            <w:vAlign w:val="bottom"/>
          </w:tcPr>
          <w:p w14:paraId="1CB15784"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c>
          <w:tcPr>
            <w:tcW w:w="1174" w:type="dxa"/>
            <w:tcBorders>
              <w:top w:val="nil"/>
              <w:left w:val="nil"/>
              <w:bottom w:val="nil"/>
              <w:right w:val="single" w:sz="8" w:space="0" w:color="000000"/>
            </w:tcBorders>
            <w:shd w:val="clear" w:color="auto" w:fill="auto"/>
            <w:vAlign w:val="bottom"/>
          </w:tcPr>
          <w:p w14:paraId="5A77136E"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 </w:t>
            </w:r>
          </w:p>
        </w:tc>
      </w:tr>
      <w:tr w:rsidR="00BB7DB7" w:rsidRPr="00BB7DB7" w14:paraId="44C413A3" w14:textId="77777777" w:rsidTr="00BB7DB7">
        <w:trPr>
          <w:trHeight w:val="400"/>
        </w:trPr>
        <w:tc>
          <w:tcPr>
            <w:tcW w:w="9573" w:type="dxa"/>
            <w:gridSpan w:val="7"/>
            <w:tcBorders>
              <w:top w:val="single" w:sz="8" w:space="0" w:color="000000"/>
              <w:left w:val="single" w:sz="8" w:space="0" w:color="000000"/>
              <w:bottom w:val="single" w:sz="8" w:space="0" w:color="000000"/>
              <w:right w:val="single" w:sz="8" w:space="0" w:color="000000"/>
            </w:tcBorders>
            <w:shd w:val="clear" w:color="auto" w:fill="auto"/>
            <w:vAlign w:val="bottom"/>
          </w:tcPr>
          <w:p w14:paraId="6FF5D39D" w14:textId="37EB0B3A" w:rsidR="00BF3D8E" w:rsidRPr="00BB7DB7" w:rsidRDefault="001F78CF">
            <w:pPr>
              <w:rPr>
                <w:rFonts w:ascii="Arial" w:eastAsia="Arial" w:hAnsi="Arial" w:cs="Arial"/>
                <w:b/>
                <w:color w:val="000000"/>
                <w:sz w:val="20"/>
                <w:szCs w:val="20"/>
              </w:rPr>
            </w:pPr>
            <w:r w:rsidRPr="00BB7DB7">
              <w:rPr>
                <w:rFonts w:ascii="Arial" w:eastAsia="Arial" w:hAnsi="Arial" w:cs="Arial"/>
                <w:b/>
                <w:color w:val="000000"/>
                <w:sz w:val="20"/>
                <w:szCs w:val="20"/>
              </w:rPr>
              <w:t xml:space="preserve">Scenario </w:t>
            </w:r>
            <w:r w:rsidR="00A3647F" w:rsidRPr="00BB7DB7">
              <w:rPr>
                <w:rFonts w:ascii="Arial" w:eastAsia="Arial" w:hAnsi="Arial" w:cs="Arial"/>
                <w:b/>
                <w:color w:val="000000"/>
                <w:sz w:val="20"/>
                <w:szCs w:val="20"/>
              </w:rPr>
              <w:t>4</w:t>
            </w:r>
            <w:r w:rsidR="00B11315" w:rsidRPr="00BB7DB7">
              <w:rPr>
                <w:rFonts w:ascii="Arial" w:eastAsia="Arial" w:hAnsi="Arial" w:cs="Arial"/>
                <w:b/>
                <w:color w:val="000000"/>
                <w:sz w:val="20"/>
                <w:szCs w:val="20"/>
              </w:rPr>
              <w:t>: Distinguishing all host species best predicts invasion outcomes</w:t>
            </w:r>
          </w:p>
        </w:tc>
      </w:tr>
      <w:tr w:rsidR="00BB7DB7" w:rsidRPr="00BB7DB7" w14:paraId="202DF195" w14:textId="77777777" w:rsidTr="00BB7DB7">
        <w:trPr>
          <w:gridAfter w:val="1"/>
          <w:wAfter w:w="11" w:type="dxa"/>
          <w:trHeight w:val="380"/>
        </w:trPr>
        <w:tc>
          <w:tcPr>
            <w:tcW w:w="4408" w:type="dxa"/>
            <w:vMerge w:val="restart"/>
            <w:tcBorders>
              <w:top w:val="nil"/>
              <w:left w:val="single" w:sz="8" w:space="0" w:color="000000"/>
              <w:bottom w:val="single" w:sz="4" w:space="0" w:color="000000"/>
              <w:right w:val="single" w:sz="8" w:space="0" w:color="000000"/>
            </w:tcBorders>
            <w:shd w:val="clear" w:color="auto" w:fill="auto"/>
            <w:vAlign w:val="bottom"/>
          </w:tcPr>
          <w:p w14:paraId="313239BE"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 </w:t>
            </w:r>
          </w:p>
        </w:tc>
        <w:tc>
          <w:tcPr>
            <w:tcW w:w="2552" w:type="dxa"/>
            <w:gridSpan w:val="2"/>
            <w:tcBorders>
              <w:top w:val="nil"/>
              <w:left w:val="nil"/>
              <w:bottom w:val="single" w:sz="4" w:space="0" w:color="000000"/>
              <w:right w:val="single" w:sz="8" w:space="0" w:color="000000"/>
            </w:tcBorders>
            <w:shd w:val="clear" w:color="auto" w:fill="auto"/>
            <w:vAlign w:val="bottom"/>
          </w:tcPr>
          <w:p w14:paraId="6EDE0C95"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prevalence</w:t>
            </w:r>
          </w:p>
        </w:tc>
        <w:tc>
          <w:tcPr>
            <w:tcW w:w="2602" w:type="dxa"/>
            <w:gridSpan w:val="3"/>
            <w:tcBorders>
              <w:top w:val="nil"/>
              <w:left w:val="nil"/>
              <w:bottom w:val="single" w:sz="4" w:space="0" w:color="000000"/>
              <w:right w:val="single" w:sz="8" w:space="0" w:color="000000"/>
            </w:tcBorders>
            <w:shd w:val="clear" w:color="auto" w:fill="auto"/>
            <w:vAlign w:val="bottom"/>
          </w:tcPr>
          <w:p w14:paraId="579592CF"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infection loads</w:t>
            </w:r>
          </w:p>
        </w:tc>
      </w:tr>
      <w:tr w:rsidR="00BB7DB7" w:rsidRPr="00BB7DB7" w14:paraId="77167BD4" w14:textId="77777777" w:rsidTr="00BB7DB7">
        <w:trPr>
          <w:gridAfter w:val="2"/>
          <w:wAfter w:w="22" w:type="dxa"/>
          <w:trHeight w:val="320"/>
        </w:trPr>
        <w:tc>
          <w:tcPr>
            <w:tcW w:w="4408" w:type="dxa"/>
            <w:vMerge/>
            <w:tcBorders>
              <w:top w:val="nil"/>
              <w:left w:val="single" w:sz="8" w:space="0" w:color="000000"/>
              <w:bottom w:val="single" w:sz="4" w:space="0" w:color="000000"/>
              <w:right w:val="single" w:sz="8" w:space="0" w:color="000000"/>
            </w:tcBorders>
            <w:shd w:val="clear" w:color="auto" w:fill="auto"/>
            <w:vAlign w:val="bottom"/>
          </w:tcPr>
          <w:p w14:paraId="1D99A790" w14:textId="77777777" w:rsidR="00BF3D8E" w:rsidRPr="00BB7DB7" w:rsidRDefault="00BF3D8E">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317" w:type="dxa"/>
            <w:tcBorders>
              <w:top w:val="nil"/>
              <w:left w:val="nil"/>
              <w:bottom w:val="single" w:sz="4" w:space="0" w:color="000000"/>
              <w:right w:val="single" w:sz="4" w:space="0" w:color="000000"/>
            </w:tcBorders>
            <w:shd w:val="clear" w:color="auto" w:fill="auto"/>
            <w:vAlign w:val="bottom"/>
          </w:tcPr>
          <w:p w14:paraId="2ABE0F43" w14:textId="77777777" w:rsidR="00BF3D8E" w:rsidRPr="00BB7DB7" w:rsidRDefault="00B11315">
            <w:pPr>
              <w:jc w:val="right"/>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235" w:type="dxa"/>
            <w:tcBorders>
              <w:top w:val="nil"/>
              <w:left w:val="nil"/>
              <w:bottom w:val="single" w:sz="4" w:space="0" w:color="000000"/>
              <w:right w:val="single" w:sz="8" w:space="0" w:color="000000"/>
            </w:tcBorders>
            <w:shd w:val="clear" w:color="auto" w:fill="auto"/>
            <w:vAlign w:val="bottom"/>
          </w:tcPr>
          <w:p w14:paraId="585C4FE9"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1.16</w:t>
            </w:r>
          </w:p>
        </w:tc>
        <w:tc>
          <w:tcPr>
            <w:tcW w:w="1417" w:type="dxa"/>
            <w:tcBorders>
              <w:top w:val="nil"/>
              <w:left w:val="nil"/>
              <w:bottom w:val="single" w:sz="4" w:space="0" w:color="000000"/>
              <w:right w:val="single" w:sz="4" w:space="0" w:color="000000"/>
            </w:tcBorders>
            <w:shd w:val="clear" w:color="auto" w:fill="auto"/>
            <w:vAlign w:val="bottom"/>
          </w:tcPr>
          <w:p w14:paraId="68727DED"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Unicode MS" w:hAnsi="Arial" w:cs="Arial"/>
                <w:b/>
                <w:color w:val="000000"/>
                <w:sz w:val="20"/>
                <w:szCs w:val="20"/>
              </w:rPr>
              <w:t>∆</w:t>
            </w:r>
            <w:proofErr w:type="spellStart"/>
            <w:r w:rsidRPr="00BB7DB7">
              <w:rPr>
                <w:rFonts w:ascii="Arial" w:eastAsia="Arial Unicode MS" w:hAnsi="Arial" w:cs="Arial"/>
                <w:b/>
                <w:color w:val="000000"/>
                <w:sz w:val="20"/>
                <w:szCs w:val="20"/>
              </w:rPr>
              <w:t>AICc</w:t>
            </w:r>
            <w:proofErr w:type="spellEnd"/>
          </w:p>
        </w:tc>
        <w:tc>
          <w:tcPr>
            <w:tcW w:w="1174" w:type="dxa"/>
            <w:tcBorders>
              <w:top w:val="nil"/>
              <w:left w:val="nil"/>
              <w:bottom w:val="single" w:sz="4" w:space="0" w:color="000000"/>
              <w:right w:val="single" w:sz="8" w:space="0" w:color="000000"/>
            </w:tcBorders>
            <w:shd w:val="clear" w:color="auto" w:fill="auto"/>
            <w:vAlign w:val="bottom"/>
          </w:tcPr>
          <w:p w14:paraId="0B55D69A"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1.99</w:t>
            </w:r>
          </w:p>
        </w:tc>
      </w:tr>
      <w:tr w:rsidR="00BB7DB7" w:rsidRPr="00BB7DB7" w14:paraId="59F83EB1"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34996276"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model terms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7B6318D0" w14:textId="77777777" w:rsidR="00BF3D8E" w:rsidRPr="00BB7DB7" w:rsidRDefault="00B11315">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235" w:type="dxa"/>
            <w:tcBorders>
              <w:top w:val="nil"/>
              <w:left w:val="nil"/>
              <w:bottom w:val="single" w:sz="4" w:space="0" w:color="000000"/>
              <w:right w:val="single" w:sz="8" w:space="0" w:color="000000"/>
            </w:tcBorders>
            <w:shd w:val="clear" w:color="auto" w:fill="auto"/>
            <w:vAlign w:val="bottom"/>
          </w:tcPr>
          <w:p w14:paraId="23BBDC80"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c>
          <w:tcPr>
            <w:tcW w:w="1417" w:type="dxa"/>
            <w:tcBorders>
              <w:top w:val="nil"/>
              <w:left w:val="nil"/>
              <w:bottom w:val="single" w:sz="4" w:space="0" w:color="000000"/>
              <w:right w:val="single" w:sz="4" w:space="0" w:color="000000"/>
            </w:tcBorders>
            <w:shd w:val="clear" w:color="auto" w:fill="auto"/>
            <w:vAlign w:val="bottom"/>
          </w:tcPr>
          <w:p w14:paraId="7906D491"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coefficient</w:t>
            </w:r>
          </w:p>
        </w:tc>
        <w:tc>
          <w:tcPr>
            <w:tcW w:w="1174" w:type="dxa"/>
            <w:tcBorders>
              <w:top w:val="nil"/>
              <w:left w:val="nil"/>
              <w:bottom w:val="single" w:sz="4" w:space="0" w:color="000000"/>
              <w:right w:val="single" w:sz="8" w:space="0" w:color="000000"/>
            </w:tcBorders>
            <w:shd w:val="clear" w:color="auto" w:fill="auto"/>
            <w:vAlign w:val="bottom"/>
          </w:tcPr>
          <w:p w14:paraId="1615B61D" w14:textId="77777777" w:rsidR="00BF3D8E" w:rsidRPr="00BB7DB7" w:rsidRDefault="00B11315" w:rsidP="00BB7DB7">
            <w:pPr>
              <w:jc w:val="center"/>
              <w:rPr>
                <w:rFonts w:ascii="Arial" w:eastAsia="Arial" w:hAnsi="Arial" w:cs="Arial"/>
                <w:b/>
                <w:color w:val="000000"/>
                <w:sz w:val="20"/>
                <w:szCs w:val="20"/>
              </w:rPr>
            </w:pPr>
            <w:r w:rsidRPr="00BB7DB7">
              <w:rPr>
                <w:rFonts w:ascii="Arial" w:eastAsia="Arial" w:hAnsi="Arial" w:cs="Arial"/>
                <w:b/>
                <w:color w:val="000000"/>
                <w:sz w:val="20"/>
                <w:szCs w:val="20"/>
              </w:rPr>
              <w:t>Std. error</w:t>
            </w:r>
          </w:p>
        </w:tc>
      </w:tr>
      <w:tr w:rsidR="00BB7DB7" w:rsidRPr="00BB7DB7" w14:paraId="011FBD2C"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2389E312"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species richness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7BD8EA0D"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0.27</w:t>
            </w:r>
          </w:p>
        </w:tc>
        <w:tc>
          <w:tcPr>
            <w:tcW w:w="1235" w:type="dxa"/>
            <w:tcBorders>
              <w:top w:val="nil"/>
              <w:left w:val="nil"/>
              <w:bottom w:val="single" w:sz="4" w:space="0" w:color="000000"/>
              <w:right w:val="single" w:sz="8" w:space="0" w:color="000000"/>
            </w:tcBorders>
            <w:shd w:val="clear" w:color="auto" w:fill="auto"/>
            <w:vAlign w:val="bottom"/>
          </w:tcPr>
          <w:p w14:paraId="4B97DD9F"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0.18</w:t>
            </w:r>
          </w:p>
        </w:tc>
        <w:tc>
          <w:tcPr>
            <w:tcW w:w="1417" w:type="dxa"/>
            <w:tcBorders>
              <w:top w:val="nil"/>
              <w:left w:val="nil"/>
              <w:bottom w:val="single" w:sz="4" w:space="0" w:color="000000"/>
              <w:right w:val="single" w:sz="4" w:space="0" w:color="000000"/>
            </w:tcBorders>
            <w:shd w:val="clear" w:color="auto" w:fill="auto"/>
            <w:vAlign w:val="bottom"/>
          </w:tcPr>
          <w:p w14:paraId="1C1E01FE"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0.37</w:t>
            </w:r>
          </w:p>
        </w:tc>
        <w:tc>
          <w:tcPr>
            <w:tcW w:w="1174" w:type="dxa"/>
            <w:tcBorders>
              <w:top w:val="nil"/>
              <w:left w:val="nil"/>
              <w:bottom w:val="single" w:sz="4" w:space="0" w:color="000000"/>
              <w:right w:val="single" w:sz="8" w:space="0" w:color="000000"/>
            </w:tcBorders>
            <w:shd w:val="clear" w:color="auto" w:fill="auto"/>
            <w:vAlign w:val="bottom"/>
          </w:tcPr>
          <w:p w14:paraId="463F2FF6"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0.17</w:t>
            </w:r>
          </w:p>
        </w:tc>
      </w:tr>
      <w:tr w:rsidR="00BB7DB7" w:rsidRPr="00BB7DB7" w14:paraId="36432B92" w14:textId="77777777" w:rsidTr="00BB7DB7">
        <w:trPr>
          <w:gridAfter w:val="2"/>
          <w:wAfter w:w="22" w:type="dxa"/>
          <w:trHeight w:val="320"/>
        </w:trPr>
        <w:tc>
          <w:tcPr>
            <w:tcW w:w="4408" w:type="dxa"/>
            <w:tcBorders>
              <w:top w:val="nil"/>
              <w:left w:val="single" w:sz="8" w:space="0" w:color="000000"/>
              <w:bottom w:val="single" w:sz="4" w:space="0" w:color="000000"/>
              <w:right w:val="nil"/>
            </w:tcBorders>
            <w:shd w:val="clear" w:color="auto" w:fill="auto"/>
            <w:vAlign w:val="bottom"/>
          </w:tcPr>
          <w:p w14:paraId="39A8FB6E"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proportion of frogs</w:t>
            </w:r>
          </w:p>
        </w:tc>
        <w:tc>
          <w:tcPr>
            <w:tcW w:w="1317" w:type="dxa"/>
            <w:tcBorders>
              <w:top w:val="nil"/>
              <w:left w:val="single" w:sz="8" w:space="0" w:color="000000"/>
              <w:bottom w:val="single" w:sz="4" w:space="0" w:color="000000"/>
              <w:right w:val="single" w:sz="4" w:space="0" w:color="000000"/>
            </w:tcBorders>
            <w:shd w:val="clear" w:color="auto" w:fill="auto"/>
            <w:vAlign w:val="bottom"/>
          </w:tcPr>
          <w:p w14:paraId="22C27884"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3.14</w:t>
            </w:r>
          </w:p>
        </w:tc>
        <w:tc>
          <w:tcPr>
            <w:tcW w:w="1235" w:type="dxa"/>
            <w:tcBorders>
              <w:top w:val="nil"/>
              <w:left w:val="nil"/>
              <w:bottom w:val="single" w:sz="4" w:space="0" w:color="000000"/>
              <w:right w:val="single" w:sz="8" w:space="0" w:color="000000"/>
            </w:tcBorders>
            <w:shd w:val="clear" w:color="auto" w:fill="auto"/>
            <w:vAlign w:val="bottom"/>
          </w:tcPr>
          <w:p w14:paraId="19961ED2"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0.58</w:t>
            </w:r>
          </w:p>
        </w:tc>
        <w:tc>
          <w:tcPr>
            <w:tcW w:w="1417" w:type="dxa"/>
            <w:tcBorders>
              <w:top w:val="nil"/>
              <w:left w:val="nil"/>
              <w:bottom w:val="single" w:sz="4" w:space="0" w:color="000000"/>
              <w:right w:val="single" w:sz="4" w:space="0" w:color="000000"/>
            </w:tcBorders>
            <w:shd w:val="clear" w:color="auto" w:fill="auto"/>
            <w:vAlign w:val="bottom"/>
          </w:tcPr>
          <w:p w14:paraId="2F2920FA"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0.68</w:t>
            </w:r>
          </w:p>
        </w:tc>
        <w:tc>
          <w:tcPr>
            <w:tcW w:w="1174" w:type="dxa"/>
            <w:tcBorders>
              <w:top w:val="nil"/>
              <w:left w:val="nil"/>
              <w:bottom w:val="single" w:sz="4" w:space="0" w:color="000000"/>
              <w:right w:val="single" w:sz="8" w:space="0" w:color="000000"/>
            </w:tcBorders>
            <w:shd w:val="clear" w:color="auto" w:fill="auto"/>
            <w:vAlign w:val="bottom"/>
          </w:tcPr>
          <w:p w14:paraId="57E2E39F"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0.53</w:t>
            </w:r>
          </w:p>
        </w:tc>
      </w:tr>
      <w:tr w:rsidR="00BB7DB7" w:rsidRPr="00BB7DB7" w14:paraId="78AA89A5" w14:textId="77777777" w:rsidTr="00BB7DB7">
        <w:trPr>
          <w:gridAfter w:val="2"/>
          <w:wAfter w:w="22" w:type="dxa"/>
          <w:trHeight w:val="340"/>
        </w:trPr>
        <w:tc>
          <w:tcPr>
            <w:tcW w:w="4408" w:type="dxa"/>
            <w:tcBorders>
              <w:top w:val="nil"/>
              <w:left w:val="single" w:sz="8" w:space="0" w:color="000000"/>
              <w:bottom w:val="single" w:sz="8" w:space="0" w:color="000000"/>
              <w:right w:val="nil"/>
            </w:tcBorders>
            <w:shd w:val="clear" w:color="auto" w:fill="auto"/>
            <w:vAlign w:val="bottom"/>
          </w:tcPr>
          <w:p w14:paraId="49EB4D97" w14:textId="77777777" w:rsidR="00BF3D8E" w:rsidRPr="00BB7DB7" w:rsidRDefault="00B11315">
            <w:pPr>
              <w:jc w:val="right"/>
              <w:rPr>
                <w:rFonts w:ascii="Arial" w:eastAsia="Arial" w:hAnsi="Arial" w:cs="Arial"/>
                <w:color w:val="000000"/>
                <w:sz w:val="20"/>
                <w:szCs w:val="20"/>
              </w:rPr>
            </w:pPr>
            <w:r w:rsidRPr="00BB7DB7">
              <w:rPr>
                <w:rFonts w:ascii="Arial" w:eastAsia="Arial" w:hAnsi="Arial" w:cs="Arial"/>
                <w:color w:val="000000"/>
                <w:sz w:val="20"/>
                <w:szCs w:val="20"/>
              </w:rPr>
              <w:t>proportion of toads</w:t>
            </w:r>
          </w:p>
        </w:tc>
        <w:tc>
          <w:tcPr>
            <w:tcW w:w="1317" w:type="dxa"/>
            <w:tcBorders>
              <w:top w:val="nil"/>
              <w:left w:val="single" w:sz="8" w:space="0" w:color="000000"/>
              <w:bottom w:val="single" w:sz="8" w:space="0" w:color="000000"/>
              <w:right w:val="single" w:sz="4" w:space="0" w:color="000000"/>
            </w:tcBorders>
            <w:shd w:val="clear" w:color="auto" w:fill="auto"/>
            <w:vAlign w:val="bottom"/>
          </w:tcPr>
          <w:p w14:paraId="630C739E" w14:textId="77777777" w:rsidR="00BF3D8E" w:rsidRPr="00BB7DB7" w:rsidRDefault="00B11315">
            <w:pPr>
              <w:jc w:val="center"/>
              <w:rPr>
                <w:rFonts w:ascii="Arial" w:eastAsia="Arial" w:hAnsi="Arial" w:cs="Arial"/>
                <w:color w:val="000000"/>
                <w:sz w:val="20"/>
                <w:szCs w:val="20"/>
              </w:rPr>
            </w:pPr>
            <w:r w:rsidRPr="00BB7DB7">
              <w:rPr>
                <w:rFonts w:ascii="Arial" w:eastAsia="Arial" w:hAnsi="Arial" w:cs="Arial"/>
                <w:color w:val="000000"/>
                <w:sz w:val="20"/>
                <w:szCs w:val="20"/>
              </w:rPr>
              <w:t>2.68</w:t>
            </w:r>
          </w:p>
        </w:tc>
        <w:tc>
          <w:tcPr>
            <w:tcW w:w="1235" w:type="dxa"/>
            <w:tcBorders>
              <w:top w:val="nil"/>
              <w:left w:val="nil"/>
              <w:bottom w:val="single" w:sz="8" w:space="0" w:color="000000"/>
              <w:right w:val="single" w:sz="8" w:space="0" w:color="000000"/>
            </w:tcBorders>
            <w:shd w:val="clear" w:color="auto" w:fill="auto"/>
            <w:vAlign w:val="bottom"/>
          </w:tcPr>
          <w:p w14:paraId="6FBC6576"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0.61</w:t>
            </w:r>
          </w:p>
        </w:tc>
        <w:tc>
          <w:tcPr>
            <w:tcW w:w="1417" w:type="dxa"/>
            <w:tcBorders>
              <w:top w:val="nil"/>
              <w:left w:val="nil"/>
              <w:bottom w:val="single" w:sz="8" w:space="0" w:color="000000"/>
              <w:right w:val="single" w:sz="4" w:space="0" w:color="000000"/>
            </w:tcBorders>
            <w:shd w:val="clear" w:color="auto" w:fill="auto"/>
            <w:vAlign w:val="bottom"/>
          </w:tcPr>
          <w:p w14:paraId="298D63BE"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0.62</w:t>
            </w:r>
          </w:p>
        </w:tc>
        <w:tc>
          <w:tcPr>
            <w:tcW w:w="1174" w:type="dxa"/>
            <w:tcBorders>
              <w:top w:val="nil"/>
              <w:left w:val="nil"/>
              <w:bottom w:val="single" w:sz="8" w:space="0" w:color="000000"/>
              <w:right w:val="single" w:sz="8" w:space="0" w:color="000000"/>
            </w:tcBorders>
            <w:shd w:val="clear" w:color="auto" w:fill="auto"/>
            <w:vAlign w:val="bottom"/>
          </w:tcPr>
          <w:p w14:paraId="30383DE0" w14:textId="77777777" w:rsidR="00BF3D8E" w:rsidRPr="00BB7DB7" w:rsidRDefault="00B11315" w:rsidP="00BB7DB7">
            <w:pPr>
              <w:jc w:val="center"/>
              <w:rPr>
                <w:rFonts w:ascii="Arial" w:eastAsia="Arial" w:hAnsi="Arial" w:cs="Arial"/>
                <w:color w:val="000000"/>
                <w:sz w:val="20"/>
                <w:szCs w:val="20"/>
              </w:rPr>
            </w:pPr>
            <w:r w:rsidRPr="00BB7DB7">
              <w:rPr>
                <w:rFonts w:ascii="Arial" w:eastAsia="Arial" w:hAnsi="Arial" w:cs="Arial"/>
                <w:color w:val="000000"/>
                <w:sz w:val="20"/>
                <w:szCs w:val="20"/>
              </w:rPr>
              <w:t>0.56</w:t>
            </w:r>
          </w:p>
        </w:tc>
      </w:tr>
    </w:tbl>
    <w:p w14:paraId="416F85E3" w14:textId="77777777" w:rsidR="00BF3D8E" w:rsidRDefault="00BF3D8E">
      <w:pPr>
        <w:spacing w:line="360" w:lineRule="auto"/>
        <w:rPr>
          <w:rFonts w:ascii="Arial" w:eastAsia="Arial" w:hAnsi="Arial" w:cs="Arial"/>
          <w:sz w:val="22"/>
          <w:szCs w:val="22"/>
        </w:rPr>
      </w:pPr>
    </w:p>
    <w:p w14:paraId="6E70348C" w14:textId="6E04603D" w:rsidR="00216486" w:rsidRDefault="00216486">
      <w:pPr>
        <w:rPr>
          <w:rFonts w:ascii="Arial" w:eastAsia="Arial" w:hAnsi="Arial" w:cs="Arial"/>
          <w:sz w:val="22"/>
          <w:szCs w:val="22"/>
        </w:rPr>
      </w:pPr>
      <w:r>
        <w:rPr>
          <w:rFonts w:ascii="Arial" w:eastAsia="Arial" w:hAnsi="Arial" w:cs="Arial"/>
          <w:sz w:val="22"/>
          <w:szCs w:val="22"/>
        </w:rPr>
        <w:br w:type="page"/>
      </w:r>
    </w:p>
    <w:p w14:paraId="55D4D1C7" w14:textId="77777777" w:rsidR="00216486" w:rsidRDefault="00216486" w:rsidP="00216486">
      <w:pPr>
        <w:spacing w:line="480" w:lineRule="auto"/>
        <w:rPr>
          <w:rFonts w:ascii="Arial" w:eastAsia="Arial" w:hAnsi="Arial" w:cs="Arial"/>
          <w:sz w:val="22"/>
          <w:szCs w:val="22"/>
        </w:rPr>
      </w:pPr>
      <w:r>
        <w:rPr>
          <w:rFonts w:ascii="Arial" w:eastAsia="Arial" w:hAnsi="Arial" w:cs="Arial"/>
          <w:b/>
          <w:sz w:val="22"/>
          <w:szCs w:val="22"/>
        </w:rPr>
        <w:lastRenderedPageBreak/>
        <w:t>Fig. 1</w:t>
      </w:r>
      <w:r>
        <w:rPr>
          <w:rFonts w:ascii="Arial" w:eastAsia="Arial" w:hAnsi="Arial" w:cs="Arial"/>
          <w:sz w:val="22"/>
          <w:szCs w:val="22"/>
        </w:rPr>
        <w:t xml:space="preserve">. </w:t>
      </w:r>
      <w:r>
        <w:rPr>
          <w:rFonts w:ascii="Arial" w:eastAsia="Arial" w:hAnsi="Arial" w:cs="Arial"/>
          <w:b/>
          <w:i/>
          <w:sz w:val="22"/>
          <w:szCs w:val="22"/>
        </w:rPr>
        <w:t xml:space="preserve">Bd </w:t>
      </w:r>
      <w:r>
        <w:rPr>
          <w:rFonts w:ascii="Arial" w:eastAsia="Arial" w:hAnsi="Arial" w:cs="Arial"/>
          <w:b/>
          <w:sz w:val="22"/>
          <w:szCs w:val="22"/>
        </w:rPr>
        <w:t xml:space="preserve">did not thrive in the dominant host species. </w:t>
      </w:r>
      <w:r>
        <w:rPr>
          <w:rFonts w:ascii="Arial" w:eastAsia="Arial" w:hAnsi="Arial" w:cs="Arial"/>
          <w:sz w:val="22"/>
          <w:szCs w:val="22"/>
        </w:rPr>
        <w:t xml:space="preserve">Temporal dynamics in the (a) the mean number of infected salamanders in experimental communities and (b) the mean </w:t>
      </w:r>
      <w:r>
        <w:rPr>
          <w:rFonts w:ascii="Arial" w:eastAsia="Arial" w:hAnsi="Arial" w:cs="Arial"/>
          <w:i/>
          <w:sz w:val="22"/>
          <w:szCs w:val="22"/>
        </w:rPr>
        <w:t>Bd</w:t>
      </w:r>
      <w:r>
        <w:rPr>
          <w:rFonts w:ascii="Arial" w:eastAsia="Arial" w:hAnsi="Arial" w:cs="Arial"/>
          <w:sz w:val="22"/>
          <w:szCs w:val="22"/>
        </w:rPr>
        <w:t xml:space="preserve"> loads of infected salamanders in experimental communities. Lines denote individual host community replicates (</w:t>
      </w:r>
      <w:proofErr w:type="gramStart"/>
      <w:r>
        <w:rPr>
          <w:rFonts w:ascii="Arial" w:eastAsia="Arial" w:hAnsi="Arial" w:cs="Arial"/>
          <w:sz w:val="22"/>
          <w:szCs w:val="22"/>
        </w:rPr>
        <w:t>i.e.</w:t>
      </w:r>
      <w:proofErr w:type="gramEnd"/>
      <w:r>
        <w:rPr>
          <w:rFonts w:ascii="Arial" w:eastAsia="Arial" w:hAnsi="Arial" w:cs="Arial"/>
          <w:sz w:val="22"/>
          <w:szCs w:val="22"/>
        </w:rPr>
        <w:t xml:space="preserve"> mesocosms). The initial phase denotes samples for </w:t>
      </w:r>
      <w:r>
        <w:rPr>
          <w:rFonts w:ascii="Arial" w:eastAsia="Arial" w:hAnsi="Arial" w:cs="Arial"/>
          <w:i/>
          <w:sz w:val="22"/>
          <w:szCs w:val="22"/>
        </w:rPr>
        <w:t>Bd</w:t>
      </w:r>
      <w:r>
        <w:rPr>
          <w:rFonts w:ascii="Arial" w:eastAsia="Arial" w:hAnsi="Arial" w:cs="Arial"/>
          <w:sz w:val="22"/>
          <w:szCs w:val="22"/>
        </w:rPr>
        <w:t xml:space="preserve"> collected on day 2, and the final phase denotes samples for </w:t>
      </w:r>
      <w:r>
        <w:rPr>
          <w:rFonts w:ascii="Arial" w:eastAsia="Arial" w:hAnsi="Arial" w:cs="Arial"/>
          <w:i/>
          <w:sz w:val="22"/>
          <w:szCs w:val="22"/>
        </w:rPr>
        <w:t>Bd</w:t>
      </w:r>
      <w:r>
        <w:rPr>
          <w:rFonts w:ascii="Arial" w:eastAsia="Arial" w:hAnsi="Arial" w:cs="Arial"/>
          <w:sz w:val="22"/>
          <w:szCs w:val="22"/>
        </w:rPr>
        <w:t xml:space="preserve"> collected on the last day of the experiment. GE = genomic equivalents, which is equivalent to a single zoospore. </w:t>
      </w:r>
    </w:p>
    <w:p w14:paraId="6080B24E" w14:textId="77777777" w:rsidR="00216486" w:rsidRDefault="00216486" w:rsidP="00216486">
      <w:pPr>
        <w:spacing w:line="480" w:lineRule="auto"/>
        <w:rPr>
          <w:rFonts w:ascii="Arial" w:eastAsia="Arial" w:hAnsi="Arial" w:cs="Arial"/>
          <w:sz w:val="22"/>
          <w:szCs w:val="22"/>
        </w:rPr>
      </w:pPr>
    </w:p>
    <w:p w14:paraId="44455392" w14:textId="77777777" w:rsidR="00216486" w:rsidRDefault="00216486" w:rsidP="00216486">
      <w:pPr>
        <w:spacing w:line="480" w:lineRule="auto"/>
        <w:rPr>
          <w:rFonts w:ascii="Arial" w:eastAsia="Arial" w:hAnsi="Arial" w:cs="Arial"/>
          <w:sz w:val="22"/>
          <w:szCs w:val="22"/>
        </w:rPr>
      </w:pPr>
      <w:r>
        <w:rPr>
          <w:rFonts w:ascii="Arial" w:eastAsia="Arial" w:hAnsi="Arial" w:cs="Arial"/>
          <w:b/>
          <w:sz w:val="22"/>
          <w:szCs w:val="22"/>
        </w:rPr>
        <w:t>Fig. 2.</w:t>
      </w:r>
      <w:r>
        <w:rPr>
          <w:rFonts w:ascii="Arial" w:eastAsia="Arial" w:hAnsi="Arial" w:cs="Arial"/>
          <w:sz w:val="22"/>
          <w:szCs w:val="22"/>
        </w:rPr>
        <w:t xml:space="preserve"> </w:t>
      </w:r>
      <w:r>
        <w:rPr>
          <w:rFonts w:ascii="Arial" w:eastAsia="Arial" w:hAnsi="Arial" w:cs="Arial"/>
          <w:b/>
          <w:sz w:val="22"/>
          <w:szCs w:val="22"/>
        </w:rPr>
        <w:t>Frogs and toads facilitated infections in each other.</w:t>
      </w:r>
      <w:r>
        <w:rPr>
          <w:rFonts w:ascii="Arial" w:eastAsia="Arial" w:hAnsi="Arial" w:cs="Arial"/>
          <w:sz w:val="22"/>
          <w:szCs w:val="22"/>
        </w:rPr>
        <w:t xml:space="preserve"> The number of infected toads increased with more infected frogs in communities, and vice versa, as shown by the solid black arrows. Non-significant relationships (P &gt;= 0.05) are denoted by grey arrows, and values in the boxes over the arrows denote the standardized regression coefficients. </w:t>
      </w:r>
    </w:p>
    <w:p w14:paraId="32A3DDD5" w14:textId="77777777" w:rsidR="00216486" w:rsidRDefault="00216486" w:rsidP="00216486">
      <w:pPr>
        <w:spacing w:line="480" w:lineRule="auto"/>
        <w:rPr>
          <w:rFonts w:ascii="Arial" w:eastAsia="Arial" w:hAnsi="Arial" w:cs="Arial"/>
          <w:sz w:val="22"/>
          <w:szCs w:val="22"/>
        </w:rPr>
      </w:pPr>
    </w:p>
    <w:p w14:paraId="53820D65" w14:textId="77777777" w:rsidR="00216486" w:rsidRDefault="00216486" w:rsidP="00216486">
      <w:pPr>
        <w:spacing w:line="480" w:lineRule="auto"/>
        <w:rPr>
          <w:rFonts w:ascii="Arial" w:eastAsia="Arial" w:hAnsi="Arial" w:cs="Arial"/>
          <w:sz w:val="22"/>
          <w:szCs w:val="22"/>
        </w:rPr>
      </w:pPr>
      <w:r>
        <w:rPr>
          <w:rFonts w:ascii="Arial" w:eastAsia="Arial" w:hAnsi="Arial" w:cs="Arial"/>
          <w:b/>
          <w:sz w:val="22"/>
          <w:szCs w:val="22"/>
        </w:rPr>
        <w:t xml:space="preserve">Fig. 3. Community-level </w:t>
      </w:r>
      <w:r>
        <w:rPr>
          <w:rFonts w:ascii="Arial" w:eastAsia="Arial" w:hAnsi="Arial" w:cs="Arial"/>
          <w:b/>
          <w:i/>
          <w:sz w:val="22"/>
          <w:szCs w:val="22"/>
        </w:rPr>
        <w:t>Bd</w:t>
      </w:r>
      <w:r>
        <w:rPr>
          <w:rFonts w:ascii="Arial" w:eastAsia="Arial" w:hAnsi="Arial" w:cs="Arial"/>
          <w:b/>
          <w:sz w:val="22"/>
          <w:szCs w:val="22"/>
        </w:rPr>
        <w:t xml:space="preserve"> prevalence and intensity varied by host community richness and composition. </w:t>
      </w:r>
      <w:r>
        <w:rPr>
          <w:rFonts w:ascii="Arial" w:eastAsia="Arial" w:hAnsi="Arial" w:cs="Arial"/>
          <w:sz w:val="22"/>
          <w:szCs w:val="22"/>
        </w:rPr>
        <w:t>(a)</w:t>
      </w:r>
      <w:r>
        <w:rPr>
          <w:rFonts w:ascii="Arial" w:eastAsia="Arial" w:hAnsi="Arial" w:cs="Arial"/>
          <w:b/>
          <w:sz w:val="22"/>
          <w:szCs w:val="22"/>
        </w:rPr>
        <w:t xml:space="preserve"> </w:t>
      </w:r>
      <w:r>
        <w:rPr>
          <w:rFonts w:ascii="Arial" w:eastAsia="Arial" w:hAnsi="Arial" w:cs="Arial"/>
          <w:sz w:val="22"/>
          <w:szCs w:val="22"/>
        </w:rPr>
        <w:t xml:space="preserve">Mean </w:t>
      </w:r>
      <w:r>
        <w:rPr>
          <w:rFonts w:ascii="Arial" w:eastAsia="Arial" w:hAnsi="Arial" w:cs="Arial"/>
          <w:i/>
          <w:sz w:val="22"/>
          <w:szCs w:val="22"/>
        </w:rPr>
        <w:t>Bd</w:t>
      </w:r>
      <w:r>
        <w:rPr>
          <w:rFonts w:ascii="Arial" w:eastAsia="Arial" w:hAnsi="Arial" w:cs="Arial"/>
          <w:sz w:val="22"/>
          <w:szCs w:val="22"/>
        </w:rPr>
        <w:t xml:space="preserve"> prevalence at the end of experiments and (b) mean infection loads exhibited by infected individuals in the experimental host communities that varied in species richness and composition. Data were pooled across all host species. In both panels, error bars denote the standard error of the mean values among replicate communities.</w:t>
      </w:r>
    </w:p>
    <w:p w14:paraId="3F48AD70" w14:textId="77777777" w:rsidR="00216486" w:rsidRDefault="00216486" w:rsidP="00216486">
      <w:pPr>
        <w:spacing w:line="480" w:lineRule="auto"/>
        <w:rPr>
          <w:rFonts w:ascii="Arial" w:eastAsia="Arial" w:hAnsi="Arial" w:cs="Arial"/>
          <w:sz w:val="22"/>
          <w:szCs w:val="22"/>
        </w:rPr>
      </w:pPr>
    </w:p>
    <w:p w14:paraId="6232820B" w14:textId="28660BE6" w:rsidR="00216486" w:rsidRDefault="00216486" w:rsidP="00216486">
      <w:pPr>
        <w:pStyle w:val="NormalWeb"/>
        <w:spacing w:before="0" w:beforeAutospacing="0" w:after="0" w:afterAutospacing="0" w:line="480" w:lineRule="auto"/>
        <w:rPr>
          <w:rFonts w:ascii="Arial" w:hAnsi="Arial" w:cs="Arial"/>
          <w:color w:val="000000"/>
          <w:sz w:val="22"/>
          <w:szCs w:val="22"/>
        </w:rPr>
      </w:pPr>
      <w:r>
        <w:rPr>
          <w:rFonts w:ascii="Arial" w:hAnsi="Arial" w:cs="Arial"/>
          <w:b/>
          <w:bCs/>
          <w:color w:val="000000"/>
          <w:sz w:val="22"/>
          <w:szCs w:val="22"/>
        </w:rPr>
        <w:t xml:space="preserve">Fig. 4. Fitting of a mechanistic epidemiological model suggests salamanders played a much smaller role in </w:t>
      </w:r>
      <w:r>
        <w:rPr>
          <w:rFonts w:ascii="Arial" w:hAnsi="Arial" w:cs="Arial"/>
          <w:b/>
          <w:bCs/>
          <w:i/>
          <w:iCs/>
          <w:color w:val="000000"/>
          <w:sz w:val="22"/>
          <w:szCs w:val="22"/>
        </w:rPr>
        <w:t>Bd</w:t>
      </w:r>
      <w:r>
        <w:rPr>
          <w:rFonts w:ascii="Arial" w:hAnsi="Arial" w:cs="Arial"/>
          <w:b/>
          <w:bCs/>
          <w:color w:val="000000"/>
          <w:sz w:val="22"/>
          <w:szCs w:val="22"/>
        </w:rPr>
        <w:t xml:space="preserve"> transmission compared to frogs and toads, and that frogs and toads make similar contributions to the </w:t>
      </w:r>
      <w:r w:rsidRPr="00F74D86">
        <w:rPr>
          <w:rFonts w:ascii="Arial" w:hAnsi="Arial" w:cs="Arial"/>
          <w:b/>
          <w:bCs/>
          <w:color w:val="000000"/>
          <w:sz w:val="22"/>
          <w:szCs w:val="22"/>
        </w:rPr>
        <w:t>overall R</w:t>
      </w:r>
      <w:r w:rsidRPr="00722E03">
        <w:rPr>
          <w:rFonts w:ascii="Arial" w:hAnsi="Arial" w:cs="Arial"/>
          <w:b/>
          <w:bCs/>
          <w:color w:val="000000"/>
          <w:sz w:val="22"/>
          <w:szCs w:val="22"/>
          <w:vertAlign w:val="subscript"/>
        </w:rPr>
        <w:t>0</w:t>
      </w:r>
      <w:r w:rsidRPr="00F74D86">
        <w:rPr>
          <w:rFonts w:ascii="Arial" w:hAnsi="Arial" w:cs="Arial"/>
          <w:b/>
          <w:bCs/>
          <w:color w:val="000000"/>
          <w:sz w:val="22"/>
          <w:szCs w:val="22"/>
        </w:rPr>
        <w:t xml:space="preserve"> of </w:t>
      </w:r>
      <w:r w:rsidRPr="00F74D86">
        <w:rPr>
          <w:rFonts w:ascii="Arial" w:hAnsi="Arial" w:cs="Arial"/>
          <w:b/>
          <w:bCs/>
          <w:i/>
          <w:iCs/>
          <w:color w:val="000000"/>
          <w:sz w:val="22"/>
          <w:szCs w:val="22"/>
        </w:rPr>
        <w:t>Bd</w:t>
      </w:r>
      <w:r w:rsidRPr="00F74D86">
        <w:rPr>
          <w:rFonts w:ascii="Arial" w:hAnsi="Arial" w:cs="Arial"/>
          <w:b/>
          <w:bCs/>
          <w:color w:val="000000"/>
          <w:sz w:val="22"/>
          <w:szCs w:val="22"/>
        </w:rPr>
        <w:t>.</w:t>
      </w:r>
      <w:r w:rsidRPr="00F74D86">
        <w:rPr>
          <w:rFonts w:ascii="Arial" w:hAnsi="Arial" w:cs="Arial"/>
          <w:color w:val="000000"/>
          <w:sz w:val="22"/>
          <w:szCs w:val="22"/>
        </w:rPr>
        <w:t xml:space="preserve"> (a) Parameter estimates of transmission rates (</w:t>
      </w:r>
      <m:oMath>
        <m:sSub>
          <m:sSubPr>
            <m:ctrlPr>
              <w:rPr>
                <w:rFonts w:ascii="Cambria Math" w:hAnsi="Cambria Math" w:cs="Arial"/>
                <w:i/>
                <w:color w:val="000000"/>
                <w:sz w:val="22"/>
                <w:szCs w:val="22"/>
              </w:rPr>
            </m:ctrlPr>
          </m:sSubPr>
          <m:e>
            <m:r>
              <w:rPr>
                <w:rFonts w:ascii="Cambria Math" w:hAnsi="Cambria Math" w:cs="Arial"/>
                <w:color w:val="000000"/>
                <w:sz w:val="22"/>
                <w:szCs w:val="22"/>
              </w:rPr>
              <m:t>β</m:t>
            </m:r>
          </m:e>
          <m:sub>
            <m:r>
              <w:rPr>
                <w:rFonts w:ascii="Cambria Math" w:hAnsi="Cambria Math" w:cs="Arial"/>
                <w:color w:val="000000"/>
                <w:sz w:val="22"/>
                <w:szCs w:val="22"/>
              </w:rPr>
              <m:t>i</m:t>
            </m:r>
          </m:sub>
        </m:sSub>
      </m:oMath>
      <w:r w:rsidRPr="00F74D86">
        <w:rPr>
          <w:rFonts w:ascii="Arial" w:hAnsi="Arial" w:cs="Arial"/>
          <w:color w:val="000000"/>
          <w:sz w:val="22"/>
          <w:szCs w:val="22"/>
        </w:rPr>
        <w:t>), zoospore shedding rates (</w:t>
      </w:r>
      <m:oMath>
        <m:sSub>
          <m:sSubPr>
            <m:ctrlPr>
              <w:rPr>
                <w:rFonts w:ascii="Cambria Math" w:hAnsi="Cambria Math" w:cs="Arial"/>
                <w:i/>
                <w:color w:val="000000"/>
                <w:sz w:val="22"/>
                <w:szCs w:val="22"/>
              </w:rPr>
            </m:ctrlPr>
          </m:sSubPr>
          <m:e>
            <m:r>
              <w:rPr>
                <w:rFonts w:ascii="Cambria Math" w:hAnsi="Cambria Math" w:cs="Arial"/>
                <w:color w:val="000000"/>
                <w:sz w:val="22"/>
                <w:szCs w:val="22"/>
              </w:rPr>
              <m:t>λ</m:t>
            </m:r>
          </m:e>
          <m:sub>
            <m:r>
              <w:rPr>
                <w:rFonts w:ascii="Cambria Math" w:hAnsi="Cambria Math" w:cs="Arial"/>
                <w:color w:val="000000"/>
                <w:sz w:val="22"/>
                <w:szCs w:val="22"/>
              </w:rPr>
              <m:t>i</m:t>
            </m:r>
          </m:sub>
        </m:sSub>
      </m:oMath>
      <w:r w:rsidRPr="00F74D86">
        <w:rPr>
          <w:rFonts w:ascii="Arial" w:hAnsi="Arial" w:cs="Arial"/>
          <w:color w:val="000000"/>
          <w:sz w:val="22"/>
          <w:szCs w:val="22"/>
        </w:rPr>
        <w:t>) and recovery rates (</w:t>
      </w:r>
      <m:oMath>
        <m:sSub>
          <m:sSubPr>
            <m:ctrlPr>
              <w:rPr>
                <w:rFonts w:ascii="Cambria Math" w:hAnsi="Cambria Math" w:cs="Arial"/>
                <w:i/>
                <w:color w:val="000000"/>
                <w:sz w:val="22"/>
                <w:szCs w:val="22"/>
              </w:rPr>
            </m:ctrlPr>
          </m:sSubPr>
          <m:e>
            <m:r>
              <w:rPr>
                <w:rFonts w:ascii="Cambria Math" w:hAnsi="Cambria Math" w:cs="Arial"/>
                <w:color w:val="000000"/>
                <w:sz w:val="22"/>
                <w:szCs w:val="22"/>
              </w:rPr>
              <m:t>σ</m:t>
            </m:r>
          </m:e>
          <m:sub>
            <m:r>
              <w:rPr>
                <w:rFonts w:ascii="Cambria Math" w:hAnsi="Cambria Math" w:cs="Arial"/>
                <w:color w:val="000000"/>
                <w:sz w:val="22"/>
                <w:szCs w:val="22"/>
              </w:rPr>
              <m:t>i</m:t>
            </m:r>
          </m:sub>
        </m:sSub>
      </m:oMath>
      <w:r w:rsidRPr="00F74D86">
        <w:rPr>
          <w:rFonts w:ascii="Arial" w:hAnsi="Arial" w:cs="Arial"/>
          <w:color w:val="000000"/>
          <w:sz w:val="22"/>
          <w:szCs w:val="22"/>
        </w:rPr>
        <w:t xml:space="preserve">) for salamanders, toads and frogs, showing low estimates of salamander transmission rates relative to the other species. Points are medians and bars are 95% credible intervals from </w:t>
      </w:r>
      <w:r>
        <w:rPr>
          <w:rFonts w:ascii="Arial" w:hAnsi="Arial" w:cs="Arial"/>
          <w:color w:val="000000"/>
          <w:sz w:val="22"/>
          <w:szCs w:val="22"/>
        </w:rPr>
        <w:t>30</w:t>
      </w:r>
      <w:r w:rsidRPr="00F74D86">
        <w:rPr>
          <w:rFonts w:ascii="Arial" w:hAnsi="Arial" w:cs="Arial"/>
          <w:color w:val="000000"/>
          <w:sz w:val="22"/>
          <w:szCs w:val="22"/>
        </w:rPr>
        <w:t xml:space="preserve">00 draws from posterior estimated parameter distributions. (b) Estimated species-specific contributions by salamanders, </w:t>
      </w:r>
      <w:proofErr w:type="gramStart"/>
      <w:r w:rsidRPr="00F74D86">
        <w:rPr>
          <w:rFonts w:ascii="Arial" w:hAnsi="Arial" w:cs="Arial"/>
          <w:color w:val="000000"/>
          <w:sz w:val="22"/>
          <w:szCs w:val="22"/>
        </w:rPr>
        <w:t>toads</w:t>
      </w:r>
      <w:proofErr w:type="gramEnd"/>
      <w:r w:rsidRPr="00F74D86">
        <w:rPr>
          <w:rFonts w:ascii="Arial" w:hAnsi="Arial" w:cs="Arial"/>
          <w:color w:val="000000"/>
          <w:sz w:val="22"/>
          <w:szCs w:val="22"/>
        </w:rPr>
        <w:t xml:space="preserve"> and </w:t>
      </w:r>
      <w:r w:rsidRPr="00F74D86">
        <w:rPr>
          <w:rFonts w:ascii="Arial" w:hAnsi="Arial" w:cs="Arial"/>
          <w:color w:val="000000"/>
          <w:sz w:val="22"/>
          <w:szCs w:val="22"/>
        </w:rPr>
        <w:lastRenderedPageBreak/>
        <w:t>frogs to R</w:t>
      </w:r>
      <w:r w:rsidRPr="00722E03">
        <w:rPr>
          <w:rFonts w:ascii="Arial" w:hAnsi="Arial" w:cs="Arial"/>
          <w:color w:val="000000"/>
          <w:sz w:val="22"/>
          <w:szCs w:val="22"/>
          <w:vertAlign w:val="subscript"/>
        </w:rPr>
        <w:t>0</w:t>
      </w:r>
      <w:r w:rsidRPr="00F74D86">
        <w:rPr>
          <w:rFonts w:ascii="Arial" w:hAnsi="Arial" w:cs="Arial"/>
          <w:color w:val="000000"/>
          <w:sz w:val="22"/>
          <w:szCs w:val="22"/>
        </w:rPr>
        <w:t>, generated from 3000 draws from the posterior parameter distributions (violin plot shows a kernel density plot over the range of the data; the white point is the median, the black box is the interquartile range, and the whiskers are the lower/upper adjacent values). Salamanders contribute very little to the R</w:t>
      </w:r>
      <w:r w:rsidRPr="00722E03">
        <w:rPr>
          <w:rFonts w:ascii="Arial" w:hAnsi="Arial" w:cs="Arial"/>
          <w:color w:val="000000"/>
          <w:sz w:val="22"/>
          <w:szCs w:val="22"/>
          <w:vertAlign w:val="subscript"/>
        </w:rPr>
        <w:t>0</w:t>
      </w:r>
      <w:r w:rsidRPr="00F74D86">
        <w:rPr>
          <w:rFonts w:ascii="Arial" w:hAnsi="Arial" w:cs="Arial"/>
          <w:color w:val="000000"/>
          <w:sz w:val="22"/>
          <w:szCs w:val="22"/>
        </w:rPr>
        <w:t xml:space="preserve"> of </w:t>
      </w:r>
      <w:r w:rsidRPr="00F74D86">
        <w:rPr>
          <w:rFonts w:ascii="Arial" w:hAnsi="Arial" w:cs="Arial"/>
          <w:i/>
          <w:iCs/>
          <w:color w:val="000000"/>
          <w:sz w:val="22"/>
          <w:szCs w:val="22"/>
        </w:rPr>
        <w:t>Bd</w:t>
      </w:r>
      <w:r w:rsidRPr="00F74D86">
        <w:rPr>
          <w:rFonts w:ascii="Arial" w:hAnsi="Arial" w:cs="Arial"/>
          <w:color w:val="000000"/>
          <w:sz w:val="22"/>
          <w:szCs w:val="22"/>
        </w:rPr>
        <w:t xml:space="preserve"> in each tank. (c) Relationship between estimated tank-level R</w:t>
      </w:r>
      <w:proofErr w:type="gramStart"/>
      <w:r w:rsidRPr="00722E03">
        <w:rPr>
          <w:rFonts w:ascii="Arial" w:hAnsi="Arial" w:cs="Arial"/>
          <w:color w:val="000000"/>
          <w:sz w:val="22"/>
          <w:szCs w:val="22"/>
          <w:vertAlign w:val="subscript"/>
        </w:rPr>
        <w:t>0,TOT</w:t>
      </w:r>
      <w:proofErr w:type="gramEnd"/>
      <w:r w:rsidRPr="00F74D86">
        <w:rPr>
          <w:rFonts w:ascii="Arial" w:hAnsi="Arial" w:cs="Arial"/>
          <w:color w:val="000000"/>
          <w:sz w:val="22"/>
          <w:szCs w:val="22"/>
        </w:rPr>
        <w:t xml:space="preserve"> values and the ratio between the initial number of salamanders to the other species (frogs and toads combined, from 3000 draws for posterior estimated parameter distributions (grey points) and median and 95% CIs (</w:t>
      </w:r>
      <w:r>
        <w:rPr>
          <w:rFonts w:ascii="Arial" w:hAnsi="Arial" w:cs="Arial"/>
          <w:color w:val="000000"/>
          <w:sz w:val="22"/>
          <w:szCs w:val="22"/>
        </w:rPr>
        <w:t>black</w:t>
      </w:r>
      <w:r w:rsidRPr="00F74D86">
        <w:rPr>
          <w:rFonts w:ascii="Arial" w:hAnsi="Arial" w:cs="Arial"/>
          <w:color w:val="000000"/>
          <w:sz w:val="22"/>
          <w:szCs w:val="22"/>
        </w:rPr>
        <w:t xml:space="preserve"> points and bars) for each tank. </w:t>
      </w:r>
      <w:proofErr w:type="gramStart"/>
      <w:r w:rsidRPr="00F74D86">
        <w:rPr>
          <w:rFonts w:ascii="Arial" w:hAnsi="Arial" w:cs="Arial"/>
          <w:color w:val="000000"/>
          <w:sz w:val="22"/>
          <w:szCs w:val="22"/>
        </w:rPr>
        <w:t>Overall</w:t>
      </w:r>
      <w:proofErr w:type="gramEnd"/>
      <w:r w:rsidRPr="00F74D86">
        <w:rPr>
          <w:rFonts w:ascii="Arial" w:hAnsi="Arial" w:cs="Arial"/>
          <w:color w:val="000000"/>
          <w:sz w:val="22"/>
          <w:szCs w:val="22"/>
        </w:rPr>
        <w:t xml:space="preserve"> there is a strong negative correlation, such that increasing proportional abundance of salamanders results in a reduction in overall R</w:t>
      </w:r>
      <w:r w:rsidRPr="00722E03">
        <w:rPr>
          <w:rFonts w:ascii="Arial" w:hAnsi="Arial" w:cs="Arial"/>
          <w:color w:val="000000"/>
          <w:sz w:val="22"/>
          <w:szCs w:val="22"/>
          <w:vertAlign w:val="subscript"/>
        </w:rPr>
        <w:t>0</w:t>
      </w:r>
      <w:r w:rsidRPr="00F74D86">
        <w:rPr>
          <w:rFonts w:ascii="Arial" w:hAnsi="Arial" w:cs="Arial"/>
          <w:color w:val="000000"/>
          <w:sz w:val="22"/>
          <w:szCs w:val="22"/>
        </w:rPr>
        <w:t xml:space="preserve">. (d) As in (c), but with the ratio between initial number of frogs to toads </w:t>
      </w:r>
      <w:r w:rsidRPr="008F6992">
        <w:rPr>
          <w:rFonts w:ascii="Arial" w:hAnsi="Arial" w:cs="Arial"/>
          <w:color w:val="000000"/>
          <w:sz w:val="22"/>
          <w:szCs w:val="22"/>
        </w:rPr>
        <w:t>on the x-axis (high values indicate increasing abundance of frogs relative to toads in the tanks), showing negligible effect on tank-level R</w:t>
      </w:r>
      <w:proofErr w:type="gramStart"/>
      <w:r w:rsidRPr="00722E03">
        <w:rPr>
          <w:rFonts w:ascii="Arial" w:hAnsi="Arial" w:cs="Arial"/>
          <w:color w:val="000000"/>
          <w:sz w:val="22"/>
          <w:szCs w:val="22"/>
          <w:vertAlign w:val="subscript"/>
        </w:rPr>
        <w:t>0,TOT</w:t>
      </w:r>
      <w:proofErr w:type="gramEnd"/>
      <w:r w:rsidRPr="00F74D86">
        <w:rPr>
          <w:rFonts w:ascii="Arial" w:hAnsi="Arial" w:cs="Arial"/>
          <w:color w:val="000000"/>
          <w:sz w:val="22"/>
          <w:szCs w:val="22"/>
        </w:rPr>
        <w:t>, indicating frogs and toads are largely epidemiologically interchangeable across these communities.</w:t>
      </w:r>
      <w:r>
        <w:rPr>
          <w:rFonts w:ascii="Arial" w:hAnsi="Arial" w:cs="Arial"/>
          <w:color w:val="000000"/>
          <w:sz w:val="22"/>
          <w:szCs w:val="22"/>
        </w:rPr>
        <w:t xml:space="preserve">  The letters in panels (c) and (d) denote the same tanks in each figure.</w:t>
      </w:r>
    </w:p>
    <w:p w14:paraId="6DE34D65" w14:textId="441D0989" w:rsidR="00E85A01" w:rsidRDefault="00E85A01" w:rsidP="00216486">
      <w:pPr>
        <w:pStyle w:val="NormalWeb"/>
        <w:spacing w:before="0" w:beforeAutospacing="0" w:after="0" w:afterAutospacing="0" w:line="480" w:lineRule="auto"/>
        <w:rPr>
          <w:rFonts w:ascii="Arial" w:hAnsi="Arial" w:cs="Arial"/>
          <w:color w:val="000000"/>
          <w:sz w:val="22"/>
          <w:szCs w:val="22"/>
        </w:rPr>
      </w:pPr>
    </w:p>
    <w:p w14:paraId="2903B1B3" w14:textId="0DC4ED35" w:rsidR="00E85A01" w:rsidRDefault="00E85A01">
      <w:pPr>
        <w:rPr>
          <w:rFonts w:ascii="Arial" w:eastAsia="Times New Roman" w:hAnsi="Arial" w:cs="Arial"/>
          <w:color w:val="000000"/>
          <w:sz w:val="22"/>
          <w:szCs w:val="22"/>
        </w:rPr>
      </w:pPr>
      <w:r>
        <w:rPr>
          <w:rFonts w:ascii="Arial" w:hAnsi="Arial" w:cs="Arial"/>
          <w:color w:val="000000"/>
          <w:sz w:val="22"/>
          <w:szCs w:val="22"/>
        </w:rPr>
        <w:br w:type="page"/>
      </w:r>
    </w:p>
    <w:p w14:paraId="56CCC12D" w14:textId="74998535" w:rsidR="00E85A01" w:rsidRDefault="00E85A01" w:rsidP="00216486">
      <w:pPr>
        <w:pStyle w:val="NormalWeb"/>
        <w:spacing w:before="0" w:beforeAutospacing="0" w:after="0" w:afterAutospacing="0" w:line="480" w:lineRule="auto"/>
        <w:rPr>
          <w:rFonts w:ascii="Arial" w:hAnsi="Arial" w:cs="Arial"/>
          <w:color w:val="000000"/>
          <w:sz w:val="22"/>
          <w:szCs w:val="22"/>
        </w:rPr>
      </w:pPr>
      <w:r>
        <w:rPr>
          <w:rFonts w:ascii="Arial" w:hAnsi="Arial" w:cs="Arial"/>
          <w:color w:val="000000"/>
          <w:sz w:val="22"/>
          <w:szCs w:val="22"/>
        </w:rPr>
        <w:lastRenderedPageBreak/>
        <w:t>Fig. 1</w:t>
      </w:r>
    </w:p>
    <w:p w14:paraId="409829BB" w14:textId="187653A8" w:rsidR="00E85A01" w:rsidRDefault="00E85A01" w:rsidP="00216486">
      <w:pPr>
        <w:pStyle w:val="NormalWeb"/>
        <w:spacing w:before="0" w:beforeAutospacing="0" w:after="0" w:afterAutospacing="0" w:line="480" w:lineRule="auto"/>
        <w:rPr>
          <w:rFonts w:ascii="Arial" w:hAnsi="Arial" w:cs="Arial"/>
          <w:color w:val="000000"/>
          <w:sz w:val="22"/>
          <w:szCs w:val="22"/>
        </w:rPr>
      </w:pPr>
      <w:r>
        <w:rPr>
          <w:rFonts w:ascii="Arial" w:hAnsi="Arial" w:cs="Arial"/>
          <w:noProof/>
          <w:color w:val="000000"/>
          <w:sz w:val="22"/>
          <w:szCs w:val="22"/>
        </w:rPr>
        <w:drawing>
          <wp:inline distT="0" distB="0" distL="0" distR="0" wp14:anchorId="0E73FFB8" wp14:editId="35745C0D">
            <wp:extent cx="5518785" cy="7809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18785" cy="7809865"/>
                    </a:xfrm>
                    <a:prstGeom prst="rect">
                      <a:avLst/>
                    </a:prstGeom>
                  </pic:spPr>
                </pic:pic>
              </a:graphicData>
            </a:graphic>
          </wp:inline>
        </w:drawing>
      </w:r>
    </w:p>
    <w:p w14:paraId="38ECF946" w14:textId="4BFC3F74" w:rsidR="00BF3D8E" w:rsidRDefault="00BF3D8E">
      <w:pPr>
        <w:rPr>
          <w:rFonts w:ascii="Arial" w:eastAsia="Arial" w:hAnsi="Arial" w:cs="Arial"/>
          <w:sz w:val="22"/>
          <w:szCs w:val="22"/>
        </w:rPr>
      </w:pPr>
    </w:p>
    <w:p w14:paraId="271B3217" w14:textId="595D53E0" w:rsidR="00E85A01" w:rsidRDefault="00E85A01">
      <w:pPr>
        <w:rPr>
          <w:rFonts w:ascii="Arial" w:eastAsia="Arial" w:hAnsi="Arial" w:cs="Arial"/>
          <w:sz w:val="22"/>
          <w:szCs w:val="22"/>
        </w:rPr>
      </w:pPr>
    </w:p>
    <w:p w14:paraId="6C67A911" w14:textId="5FCDD235" w:rsidR="00E85A01" w:rsidRDefault="00E85A01">
      <w:pPr>
        <w:rPr>
          <w:rFonts w:ascii="Arial" w:eastAsia="Arial" w:hAnsi="Arial" w:cs="Arial"/>
          <w:sz w:val="22"/>
          <w:szCs w:val="22"/>
        </w:rPr>
      </w:pPr>
    </w:p>
    <w:p w14:paraId="436B7DE1" w14:textId="77777777" w:rsidR="00E85A01" w:rsidRDefault="00E85A01" w:rsidP="00E85A01">
      <w:pPr>
        <w:rPr>
          <w:rFonts w:ascii="Arial" w:eastAsia="Arial" w:hAnsi="Arial" w:cs="Arial"/>
          <w:sz w:val="22"/>
          <w:szCs w:val="22"/>
        </w:rPr>
      </w:pPr>
    </w:p>
    <w:p w14:paraId="6FA12FB2" w14:textId="77777777" w:rsidR="00E85A01" w:rsidRDefault="00E85A01" w:rsidP="00E85A01">
      <w:pPr>
        <w:rPr>
          <w:rFonts w:ascii="Arial" w:eastAsia="Arial" w:hAnsi="Arial" w:cs="Arial"/>
          <w:sz w:val="22"/>
          <w:szCs w:val="22"/>
        </w:rPr>
      </w:pPr>
    </w:p>
    <w:p w14:paraId="2AFDD030" w14:textId="2BB8710E" w:rsidR="00E85A01" w:rsidRDefault="00E85A01" w:rsidP="00E85A01">
      <w:pPr>
        <w:rPr>
          <w:rFonts w:ascii="Arial" w:eastAsia="Arial" w:hAnsi="Arial" w:cs="Arial"/>
          <w:sz w:val="22"/>
          <w:szCs w:val="22"/>
        </w:rPr>
      </w:pPr>
      <w:r>
        <w:rPr>
          <w:rFonts w:ascii="Arial" w:eastAsia="Arial" w:hAnsi="Arial" w:cs="Arial"/>
          <w:sz w:val="22"/>
          <w:szCs w:val="22"/>
        </w:rPr>
        <w:lastRenderedPageBreak/>
        <w:t>Fig. 2</w:t>
      </w:r>
    </w:p>
    <w:p w14:paraId="3A3699E1" w14:textId="2AA1B8E0" w:rsidR="00E85A01" w:rsidRDefault="00E85A01" w:rsidP="00E85A01">
      <w:pPr>
        <w:rPr>
          <w:rFonts w:ascii="Arial" w:eastAsia="Arial" w:hAnsi="Arial" w:cs="Arial"/>
          <w:sz w:val="22"/>
          <w:szCs w:val="22"/>
        </w:rPr>
      </w:pPr>
      <w:r>
        <w:rPr>
          <w:rFonts w:ascii="Arial" w:eastAsia="Arial" w:hAnsi="Arial" w:cs="Arial"/>
          <w:noProof/>
          <w:sz w:val="22"/>
          <w:szCs w:val="22"/>
        </w:rPr>
        <w:drawing>
          <wp:inline distT="0" distB="0" distL="0" distR="0" wp14:anchorId="33178482" wp14:editId="24FD75ED">
            <wp:extent cx="3294863" cy="3037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27531" t="18097" r="23155" b="49778"/>
                    <a:stretch/>
                  </pic:blipFill>
                  <pic:spPr bwMode="auto">
                    <a:xfrm>
                      <a:off x="0" y="0"/>
                      <a:ext cx="3302527" cy="3044593"/>
                    </a:xfrm>
                    <a:prstGeom prst="rect">
                      <a:avLst/>
                    </a:prstGeom>
                    <a:ln>
                      <a:noFill/>
                    </a:ln>
                    <a:extLst>
                      <a:ext uri="{53640926-AAD7-44D8-BBD7-CCE9431645EC}">
                        <a14:shadowObscured xmlns:a14="http://schemas.microsoft.com/office/drawing/2010/main"/>
                      </a:ext>
                    </a:extLst>
                  </pic:spPr>
                </pic:pic>
              </a:graphicData>
            </a:graphic>
          </wp:inline>
        </w:drawing>
      </w:r>
    </w:p>
    <w:p w14:paraId="193E308F" w14:textId="01D9A6DC" w:rsidR="00E85A01" w:rsidRDefault="00E85A01" w:rsidP="00E85A01">
      <w:pPr>
        <w:rPr>
          <w:rFonts w:ascii="Arial" w:eastAsia="Arial" w:hAnsi="Arial" w:cs="Arial"/>
          <w:sz w:val="22"/>
          <w:szCs w:val="22"/>
        </w:rPr>
      </w:pPr>
    </w:p>
    <w:p w14:paraId="15E2EF49" w14:textId="3E028130" w:rsidR="00E85A01" w:rsidRDefault="00E85A01" w:rsidP="00E85A01">
      <w:pPr>
        <w:rPr>
          <w:rFonts w:ascii="Arial" w:eastAsia="Arial" w:hAnsi="Arial" w:cs="Arial"/>
          <w:sz w:val="22"/>
          <w:szCs w:val="22"/>
        </w:rPr>
      </w:pPr>
    </w:p>
    <w:p w14:paraId="0122EBBA" w14:textId="33B9F784" w:rsidR="00E85A01" w:rsidRDefault="00E85A01" w:rsidP="00E85A01">
      <w:pPr>
        <w:rPr>
          <w:rFonts w:ascii="Arial" w:eastAsia="Arial" w:hAnsi="Arial" w:cs="Arial"/>
          <w:sz w:val="22"/>
          <w:szCs w:val="22"/>
        </w:rPr>
      </w:pPr>
    </w:p>
    <w:p w14:paraId="00595E99" w14:textId="7F8EB1D0" w:rsidR="00E85A01" w:rsidRDefault="00E85A01">
      <w:pPr>
        <w:rPr>
          <w:rFonts w:ascii="Arial" w:eastAsia="Arial" w:hAnsi="Arial" w:cs="Arial"/>
          <w:sz w:val="22"/>
          <w:szCs w:val="22"/>
        </w:rPr>
      </w:pPr>
      <w:r>
        <w:rPr>
          <w:rFonts w:ascii="Arial" w:eastAsia="Arial" w:hAnsi="Arial" w:cs="Arial"/>
          <w:sz w:val="22"/>
          <w:szCs w:val="22"/>
        </w:rPr>
        <w:br w:type="page"/>
      </w:r>
    </w:p>
    <w:p w14:paraId="204870CA" w14:textId="31533EEF" w:rsidR="00E85A01" w:rsidRDefault="00E85A01" w:rsidP="00E85A01">
      <w:pPr>
        <w:rPr>
          <w:rFonts w:ascii="Arial" w:eastAsia="Arial" w:hAnsi="Arial" w:cs="Arial"/>
          <w:sz w:val="22"/>
          <w:szCs w:val="22"/>
        </w:rPr>
      </w:pPr>
      <w:r>
        <w:rPr>
          <w:rFonts w:ascii="Arial" w:eastAsia="Arial" w:hAnsi="Arial" w:cs="Arial"/>
          <w:sz w:val="22"/>
          <w:szCs w:val="22"/>
        </w:rPr>
        <w:lastRenderedPageBreak/>
        <w:t>Fig. 3</w:t>
      </w:r>
    </w:p>
    <w:p w14:paraId="61A21CBB" w14:textId="23351DD5" w:rsidR="00E85A01" w:rsidRDefault="00E85A01" w:rsidP="00E85A01">
      <w:pPr>
        <w:rPr>
          <w:rFonts w:ascii="Arial" w:eastAsia="Arial" w:hAnsi="Arial" w:cs="Arial"/>
          <w:sz w:val="22"/>
          <w:szCs w:val="22"/>
        </w:rPr>
      </w:pPr>
    </w:p>
    <w:p w14:paraId="47C63D6F" w14:textId="04BF456C" w:rsidR="00E85A01" w:rsidRDefault="00E85A01" w:rsidP="00E85A01">
      <w:pPr>
        <w:rPr>
          <w:rFonts w:ascii="Arial" w:eastAsia="Arial" w:hAnsi="Arial" w:cs="Arial"/>
          <w:sz w:val="22"/>
          <w:szCs w:val="22"/>
        </w:rPr>
      </w:pPr>
      <w:r>
        <w:rPr>
          <w:rFonts w:ascii="Arial" w:eastAsia="Arial" w:hAnsi="Arial" w:cs="Arial"/>
          <w:noProof/>
          <w:sz w:val="22"/>
          <w:szCs w:val="22"/>
        </w:rPr>
        <w:drawing>
          <wp:inline distT="0" distB="0" distL="0" distR="0" wp14:anchorId="79F8F3CD" wp14:editId="0BF302CE">
            <wp:extent cx="5518785" cy="780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518785" cy="7809865"/>
                    </a:xfrm>
                    <a:prstGeom prst="rect">
                      <a:avLst/>
                    </a:prstGeom>
                  </pic:spPr>
                </pic:pic>
              </a:graphicData>
            </a:graphic>
          </wp:inline>
        </w:drawing>
      </w:r>
    </w:p>
    <w:p w14:paraId="38D6F6A2" w14:textId="29C079BF" w:rsidR="00E85A01" w:rsidRDefault="00E85A01" w:rsidP="00E85A01">
      <w:pPr>
        <w:rPr>
          <w:rFonts w:ascii="Arial" w:eastAsia="Arial" w:hAnsi="Arial" w:cs="Arial"/>
          <w:sz w:val="22"/>
          <w:szCs w:val="22"/>
        </w:rPr>
      </w:pPr>
    </w:p>
    <w:p w14:paraId="580B6682" w14:textId="48686610" w:rsidR="00E85A01" w:rsidRDefault="00E85A01">
      <w:pPr>
        <w:rPr>
          <w:rFonts w:ascii="Arial" w:eastAsia="Arial" w:hAnsi="Arial" w:cs="Arial"/>
          <w:sz w:val="22"/>
          <w:szCs w:val="22"/>
        </w:rPr>
      </w:pPr>
      <w:r>
        <w:rPr>
          <w:rFonts w:ascii="Arial" w:eastAsia="Arial" w:hAnsi="Arial" w:cs="Arial"/>
          <w:sz w:val="22"/>
          <w:szCs w:val="22"/>
        </w:rPr>
        <w:br w:type="page"/>
      </w:r>
    </w:p>
    <w:p w14:paraId="68204FAC" w14:textId="43DD64FF" w:rsidR="00E85A01" w:rsidRDefault="00E85A01" w:rsidP="00E85A01">
      <w:pPr>
        <w:rPr>
          <w:rFonts w:ascii="Arial" w:eastAsia="Arial" w:hAnsi="Arial" w:cs="Arial"/>
          <w:sz w:val="22"/>
          <w:szCs w:val="22"/>
        </w:rPr>
      </w:pPr>
      <w:r>
        <w:rPr>
          <w:rFonts w:ascii="Arial" w:eastAsia="Arial" w:hAnsi="Arial" w:cs="Arial"/>
          <w:sz w:val="22"/>
          <w:szCs w:val="22"/>
        </w:rPr>
        <w:lastRenderedPageBreak/>
        <w:t>Fig. 4</w:t>
      </w:r>
    </w:p>
    <w:p w14:paraId="1F7874D0" w14:textId="6B2611CC" w:rsidR="00E85A01" w:rsidRDefault="00E85A01" w:rsidP="00E85A01">
      <w:pPr>
        <w:rPr>
          <w:rFonts w:ascii="Arial" w:eastAsia="Arial" w:hAnsi="Arial" w:cs="Arial"/>
          <w:sz w:val="22"/>
          <w:szCs w:val="22"/>
        </w:rPr>
      </w:pPr>
    </w:p>
    <w:p w14:paraId="2E85AED4" w14:textId="54F0D74F" w:rsidR="00E85A01" w:rsidRDefault="00DA1AD6" w:rsidP="00E85A01">
      <w:pPr>
        <w:rPr>
          <w:rFonts w:ascii="Arial" w:eastAsia="Arial" w:hAnsi="Arial" w:cs="Arial"/>
          <w:sz w:val="22"/>
          <w:szCs w:val="22"/>
        </w:rPr>
      </w:pPr>
      <w:r>
        <w:rPr>
          <w:rFonts w:ascii="Arial" w:eastAsia="Arial" w:hAnsi="Arial" w:cs="Arial"/>
          <w:noProof/>
          <w:sz w:val="22"/>
          <w:szCs w:val="22"/>
        </w:rPr>
        <w:drawing>
          <wp:inline distT="0" distB="0" distL="0" distR="0" wp14:anchorId="11DCD5B9" wp14:editId="5FFFC896">
            <wp:extent cx="5356965" cy="7039917"/>
            <wp:effectExtent l="0" t="0" r="0" b="889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844" cy="7045014"/>
                    </a:xfrm>
                    <a:prstGeom prst="rect">
                      <a:avLst/>
                    </a:prstGeom>
                    <a:noFill/>
                  </pic:spPr>
                </pic:pic>
              </a:graphicData>
            </a:graphic>
          </wp:inline>
        </w:drawing>
      </w:r>
    </w:p>
    <w:p w14:paraId="3680C28C" w14:textId="04B44E54" w:rsidR="00DA1AD6" w:rsidRDefault="00DA1AD6" w:rsidP="00E85A01">
      <w:pPr>
        <w:rPr>
          <w:rFonts w:ascii="Arial" w:eastAsia="Arial" w:hAnsi="Arial" w:cs="Arial"/>
          <w:sz w:val="22"/>
          <w:szCs w:val="22"/>
        </w:rPr>
      </w:pPr>
    </w:p>
    <w:p w14:paraId="142D9B59" w14:textId="34AD6CF7" w:rsidR="00DA1AD6" w:rsidRDefault="00DA1AD6">
      <w:pPr>
        <w:rPr>
          <w:rFonts w:ascii="Arial" w:eastAsia="Arial" w:hAnsi="Arial" w:cs="Arial"/>
          <w:sz w:val="22"/>
          <w:szCs w:val="22"/>
        </w:rPr>
      </w:pPr>
      <w:r>
        <w:rPr>
          <w:rFonts w:ascii="Arial" w:eastAsia="Arial" w:hAnsi="Arial" w:cs="Arial"/>
          <w:sz w:val="22"/>
          <w:szCs w:val="22"/>
        </w:rPr>
        <w:br w:type="page"/>
      </w:r>
    </w:p>
    <w:p w14:paraId="7AC1F5F1" w14:textId="76317322" w:rsidR="00DA1AD6" w:rsidRDefault="00DA1AD6" w:rsidP="00E85A01">
      <w:pP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2E6A5AE7" wp14:editId="46A7D763">
            <wp:extent cx="5518785" cy="6686093"/>
            <wp:effectExtent l="0" t="0" r="5715"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785" cy="6686093"/>
                    </a:xfrm>
                    <a:prstGeom prst="rect">
                      <a:avLst/>
                    </a:prstGeom>
                    <a:noFill/>
                  </pic:spPr>
                </pic:pic>
              </a:graphicData>
            </a:graphic>
          </wp:inline>
        </w:drawing>
      </w:r>
    </w:p>
    <w:p w14:paraId="621AD776" w14:textId="3AC8AA4D" w:rsidR="00425552" w:rsidRDefault="00425552" w:rsidP="00E85A01">
      <w:pPr>
        <w:rPr>
          <w:rFonts w:ascii="Arial" w:eastAsia="Arial" w:hAnsi="Arial" w:cs="Arial"/>
          <w:sz w:val="22"/>
          <w:szCs w:val="22"/>
        </w:rPr>
      </w:pPr>
    </w:p>
    <w:p w14:paraId="3F3A1D0C" w14:textId="33791D5E" w:rsidR="00425552" w:rsidRDefault="00425552" w:rsidP="00E85A01">
      <w:pPr>
        <w:rPr>
          <w:rFonts w:ascii="Arial" w:eastAsia="Arial" w:hAnsi="Arial" w:cs="Arial"/>
          <w:sz w:val="22"/>
          <w:szCs w:val="22"/>
        </w:rPr>
      </w:pPr>
    </w:p>
    <w:p w14:paraId="486867FB" w14:textId="6869D0F0" w:rsidR="00425552" w:rsidRDefault="00425552">
      <w:pPr>
        <w:rPr>
          <w:rFonts w:ascii="Arial" w:eastAsia="Arial" w:hAnsi="Arial" w:cs="Arial"/>
          <w:sz w:val="22"/>
          <w:szCs w:val="22"/>
        </w:rPr>
      </w:pPr>
      <w:r>
        <w:rPr>
          <w:rFonts w:ascii="Arial" w:eastAsia="Arial" w:hAnsi="Arial" w:cs="Arial"/>
          <w:sz w:val="22"/>
          <w:szCs w:val="22"/>
        </w:rPr>
        <w:br w:type="page"/>
      </w:r>
    </w:p>
    <w:p w14:paraId="43D5B85C" w14:textId="77777777" w:rsidR="00425552" w:rsidRDefault="00425552" w:rsidP="00425552">
      <w:pPr>
        <w:jc w:val="center"/>
        <w:rPr>
          <w:rFonts w:ascii="Arial" w:eastAsia="Arial" w:hAnsi="Arial" w:cs="Arial"/>
          <w:b/>
          <w:sz w:val="22"/>
          <w:szCs w:val="22"/>
        </w:rPr>
      </w:pPr>
      <w:r>
        <w:rPr>
          <w:rFonts w:ascii="Arial" w:eastAsia="Arial" w:hAnsi="Arial" w:cs="Arial"/>
          <w:b/>
          <w:sz w:val="22"/>
          <w:szCs w:val="22"/>
        </w:rPr>
        <w:lastRenderedPageBreak/>
        <w:t>Supplementary Material for:</w:t>
      </w:r>
    </w:p>
    <w:p w14:paraId="790E8021" w14:textId="77777777" w:rsidR="00425552" w:rsidRDefault="00425552" w:rsidP="00425552">
      <w:pPr>
        <w:rPr>
          <w:rFonts w:ascii="Arial" w:eastAsia="Arial" w:hAnsi="Arial" w:cs="Arial"/>
          <w:b/>
          <w:sz w:val="22"/>
          <w:szCs w:val="22"/>
        </w:rPr>
      </w:pPr>
      <w:r>
        <w:rPr>
          <w:rFonts w:ascii="Arial" w:eastAsia="Arial" w:hAnsi="Arial" w:cs="Arial"/>
          <w:b/>
          <w:sz w:val="22"/>
          <w:szCs w:val="22"/>
        </w:rPr>
        <w:t xml:space="preserve">Host identity matters – up to a point: the community context of </w:t>
      </w:r>
      <w:r>
        <w:rPr>
          <w:rFonts w:ascii="Arial" w:eastAsia="Arial" w:hAnsi="Arial" w:cs="Arial"/>
          <w:b/>
          <w:i/>
          <w:sz w:val="22"/>
          <w:szCs w:val="22"/>
        </w:rPr>
        <w:t xml:space="preserve">Batrachochytrium </w:t>
      </w:r>
      <w:proofErr w:type="spellStart"/>
      <w:r>
        <w:rPr>
          <w:rFonts w:ascii="Arial" w:eastAsia="Arial" w:hAnsi="Arial" w:cs="Arial"/>
          <w:b/>
          <w:i/>
          <w:sz w:val="22"/>
          <w:szCs w:val="22"/>
        </w:rPr>
        <w:t>dendrobatidis</w:t>
      </w:r>
      <w:proofErr w:type="spellEnd"/>
      <w:r>
        <w:rPr>
          <w:rFonts w:ascii="Arial" w:eastAsia="Arial" w:hAnsi="Arial" w:cs="Arial"/>
          <w:b/>
          <w:i/>
          <w:sz w:val="22"/>
          <w:szCs w:val="22"/>
        </w:rPr>
        <w:t xml:space="preserve"> </w:t>
      </w:r>
      <w:r>
        <w:rPr>
          <w:rFonts w:ascii="Arial" w:eastAsia="Arial" w:hAnsi="Arial" w:cs="Arial"/>
          <w:b/>
          <w:sz w:val="22"/>
          <w:szCs w:val="22"/>
        </w:rPr>
        <w:t>transmission</w:t>
      </w:r>
    </w:p>
    <w:p w14:paraId="3C56629B" w14:textId="77777777" w:rsidR="00425552" w:rsidRDefault="00425552" w:rsidP="00425552">
      <w:pPr>
        <w:jc w:val="center"/>
        <w:rPr>
          <w:rFonts w:ascii="Arial" w:eastAsia="Arial" w:hAnsi="Arial" w:cs="Arial"/>
          <w:b/>
          <w:sz w:val="22"/>
          <w:szCs w:val="22"/>
        </w:rPr>
      </w:pPr>
    </w:p>
    <w:p w14:paraId="5911AE72" w14:textId="77777777" w:rsidR="00425552" w:rsidRDefault="00425552" w:rsidP="00425552">
      <w:pPr>
        <w:rPr>
          <w:rFonts w:ascii="Arial" w:eastAsia="Arial" w:hAnsi="Arial" w:cs="Arial"/>
          <w:sz w:val="22"/>
          <w:szCs w:val="22"/>
        </w:rPr>
      </w:pPr>
      <w:r>
        <w:rPr>
          <w:rFonts w:ascii="Arial" w:eastAsia="Arial" w:hAnsi="Arial" w:cs="Arial"/>
          <w:sz w:val="22"/>
          <w:szCs w:val="22"/>
        </w:rPr>
        <w:t xml:space="preserve">David R </w:t>
      </w:r>
      <w:proofErr w:type="spellStart"/>
      <w:r>
        <w:rPr>
          <w:rFonts w:ascii="Arial" w:eastAsia="Arial" w:hAnsi="Arial" w:cs="Arial"/>
          <w:sz w:val="22"/>
          <w:szCs w:val="22"/>
        </w:rPr>
        <w:t>Daversa</w:t>
      </w:r>
      <w:proofErr w:type="spellEnd"/>
      <w:r>
        <w:rPr>
          <w:rFonts w:ascii="Arial" w:eastAsia="Arial" w:hAnsi="Arial" w:cs="Arial"/>
          <w:sz w:val="22"/>
          <w:szCs w:val="22"/>
        </w:rPr>
        <w:t xml:space="preserve">, Jaime Bosch, Andrea </w:t>
      </w:r>
      <w:proofErr w:type="spellStart"/>
      <w:r>
        <w:rPr>
          <w:rFonts w:ascii="Arial" w:eastAsia="Arial" w:hAnsi="Arial" w:cs="Arial"/>
          <w:sz w:val="22"/>
          <w:szCs w:val="22"/>
        </w:rPr>
        <w:t>Manica</w:t>
      </w:r>
      <w:proofErr w:type="spellEnd"/>
      <w:r>
        <w:rPr>
          <w:rFonts w:ascii="Arial" w:eastAsia="Arial" w:hAnsi="Arial" w:cs="Arial"/>
          <w:sz w:val="22"/>
          <w:szCs w:val="22"/>
        </w:rPr>
        <w:t>, Trenton WJ Garner, Andy Fenton</w:t>
      </w:r>
      <w:r>
        <w:rPr>
          <w:rFonts w:ascii="Arial" w:eastAsia="Arial" w:hAnsi="Arial" w:cs="Arial"/>
          <w:sz w:val="22"/>
          <w:szCs w:val="22"/>
          <w:vertAlign w:val="superscript"/>
        </w:rPr>
        <w:t xml:space="preserve"> </w:t>
      </w:r>
    </w:p>
    <w:p w14:paraId="165E38F6" w14:textId="77777777" w:rsidR="00425552" w:rsidRDefault="00425552" w:rsidP="00425552">
      <w:pPr>
        <w:rPr>
          <w:rFonts w:ascii="Arial" w:eastAsia="Arial" w:hAnsi="Arial" w:cs="Arial"/>
          <w:sz w:val="22"/>
          <w:szCs w:val="22"/>
        </w:rPr>
      </w:pPr>
    </w:p>
    <w:p w14:paraId="37BBFE46" w14:textId="77777777" w:rsidR="00425552" w:rsidRDefault="00425552" w:rsidP="00425552">
      <w:pPr>
        <w:rPr>
          <w:rFonts w:ascii="Arial" w:eastAsia="Arial" w:hAnsi="Arial" w:cs="Arial"/>
          <w:sz w:val="22"/>
          <w:szCs w:val="22"/>
        </w:rPr>
      </w:pPr>
    </w:p>
    <w:p w14:paraId="42169327" w14:textId="77777777" w:rsidR="00425552" w:rsidRPr="00EB6CE8" w:rsidRDefault="00425552" w:rsidP="00425552">
      <w:pPr>
        <w:rPr>
          <w:rFonts w:ascii="Arial" w:eastAsia="Arial" w:hAnsi="Arial" w:cs="Arial"/>
          <w:i/>
        </w:rPr>
      </w:pPr>
      <w:r w:rsidRPr="00EB6CE8">
        <w:rPr>
          <w:rFonts w:ascii="Arial" w:eastAsia="Arial" w:hAnsi="Arial" w:cs="Arial"/>
          <w:i/>
        </w:rPr>
        <w:t>Random treatments</w:t>
      </w:r>
    </w:p>
    <w:p w14:paraId="77182332" w14:textId="77777777" w:rsidR="00425552" w:rsidRDefault="00425552" w:rsidP="00425552">
      <w:pPr>
        <w:rPr>
          <w:rFonts w:ascii="Arial" w:eastAsia="Arial" w:hAnsi="Arial" w:cs="Arial"/>
          <w:color w:val="000000" w:themeColor="text1"/>
          <w:sz w:val="22"/>
          <w:szCs w:val="22"/>
        </w:rPr>
      </w:pPr>
      <w:r w:rsidRPr="0070551D">
        <w:rPr>
          <w:rFonts w:ascii="Arial" w:eastAsia="Arial" w:hAnsi="Arial" w:cs="Arial"/>
          <w:iCs/>
          <w:sz w:val="22"/>
          <w:szCs w:val="22"/>
        </w:rPr>
        <w:t>We included 16 replicates that fell under what we referred to as ‘random</w:t>
      </w:r>
      <w:r>
        <w:rPr>
          <w:rFonts w:ascii="Arial" w:eastAsia="Arial" w:hAnsi="Arial" w:cs="Arial"/>
          <w:iCs/>
          <w:sz w:val="22"/>
          <w:szCs w:val="22"/>
        </w:rPr>
        <w:t>’</w:t>
      </w:r>
      <w:r w:rsidRPr="0070551D">
        <w:rPr>
          <w:rFonts w:ascii="Arial" w:eastAsia="Arial" w:hAnsi="Arial" w:cs="Arial"/>
          <w:iCs/>
          <w:sz w:val="22"/>
          <w:szCs w:val="22"/>
        </w:rPr>
        <w:t xml:space="preserve"> treatments.</w:t>
      </w:r>
      <w:r>
        <w:rPr>
          <w:rFonts w:ascii="Arial" w:eastAsia="Arial" w:hAnsi="Arial" w:cs="Arial"/>
          <w:iCs/>
          <w:sz w:val="22"/>
          <w:szCs w:val="22"/>
        </w:rPr>
        <w:t xml:space="preserve"> </w:t>
      </w:r>
      <w:r w:rsidRPr="0070551D">
        <w:rPr>
          <w:rFonts w:ascii="Arial" w:eastAsia="Arial" w:hAnsi="Arial" w:cs="Arial"/>
          <w:iCs/>
          <w:sz w:val="22"/>
          <w:szCs w:val="22"/>
        </w:rPr>
        <w:t xml:space="preserve">We included these treatments to </w:t>
      </w:r>
      <w:r>
        <w:rPr>
          <w:rFonts w:ascii="Arial" w:eastAsia="Arial" w:hAnsi="Arial" w:cs="Arial"/>
          <w:sz w:val="22"/>
          <w:szCs w:val="22"/>
        </w:rPr>
        <w:t xml:space="preserve">mimic the variation in host species abundances that occurs across natural communities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{"citationID":"FoU9ZQ8G","properties":{"formattedCitation":"(Bosch et al. 2018)","plainCitation":"(Bosch et al. 2018)","noteIndex":0},"citationItems":[{"id":6923,"uris":["http://zotero.org/users/865335/items/ITWSASEL"],"uri":["http://zotero.org/users/865335/items/ITWSASEL"],"itemData":{"id":6923,"type":"article-journal","abstract":"Infectious disease and climate change are considered major threats to biodiversity and act as drivers behind the global amphibian decline. This is, to a large extent, based on short-term studies that are designed to detect the immediate and strongest biodiversity responses to a threatening process. What few long-term studies are available, although typically focused on single species, report outcomes that often diverge significantly from the short-term species responses. Here, we report the results of an 18-year survey of an amphibian community exposed to both climate warming and the emergence of lethal chytridiomycosis. Our study shows that the impacts of infectious disease are ongoing but restricted to two out of nine species that form the community, despite the fact all species can become infected with the fungus. Climate warming appears to be affecting four out of the nine species, but the response of three of these is an increase in abundance. Our study supports a decreasing role of infectious disease on the community, and an increasing and currently positive effect of climate warming. We caution that if the warming trends continue, the net positive effect will turn negative as amphibian breeding habitat becomes unavailable as water bodies dry, a pattern that already may be underway.","container-title":"Global Change Biology","DOI":"10.1111/gcb.14092","ISSN":"13541013","issue":"6","journalAbbreviation":"Glob Change Biol","language":"en","page":"2622-2632","source":"DOI.org (Crossref)","title":"Long-term monitoring of an amphibian community after a climate change- and infectious disease-driven species extirpation","volume":"24","author":[{"family":"Bosch","given":"Jaime"},{"family":"Fernández-Beaskoetxea","given":"Saioa"},{"family":"Garner","given":"Trenton W. J."},{"family":"Carrascal","given":"Luis María"}],"issued":{"date-parts":[["2018",6]]}}}],"schema":"https://github.com/citation-style-language/schema/raw/master/csl-citation.json"}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(Bosch et al. 2018)</w:t>
      </w:r>
      <w:r>
        <w:rPr>
          <w:rFonts w:ascii="Arial" w:eastAsia="Arial" w:hAnsi="Arial" w:cs="Arial"/>
          <w:sz w:val="22"/>
          <w:szCs w:val="22"/>
        </w:rPr>
        <w:fldChar w:fldCharType="end"/>
      </w:r>
      <w:r>
        <w:rPr>
          <w:rFonts w:ascii="Arial" w:eastAsia="Arial" w:hAnsi="Arial" w:cs="Arial"/>
          <w:sz w:val="22"/>
          <w:szCs w:val="22"/>
        </w:rPr>
        <w:t xml:space="preserve">. </w:t>
      </w:r>
      <w:r w:rsidRPr="0070551D">
        <w:rPr>
          <w:rFonts w:ascii="Arial" w:eastAsia="Arial" w:hAnsi="Arial" w:cs="Arial"/>
          <w:sz w:val="22"/>
          <w:szCs w:val="22"/>
        </w:rPr>
        <w:t xml:space="preserve">Abundances for salamanders and frogs in each tank were drawn at random from </w:t>
      </w:r>
      <w:r>
        <w:rPr>
          <w:rFonts w:ascii="Arial" w:eastAsia="Arial" w:hAnsi="Arial" w:cs="Arial"/>
          <w:sz w:val="22"/>
          <w:szCs w:val="22"/>
        </w:rPr>
        <w:t>u</w:t>
      </w:r>
      <w:r w:rsidRPr="0070551D">
        <w:rPr>
          <w:rFonts w:ascii="Arial" w:eastAsia="Arial" w:hAnsi="Arial" w:cs="Arial"/>
          <w:sz w:val="22"/>
          <w:szCs w:val="22"/>
        </w:rPr>
        <w:t>niform distributions with means equal to the average abundance of those species across the ‘fixed’ treatments (salamander: 15; toads: 5); the number of frogs in each tank was then calculated to round the total number of individuals per tank up to 24</w:t>
      </w:r>
      <w:r>
        <w:rPr>
          <w:rFonts w:ascii="Arial" w:eastAsia="Arial" w:hAnsi="Arial" w:cs="Arial"/>
          <w:sz w:val="22"/>
          <w:szCs w:val="22"/>
        </w:rPr>
        <w:t xml:space="preserve">. </w:t>
      </w:r>
      <w:r w:rsidRPr="0060333F">
        <w:rPr>
          <w:rFonts w:ascii="Arial" w:eastAsia="Arial" w:hAnsi="Arial" w:cs="Arial"/>
          <w:color w:val="000000" w:themeColor="text1"/>
          <w:sz w:val="22"/>
          <w:szCs w:val="22"/>
        </w:rPr>
        <w:t>T</w:t>
      </w:r>
      <w:r>
        <w:rPr>
          <w:rFonts w:ascii="Arial" w:eastAsia="Arial" w:hAnsi="Arial" w:cs="Arial"/>
          <w:color w:val="000000" w:themeColor="text1"/>
          <w:sz w:val="22"/>
          <w:szCs w:val="22"/>
        </w:rPr>
        <w:t>able S8 shows t</w:t>
      </w:r>
      <w:r w:rsidRPr="0060333F">
        <w:rPr>
          <w:rFonts w:ascii="Arial" w:eastAsia="Arial" w:hAnsi="Arial" w:cs="Arial"/>
          <w:color w:val="000000" w:themeColor="text1"/>
          <w:sz w:val="22"/>
          <w:szCs w:val="22"/>
        </w:rPr>
        <w:t>h</w:t>
      </w:r>
      <w:r>
        <w:rPr>
          <w:rFonts w:ascii="Arial" w:eastAsia="Arial" w:hAnsi="Arial" w:cs="Arial"/>
          <w:color w:val="000000" w:themeColor="text1"/>
          <w:sz w:val="22"/>
          <w:szCs w:val="22"/>
        </w:rPr>
        <w:t>e</w:t>
      </w:r>
      <w:r w:rsidRPr="0060333F">
        <w:rPr>
          <w:rFonts w:ascii="Arial" w:eastAsia="Arial" w:hAnsi="Arial" w:cs="Arial"/>
          <w:color w:val="000000" w:themeColor="text1"/>
          <w:sz w:val="22"/>
          <w:szCs w:val="22"/>
        </w:rPr>
        <w:t xml:space="preserve"> result</w:t>
      </w:r>
      <w:r>
        <w:rPr>
          <w:rFonts w:ascii="Arial" w:eastAsia="Arial" w:hAnsi="Arial" w:cs="Arial"/>
          <w:color w:val="000000" w:themeColor="text1"/>
          <w:sz w:val="22"/>
          <w:szCs w:val="22"/>
        </w:rPr>
        <w:t xml:space="preserve">ing </w:t>
      </w:r>
      <w:r w:rsidRPr="0060333F">
        <w:rPr>
          <w:rFonts w:ascii="Arial" w:eastAsia="Arial" w:hAnsi="Arial" w:cs="Arial"/>
          <w:color w:val="000000" w:themeColor="text1"/>
          <w:sz w:val="22"/>
          <w:szCs w:val="22"/>
        </w:rPr>
        <w:t xml:space="preserve">initial abundances for each species for </w:t>
      </w:r>
      <w:r>
        <w:rPr>
          <w:rFonts w:ascii="Arial" w:eastAsia="Arial" w:hAnsi="Arial" w:cs="Arial"/>
          <w:color w:val="000000" w:themeColor="text1"/>
          <w:sz w:val="22"/>
          <w:szCs w:val="22"/>
        </w:rPr>
        <w:t xml:space="preserve">each of </w:t>
      </w:r>
      <w:r w:rsidRPr="0060333F">
        <w:rPr>
          <w:rFonts w:ascii="Arial" w:eastAsia="Arial" w:hAnsi="Arial" w:cs="Arial"/>
          <w:color w:val="000000" w:themeColor="text1"/>
          <w:sz w:val="22"/>
          <w:szCs w:val="22"/>
        </w:rPr>
        <w:t>the 16 ‘Random’ tanks</w:t>
      </w:r>
      <w:r>
        <w:rPr>
          <w:rFonts w:ascii="Arial" w:eastAsia="Arial" w:hAnsi="Arial" w:cs="Arial"/>
          <w:color w:val="000000" w:themeColor="text1"/>
          <w:sz w:val="22"/>
          <w:szCs w:val="22"/>
        </w:rPr>
        <w:t>.</w:t>
      </w:r>
    </w:p>
    <w:p w14:paraId="740B21CF" w14:textId="77777777" w:rsidR="00425552" w:rsidRDefault="00425552" w:rsidP="00425552">
      <w:pPr>
        <w:rPr>
          <w:rFonts w:ascii="Arial" w:eastAsia="Arial" w:hAnsi="Arial" w:cs="Arial"/>
          <w:i/>
          <w:sz w:val="22"/>
          <w:szCs w:val="22"/>
        </w:rPr>
      </w:pPr>
    </w:p>
    <w:p w14:paraId="6A1CEAB9" w14:textId="77777777" w:rsidR="00425552" w:rsidRDefault="00425552" w:rsidP="00425552">
      <w:pPr>
        <w:rPr>
          <w:rFonts w:ascii="Arial" w:eastAsia="Arial" w:hAnsi="Arial" w:cs="Arial"/>
          <w:i/>
          <w:sz w:val="22"/>
          <w:szCs w:val="22"/>
        </w:rPr>
      </w:pPr>
    </w:p>
    <w:p w14:paraId="7265A407" w14:textId="77777777" w:rsidR="00425552" w:rsidRPr="00EB6CE8" w:rsidRDefault="00425552" w:rsidP="00425552">
      <w:pPr>
        <w:rPr>
          <w:rFonts w:ascii="Arial" w:eastAsia="Arial" w:hAnsi="Arial" w:cs="Arial"/>
          <w:i/>
        </w:rPr>
      </w:pPr>
      <w:r w:rsidRPr="00EB6CE8">
        <w:rPr>
          <w:rFonts w:ascii="Arial" w:eastAsia="Arial" w:hAnsi="Arial" w:cs="Arial"/>
          <w:i/>
        </w:rPr>
        <w:t xml:space="preserve">Detailed methodology of multi-model inference in section (b) - multi-host Infection dynamics when distinguishing identities of all host species. </w:t>
      </w:r>
    </w:p>
    <w:p w14:paraId="4052A52B" w14:textId="77777777" w:rsidR="00425552" w:rsidRDefault="00425552" w:rsidP="00425552">
      <w:pPr>
        <w:rPr>
          <w:rFonts w:ascii="Arial" w:eastAsia="Arial" w:hAnsi="Arial" w:cs="Arial"/>
          <w:sz w:val="22"/>
          <w:szCs w:val="22"/>
        </w:rPr>
      </w:pPr>
      <w:r>
        <w:rPr>
          <w:rFonts w:ascii="Arial" w:eastAsia="Arial" w:hAnsi="Arial" w:cs="Arial"/>
          <w:sz w:val="22"/>
          <w:szCs w:val="22"/>
          <w:u w:val="single"/>
        </w:rPr>
        <w:t>Methods:</w:t>
      </w:r>
      <w:r>
        <w:rPr>
          <w:rFonts w:ascii="Arial" w:eastAsia="Arial" w:hAnsi="Arial" w:cs="Arial"/>
          <w:sz w:val="22"/>
          <w:szCs w:val="22"/>
        </w:rPr>
        <w:t xml:space="preserve"> We performed multi-model inference on subsets of generalised linear models (GLMs) as a preliminary examination of the proportionate roles that the three host species played in driving infection dynamics in the communities. Specifically, we assessed associations between the numbers of infected individuals in one host species with the numbers of infected individuals and/or abundances of co-occurring host species. We used the final number of infected individuals of each species as the primary variable. Final infection prevalence, a more common response metric, was not used because the main analysis using Structural Equation Models (described in section </w:t>
      </w:r>
      <w:r>
        <w:rPr>
          <w:rFonts w:ascii="Arial" w:eastAsia="Arial" w:hAnsi="Arial" w:cs="Arial"/>
          <w:i/>
          <w:sz w:val="22"/>
          <w:szCs w:val="22"/>
        </w:rPr>
        <w:t>b</w:t>
      </w:r>
      <w:r>
        <w:rPr>
          <w:rFonts w:ascii="Arial" w:eastAsia="Arial" w:hAnsi="Arial" w:cs="Arial"/>
          <w:sz w:val="22"/>
          <w:szCs w:val="22"/>
        </w:rPr>
        <w:t xml:space="preserve"> of the main text) could not be performed with prevalence data. However, we verified that results from multi-model inference were consistent whether the numbers of infected individuals or infection prevalence were used as the response. </w:t>
      </w:r>
    </w:p>
    <w:p w14:paraId="3D972994" w14:textId="77777777" w:rsidR="00425552" w:rsidRDefault="00425552" w:rsidP="00425552">
      <w:pPr>
        <w:ind w:firstLine="567"/>
        <w:rPr>
          <w:rFonts w:ascii="Arial" w:eastAsia="Arial" w:hAnsi="Arial" w:cs="Arial"/>
          <w:i/>
          <w:sz w:val="22"/>
          <w:szCs w:val="22"/>
          <w:vertAlign w:val="subscript"/>
        </w:rPr>
      </w:pPr>
      <w:r>
        <w:rPr>
          <w:rFonts w:ascii="Arial" w:eastAsia="Arial" w:hAnsi="Arial" w:cs="Arial"/>
          <w:sz w:val="22"/>
          <w:szCs w:val="22"/>
        </w:rPr>
        <w:t xml:space="preserve">We ran two model sets for each species, one with final numbers of infected individuals in a focal host species as the response and a binomial error structure, and one with log mean infection loads (+1) in focal host species as the response and a Gaussian error structure. We included the following factors as fixed effects in the global model: (a) the final total abundance of each co-occurring host species, (b) the final number of infected individuals for each co-occurring host species, (c) the initial numbers of infected salamanders as a fixed effect, to assess whether they played a part in seeding infections in communities as fixed effects in the global models, and (d) the final abundance of the focal host as an offset to account for differences in final abundances among replicates (See Table S2 for formulas). Using the </w:t>
      </w:r>
      <w:r>
        <w:rPr>
          <w:rFonts w:ascii="Arial" w:eastAsia="Arial" w:hAnsi="Arial" w:cs="Arial"/>
          <w:i/>
          <w:sz w:val="22"/>
          <w:szCs w:val="22"/>
        </w:rPr>
        <w:t>dredge</w:t>
      </w:r>
      <w:r>
        <w:rPr>
          <w:rFonts w:ascii="Arial" w:eastAsia="Arial" w:hAnsi="Arial" w:cs="Arial"/>
          <w:sz w:val="22"/>
          <w:szCs w:val="22"/>
        </w:rPr>
        <w:t xml:space="preserve"> function of </w:t>
      </w:r>
      <w:proofErr w:type="spellStart"/>
      <w:r>
        <w:rPr>
          <w:rFonts w:ascii="Arial" w:eastAsia="Arial" w:hAnsi="Arial" w:cs="Arial"/>
          <w:sz w:val="22"/>
          <w:szCs w:val="22"/>
        </w:rPr>
        <w:t>MuMIn</w:t>
      </w:r>
      <w:proofErr w:type="spellEnd"/>
      <w:r>
        <w:rPr>
          <w:rFonts w:ascii="Arial" w:eastAsia="Arial" w:hAnsi="Arial" w:cs="Arial"/>
          <w:sz w:val="22"/>
          <w:szCs w:val="22"/>
        </w:rPr>
        <w:t xml:space="preserve"> package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{"citationID":"JWL14a7R","properties":{"formattedCitation":"(Barto\\uc0\\u324{} 2019)","plainCitation":"(Bartoń 2019)","noteIndex":0},"citationItems":[{"id":7966,"uris":["http://zotero.org/users/865335/items/QK39PV4L"],"uri":["http://zotero.org/users/865335/items/QK39PV4L"],"itemData":{"id":7966,"type":"book","medium":"R package version 1.43.6","title":"MuMIn: Multi-Model Inference","URL":"https://CRAN.R-project.org/package=MuMIn","author":[{"family":"Bartoń","given":"Kamil"}],"issued":{"date-parts":[["2019"]]}}}],"schema":"https://github.com/citation-style-language/schema/raw/master/csl-citation.json"} </w:instrText>
      </w:r>
      <w:r>
        <w:rPr>
          <w:rFonts w:ascii="Arial" w:eastAsia="Arial" w:hAnsi="Arial" w:cs="Arial"/>
          <w:sz w:val="22"/>
          <w:szCs w:val="22"/>
        </w:rPr>
        <w:fldChar w:fldCharType="separate"/>
      </w:r>
      <w:r w:rsidRPr="005114DF">
        <w:rPr>
          <w:rFonts w:ascii="Arial" w:hAnsi="Arial" w:cs="Arial"/>
          <w:sz w:val="22"/>
        </w:rPr>
        <w:t>(</w:t>
      </w:r>
      <w:proofErr w:type="spellStart"/>
      <w:r w:rsidRPr="005114DF">
        <w:rPr>
          <w:rFonts w:ascii="Arial" w:hAnsi="Arial" w:cs="Arial"/>
          <w:sz w:val="22"/>
        </w:rPr>
        <w:t>Bartoń</w:t>
      </w:r>
      <w:proofErr w:type="spellEnd"/>
      <w:r w:rsidRPr="005114DF">
        <w:rPr>
          <w:rFonts w:ascii="Arial" w:hAnsi="Arial" w:cs="Arial"/>
          <w:sz w:val="22"/>
        </w:rPr>
        <w:t xml:space="preserve"> 2019)</w:t>
      </w:r>
      <w:r>
        <w:rPr>
          <w:rFonts w:ascii="Arial" w:eastAsia="Arial" w:hAnsi="Arial" w:cs="Arial"/>
          <w:sz w:val="22"/>
          <w:szCs w:val="22"/>
        </w:rPr>
        <w:fldChar w:fldCharType="end"/>
      </w:r>
      <w:r>
        <w:rPr>
          <w:rFonts w:ascii="Arial" w:eastAsia="Arial" w:hAnsi="Arial" w:cs="Arial"/>
          <w:sz w:val="22"/>
          <w:szCs w:val="22"/>
        </w:rPr>
        <w:t xml:space="preserve"> in R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{"citationID":"VPro9xr5","properties":{"formattedCitation":"(R Core Team 2019)","plainCitation":"(R Core Team 2019)","noteIndex":0},"citationItems":[{"id":2501,"uris":["http://zotero.org/users/865335/items/CAVI2E3K"],"uri":["http://zotero.org/users/865335/items/CAVI2E3K"],"itemData":{"id":2501,"type":"book","event-place":"Vienna, Austria","publisher":"R Foundation for Statistical Computing","publisher-place":"Vienna, Austria","title":"R: A language and environment for statistical computing","URL":"http://www.R-project.org/","author":[{"family":"R Core Team","given":""}],"issued":{"date-parts":[["2019"]]}}}],"schema":"https://github.com/citation-style-language/schema/raw/master/csl-citation.json"}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(R Core Team 2019)</w:t>
      </w:r>
      <w:r>
        <w:rPr>
          <w:rFonts w:ascii="Arial" w:eastAsia="Arial" w:hAnsi="Arial" w:cs="Arial"/>
          <w:sz w:val="22"/>
          <w:szCs w:val="22"/>
        </w:rPr>
        <w:fldChar w:fldCharType="end"/>
      </w:r>
      <w:r>
        <w:rPr>
          <w:rFonts w:ascii="Arial" w:eastAsia="Arial" w:hAnsi="Arial" w:cs="Arial"/>
          <w:sz w:val="22"/>
          <w:szCs w:val="22"/>
        </w:rPr>
        <w:t xml:space="preserve">, we compared the performance of different model subsets in explaining variation in the responses by ranking them according to </w:t>
      </w:r>
      <w:proofErr w:type="spellStart"/>
      <w:r>
        <w:rPr>
          <w:rFonts w:ascii="Arial" w:eastAsia="Arial" w:hAnsi="Arial" w:cs="Arial"/>
          <w:sz w:val="22"/>
          <w:szCs w:val="22"/>
        </w:rPr>
        <w:t>AICc</w:t>
      </w:r>
      <w:proofErr w:type="spellEnd"/>
      <w:r>
        <w:rPr>
          <w:rFonts w:ascii="Arial" w:eastAsia="Arial" w:hAnsi="Arial" w:cs="Arial"/>
          <w:sz w:val="22"/>
          <w:szCs w:val="22"/>
        </w:rPr>
        <w:t xml:space="preserve"> values. We considered models that ranked within 2 </w:t>
      </w:r>
      <w:proofErr w:type="spellStart"/>
      <w:r>
        <w:rPr>
          <w:rFonts w:ascii="Arial" w:eastAsia="Arial" w:hAnsi="Arial" w:cs="Arial"/>
          <w:sz w:val="22"/>
          <w:szCs w:val="22"/>
        </w:rPr>
        <w:t>AICc</w:t>
      </w:r>
      <w:proofErr w:type="spellEnd"/>
      <w:r>
        <w:rPr>
          <w:rFonts w:ascii="Arial" w:eastAsia="Arial" w:hAnsi="Arial" w:cs="Arial"/>
          <w:sz w:val="22"/>
          <w:szCs w:val="22"/>
        </w:rPr>
        <w:t xml:space="preserve"> values of the best performing model to be informative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{"citationID":"0WjVImc0","properties":{"formattedCitation":"(Burnham and Anderson 2002)","plainCitation":"(Burnham and Anderson 2002)","noteIndex":0},"citationItems":[{"id":2549,"uris":["http://zotero.org/users/865335/items/A9UAWWGA"],"uri":["http://zotero.org/users/865335/items/A9UAWWGA"],"itemData":{"id":2549,"type":"book","abstract":"We wrote this book to introduce graduate students and research workers in various scienti?c disciplines to the use of information-theoretic approaches in the analysis of empirical data. These methods allow the data-based selection of a “best” model and a ranking and weighting of the remaining models in a pre-de?ned set. Traditional statistical inference can then be based on this selected best model. However, we now emphasize that information-theoretic approaches allow formal inference to be based on more than one model (m- timodel inference). Such procedures lead to more robust inferences in many cases, and we advocate these approaches throughout the book. The second edition was prepared with three goals in mind. First, we have tried to improve the presentation of the material. Boxes now highlight ess- tial expressions and points. Some reorganization has been done to improve the ?ow of concepts, and a new chapter has been added. Chapters 2 and 4 have been streamlined in view of the detailed theory provided in Chapter 7. S- ond, concepts related to making formal inferences from more than one model (multimodel inference) have been emphasized throughout the book, but p- ticularly in Chapters 4, 5, and 6. Third, new technical material has been added to Chapters 5 and 6. Well over 100 new references to the technical literature are given. These changes result primarily from our experiences while giving several seminars, workshops, and graduate courses on material in the ?rst e- tion.","event-place":"New York, NY","ISBN":"978-0-387-95364-9","language":"en","number-of-pages":"512","publisher":"Springer","publisher-place":"New York, NY","source":"Google Books","title":"Model selection and multimodel inference: a practical information-theoretic approach","title-short":"Model Selection and Multimodel Inference","author":[{"family":"Burnham","given":"Kenneth P."},{"family":"Anderson","given":"David R."}],"issued":{"date-parts":[["2002",7,12]]}}}],"schema":"https://github.com/citation-style-language/schema/raw/master/csl-citation.json"}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(Burnham and Anderson 2002)</w:t>
      </w:r>
      <w:r>
        <w:rPr>
          <w:rFonts w:ascii="Arial" w:eastAsia="Arial" w:hAnsi="Arial" w:cs="Arial"/>
          <w:sz w:val="22"/>
          <w:szCs w:val="22"/>
        </w:rPr>
        <w:fldChar w:fldCharType="end"/>
      </w:r>
      <w:r>
        <w:rPr>
          <w:rFonts w:ascii="Arial" w:eastAsia="Arial" w:hAnsi="Arial" w:cs="Arial"/>
          <w:sz w:val="22"/>
          <w:szCs w:val="22"/>
        </w:rPr>
        <w:t xml:space="preserve">. We discounted models in which better performing models were nested to avoid the inclusion of uninformative parameters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{"citationID":"8yhpDLXH","properties":{"formattedCitation":"(Arnold 2010)","plainCitation":"(Arnold 2010)","noteIndex":0},"citationItems":[{"id":3010,"uris":["http://zotero.org/users/865335/items/P6Z9TSV2"],"uri":["http://zotero.org/users/865335/items/P6Z9TSV2"],"itemData":{"id":3010,"type":"article-journal","container-title":"Journal of Wildlife Management","DOI":"10.2193/2009-367","ISSN":"0022-541X, 1937-2817","issue":"6","language":"en","page":"1175-1178","source":"CrossRef","title":"Uninformative parameters and model selection using Akaike's information criterion","volume":"74","author":[{"family":"Arnold","given":"Todd W."}],"issued":{"date-parts":[["2010",8]]}}}],"schema":"https://github.com/citation-style-language/schema/raw/master/csl-citation.json"}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(Arnold 2010)</w:t>
      </w:r>
      <w:r>
        <w:rPr>
          <w:rFonts w:ascii="Arial" w:eastAsia="Arial" w:hAnsi="Arial" w:cs="Arial"/>
          <w:sz w:val="22"/>
          <w:szCs w:val="22"/>
        </w:rPr>
        <w:fldChar w:fldCharType="end"/>
      </w:r>
      <w:r>
        <w:rPr>
          <w:rFonts w:ascii="Arial" w:eastAsia="Arial" w:hAnsi="Arial" w:cs="Arial"/>
          <w:sz w:val="22"/>
          <w:szCs w:val="22"/>
        </w:rPr>
        <w:t xml:space="preserve">. </w:t>
      </w:r>
    </w:p>
    <w:p w14:paraId="6B22ED20" w14:textId="77777777" w:rsidR="00425552" w:rsidRDefault="00425552" w:rsidP="00425552">
      <w:pPr>
        <w:ind w:firstLine="567"/>
        <w:rPr>
          <w:rFonts w:ascii="Arial" w:eastAsia="Arial" w:hAnsi="Arial" w:cs="Arial"/>
          <w:sz w:val="22"/>
          <w:szCs w:val="22"/>
        </w:rPr>
      </w:pPr>
      <w:r>
        <w:rPr>
          <w:rFonts w:ascii="Arial" w:eastAsia="Arial" w:hAnsi="Arial" w:cs="Arial"/>
          <w:sz w:val="22"/>
          <w:szCs w:val="22"/>
        </w:rPr>
        <w:t xml:space="preserve">The models for infection prevalence had a binomial error structure and did not include final host abundance as an offset, as abundance is accounted for in the prevalence metric. We did not run SEMs for infection prevalence because the </w:t>
      </w:r>
      <w:proofErr w:type="spellStart"/>
      <w:r>
        <w:rPr>
          <w:rFonts w:ascii="Arial" w:eastAsia="Arial" w:hAnsi="Arial" w:cs="Arial"/>
          <w:i/>
          <w:sz w:val="22"/>
          <w:szCs w:val="22"/>
        </w:rPr>
        <w:t>piecewiseSEM</w:t>
      </w:r>
      <w:proofErr w:type="spellEnd"/>
      <w:r>
        <w:rPr>
          <w:rFonts w:ascii="Arial" w:eastAsia="Arial" w:hAnsi="Arial" w:cs="Arial"/>
          <w:sz w:val="22"/>
          <w:szCs w:val="22"/>
        </w:rPr>
        <w:t xml:space="preserve"> package that we used did not accommodate data in this format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{"citationID":"Uc5BV20m","properties":{"formattedCitation":"(Lefcheck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(Lefcheck 2016)</w:t>
      </w:r>
      <w:r>
        <w:rPr>
          <w:rFonts w:ascii="Arial" w:eastAsia="Arial" w:hAnsi="Arial" w:cs="Arial"/>
          <w:sz w:val="22"/>
          <w:szCs w:val="22"/>
        </w:rPr>
        <w:fldChar w:fldCharType="end"/>
      </w:r>
      <w:r>
        <w:rPr>
          <w:rFonts w:ascii="Arial" w:eastAsia="Arial" w:hAnsi="Arial" w:cs="Arial"/>
          <w:sz w:val="22"/>
          <w:szCs w:val="22"/>
        </w:rPr>
        <w:t xml:space="preserve">. </w:t>
      </w:r>
    </w:p>
    <w:p w14:paraId="35EFE713" w14:textId="77777777" w:rsidR="00425552" w:rsidRDefault="00425552" w:rsidP="00425552">
      <w:pPr>
        <w:rPr>
          <w:rFonts w:ascii="Arial" w:eastAsia="Arial" w:hAnsi="Arial" w:cs="Arial"/>
          <w:i/>
          <w:sz w:val="22"/>
          <w:szCs w:val="22"/>
        </w:rPr>
      </w:pPr>
    </w:p>
    <w:p w14:paraId="4F80A6E2" w14:textId="77777777" w:rsidR="00425552" w:rsidRDefault="00425552" w:rsidP="00425552">
      <w:pPr>
        <w:rPr>
          <w:rFonts w:ascii="Arial" w:eastAsia="Arial" w:hAnsi="Arial" w:cs="Arial"/>
          <w:sz w:val="22"/>
          <w:szCs w:val="22"/>
        </w:rPr>
      </w:pPr>
      <w:r>
        <w:rPr>
          <w:rFonts w:ascii="Arial" w:eastAsia="Arial" w:hAnsi="Arial" w:cs="Arial"/>
          <w:sz w:val="22"/>
          <w:szCs w:val="22"/>
          <w:u w:val="single"/>
        </w:rPr>
        <w:t>Results:</w:t>
      </w:r>
      <w:r>
        <w:rPr>
          <w:rFonts w:ascii="Arial" w:eastAsia="Arial" w:hAnsi="Arial" w:cs="Arial"/>
          <w:sz w:val="22"/>
          <w:szCs w:val="22"/>
        </w:rPr>
        <w:t xml:space="preserve"> Multi-model inference indicated that the number of infected frogs was positively associated with the number of infected toads (the best performing model of the numbers of infected individuals in toads included number of infected frogs as single fixed effect, </w:t>
      </w:r>
      <w:r>
        <w:rPr>
          <w:rFonts w:ascii="Arial" w:eastAsia="Arial" w:hAnsi="Arial" w:cs="Arial"/>
          <w:sz w:val="22"/>
          <w:szCs w:val="22"/>
        </w:rPr>
        <w:lastRenderedPageBreak/>
        <w:t xml:space="preserve">Table S3b). This association was reciprocal such that the number of infected toads increased with the number of infected frogs, and there was slight evidence that initially infected salamanders seeded infections in frogs (best performing model of the number of infected </w:t>
      </w:r>
      <w:proofErr w:type="gramStart"/>
      <w:r>
        <w:rPr>
          <w:rFonts w:ascii="Arial" w:eastAsia="Arial" w:hAnsi="Arial" w:cs="Arial"/>
          <w:sz w:val="22"/>
          <w:szCs w:val="22"/>
        </w:rPr>
        <w:t>frog</w:t>
      </w:r>
      <w:proofErr w:type="gramEnd"/>
      <w:r>
        <w:rPr>
          <w:rFonts w:ascii="Arial" w:eastAsia="Arial" w:hAnsi="Arial" w:cs="Arial"/>
          <w:sz w:val="22"/>
          <w:szCs w:val="22"/>
        </w:rPr>
        <w:t xml:space="preserve"> included the number of infected toads and initial number of infected salamanders as fixed effects; Table S3a). The final number of infected salamanders was not associated with attributes of auxiliary hosts, either in terms of their proportional abundance or numbers infected (null models performed best, Table S3c), likely because so few salamanders exhibited infections at the end of the experiment. Redoing the analysis with infection prevalence as the response produced similar results (Table S4). Models of infection loads showed similar patterns as well, but the associations were weaker than those observed in the analysis using numbers infected (Table S5). There was some indication that infection loads in toads decreased as final salamander abundances increased, but this association was weak compared to its association with the number of infected toads (best performing model of final mean infection loads in toads included final salamander abundance and final number of infected frogs as fixed effects; Table S5b). </w:t>
      </w:r>
    </w:p>
    <w:p w14:paraId="158F03EC" w14:textId="77777777" w:rsidR="00425552" w:rsidRDefault="00425552" w:rsidP="00425552">
      <w:pPr>
        <w:rPr>
          <w:rFonts w:ascii="Arial" w:eastAsia="Arial" w:hAnsi="Arial" w:cs="Arial"/>
          <w:i/>
          <w:sz w:val="22"/>
          <w:szCs w:val="22"/>
        </w:rPr>
      </w:pPr>
    </w:p>
    <w:p w14:paraId="2A9623B7" w14:textId="77777777" w:rsidR="00425552" w:rsidRDefault="00425552" w:rsidP="00425552">
      <w:pPr>
        <w:rPr>
          <w:rFonts w:ascii="Arial" w:eastAsia="Arial" w:hAnsi="Arial" w:cs="Arial"/>
          <w:i/>
          <w:sz w:val="22"/>
          <w:szCs w:val="22"/>
        </w:rPr>
      </w:pPr>
      <w:r>
        <w:rPr>
          <w:rFonts w:ascii="Arial" w:eastAsia="Arial" w:hAnsi="Arial" w:cs="Arial"/>
          <w:i/>
          <w:sz w:val="22"/>
          <w:szCs w:val="22"/>
        </w:rPr>
        <w:t>Survival analyses</w:t>
      </w:r>
    </w:p>
    <w:p w14:paraId="5CE4F90C" w14:textId="77777777" w:rsidR="00425552" w:rsidRDefault="00425552" w:rsidP="00425552">
      <w:pPr>
        <w:rPr>
          <w:rFonts w:ascii="Arial" w:eastAsia="Arial" w:hAnsi="Arial" w:cs="Arial"/>
          <w:sz w:val="22"/>
          <w:szCs w:val="22"/>
        </w:rPr>
      </w:pPr>
      <w:r>
        <w:rPr>
          <w:rFonts w:ascii="Arial" w:eastAsia="Arial" w:hAnsi="Arial" w:cs="Arial"/>
          <w:sz w:val="22"/>
          <w:szCs w:val="22"/>
          <w:u w:val="single"/>
        </w:rPr>
        <w:t>Methods</w:t>
      </w:r>
      <w:r>
        <w:rPr>
          <w:rFonts w:ascii="Arial" w:eastAsia="Arial" w:hAnsi="Arial" w:cs="Arial"/>
          <w:sz w:val="22"/>
          <w:szCs w:val="22"/>
        </w:rPr>
        <w:t xml:space="preserve"> - We performed survival analyses for the focal host species using the </w:t>
      </w:r>
      <w:r>
        <w:rPr>
          <w:rFonts w:ascii="Arial" w:eastAsia="Arial" w:hAnsi="Arial" w:cs="Arial"/>
          <w:i/>
          <w:sz w:val="22"/>
          <w:szCs w:val="22"/>
        </w:rPr>
        <w:t>survival</w:t>
      </w:r>
      <w:r>
        <w:rPr>
          <w:rFonts w:ascii="Arial" w:eastAsia="Arial" w:hAnsi="Arial" w:cs="Arial"/>
          <w:sz w:val="22"/>
          <w:szCs w:val="22"/>
        </w:rPr>
        <w:t xml:space="preserve"> package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{"citationID":"plO8tANv","properties":{"formattedCitation":"(Therneau 2015; Therneau and Patricia 2015)","plainCitation":"(Therneau 2015; Therneau and Patricia 2015)","noteIndex":0},"citationItems":[{"id":7990,"uris":["http://zotero.org/users/865335/items/5NYZF4M9"],"uri":["http://zotero.org/users/865335/items/5NYZF4M9"],"itemData":{"id":7990,"type":"book","title":"A Package for Survival Analysis in R","URL":"https://CRAN.R-project.org/package=survival","author":[{"family":"Therneau","given":"Terry M"}],"issued":{"date-parts":[["2015"]]}}},{"id":8436,"uris":["http://zotero.org/users/865335/items/MBALQ27N"],"uri":["http://zotero.org/users/865335/items/MBALQ27N"],"itemData":{"id":8436,"type":"article-journal","container-title":"Springer, New York","title":"Modeling Survival Data: Extending the Cox Model","author":[{"family":"Therneau","given":"T"},{"family":"Patricia","given":"Grambsch"}],"issued":{"date-parts":[["2015"]]}}}],"schema":"https://github.com/citation-style-language/schema/raw/master/csl-citation.json"}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(Therneau 2015; Therneau and Patricia 2015)</w:t>
      </w:r>
      <w:r>
        <w:rPr>
          <w:rFonts w:ascii="Arial" w:eastAsia="Arial" w:hAnsi="Arial" w:cs="Arial"/>
          <w:sz w:val="22"/>
          <w:szCs w:val="22"/>
        </w:rPr>
        <w:fldChar w:fldCharType="end"/>
      </w:r>
      <w:r>
        <w:rPr>
          <w:rFonts w:ascii="Arial" w:eastAsia="Arial" w:hAnsi="Arial" w:cs="Arial"/>
          <w:sz w:val="22"/>
          <w:szCs w:val="22"/>
        </w:rPr>
        <w:t xml:space="preserve"> in R to examine trends in the losses of animals from replicates before the end of the experiment. Note that larvae could have been lost from the system through either metamorphosis or death, but for these analyses we did not distinguish between the two fates. We visualized animal losses in each community treatment using Kaplan-Meier plots. We ran Cox proportional hazard models to quantify loss rates and included community composition treatment as a fixed effect in models to account for differences in loss rates across the treatments. We also performed analyses of variance to test whether community composition influenced the rates of loss for each host species.  </w:t>
      </w:r>
    </w:p>
    <w:p w14:paraId="57332BD5" w14:textId="77777777" w:rsidR="00425552" w:rsidRDefault="00425552" w:rsidP="00425552">
      <w:pPr>
        <w:rPr>
          <w:rFonts w:ascii="Arial" w:eastAsia="Arial" w:hAnsi="Arial" w:cs="Arial"/>
          <w:sz w:val="22"/>
          <w:szCs w:val="22"/>
        </w:rPr>
      </w:pPr>
    </w:p>
    <w:p w14:paraId="6125687D" w14:textId="77777777" w:rsidR="00425552" w:rsidRDefault="00425552" w:rsidP="00425552">
      <w:pPr>
        <w:rPr>
          <w:rFonts w:ascii="Arial" w:eastAsia="Arial" w:hAnsi="Arial" w:cs="Arial"/>
          <w:sz w:val="22"/>
          <w:szCs w:val="22"/>
        </w:rPr>
      </w:pPr>
      <w:r>
        <w:rPr>
          <w:rFonts w:ascii="Arial" w:eastAsia="Arial" w:hAnsi="Arial" w:cs="Arial"/>
          <w:sz w:val="22"/>
          <w:szCs w:val="22"/>
          <w:u w:val="single"/>
        </w:rPr>
        <w:t>Results</w:t>
      </w:r>
      <w:r>
        <w:rPr>
          <w:rFonts w:ascii="Arial" w:eastAsia="Arial" w:hAnsi="Arial" w:cs="Arial"/>
          <w:sz w:val="22"/>
          <w:szCs w:val="22"/>
        </w:rPr>
        <w:t xml:space="preserve"> - Salamanders had the greatest losses overall (solid lines in Fig. S4), and losses were primarily due to metamorphosis. Community composition influenced the degree of salamander loss (ANOVA, X</w:t>
      </w:r>
      <w:r>
        <w:rPr>
          <w:rFonts w:ascii="Arial" w:eastAsia="Arial" w:hAnsi="Arial" w:cs="Arial"/>
          <w:sz w:val="22"/>
          <w:szCs w:val="22"/>
          <w:vertAlign w:val="superscript"/>
        </w:rPr>
        <w:t>2</w:t>
      </w:r>
      <w:r>
        <w:rPr>
          <w:rFonts w:ascii="Arial" w:eastAsia="Arial" w:hAnsi="Arial" w:cs="Arial"/>
          <w:sz w:val="22"/>
          <w:szCs w:val="22"/>
          <w:vertAlign w:val="subscript"/>
        </w:rPr>
        <w:t>3</w:t>
      </w:r>
      <w:r>
        <w:rPr>
          <w:rFonts w:ascii="Arial" w:eastAsia="Arial" w:hAnsi="Arial" w:cs="Arial"/>
          <w:sz w:val="22"/>
          <w:szCs w:val="22"/>
        </w:rPr>
        <w:t xml:space="preserve"> = 39.13, p &lt; 0.001), such that salamander losses were greater when other species were present in mesocosms (</w:t>
      </w:r>
      <w:proofErr w:type="gramStart"/>
      <w:r>
        <w:rPr>
          <w:rFonts w:ascii="Arial" w:eastAsia="Arial" w:hAnsi="Arial" w:cs="Arial"/>
          <w:sz w:val="22"/>
          <w:szCs w:val="22"/>
        </w:rPr>
        <w:t>solid coloured</w:t>
      </w:r>
      <w:proofErr w:type="gramEnd"/>
      <w:r>
        <w:rPr>
          <w:rFonts w:ascii="Arial" w:eastAsia="Arial" w:hAnsi="Arial" w:cs="Arial"/>
          <w:sz w:val="22"/>
          <w:szCs w:val="22"/>
        </w:rPr>
        <w:t xml:space="preserve"> lines in Fig. S4), compared to mesocosms with only salamanders (Fig. S4). There were few toad (dashed lines) and frog (dotted lines) losses overall. The few toad losses occurred in exclusively in mesocosms containing only toads and salamanders and not in three-species communities (ANOVA, X</w:t>
      </w:r>
      <w:r>
        <w:rPr>
          <w:rFonts w:ascii="Arial" w:eastAsia="Arial" w:hAnsi="Arial" w:cs="Arial"/>
          <w:sz w:val="22"/>
          <w:szCs w:val="22"/>
          <w:vertAlign w:val="superscript"/>
        </w:rPr>
        <w:t>2</w:t>
      </w:r>
      <w:r>
        <w:rPr>
          <w:rFonts w:ascii="Arial" w:eastAsia="Arial" w:hAnsi="Arial" w:cs="Arial"/>
          <w:sz w:val="22"/>
          <w:szCs w:val="22"/>
          <w:vertAlign w:val="subscript"/>
        </w:rPr>
        <w:t>1</w:t>
      </w:r>
      <w:r>
        <w:rPr>
          <w:rFonts w:ascii="Arial" w:eastAsia="Arial" w:hAnsi="Arial" w:cs="Arial"/>
          <w:sz w:val="22"/>
          <w:szCs w:val="22"/>
        </w:rPr>
        <w:t xml:space="preserve"> = 4.97, p = 0.026, Fig. S4). Frog losses were not influenced by host community composition of mesocosms (ANOVA, X</w:t>
      </w:r>
      <w:r>
        <w:rPr>
          <w:rFonts w:ascii="Arial" w:eastAsia="Arial" w:hAnsi="Arial" w:cs="Arial"/>
          <w:sz w:val="22"/>
          <w:szCs w:val="22"/>
          <w:vertAlign w:val="superscript"/>
        </w:rPr>
        <w:t>2</w:t>
      </w:r>
      <w:r>
        <w:rPr>
          <w:rFonts w:ascii="Arial" w:eastAsia="Arial" w:hAnsi="Arial" w:cs="Arial"/>
          <w:sz w:val="22"/>
          <w:szCs w:val="22"/>
          <w:vertAlign w:val="subscript"/>
        </w:rPr>
        <w:t>1</w:t>
      </w:r>
      <w:r>
        <w:rPr>
          <w:rFonts w:ascii="Arial" w:eastAsia="Arial" w:hAnsi="Arial" w:cs="Arial"/>
          <w:sz w:val="22"/>
          <w:szCs w:val="22"/>
        </w:rPr>
        <w:t xml:space="preserve"> = 0.44, p = 0.505, Fig. S4). </w:t>
      </w:r>
    </w:p>
    <w:p w14:paraId="732662A4" w14:textId="77777777" w:rsidR="00425552" w:rsidRDefault="00425552" w:rsidP="00425552">
      <w:pPr>
        <w:rPr>
          <w:rFonts w:ascii="Arial" w:eastAsia="Arial" w:hAnsi="Arial" w:cs="Arial"/>
          <w:sz w:val="22"/>
          <w:szCs w:val="22"/>
        </w:rPr>
      </w:pPr>
    </w:p>
    <w:p w14:paraId="22A3289D" w14:textId="77777777" w:rsidR="00425552" w:rsidRPr="00EB6CE8" w:rsidRDefault="00425552" w:rsidP="00425552">
      <w:pPr>
        <w:rPr>
          <w:rFonts w:ascii="Arial" w:eastAsia="Arial" w:hAnsi="Arial" w:cs="Arial"/>
          <w:i/>
          <w:iCs/>
        </w:rPr>
      </w:pPr>
      <w:r w:rsidRPr="00EB6CE8">
        <w:rPr>
          <w:rFonts w:ascii="Arial" w:eastAsia="Arial" w:hAnsi="Arial" w:cs="Arial"/>
          <w:i/>
          <w:iCs/>
        </w:rPr>
        <w:t>3-species communities used in structural equation modelling and dynamical modelling</w:t>
      </w:r>
    </w:p>
    <w:p w14:paraId="6859CC66" w14:textId="77777777" w:rsidR="00425552" w:rsidRDefault="00425552" w:rsidP="00425552">
      <w:pPr>
        <w:rPr>
          <w:rFonts w:ascii="Arial" w:eastAsia="Arial" w:hAnsi="Arial" w:cs="Arial"/>
          <w:sz w:val="22"/>
          <w:szCs w:val="22"/>
        </w:rPr>
      </w:pPr>
      <w:r>
        <w:rPr>
          <w:rFonts w:ascii="Arial" w:eastAsia="Arial" w:hAnsi="Arial" w:cs="Arial"/>
          <w:sz w:val="22"/>
          <w:szCs w:val="22"/>
        </w:rPr>
        <w:t xml:space="preserve">Whereas the multi-model inference incorporated data from all treatments, we confined the structural equation modelling and dynamical modelling to data on communities that had all three species. Constraining the analyses to this data subset was more appropriate for our objectives to determine how </w:t>
      </w:r>
      <w:r w:rsidRPr="00886F84">
        <w:rPr>
          <w:rFonts w:ascii="Arial" w:eastAsia="Arial" w:hAnsi="Arial" w:cs="Arial"/>
          <w:i/>
          <w:iCs/>
          <w:sz w:val="22"/>
          <w:szCs w:val="22"/>
        </w:rPr>
        <w:t>Bd</w:t>
      </w:r>
      <w:r>
        <w:rPr>
          <w:rFonts w:ascii="Arial" w:eastAsia="Arial" w:hAnsi="Arial" w:cs="Arial"/>
          <w:sz w:val="22"/>
          <w:szCs w:val="22"/>
        </w:rPr>
        <w:t xml:space="preserve"> circulated when all three species were present. For the dynamical modelling, there were also practical reasons for focusing on only 3-species communities. Because the</w:t>
      </w:r>
      <w:r w:rsidRPr="00C251CE">
        <w:rPr>
          <w:rFonts w:ascii="Arial" w:eastAsia="Arial" w:hAnsi="Arial" w:cs="Arial"/>
          <w:sz w:val="22"/>
          <w:szCs w:val="22"/>
        </w:rPr>
        <w:t xml:space="preserve"> overall the experiment </w:t>
      </w:r>
      <w:r>
        <w:rPr>
          <w:rFonts w:ascii="Arial" w:eastAsia="Arial" w:hAnsi="Arial" w:cs="Arial"/>
          <w:sz w:val="22"/>
          <w:szCs w:val="22"/>
        </w:rPr>
        <w:t>was</w:t>
      </w:r>
      <w:r w:rsidRPr="00C251CE">
        <w:rPr>
          <w:rFonts w:ascii="Arial" w:eastAsia="Arial" w:hAnsi="Arial" w:cs="Arial"/>
          <w:sz w:val="22"/>
          <w:szCs w:val="22"/>
        </w:rPr>
        <w:t xml:space="preserve"> </w:t>
      </w:r>
      <w:r w:rsidRPr="00C251CE">
        <w:rPr>
          <w:rFonts w:ascii="Arial" w:eastAsia="Arial" w:hAnsi="Arial" w:cs="Arial"/>
          <w:color w:val="000000" w:themeColor="text1"/>
          <w:sz w:val="22"/>
          <w:szCs w:val="22"/>
        </w:rPr>
        <w:t>dominated by 3-species communities (21 tanks in total, compared to 5 for each of the other 1- or 2-species compositions), the model fitting was biased towards fitting the 3-species communities at the expense of quality of fit to the other communities. However, sample sizes were too small for those other communities to obtain reliable fits for them independently, preventing reliable assessment of how the different parameters vary with richness.</w:t>
      </w:r>
      <w:r>
        <w:rPr>
          <w:rFonts w:ascii="Arial" w:eastAsia="Arial" w:hAnsi="Arial" w:cs="Arial"/>
          <w:color w:val="000000" w:themeColor="text1"/>
          <w:sz w:val="22"/>
          <w:szCs w:val="22"/>
        </w:rPr>
        <w:t xml:space="preserve"> </w:t>
      </w:r>
      <w:r w:rsidRPr="00C251CE">
        <w:rPr>
          <w:rFonts w:ascii="Arial" w:eastAsia="Arial" w:hAnsi="Arial" w:cs="Arial"/>
          <w:color w:val="000000" w:themeColor="text1"/>
          <w:sz w:val="22"/>
          <w:szCs w:val="22"/>
        </w:rPr>
        <w:t>We therefore chose to fit the model exclusively to 3-species communities, including both random and non-random 3-species treatments (21 tanks in total). Although abundances of each species var</w:t>
      </w:r>
      <w:r>
        <w:rPr>
          <w:rFonts w:ascii="Arial" w:eastAsia="Arial" w:hAnsi="Arial" w:cs="Arial"/>
          <w:color w:val="000000" w:themeColor="text1"/>
          <w:sz w:val="22"/>
          <w:szCs w:val="22"/>
        </w:rPr>
        <w:t>ied</w:t>
      </w:r>
      <w:r w:rsidRPr="00C251CE">
        <w:rPr>
          <w:rFonts w:ascii="Arial" w:eastAsia="Arial" w:hAnsi="Arial" w:cs="Arial"/>
          <w:color w:val="000000" w:themeColor="text1"/>
          <w:sz w:val="22"/>
          <w:szCs w:val="22"/>
        </w:rPr>
        <w:t xml:space="preserve"> in these treatments (their compositions were chosen </w:t>
      </w:r>
      <w:r w:rsidRPr="00C251CE">
        <w:rPr>
          <w:rFonts w:ascii="Arial" w:eastAsia="Arial" w:hAnsi="Arial" w:cs="Arial"/>
          <w:color w:val="000000" w:themeColor="text1"/>
          <w:sz w:val="22"/>
          <w:szCs w:val="22"/>
        </w:rPr>
        <w:lastRenderedPageBreak/>
        <w:t>for this exact reason), there were no concerns about major departures of estimated parameter values due to any species being completely absent.</w:t>
      </w:r>
    </w:p>
    <w:p w14:paraId="58035C31" w14:textId="77777777" w:rsidR="00425552" w:rsidRDefault="00425552" w:rsidP="00425552"/>
    <w:p w14:paraId="13F4964D" w14:textId="77777777" w:rsidR="00425552" w:rsidRPr="0044565F" w:rsidRDefault="00425552" w:rsidP="00425552">
      <w:r>
        <w:br w:type="page"/>
      </w:r>
    </w:p>
    <w:p w14:paraId="2936BAED" w14:textId="77777777" w:rsidR="00425552" w:rsidRDefault="00425552" w:rsidP="00425552">
      <w:pPr>
        <w:rPr>
          <w:rFonts w:ascii="Arial" w:eastAsia="Arial" w:hAnsi="Arial" w:cs="Arial"/>
          <w:b/>
          <w:sz w:val="22"/>
          <w:szCs w:val="22"/>
        </w:rPr>
      </w:pPr>
      <w:r>
        <w:rPr>
          <w:rFonts w:ascii="Arial" w:eastAsia="Arial" w:hAnsi="Arial" w:cs="Arial"/>
          <w:b/>
          <w:sz w:val="22"/>
          <w:szCs w:val="22"/>
        </w:rPr>
        <w:lastRenderedPageBreak/>
        <w:t>Figures and Tables</w:t>
      </w:r>
    </w:p>
    <w:p w14:paraId="33ADDD5B" w14:textId="77777777" w:rsidR="00425552" w:rsidRDefault="00425552" w:rsidP="00425552">
      <w:pPr>
        <w:rPr>
          <w:rFonts w:ascii="Arial" w:eastAsia="Arial" w:hAnsi="Arial" w:cs="Arial"/>
          <w:b/>
          <w:sz w:val="22"/>
          <w:szCs w:val="22"/>
        </w:rPr>
      </w:pPr>
      <w:r>
        <w:rPr>
          <w:rFonts w:ascii="Arial" w:eastAsia="Arial" w:hAnsi="Arial" w:cs="Arial"/>
          <w:b/>
          <w:noProof/>
          <w:sz w:val="22"/>
          <w:szCs w:val="22"/>
        </w:rPr>
        <w:drawing>
          <wp:inline distT="0" distB="0" distL="0" distR="0" wp14:anchorId="360F9B95" wp14:editId="0FD07DDF">
            <wp:extent cx="5518785" cy="4138930"/>
            <wp:effectExtent l="0" t="0" r="0" b="0"/>
            <wp:docPr id="6" name="image8.jpg" descr="A picture containing subw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subway&#10;&#10;Description automatically generated"/>
                    <pic:cNvPicPr preferRelativeResize="0"/>
                  </pic:nvPicPr>
                  <pic:blipFill>
                    <a:blip r:embed="rId14"/>
                    <a:srcRect/>
                    <a:stretch>
                      <a:fillRect/>
                    </a:stretch>
                  </pic:blipFill>
                  <pic:spPr>
                    <a:xfrm>
                      <a:off x="0" y="0"/>
                      <a:ext cx="5518785" cy="4138930"/>
                    </a:xfrm>
                    <a:prstGeom prst="rect">
                      <a:avLst/>
                    </a:prstGeom>
                    <a:ln/>
                  </pic:spPr>
                </pic:pic>
              </a:graphicData>
            </a:graphic>
          </wp:inline>
        </w:drawing>
      </w:r>
    </w:p>
    <w:p w14:paraId="3011BBEF" w14:textId="77777777" w:rsidR="00425552" w:rsidRDefault="00425552" w:rsidP="00425552">
      <w:pPr>
        <w:rPr>
          <w:rFonts w:ascii="Arial" w:eastAsia="Arial" w:hAnsi="Arial" w:cs="Arial"/>
          <w:sz w:val="22"/>
          <w:szCs w:val="22"/>
        </w:rPr>
      </w:pPr>
      <w:r>
        <w:rPr>
          <w:rFonts w:ascii="Arial" w:eastAsia="Arial" w:hAnsi="Arial" w:cs="Arial"/>
          <w:b/>
          <w:sz w:val="22"/>
          <w:szCs w:val="22"/>
        </w:rPr>
        <w:t xml:space="preserve">Fig. S1: Experimental setup. </w:t>
      </w:r>
      <w:r>
        <w:rPr>
          <w:rFonts w:ascii="Arial" w:eastAsia="Arial" w:hAnsi="Arial" w:cs="Arial"/>
          <w:sz w:val="22"/>
          <w:szCs w:val="22"/>
        </w:rPr>
        <w:t xml:space="preserve">Shown are the experimental mesocosms (70mm x 30mm x 40mm) that were set up at the Centre for Captive Breeding of Threatened Amphibians in </w:t>
      </w:r>
      <w:proofErr w:type="spellStart"/>
      <w:r>
        <w:rPr>
          <w:rFonts w:ascii="Arial" w:eastAsia="Arial" w:hAnsi="Arial" w:cs="Arial"/>
          <w:sz w:val="22"/>
          <w:szCs w:val="22"/>
        </w:rPr>
        <w:t>Rascafria</w:t>
      </w:r>
      <w:proofErr w:type="spellEnd"/>
      <w:r>
        <w:rPr>
          <w:rFonts w:ascii="Arial" w:eastAsia="Arial" w:hAnsi="Arial" w:cs="Arial"/>
          <w:sz w:val="22"/>
          <w:szCs w:val="22"/>
        </w:rPr>
        <w:t>, Spain. The animal on the wall of the left-most mesocosm is a larval fire salamander (</w:t>
      </w:r>
      <w:r>
        <w:rPr>
          <w:rFonts w:ascii="Arial" w:eastAsia="Arial" w:hAnsi="Arial" w:cs="Arial"/>
          <w:i/>
          <w:sz w:val="22"/>
          <w:szCs w:val="22"/>
        </w:rPr>
        <w:t xml:space="preserve">Salamandra </w:t>
      </w:r>
      <w:proofErr w:type="spellStart"/>
      <w:r>
        <w:rPr>
          <w:rFonts w:ascii="Arial" w:eastAsia="Arial" w:hAnsi="Arial" w:cs="Arial"/>
          <w:i/>
          <w:sz w:val="22"/>
          <w:szCs w:val="22"/>
        </w:rPr>
        <w:t>salamandra</w:t>
      </w:r>
      <w:proofErr w:type="spellEnd"/>
      <w:r>
        <w:rPr>
          <w:rFonts w:ascii="Arial" w:eastAsia="Arial" w:hAnsi="Arial" w:cs="Arial"/>
          <w:sz w:val="22"/>
          <w:szCs w:val="22"/>
        </w:rPr>
        <w:t xml:space="preserve">), the numerically dominant host species in our system. </w:t>
      </w:r>
    </w:p>
    <w:p w14:paraId="33638B6E" w14:textId="77777777" w:rsidR="00425552" w:rsidRDefault="00425552" w:rsidP="00425552">
      <w:pPr>
        <w:rPr>
          <w:rFonts w:ascii="Arial" w:eastAsia="Arial" w:hAnsi="Arial" w:cs="Arial"/>
          <w:sz w:val="22"/>
          <w:szCs w:val="22"/>
        </w:rPr>
      </w:pPr>
    </w:p>
    <w:p w14:paraId="0CE8B901" w14:textId="77777777" w:rsidR="00425552" w:rsidRDefault="00425552" w:rsidP="00425552">
      <w:pPr>
        <w:rPr>
          <w:rFonts w:ascii="Arial" w:eastAsia="Arial" w:hAnsi="Arial" w:cs="Arial"/>
          <w:sz w:val="22"/>
          <w:szCs w:val="22"/>
        </w:rPr>
      </w:pPr>
      <w:r>
        <w:br w:type="page"/>
      </w:r>
    </w:p>
    <w:p w14:paraId="570E1E20" w14:textId="77777777" w:rsidR="00425552" w:rsidRDefault="00425552" w:rsidP="00425552">
      <w:pPr>
        <w:rPr>
          <w:rFonts w:ascii="Arial" w:eastAsia="Arial" w:hAnsi="Arial" w:cs="Arial"/>
          <w:color w:val="000000"/>
          <w:sz w:val="22"/>
          <w:szCs w:val="22"/>
        </w:rPr>
      </w:pPr>
      <w:r>
        <w:rPr>
          <w:rFonts w:ascii="Arial" w:eastAsia="Times New Roman" w:hAnsi="Arial" w:cs="Arial"/>
          <w:noProof/>
          <w:color w:val="000000" w:themeColor="text1"/>
          <w:sz w:val="22"/>
          <w:szCs w:val="22"/>
        </w:rPr>
        <w:lastRenderedPageBreak/>
        <w:drawing>
          <wp:inline distT="0" distB="0" distL="0" distR="0" wp14:anchorId="4C798637" wp14:editId="6D1EBA47">
            <wp:extent cx="5078437" cy="6590285"/>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extLst>
                        <a:ext uri="{28A0092B-C50C-407E-A947-70E740481C1C}">
                          <a14:useLocalDpi xmlns:a14="http://schemas.microsoft.com/office/drawing/2010/main" val="0"/>
                        </a:ext>
                      </a:extLst>
                    </a:blip>
                    <a:srcRect t="5464" r="5411" b="7797"/>
                    <a:stretch/>
                  </pic:blipFill>
                  <pic:spPr bwMode="auto">
                    <a:xfrm>
                      <a:off x="0" y="0"/>
                      <a:ext cx="5080169" cy="6592533"/>
                    </a:xfrm>
                    <a:prstGeom prst="rect">
                      <a:avLst/>
                    </a:prstGeom>
                    <a:ln>
                      <a:noFill/>
                    </a:ln>
                    <a:extLst>
                      <a:ext uri="{53640926-AAD7-44D8-BBD7-CCE9431645EC}">
                        <a14:shadowObscured xmlns:a14="http://schemas.microsoft.com/office/drawing/2010/main"/>
                      </a:ext>
                    </a:extLst>
                  </pic:spPr>
                </pic:pic>
              </a:graphicData>
            </a:graphic>
          </wp:inline>
        </w:drawing>
      </w:r>
    </w:p>
    <w:p w14:paraId="53A68565" w14:textId="77777777" w:rsidR="00425552" w:rsidRDefault="00425552" w:rsidP="00425552">
      <w:pPr>
        <w:rPr>
          <w:rFonts w:ascii="Arial" w:eastAsia="Arial" w:hAnsi="Arial" w:cs="Arial"/>
          <w:sz w:val="22"/>
          <w:szCs w:val="22"/>
        </w:rPr>
      </w:pPr>
      <w:r>
        <w:rPr>
          <w:rFonts w:ascii="Arial" w:eastAsia="Arial" w:hAnsi="Arial" w:cs="Arial"/>
          <w:b/>
          <w:sz w:val="22"/>
          <w:szCs w:val="22"/>
        </w:rPr>
        <w:t xml:space="preserve">Fig S2. Potential pathways of </w:t>
      </w:r>
      <w:r w:rsidRPr="00DE72E0">
        <w:rPr>
          <w:rFonts w:ascii="Arial" w:eastAsia="Arial" w:hAnsi="Arial" w:cs="Arial"/>
          <w:b/>
          <w:i/>
          <w:sz w:val="22"/>
          <w:szCs w:val="22"/>
        </w:rPr>
        <w:t>Bd</w:t>
      </w:r>
      <w:r>
        <w:rPr>
          <w:rFonts w:ascii="Arial" w:eastAsia="Arial" w:hAnsi="Arial" w:cs="Arial"/>
          <w:b/>
          <w:sz w:val="22"/>
          <w:szCs w:val="22"/>
        </w:rPr>
        <w:t xml:space="preserve"> transmission. </w:t>
      </w:r>
      <w:r>
        <w:rPr>
          <w:rFonts w:ascii="Arial" w:hAnsi="Arial" w:cs="Arial"/>
          <w:sz w:val="22"/>
          <w:szCs w:val="22"/>
        </w:rPr>
        <w:t>Multi-model inference informed five scenarios</w:t>
      </w:r>
      <w:r w:rsidRPr="00A43ED4">
        <w:rPr>
          <w:rFonts w:ascii="Arial" w:hAnsi="Arial" w:cs="Arial"/>
          <w:sz w:val="22"/>
          <w:szCs w:val="22"/>
        </w:rPr>
        <w:t xml:space="preserve"> </w:t>
      </w:r>
      <w:r>
        <w:rPr>
          <w:rFonts w:ascii="Arial" w:hAnsi="Arial" w:cs="Arial"/>
          <w:sz w:val="22"/>
          <w:szCs w:val="22"/>
        </w:rPr>
        <w:t xml:space="preserve">for the directional effects of host species in driving infections in co-occurring host species in experimental communities. Here, they are ranked by the level of support received from the structural equation modelling (most supported scenario first). </w:t>
      </w:r>
      <w:r>
        <w:rPr>
          <w:rFonts w:ascii="Arial" w:eastAsia="Arial" w:hAnsi="Arial" w:cs="Arial"/>
          <w:sz w:val="22"/>
          <w:szCs w:val="22"/>
        </w:rPr>
        <w:t xml:space="preserve">Because some yearling salamanders tested positive for </w:t>
      </w:r>
      <w:r>
        <w:rPr>
          <w:rFonts w:ascii="Arial" w:eastAsia="Arial" w:hAnsi="Arial" w:cs="Arial"/>
          <w:i/>
          <w:sz w:val="22"/>
          <w:szCs w:val="22"/>
        </w:rPr>
        <w:t>Bd</w:t>
      </w:r>
      <w:r>
        <w:rPr>
          <w:rFonts w:ascii="Arial" w:eastAsia="Arial" w:hAnsi="Arial" w:cs="Arial"/>
          <w:sz w:val="22"/>
          <w:szCs w:val="22"/>
        </w:rPr>
        <w:t xml:space="preserve"> at the start of the experiment, we considered the role of these hosts in seeding infections in communities (scenarios 4 and 5). The left panel shows a schematic of the scenario. The middle panel reports the outputs of ‘piecewise’ Structural Equation Models (SEMs) used to assess support for the scenario when using the number of infected hosts as the response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{"citationID":"GML4lsO1","properties":{"formattedCitation":"(Lefcheck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(Lefcheck 2016)</w:t>
      </w:r>
      <w:r>
        <w:rPr>
          <w:rFonts w:ascii="Arial" w:eastAsia="Arial" w:hAnsi="Arial" w:cs="Arial"/>
          <w:sz w:val="22"/>
          <w:szCs w:val="22"/>
        </w:rPr>
        <w:fldChar w:fldCharType="end"/>
      </w:r>
      <w:r>
        <w:rPr>
          <w:rFonts w:ascii="Arial" w:eastAsia="Arial" w:hAnsi="Arial" w:cs="Arial"/>
          <w:sz w:val="22"/>
          <w:szCs w:val="22"/>
        </w:rPr>
        <w:t xml:space="preserve">. The right panel reports SEM outputs when using infection intensity as the response. Solid arrows indicate a predicted directional effect of the final abundance and infection count in one host species on infection risk in a co-occurring host species. Dashed arrows denote seeding of infections from initially infected salamanders to other host species. P values represent the significance tests of the χ2 statistic being different from zero, which denotes a good fit of the model to the data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{"citationID":"p2ZzOUL7","properties":{"formattedCitation":"(Lefcheck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(Lefcheck 2016)</w:t>
      </w:r>
      <w:r>
        <w:rPr>
          <w:rFonts w:ascii="Arial" w:eastAsia="Arial" w:hAnsi="Arial" w:cs="Arial"/>
          <w:sz w:val="22"/>
          <w:szCs w:val="22"/>
        </w:rPr>
        <w:fldChar w:fldCharType="end"/>
      </w:r>
      <w:r>
        <w:rPr>
          <w:rFonts w:ascii="Arial" w:eastAsia="Arial" w:hAnsi="Arial" w:cs="Arial"/>
          <w:sz w:val="22"/>
          <w:szCs w:val="22"/>
        </w:rPr>
        <w:t xml:space="preserve">. Thus, unlike many other statistical tests, a good model fit is denoted by low F values and p &gt; 0.05 </w:t>
      </w:r>
      <w:r>
        <w:rPr>
          <w:rFonts w:ascii="Arial" w:eastAsia="Arial" w:hAnsi="Arial" w:cs="Arial"/>
          <w:sz w:val="22"/>
          <w:szCs w:val="22"/>
        </w:rPr>
        <w:fldChar w:fldCharType="begin"/>
      </w:r>
      <w:r>
        <w:rPr>
          <w:rFonts w:ascii="Arial" w:eastAsia="Arial" w:hAnsi="Arial" w:cs="Arial"/>
          <w:sz w:val="22"/>
          <w:szCs w:val="22"/>
        </w:rPr>
        <w:instrText xml:space="preserve"> ADDIN ZOTERO_ITEM CSL_CITATION {"citationID":"Pjcq3jvT","properties":{"formattedCitation":"(Lefcheck 2016)","plainCitation":"(Lefcheck 2016)","noteIndex":0},"citationItems":[{"id":7027,"uris":["http://zotero.org/users/865335/items/PDPVLAYM"],"uri":["http://zotero.org/users/865335/items/PDPVLAYM"],"itemData":{"id":7027,"type":"article-journal","container-title":"Methods in Ecology and Evolution","DOI":"10.1111/2041-210X.12512","ISSN":"2041210X","issue":"5","journalAbbreviation":"Methods Ecol Evol","language":"en","page":"573-579","source":"DOI.org (Crossref)","title":"&lt;span style=\"font-variant:small-caps;\"&gt;piecewiseSEM&lt;/span&gt; : Piecewise structural equation modelling in &lt;span style=\"font-variant:small-caps;\"&gt;r&lt;/span&gt; for ecology, evolution, and systematics","title-short":"&lt;span style=\"font-variant","volume":"7","author":[{"family":"Lefcheck","given":"Jonathan S."}],"editor":[{"family":"Freckleton","given":"Robert"}],"issued":{"date-parts":[["2016",5]]}}}],"schema":"https://github.com/citation-style-language/schema/raw/master/csl-citation.json"} </w:instrText>
      </w:r>
      <w:r>
        <w:rPr>
          <w:rFonts w:ascii="Arial" w:eastAsia="Arial" w:hAnsi="Arial" w:cs="Arial"/>
          <w:sz w:val="22"/>
          <w:szCs w:val="22"/>
        </w:rPr>
        <w:fldChar w:fldCharType="separate"/>
      </w:r>
      <w:r>
        <w:rPr>
          <w:rFonts w:ascii="Arial" w:eastAsia="Arial" w:hAnsi="Arial" w:cs="Arial"/>
          <w:noProof/>
          <w:sz w:val="22"/>
          <w:szCs w:val="22"/>
        </w:rPr>
        <w:t xml:space="preserve">(Lefcheck </w:t>
      </w:r>
      <w:r>
        <w:rPr>
          <w:rFonts w:ascii="Arial" w:eastAsia="Arial" w:hAnsi="Arial" w:cs="Arial"/>
          <w:noProof/>
          <w:sz w:val="22"/>
          <w:szCs w:val="22"/>
        </w:rPr>
        <w:lastRenderedPageBreak/>
        <w:t>2016)</w:t>
      </w:r>
      <w:r>
        <w:rPr>
          <w:rFonts w:ascii="Arial" w:eastAsia="Arial" w:hAnsi="Arial" w:cs="Arial"/>
          <w:sz w:val="22"/>
          <w:szCs w:val="22"/>
        </w:rPr>
        <w:fldChar w:fldCharType="end"/>
      </w:r>
      <w:r>
        <w:rPr>
          <w:rFonts w:ascii="Arial" w:eastAsia="Arial" w:hAnsi="Arial" w:cs="Arial"/>
          <w:sz w:val="22"/>
          <w:szCs w:val="22"/>
        </w:rPr>
        <w:t xml:space="preserve">. *Offsets of the log-transformed final abundance of the focal host are not shown but were included in linear models of infection prevalence to account for differences in final host abundance among replicates. </w:t>
      </w:r>
      <w:proofErr w:type="spellStart"/>
      <w:r>
        <w:rPr>
          <w:rFonts w:ascii="Arial" w:eastAsia="Arial" w:hAnsi="Arial" w:cs="Arial"/>
          <w:sz w:val="22"/>
          <w:szCs w:val="22"/>
        </w:rPr>
        <w:t>AICc</w:t>
      </w:r>
      <w:proofErr w:type="spellEnd"/>
      <w:r>
        <w:rPr>
          <w:rFonts w:ascii="Arial" w:eastAsia="Arial" w:hAnsi="Arial" w:cs="Arial"/>
          <w:sz w:val="22"/>
          <w:szCs w:val="22"/>
        </w:rPr>
        <w:t xml:space="preserve"> = Akaike’s Information Criterion for small sample sizes, df = degrees of freedom. </w:t>
      </w:r>
    </w:p>
    <w:p w14:paraId="36585061" w14:textId="77777777" w:rsidR="00425552" w:rsidRDefault="00425552" w:rsidP="00425552">
      <w:pPr>
        <w:rPr>
          <w:rFonts w:ascii="Arial" w:eastAsia="Arial" w:hAnsi="Arial" w:cs="Arial"/>
          <w:sz w:val="22"/>
          <w:szCs w:val="22"/>
        </w:rPr>
      </w:pPr>
    </w:p>
    <w:p w14:paraId="75106729" w14:textId="77777777" w:rsidR="00425552" w:rsidRDefault="00425552" w:rsidP="00425552">
      <w:pPr>
        <w:rPr>
          <w:rFonts w:ascii="Arial" w:eastAsia="Arial" w:hAnsi="Arial" w:cs="Arial"/>
          <w:sz w:val="22"/>
          <w:szCs w:val="22"/>
        </w:rPr>
      </w:pPr>
    </w:p>
    <w:p w14:paraId="11528C81" w14:textId="77777777" w:rsidR="00425552" w:rsidRDefault="00425552" w:rsidP="00425552">
      <w:pPr>
        <w:rPr>
          <w:rFonts w:ascii="Arial" w:eastAsia="Arial" w:hAnsi="Arial" w:cs="Arial"/>
          <w:b/>
          <w:sz w:val="22"/>
          <w:szCs w:val="22"/>
        </w:rPr>
      </w:pPr>
      <w:r>
        <w:rPr>
          <w:rFonts w:ascii="Arial" w:eastAsia="Arial" w:hAnsi="Arial" w:cs="Arial"/>
          <w:b/>
          <w:noProof/>
          <w:sz w:val="22"/>
          <w:szCs w:val="22"/>
        </w:rPr>
        <w:drawing>
          <wp:inline distT="0" distB="0" distL="0" distR="0" wp14:anchorId="4EDD2EE0" wp14:editId="165C3599">
            <wp:extent cx="4792980" cy="6827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3314" t="7124" r="9838" b="5456"/>
                    <a:stretch/>
                  </pic:blipFill>
                  <pic:spPr bwMode="auto">
                    <a:xfrm>
                      <a:off x="0" y="0"/>
                      <a:ext cx="4792980" cy="6827520"/>
                    </a:xfrm>
                    <a:prstGeom prst="rect">
                      <a:avLst/>
                    </a:prstGeom>
                    <a:ln>
                      <a:noFill/>
                    </a:ln>
                    <a:extLst>
                      <a:ext uri="{53640926-AAD7-44D8-BBD7-CCE9431645EC}">
                        <a14:shadowObscured xmlns:a14="http://schemas.microsoft.com/office/drawing/2010/main"/>
                      </a:ext>
                    </a:extLst>
                  </pic:spPr>
                </pic:pic>
              </a:graphicData>
            </a:graphic>
          </wp:inline>
        </w:drawing>
      </w:r>
    </w:p>
    <w:p w14:paraId="26E4E70A" w14:textId="77777777" w:rsidR="00425552" w:rsidRPr="00AE2EA3" w:rsidRDefault="00425552" w:rsidP="00425552">
      <w:pPr>
        <w:rPr>
          <w:rFonts w:ascii="Arial" w:eastAsia="Arial" w:hAnsi="Arial" w:cs="Arial"/>
          <w:bCs/>
          <w:sz w:val="22"/>
          <w:szCs w:val="22"/>
        </w:rPr>
      </w:pPr>
      <w:r>
        <w:rPr>
          <w:rFonts w:ascii="Arial" w:eastAsia="Arial" w:hAnsi="Arial" w:cs="Arial"/>
          <w:b/>
          <w:sz w:val="22"/>
          <w:szCs w:val="22"/>
        </w:rPr>
        <w:t xml:space="preserve">Fig. S3. Temporal dynamics of salamander abundance and infection. </w:t>
      </w:r>
      <w:r>
        <w:rPr>
          <w:rFonts w:ascii="Arial" w:eastAsia="Arial" w:hAnsi="Arial" w:cs="Arial"/>
          <w:bCs/>
          <w:sz w:val="22"/>
          <w:szCs w:val="22"/>
        </w:rPr>
        <w:t xml:space="preserve">Shown are the changes in (a) abundance of and (b) mean </w:t>
      </w:r>
      <w:r w:rsidRPr="00F22957">
        <w:rPr>
          <w:rFonts w:ascii="Arial" w:eastAsia="Arial" w:hAnsi="Arial" w:cs="Arial"/>
          <w:bCs/>
          <w:i/>
          <w:iCs/>
          <w:sz w:val="22"/>
          <w:szCs w:val="22"/>
        </w:rPr>
        <w:t>Bd</w:t>
      </w:r>
      <w:r>
        <w:rPr>
          <w:rFonts w:ascii="Arial" w:eastAsia="Arial" w:hAnsi="Arial" w:cs="Arial"/>
          <w:bCs/>
          <w:sz w:val="22"/>
          <w:szCs w:val="22"/>
        </w:rPr>
        <w:t xml:space="preserve"> prevalence in salamanders from the initial phase of the experiment (day 2) to the final phase (Day 30) of the experiment. Both dynamics are broken down by the experimental treatment that varied the relative abundances of salamanders, frogs, and toads. </w:t>
      </w:r>
    </w:p>
    <w:p w14:paraId="36802A9F" w14:textId="77777777" w:rsidR="00425552" w:rsidRDefault="00425552" w:rsidP="00425552">
      <w:pPr>
        <w:rPr>
          <w:rFonts w:ascii="Arial" w:eastAsia="Arial" w:hAnsi="Arial" w:cs="Arial"/>
          <w:sz w:val="22"/>
          <w:szCs w:val="22"/>
        </w:rPr>
      </w:pPr>
    </w:p>
    <w:p w14:paraId="6DEFF43E" w14:textId="77777777" w:rsidR="00425552" w:rsidRDefault="00425552" w:rsidP="00425552">
      <w:pP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6A80E979" wp14:editId="6E89BE51">
            <wp:extent cx="4729927" cy="4729927"/>
            <wp:effectExtent l="0" t="0" r="0" b="0"/>
            <wp:docPr id="7"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7.png" descr="Diagram&#10;&#10;Description automatically generated"/>
                    <pic:cNvPicPr preferRelativeResize="0"/>
                  </pic:nvPicPr>
                  <pic:blipFill>
                    <a:blip r:embed="rId17"/>
                    <a:srcRect/>
                    <a:stretch>
                      <a:fillRect/>
                    </a:stretch>
                  </pic:blipFill>
                  <pic:spPr>
                    <a:xfrm>
                      <a:off x="0" y="0"/>
                      <a:ext cx="4729927" cy="4729927"/>
                    </a:xfrm>
                    <a:prstGeom prst="rect">
                      <a:avLst/>
                    </a:prstGeom>
                    <a:ln/>
                  </pic:spPr>
                </pic:pic>
              </a:graphicData>
            </a:graphic>
          </wp:inline>
        </w:drawing>
      </w:r>
    </w:p>
    <w:p w14:paraId="2979F09A" w14:textId="77777777" w:rsidR="00425552" w:rsidRDefault="00425552" w:rsidP="00425552">
      <w:pPr>
        <w:rPr>
          <w:rFonts w:ascii="Arial" w:eastAsia="Arial" w:hAnsi="Arial" w:cs="Arial"/>
          <w:sz w:val="22"/>
          <w:szCs w:val="22"/>
        </w:rPr>
      </w:pPr>
      <w:r>
        <w:rPr>
          <w:rFonts w:ascii="Arial" w:eastAsia="Arial" w:hAnsi="Arial" w:cs="Arial"/>
          <w:b/>
          <w:sz w:val="22"/>
          <w:szCs w:val="22"/>
        </w:rPr>
        <w:t>Fig. S4</w:t>
      </w:r>
      <w:r>
        <w:rPr>
          <w:rFonts w:ascii="Arial" w:eastAsia="Arial" w:hAnsi="Arial" w:cs="Arial"/>
          <w:sz w:val="22"/>
          <w:szCs w:val="22"/>
        </w:rPr>
        <w:t xml:space="preserve">. </w:t>
      </w:r>
      <w:r>
        <w:rPr>
          <w:rFonts w:ascii="Arial" w:eastAsia="Arial" w:hAnsi="Arial" w:cs="Arial"/>
          <w:b/>
          <w:sz w:val="22"/>
          <w:szCs w:val="22"/>
        </w:rPr>
        <w:t>More salamanders metamorphose when in mixed species communities.</w:t>
      </w:r>
      <w:r>
        <w:rPr>
          <w:rFonts w:ascii="Arial" w:eastAsia="Arial" w:hAnsi="Arial" w:cs="Arial"/>
          <w:sz w:val="22"/>
          <w:szCs w:val="22"/>
        </w:rPr>
        <w:t xml:space="preserve"> This Kaplan-Meier plot shows the proportion viable (proportion not dead or metamorphosed) of each host species and for the five host community compositions throughout the duration of the experiment. In the legend, the label before the colon is host species to which the line pertains, and the label after the colon refers to the treatment. Most removals were due to metamorphosis (Table S1). </w:t>
      </w:r>
    </w:p>
    <w:p w14:paraId="46100402" w14:textId="77777777" w:rsidR="00425552" w:rsidRDefault="00425552" w:rsidP="00425552">
      <w:pPr>
        <w:rPr>
          <w:rFonts w:ascii="Arial" w:eastAsia="Arial" w:hAnsi="Arial" w:cs="Arial"/>
          <w:b/>
          <w:sz w:val="22"/>
          <w:szCs w:val="22"/>
        </w:rPr>
      </w:pPr>
    </w:p>
    <w:p w14:paraId="6F76A62D" w14:textId="77777777" w:rsidR="00425552" w:rsidRDefault="00425552" w:rsidP="00425552">
      <w:pPr>
        <w:rPr>
          <w:rFonts w:ascii="Arial" w:eastAsia="Arial" w:hAnsi="Arial" w:cs="Arial"/>
          <w:b/>
          <w:sz w:val="22"/>
          <w:szCs w:val="22"/>
        </w:rPr>
      </w:pPr>
    </w:p>
    <w:p w14:paraId="35D20A4E" w14:textId="77777777" w:rsidR="00425552" w:rsidRDefault="00425552" w:rsidP="00425552">
      <w:pPr>
        <w:rPr>
          <w:rFonts w:ascii="Arial" w:eastAsia="Arial" w:hAnsi="Arial" w:cs="Arial"/>
          <w:b/>
          <w:sz w:val="22"/>
          <w:szCs w:val="22"/>
        </w:rPr>
      </w:pPr>
    </w:p>
    <w:p w14:paraId="55E212D9" w14:textId="77777777" w:rsidR="00425552" w:rsidRDefault="00425552" w:rsidP="00425552">
      <w:pPr>
        <w:rPr>
          <w:rFonts w:ascii="Arial" w:eastAsia="Arial" w:hAnsi="Arial" w:cs="Arial"/>
          <w:b/>
          <w:sz w:val="22"/>
          <w:szCs w:val="22"/>
        </w:rPr>
      </w:pPr>
    </w:p>
    <w:p w14:paraId="5CF9F7BB" w14:textId="77777777" w:rsidR="00425552" w:rsidRDefault="00425552" w:rsidP="00425552">
      <w:pPr>
        <w:rPr>
          <w:rFonts w:ascii="Arial" w:eastAsia="Arial" w:hAnsi="Arial" w:cs="Arial"/>
          <w:b/>
          <w:sz w:val="22"/>
          <w:szCs w:val="22"/>
        </w:rPr>
      </w:pPr>
    </w:p>
    <w:p w14:paraId="7CA1A629" w14:textId="77777777" w:rsidR="00425552" w:rsidRDefault="00425552" w:rsidP="00425552">
      <w:pPr>
        <w:rPr>
          <w:rFonts w:ascii="Arial" w:eastAsia="Arial" w:hAnsi="Arial" w:cs="Arial"/>
          <w:b/>
          <w:sz w:val="22"/>
          <w:szCs w:val="22"/>
        </w:rPr>
      </w:pPr>
    </w:p>
    <w:p w14:paraId="60705BF1" w14:textId="77777777" w:rsidR="00425552" w:rsidRDefault="00425552" w:rsidP="00425552">
      <w:pPr>
        <w:rPr>
          <w:rFonts w:ascii="Arial" w:eastAsia="Arial" w:hAnsi="Arial" w:cs="Arial"/>
          <w:b/>
          <w:sz w:val="22"/>
          <w:szCs w:val="22"/>
        </w:rPr>
      </w:pPr>
    </w:p>
    <w:p w14:paraId="51841FDD" w14:textId="77777777" w:rsidR="00425552" w:rsidRDefault="00425552" w:rsidP="00425552">
      <w:pPr>
        <w:rPr>
          <w:rFonts w:ascii="Arial" w:eastAsia="Arial" w:hAnsi="Arial" w:cs="Arial"/>
          <w:b/>
          <w:sz w:val="22"/>
          <w:szCs w:val="22"/>
        </w:rPr>
      </w:pPr>
    </w:p>
    <w:p w14:paraId="54C75007" w14:textId="77777777" w:rsidR="00425552" w:rsidRDefault="00425552" w:rsidP="00425552">
      <w:pPr>
        <w:rPr>
          <w:rFonts w:ascii="Arial" w:eastAsia="Arial" w:hAnsi="Arial" w:cs="Arial"/>
          <w:b/>
          <w:sz w:val="22"/>
          <w:szCs w:val="22"/>
        </w:rPr>
      </w:pPr>
    </w:p>
    <w:p w14:paraId="7D560836" w14:textId="77777777" w:rsidR="00425552" w:rsidRDefault="00425552" w:rsidP="00425552">
      <w:pPr>
        <w:rPr>
          <w:rFonts w:ascii="Arial" w:eastAsia="Arial" w:hAnsi="Arial" w:cs="Arial"/>
          <w:b/>
          <w:sz w:val="22"/>
          <w:szCs w:val="22"/>
        </w:rPr>
      </w:pPr>
    </w:p>
    <w:p w14:paraId="6886007E" w14:textId="77777777" w:rsidR="00425552" w:rsidRDefault="00425552" w:rsidP="00425552">
      <w:pPr>
        <w:rPr>
          <w:rFonts w:ascii="Arial" w:eastAsia="Arial" w:hAnsi="Arial" w:cs="Arial"/>
          <w:b/>
          <w:sz w:val="22"/>
          <w:szCs w:val="22"/>
        </w:rPr>
      </w:pPr>
    </w:p>
    <w:p w14:paraId="77CDCBCB" w14:textId="77777777" w:rsidR="00425552" w:rsidRDefault="00425552" w:rsidP="00425552">
      <w:pPr>
        <w:rPr>
          <w:rFonts w:ascii="Arial" w:eastAsia="Arial" w:hAnsi="Arial" w:cs="Arial"/>
          <w:b/>
          <w:sz w:val="22"/>
          <w:szCs w:val="22"/>
        </w:rPr>
      </w:pPr>
    </w:p>
    <w:p w14:paraId="2D102BC6" w14:textId="77777777" w:rsidR="00425552" w:rsidRDefault="00425552" w:rsidP="00425552">
      <w:pPr>
        <w:rPr>
          <w:rFonts w:ascii="Arial" w:eastAsia="Arial" w:hAnsi="Arial" w:cs="Arial"/>
          <w:b/>
          <w:sz w:val="22"/>
          <w:szCs w:val="22"/>
        </w:rPr>
      </w:pPr>
    </w:p>
    <w:p w14:paraId="606C1CAD" w14:textId="77777777" w:rsidR="00425552" w:rsidRDefault="00425552" w:rsidP="00425552">
      <w:pPr>
        <w:rPr>
          <w:rFonts w:ascii="Arial" w:eastAsia="Arial" w:hAnsi="Arial" w:cs="Arial"/>
          <w:b/>
          <w:sz w:val="22"/>
          <w:szCs w:val="22"/>
        </w:rPr>
      </w:pPr>
    </w:p>
    <w:p w14:paraId="2E94F935" w14:textId="77777777" w:rsidR="00425552" w:rsidRDefault="00425552" w:rsidP="00425552">
      <w:pP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355710D4" wp14:editId="682D61F7">
            <wp:extent cx="3749040" cy="82444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a:extLst>
                        <a:ext uri="{28A0092B-C50C-407E-A947-70E740481C1C}">
                          <a14:useLocalDpi xmlns:a14="http://schemas.microsoft.com/office/drawing/2010/main" val="0"/>
                        </a:ext>
                      </a:extLst>
                    </a:blip>
                    <a:srcRect l="10769" r="28892" b="6237"/>
                    <a:stretch/>
                  </pic:blipFill>
                  <pic:spPr bwMode="auto">
                    <a:xfrm>
                      <a:off x="0" y="0"/>
                      <a:ext cx="3750762" cy="8248242"/>
                    </a:xfrm>
                    <a:prstGeom prst="rect">
                      <a:avLst/>
                    </a:prstGeom>
                    <a:ln>
                      <a:noFill/>
                    </a:ln>
                    <a:extLst>
                      <a:ext uri="{53640926-AAD7-44D8-BBD7-CCE9431645EC}">
                        <a14:shadowObscured xmlns:a14="http://schemas.microsoft.com/office/drawing/2010/main"/>
                      </a:ext>
                    </a:extLst>
                  </pic:spPr>
                </pic:pic>
              </a:graphicData>
            </a:graphic>
          </wp:inline>
        </w:drawing>
      </w:r>
    </w:p>
    <w:p w14:paraId="2429305C" w14:textId="77777777" w:rsidR="00425552" w:rsidRDefault="00425552" w:rsidP="00425552">
      <w:pPr>
        <w:rPr>
          <w:rFonts w:ascii="Arial" w:eastAsia="Arial" w:hAnsi="Arial" w:cs="Arial"/>
          <w:sz w:val="22"/>
          <w:szCs w:val="22"/>
        </w:rPr>
      </w:pPr>
      <w:r>
        <w:rPr>
          <w:rFonts w:ascii="Arial" w:eastAsia="Arial" w:hAnsi="Arial" w:cs="Arial"/>
          <w:b/>
          <w:sz w:val="22"/>
          <w:szCs w:val="22"/>
        </w:rPr>
        <w:t xml:space="preserve">Fig. S5. </w:t>
      </w:r>
      <w:r>
        <w:rPr>
          <w:rFonts w:ascii="Arial" w:eastAsia="Arial" w:hAnsi="Arial" w:cs="Arial"/>
          <w:sz w:val="22"/>
          <w:szCs w:val="22"/>
        </w:rPr>
        <w:t>Mean numbers of infected (red) and uninfected (white) hosts in mesocosms at the end of the experiment across the 5 community treatments, illustrated separately for (a) fire salamanders, (b) spiny toads, and (c) tree frogs. Error bars denote the standard error of mesocosm means.</w:t>
      </w:r>
    </w:p>
    <w:p w14:paraId="5B31058C" w14:textId="77777777" w:rsidR="00425552" w:rsidRDefault="00425552" w:rsidP="00425552">
      <w:pPr>
        <w:rPr>
          <w:rFonts w:ascii="Arial" w:eastAsia="Arial" w:hAnsi="Arial" w:cs="Arial"/>
          <w:b/>
          <w:sz w:val="22"/>
          <w:szCs w:val="22"/>
        </w:rPr>
      </w:pPr>
    </w:p>
    <w:p w14:paraId="02AEBAAF" w14:textId="77777777" w:rsidR="00425552" w:rsidRDefault="00425552" w:rsidP="00425552">
      <w:pPr>
        <w:rPr>
          <w:rFonts w:ascii="Arial" w:eastAsia="Arial" w:hAnsi="Arial" w:cs="Arial"/>
          <w:b/>
          <w:sz w:val="22"/>
          <w:szCs w:val="22"/>
        </w:rPr>
      </w:pPr>
    </w:p>
    <w:p w14:paraId="043C717E" w14:textId="77777777" w:rsidR="00425552" w:rsidRDefault="00425552" w:rsidP="00425552">
      <w:pPr>
        <w:rPr>
          <w:rFonts w:ascii="Arial" w:eastAsia="Arial" w:hAnsi="Arial" w:cs="Arial"/>
          <w:b/>
          <w:sz w:val="22"/>
          <w:szCs w:val="22"/>
        </w:rPr>
      </w:pPr>
      <w:r>
        <w:rPr>
          <w:rFonts w:ascii="Arial" w:eastAsia="Arial" w:hAnsi="Arial" w:cs="Arial"/>
          <w:b/>
          <w:noProof/>
          <w:sz w:val="22"/>
          <w:szCs w:val="22"/>
        </w:rPr>
        <w:drawing>
          <wp:inline distT="0" distB="0" distL="0" distR="0" wp14:anchorId="30142F7A" wp14:editId="116E20A2">
            <wp:extent cx="5518785" cy="7809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518785" cy="7809865"/>
                    </a:xfrm>
                    <a:prstGeom prst="rect">
                      <a:avLst/>
                    </a:prstGeom>
                  </pic:spPr>
                </pic:pic>
              </a:graphicData>
            </a:graphic>
          </wp:inline>
        </w:drawing>
      </w:r>
    </w:p>
    <w:p w14:paraId="1DDA9ECF" w14:textId="77777777" w:rsidR="00425552" w:rsidRDefault="00425552" w:rsidP="00425552">
      <w:pPr>
        <w:rPr>
          <w:rFonts w:ascii="Arial" w:eastAsia="Arial" w:hAnsi="Arial" w:cs="Arial"/>
          <w:sz w:val="22"/>
          <w:szCs w:val="22"/>
        </w:rPr>
      </w:pPr>
      <w:r>
        <w:rPr>
          <w:rFonts w:ascii="Arial" w:eastAsia="Arial" w:hAnsi="Arial" w:cs="Arial"/>
          <w:b/>
          <w:sz w:val="22"/>
          <w:szCs w:val="22"/>
        </w:rPr>
        <w:t>Fig. S6.</w:t>
      </w:r>
      <w:r>
        <w:rPr>
          <w:rFonts w:ascii="Arial" w:eastAsia="Arial" w:hAnsi="Arial" w:cs="Arial"/>
          <w:sz w:val="22"/>
          <w:szCs w:val="22"/>
        </w:rPr>
        <w:t xml:space="preserve"> </w:t>
      </w:r>
      <w:r>
        <w:rPr>
          <w:rFonts w:ascii="Arial" w:eastAsia="Arial" w:hAnsi="Arial" w:cs="Arial"/>
          <w:b/>
          <w:sz w:val="22"/>
          <w:szCs w:val="22"/>
        </w:rPr>
        <w:t>Mean infection loads are reduced in salamanders</w:t>
      </w:r>
      <w:r>
        <w:rPr>
          <w:rFonts w:ascii="Arial" w:eastAsia="Arial" w:hAnsi="Arial" w:cs="Arial"/>
          <w:sz w:val="22"/>
          <w:szCs w:val="22"/>
        </w:rPr>
        <w:t xml:space="preserve">. </w:t>
      </w:r>
      <w:r>
        <w:rPr>
          <w:rFonts w:ascii="Arial" w:eastAsia="Arial" w:hAnsi="Arial" w:cs="Arial"/>
          <w:b/>
          <w:sz w:val="22"/>
          <w:szCs w:val="22"/>
        </w:rPr>
        <w:t>(a)</w:t>
      </w:r>
      <w:r>
        <w:rPr>
          <w:rFonts w:ascii="Arial" w:eastAsia="Arial" w:hAnsi="Arial" w:cs="Arial"/>
          <w:sz w:val="22"/>
          <w:szCs w:val="22"/>
        </w:rPr>
        <w:t xml:space="preserve"> Mean </w:t>
      </w:r>
      <w:r>
        <w:rPr>
          <w:rFonts w:ascii="Arial" w:eastAsia="Arial" w:hAnsi="Arial" w:cs="Arial"/>
          <w:i/>
          <w:sz w:val="22"/>
          <w:szCs w:val="22"/>
        </w:rPr>
        <w:t>Bd</w:t>
      </w:r>
      <w:r>
        <w:rPr>
          <w:rFonts w:ascii="Arial" w:eastAsia="Arial" w:hAnsi="Arial" w:cs="Arial"/>
          <w:sz w:val="22"/>
          <w:szCs w:val="22"/>
        </w:rPr>
        <w:t xml:space="preserve"> loads are shown for hosts of each species that exhibited infections at the end of the experiment, for the five community composition treatments performed (x axis). </w:t>
      </w:r>
      <w:r>
        <w:rPr>
          <w:rFonts w:ascii="Arial" w:eastAsia="Arial" w:hAnsi="Arial" w:cs="Arial"/>
          <w:b/>
          <w:sz w:val="22"/>
          <w:szCs w:val="22"/>
        </w:rPr>
        <w:t>(b)</w:t>
      </w:r>
      <w:r>
        <w:rPr>
          <w:rFonts w:ascii="Arial" w:eastAsia="Arial" w:hAnsi="Arial" w:cs="Arial"/>
          <w:sz w:val="22"/>
          <w:szCs w:val="22"/>
        </w:rPr>
        <w:t xml:space="preserve"> overall mean </w:t>
      </w:r>
      <w:r w:rsidRPr="00886F84">
        <w:rPr>
          <w:rFonts w:ascii="Arial" w:eastAsia="Arial" w:hAnsi="Arial" w:cs="Arial"/>
          <w:i/>
          <w:iCs/>
          <w:sz w:val="22"/>
          <w:szCs w:val="22"/>
        </w:rPr>
        <w:t>Bd</w:t>
      </w:r>
      <w:r>
        <w:rPr>
          <w:rFonts w:ascii="Arial" w:eastAsia="Arial" w:hAnsi="Arial" w:cs="Arial"/>
          <w:sz w:val="22"/>
          <w:szCs w:val="22"/>
        </w:rPr>
        <w:t xml:space="preserve"> loads exhibited by infected frogs (green), toads (blue) and salamanders (black) at the end of the experiment. Data were pooled across all treatments.  </w:t>
      </w:r>
    </w:p>
    <w:p w14:paraId="670B1FDD" w14:textId="77777777" w:rsidR="00425552" w:rsidRDefault="00425552" w:rsidP="00425552">
      <w:pPr>
        <w:rPr>
          <w:rFonts w:ascii="Arial" w:eastAsia="Arial" w:hAnsi="Arial" w:cs="Arial"/>
          <w:sz w:val="22"/>
          <w:szCs w:val="22"/>
        </w:rPr>
      </w:pPr>
      <w:r>
        <w:rPr>
          <w:rFonts w:ascii="Arial" w:eastAsia="Arial" w:hAnsi="Arial" w:cs="Arial"/>
          <w:sz w:val="22"/>
          <w:szCs w:val="22"/>
        </w:rPr>
        <w:br w:type="page"/>
      </w:r>
    </w:p>
    <w:p w14:paraId="30D2467A" w14:textId="77777777" w:rsidR="00425552" w:rsidRDefault="00425552" w:rsidP="00425552">
      <w:pPr>
        <w:rPr>
          <w:rFonts w:ascii="Arial" w:eastAsia="Arial" w:hAnsi="Arial" w:cs="Arial"/>
          <w:sz w:val="22"/>
          <w:szCs w:val="22"/>
        </w:rPr>
      </w:pPr>
      <w:r w:rsidRPr="006B086A">
        <w:rPr>
          <w:rFonts w:ascii="Arial" w:eastAsia="Arial" w:hAnsi="Arial" w:cs="Arial"/>
          <w:noProof/>
          <w:sz w:val="22"/>
          <w:szCs w:val="22"/>
        </w:rPr>
        <w:lastRenderedPageBreak/>
        <w:drawing>
          <wp:inline distT="0" distB="0" distL="0" distR="0" wp14:anchorId="48E69B00" wp14:editId="51D53906">
            <wp:extent cx="5518785" cy="3477895"/>
            <wp:effectExtent l="0" t="0" r="5715" b="8255"/>
            <wp:docPr id="12" name="Picture 12" descr="Chart, box and whisker chart&#10;&#10;Description automatically generated">
              <a:extLst xmlns:a="http://schemas.openxmlformats.org/drawingml/2006/main">
                <a:ext uri="{FF2B5EF4-FFF2-40B4-BE49-F238E27FC236}">
                  <a16:creationId xmlns:a16="http://schemas.microsoft.com/office/drawing/2014/main" id="{9E3FA2C2-BAD6-4637-AEF0-718C51634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a:extLst>
                        <a:ext uri="{FF2B5EF4-FFF2-40B4-BE49-F238E27FC236}">
                          <a16:creationId xmlns:a16="http://schemas.microsoft.com/office/drawing/2014/main" id="{9E3FA2C2-BAD6-4637-AEF0-718C516346DD}"/>
                        </a:ext>
                      </a:extLst>
                    </pic:cNvPr>
                    <pic:cNvPicPr>
                      <a:picLocks noChangeAspect="1"/>
                    </pic:cNvPicPr>
                  </pic:nvPicPr>
                  <pic:blipFill>
                    <a:blip r:embed="rId20"/>
                    <a:stretch>
                      <a:fillRect/>
                    </a:stretch>
                  </pic:blipFill>
                  <pic:spPr>
                    <a:xfrm>
                      <a:off x="0" y="0"/>
                      <a:ext cx="5518785" cy="3477895"/>
                    </a:xfrm>
                    <a:prstGeom prst="rect">
                      <a:avLst/>
                    </a:prstGeom>
                  </pic:spPr>
                </pic:pic>
              </a:graphicData>
            </a:graphic>
          </wp:inline>
        </w:drawing>
      </w:r>
    </w:p>
    <w:p w14:paraId="0DE688BF" w14:textId="77777777" w:rsidR="00425552" w:rsidRDefault="00425552" w:rsidP="00425552">
      <w:pPr>
        <w:rPr>
          <w:rFonts w:ascii="Arial" w:eastAsia="Arial" w:hAnsi="Arial" w:cs="Arial"/>
          <w:sz w:val="22"/>
          <w:szCs w:val="22"/>
        </w:rPr>
      </w:pPr>
    </w:p>
    <w:p w14:paraId="6018B35E" w14:textId="77777777" w:rsidR="00425552" w:rsidRDefault="00425552" w:rsidP="00425552">
      <w:pPr>
        <w:rPr>
          <w:rFonts w:ascii="Arial" w:eastAsia="Arial" w:hAnsi="Arial" w:cs="Arial"/>
          <w:sz w:val="22"/>
          <w:szCs w:val="22"/>
        </w:rPr>
      </w:pPr>
      <w:r w:rsidRPr="006A10DF">
        <w:rPr>
          <w:rFonts w:ascii="Arial" w:eastAsia="Arial" w:hAnsi="Arial" w:cs="Arial"/>
          <w:b/>
          <w:bCs/>
          <w:sz w:val="22"/>
          <w:szCs w:val="22"/>
        </w:rPr>
        <w:t>Fig. S</w:t>
      </w:r>
      <w:r>
        <w:rPr>
          <w:rFonts w:ascii="Arial" w:eastAsia="Arial" w:hAnsi="Arial" w:cs="Arial"/>
          <w:b/>
          <w:bCs/>
          <w:sz w:val="22"/>
          <w:szCs w:val="22"/>
        </w:rPr>
        <w:t>7</w:t>
      </w:r>
      <w:r w:rsidRPr="006A10DF">
        <w:rPr>
          <w:rFonts w:ascii="Arial" w:eastAsia="Arial" w:hAnsi="Arial" w:cs="Arial"/>
          <w:b/>
          <w:bCs/>
          <w:sz w:val="22"/>
          <w:szCs w:val="22"/>
        </w:rPr>
        <w:t>.</w:t>
      </w:r>
      <w:r>
        <w:rPr>
          <w:rFonts w:ascii="Arial" w:eastAsia="Arial" w:hAnsi="Arial" w:cs="Arial"/>
          <w:b/>
          <w:bCs/>
          <w:sz w:val="22"/>
          <w:szCs w:val="22"/>
        </w:rPr>
        <w:t xml:space="preserve"> </w:t>
      </w:r>
      <w:r w:rsidRPr="006A10DF">
        <w:rPr>
          <w:rFonts w:ascii="Arial" w:eastAsia="Arial" w:hAnsi="Arial" w:cs="Arial"/>
          <w:b/>
          <w:bCs/>
          <w:sz w:val="22"/>
          <w:szCs w:val="22"/>
        </w:rPr>
        <w:t>Fit of the dynamical model to data from 3-species communities</w:t>
      </w:r>
      <w:r>
        <w:rPr>
          <w:rFonts w:ascii="Arial" w:eastAsia="Arial" w:hAnsi="Arial" w:cs="Arial"/>
          <w:sz w:val="22"/>
          <w:szCs w:val="22"/>
        </w:rPr>
        <w:t xml:space="preserve">. Shown are the median (±95% CI) predictions from the dynamical model for final numbers of </w:t>
      </w:r>
      <w:proofErr w:type="spellStart"/>
      <w:r>
        <w:rPr>
          <w:rFonts w:ascii="Arial" w:eastAsia="Arial" w:hAnsi="Arial" w:cs="Arial"/>
          <w:sz w:val="22"/>
          <w:szCs w:val="22"/>
        </w:rPr>
        <w:t>infecteds</w:t>
      </w:r>
      <w:proofErr w:type="spellEnd"/>
      <w:r>
        <w:rPr>
          <w:rFonts w:ascii="Arial" w:eastAsia="Arial" w:hAnsi="Arial" w:cs="Arial"/>
          <w:sz w:val="22"/>
          <w:szCs w:val="22"/>
        </w:rPr>
        <w:t xml:space="preserve"> salamanders (black), toads (blue) and frogs (orange), against the corresponding observed final number of infected individuals for each of the 3-species experimental communities. The solid line shows a fitted linear regression through these points (Pearson </w:t>
      </w:r>
      <w:r>
        <w:rPr>
          <w:rFonts w:ascii="Arial" w:hAnsi="Arial" w:cs="Arial"/>
          <w:color w:val="000000"/>
          <w:sz w:val="22"/>
          <w:szCs w:val="22"/>
        </w:rPr>
        <w:t>correlation coefficient = 0.70; R</w:t>
      </w:r>
      <w:r>
        <w:rPr>
          <w:rFonts w:ascii="Arial" w:hAnsi="Arial" w:cs="Arial"/>
          <w:color w:val="000000"/>
          <w:sz w:val="13"/>
          <w:szCs w:val="13"/>
          <w:vertAlign w:val="superscript"/>
        </w:rPr>
        <w:t>2</w:t>
      </w:r>
      <w:r>
        <w:rPr>
          <w:rFonts w:ascii="Arial" w:hAnsi="Arial" w:cs="Arial"/>
          <w:color w:val="000000"/>
          <w:sz w:val="22"/>
          <w:szCs w:val="22"/>
        </w:rPr>
        <w:t xml:space="preserve"> = 0.50).</w:t>
      </w:r>
    </w:p>
    <w:p w14:paraId="2EA60EE4" w14:textId="77777777" w:rsidR="00425552" w:rsidRDefault="00425552" w:rsidP="00425552">
      <w:pPr>
        <w:rPr>
          <w:rFonts w:ascii="Arial" w:eastAsia="Arial" w:hAnsi="Arial" w:cs="Arial"/>
          <w:sz w:val="22"/>
          <w:szCs w:val="22"/>
        </w:rPr>
      </w:pPr>
      <w:r>
        <w:rPr>
          <w:rFonts w:ascii="Arial" w:eastAsia="Arial" w:hAnsi="Arial" w:cs="Arial"/>
          <w:sz w:val="22"/>
          <w:szCs w:val="22"/>
        </w:rPr>
        <w:t xml:space="preserve"> </w:t>
      </w:r>
    </w:p>
    <w:p w14:paraId="33961054" w14:textId="77777777" w:rsidR="00425552" w:rsidRDefault="00425552" w:rsidP="00425552">
      <w:pPr>
        <w:rPr>
          <w:rFonts w:ascii="Arial" w:eastAsia="Arial" w:hAnsi="Arial" w:cs="Arial"/>
          <w:sz w:val="22"/>
          <w:szCs w:val="22"/>
        </w:rPr>
      </w:pPr>
    </w:p>
    <w:p w14:paraId="1EFD35A4" w14:textId="77777777" w:rsidR="00425552" w:rsidRDefault="00425552" w:rsidP="00425552">
      <w:pPr>
        <w:rPr>
          <w:rFonts w:ascii="Arial" w:eastAsia="Arial" w:hAnsi="Arial" w:cs="Arial"/>
          <w:sz w:val="22"/>
          <w:szCs w:val="22"/>
        </w:rPr>
      </w:pPr>
      <w:r>
        <w:br w:type="page"/>
      </w:r>
    </w:p>
    <w:p w14:paraId="72FFA739" w14:textId="77777777" w:rsidR="00425552" w:rsidRDefault="00425552" w:rsidP="00425552">
      <w:pPr>
        <w:rPr>
          <w:rFonts w:ascii="Arial" w:eastAsia="Arial" w:hAnsi="Arial" w:cs="Arial"/>
          <w:sz w:val="22"/>
          <w:szCs w:val="22"/>
        </w:rPr>
      </w:pPr>
    </w:p>
    <w:p w14:paraId="54BF1CF5" w14:textId="77777777" w:rsidR="00425552" w:rsidRDefault="00425552" w:rsidP="00425552">
      <w:pPr>
        <w:rPr>
          <w:rFonts w:ascii="Arial" w:eastAsia="Arial" w:hAnsi="Arial" w:cs="Arial"/>
          <w:sz w:val="22"/>
          <w:szCs w:val="22"/>
        </w:rPr>
      </w:pPr>
    </w:p>
    <w:tbl>
      <w:tblPr>
        <w:tblW w:w="8592" w:type="dxa"/>
        <w:tblInd w:w="-342" w:type="dxa"/>
        <w:tblLayout w:type="fixed"/>
        <w:tblLook w:val="04A0" w:firstRow="1" w:lastRow="0" w:firstColumn="1" w:lastColumn="0" w:noHBand="0" w:noVBand="1"/>
      </w:tblPr>
      <w:tblGrid>
        <w:gridCol w:w="2435"/>
        <w:gridCol w:w="1276"/>
        <w:gridCol w:w="850"/>
        <w:gridCol w:w="1418"/>
        <w:gridCol w:w="1173"/>
        <w:gridCol w:w="1440"/>
      </w:tblGrid>
      <w:tr w:rsidR="00425552" w:rsidRPr="00D81B0F" w14:paraId="67881195" w14:textId="77777777" w:rsidTr="00F95593">
        <w:trPr>
          <w:trHeight w:val="320"/>
        </w:trPr>
        <w:tc>
          <w:tcPr>
            <w:tcW w:w="243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2C6C888" w14:textId="77777777" w:rsidR="00425552" w:rsidRPr="00B34D91" w:rsidRDefault="00425552" w:rsidP="00F95593">
            <w:pPr>
              <w:jc w:val="center"/>
              <w:rPr>
                <w:rFonts w:ascii="Arial" w:eastAsia="Times New Roman" w:hAnsi="Arial" w:cs="Arial"/>
                <w:b/>
                <w:bCs/>
                <w:color w:val="000000"/>
                <w:sz w:val="18"/>
                <w:szCs w:val="18"/>
              </w:rPr>
            </w:pPr>
            <w:r w:rsidRPr="00B34D91">
              <w:rPr>
                <w:rFonts w:ascii="Arial" w:eastAsia="Times New Roman" w:hAnsi="Arial" w:cs="Arial"/>
                <w:b/>
                <w:bCs/>
                <w:color w:val="000000"/>
                <w:sz w:val="18"/>
                <w:szCs w:val="18"/>
              </w:rPr>
              <w:t>treatment</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5F07E7F7" w14:textId="77777777" w:rsidR="00425552" w:rsidRPr="00B34D91" w:rsidRDefault="00425552" w:rsidP="00F95593">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identity</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4D5AD169" w14:textId="77777777" w:rsidR="00425552" w:rsidRPr="00B34D91" w:rsidRDefault="00425552" w:rsidP="00F95593">
            <w:pPr>
              <w:jc w:val="center"/>
              <w:rPr>
                <w:rFonts w:ascii="Arial" w:eastAsia="Times New Roman" w:hAnsi="Arial" w:cs="Arial"/>
                <w:b/>
                <w:bCs/>
                <w:color w:val="000000"/>
                <w:sz w:val="18"/>
                <w:szCs w:val="18"/>
              </w:rPr>
            </w:pPr>
            <w:r w:rsidRPr="00B34D91">
              <w:rPr>
                <w:rFonts w:ascii="Arial" w:eastAsia="Times New Roman" w:hAnsi="Arial" w:cs="Arial"/>
                <w:b/>
                <w:bCs/>
                <w:color w:val="000000"/>
                <w:sz w:val="18"/>
                <w:szCs w:val="18"/>
              </w:rPr>
              <w:t>deaths</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14:paraId="30208B74" w14:textId="77777777" w:rsidR="00425552" w:rsidRPr="00B34D91" w:rsidRDefault="00425552" w:rsidP="00F95593">
            <w:pPr>
              <w:jc w:val="center"/>
              <w:rPr>
                <w:rFonts w:ascii="Arial" w:eastAsia="Times New Roman" w:hAnsi="Arial" w:cs="Arial"/>
                <w:b/>
                <w:bCs/>
                <w:color w:val="000000"/>
                <w:sz w:val="18"/>
                <w:szCs w:val="18"/>
              </w:rPr>
            </w:pPr>
            <w:proofErr w:type="spellStart"/>
            <w:r w:rsidRPr="00B34D91">
              <w:rPr>
                <w:rFonts w:ascii="Arial" w:eastAsia="Times New Roman" w:hAnsi="Arial" w:cs="Arial"/>
                <w:b/>
                <w:bCs/>
                <w:color w:val="000000"/>
                <w:sz w:val="18"/>
                <w:szCs w:val="18"/>
              </w:rPr>
              <w:t>metamorphs</w:t>
            </w:r>
            <w:proofErr w:type="spellEnd"/>
          </w:p>
        </w:tc>
        <w:tc>
          <w:tcPr>
            <w:tcW w:w="1173" w:type="dxa"/>
            <w:tcBorders>
              <w:top w:val="single" w:sz="8" w:space="0" w:color="auto"/>
              <w:left w:val="nil"/>
              <w:bottom w:val="single" w:sz="8" w:space="0" w:color="auto"/>
              <w:right w:val="nil"/>
            </w:tcBorders>
            <w:shd w:val="clear" w:color="auto" w:fill="auto"/>
            <w:noWrap/>
            <w:vAlign w:val="bottom"/>
            <w:hideMark/>
          </w:tcPr>
          <w:p w14:paraId="6B92A09A" w14:textId="77777777" w:rsidR="00425552" w:rsidRPr="00B34D91" w:rsidRDefault="00425552" w:rsidP="00F95593">
            <w:pPr>
              <w:jc w:val="center"/>
              <w:rPr>
                <w:rFonts w:ascii="Arial" w:eastAsia="Times New Roman" w:hAnsi="Arial" w:cs="Arial"/>
                <w:b/>
                <w:bCs/>
                <w:color w:val="000000"/>
                <w:sz w:val="18"/>
                <w:szCs w:val="18"/>
              </w:rPr>
            </w:pPr>
            <w:r w:rsidRPr="00B34D91">
              <w:rPr>
                <w:rFonts w:ascii="Arial" w:eastAsia="Times New Roman" w:hAnsi="Arial" w:cs="Arial"/>
                <w:b/>
                <w:bCs/>
                <w:color w:val="000000"/>
                <w:sz w:val="18"/>
                <w:szCs w:val="18"/>
              </w:rPr>
              <w:t>total removed</w:t>
            </w:r>
          </w:p>
        </w:tc>
        <w:tc>
          <w:tcPr>
            <w:tcW w:w="14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73282E60" w14:textId="77777777" w:rsidR="00425552" w:rsidRPr="00B34D91" w:rsidRDefault="00425552" w:rsidP="00F95593">
            <w:pPr>
              <w:jc w:val="center"/>
              <w:rPr>
                <w:rFonts w:ascii="Arial" w:eastAsia="Times New Roman" w:hAnsi="Arial" w:cs="Arial"/>
                <w:b/>
                <w:bCs/>
                <w:color w:val="000000"/>
                <w:sz w:val="18"/>
                <w:szCs w:val="18"/>
              </w:rPr>
            </w:pPr>
            <w:r w:rsidRPr="00B34D91">
              <w:rPr>
                <w:rFonts w:ascii="Arial" w:eastAsia="Times New Roman" w:hAnsi="Arial" w:cs="Arial"/>
                <w:b/>
                <w:bCs/>
                <w:color w:val="000000"/>
                <w:sz w:val="18"/>
                <w:szCs w:val="18"/>
              </w:rPr>
              <w:t>mean final abundance</w:t>
            </w:r>
          </w:p>
        </w:tc>
      </w:tr>
      <w:tr w:rsidR="00425552" w:rsidRPr="00D81B0F" w14:paraId="3ECC9BE4" w14:textId="77777777" w:rsidTr="00F95593">
        <w:trPr>
          <w:trHeight w:val="300"/>
        </w:trPr>
        <w:tc>
          <w:tcPr>
            <w:tcW w:w="2435"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A1772F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b/>
                <w:bCs/>
                <w:color w:val="000000"/>
                <w:sz w:val="18"/>
                <w:szCs w:val="18"/>
              </w:rPr>
              <w:t>1 species</w:t>
            </w:r>
            <w:r w:rsidRPr="00B34D91">
              <w:rPr>
                <w:rFonts w:ascii="Arial" w:eastAsia="Times New Roman" w:hAnsi="Arial" w:cs="Arial"/>
                <w:color w:val="000000"/>
                <w:sz w:val="18"/>
                <w:szCs w:val="18"/>
              </w:rPr>
              <w:t xml:space="preserve"> (control)</w:t>
            </w:r>
          </w:p>
        </w:tc>
        <w:tc>
          <w:tcPr>
            <w:tcW w:w="1276" w:type="dxa"/>
            <w:tcBorders>
              <w:top w:val="nil"/>
              <w:left w:val="nil"/>
              <w:bottom w:val="single" w:sz="4" w:space="0" w:color="auto"/>
              <w:right w:val="single" w:sz="4" w:space="0" w:color="auto"/>
            </w:tcBorders>
            <w:shd w:val="clear" w:color="auto" w:fill="auto"/>
            <w:noWrap/>
            <w:vAlign w:val="bottom"/>
            <w:hideMark/>
          </w:tcPr>
          <w:p w14:paraId="20A1846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salamander</w:t>
            </w:r>
          </w:p>
        </w:tc>
        <w:tc>
          <w:tcPr>
            <w:tcW w:w="850" w:type="dxa"/>
            <w:tcBorders>
              <w:top w:val="nil"/>
              <w:left w:val="nil"/>
              <w:bottom w:val="single" w:sz="4" w:space="0" w:color="auto"/>
              <w:right w:val="single" w:sz="4" w:space="0" w:color="auto"/>
            </w:tcBorders>
            <w:shd w:val="clear" w:color="auto" w:fill="auto"/>
            <w:noWrap/>
            <w:vAlign w:val="bottom"/>
            <w:hideMark/>
          </w:tcPr>
          <w:p w14:paraId="6F606E9A"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3</w:t>
            </w:r>
          </w:p>
        </w:tc>
        <w:tc>
          <w:tcPr>
            <w:tcW w:w="1418" w:type="dxa"/>
            <w:tcBorders>
              <w:top w:val="nil"/>
              <w:left w:val="nil"/>
              <w:bottom w:val="single" w:sz="4" w:space="0" w:color="auto"/>
              <w:right w:val="single" w:sz="4" w:space="0" w:color="auto"/>
            </w:tcBorders>
            <w:shd w:val="clear" w:color="auto" w:fill="auto"/>
            <w:noWrap/>
            <w:vAlign w:val="bottom"/>
            <w:hideMark/>
          </w:tcPr>
          <w:p w14:paraId="61800354"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14</w:t>
            </w:r>
          </w:p>
        </w:tc>
        <w:tc>
          <w:tcPr>
            <w:tcW w:w="1173" w:type="dxa"/>
            <w:tcBorders>
              <w:top w:val="nil"/>
              <w:left w:val="nil"/>
              <w:bottom w:val="single" w:sz="4" w:space="0" w:color="auto"/>
              <w:right w:val="nil"/>
            </w:tcBorders>
            <w:shd w:val="clear" w:color="auto" w:fill="auto"/>
            <w:noWrap/>
            <w:vAlign w:val="bottom"/>
            <w:hideMark/>
          </w:tcPr>
          <w:p w14:paraId="070C914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17</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082CEEAA"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21</w:t>
            </w:r>
          </w:p>
        </w:tc>
      </w:tr>
      <w:tr w:rsidR="00425552" w:rsidRPr="00D81B0F" w14:paraId="2BB18345" w14:textId="77777777" w:rsidTr="00F95593">
        <w:trPr>
          <w:trHeight w:val="300"/>
        </w:trPr>
        <w:tc>
          <w:tcPr>
            <w:tcW w:w="2435" w:type="dxa"/>
            <w:vMerge/>
            <w:tcBorders>
              <w:top w:val="nil"/>
              <w:left w:val="single" w:sz="8" w:space="0" w:color="auto"/>
              <w:bottom w:val="single" w:sz="8" w:space="0" w:color="000000"/>
              <w:right w:val="single" w:sz="4" w:space="0" w:color="auto"/>
            </w:tcBorders>
            <w:vAlign w:val="center"/>
            <w:hideMark/>
          </w:tcPr>
          <w:p w14:paraId="4A855324"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77D379B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toads</w:t>
            </w:r>
          </w:p>
        </w:tc>
        <w:tc>
          <w:tcPr>
            <w:tcW w:w="850" w:type="dxa"/>
            <w:tcBorders>
              <w:top w:val="nil"/>
              <w:left w:val="nil"/>
              <w:bottom w:val="single" w:sz="4" w:space="0" w:color="auto"/>
              <w:right w:val="single" w:sz="4" w:space="0" w:color="auto"/>
            </w:tcBorders>
            <w:shd w:val="clear" w:color="auto" w:fill="auto"/>
            <w:noWrap/>
            <w:vAlign w:val="bottom"/>
            <w:hideMark/>
          </w:tcPr>
          <w:p w14:paraId="06F097E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14:paraId="570044A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173" w:type="dxa"/>
            <w:tcBorders>
              <w:top w:val="nil"/>
              <w:left w:val="nil"/>
              <w:bottom w:val="single" w:sz="4" w:space="0" w:color="auto"/>
              <w:right w:val="nil"/>
            </w:tcBorders>
            <w:shd w:val="clear" w:color="auto" w:fill="auto"/>
            <w:noWrap/>
            <w:vAlign w:val="bottom"/>
            <w:hideMark/>
          </w:tcPr>
          <w:p w14:paraId="40574676"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6F36FDBF"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r>
      <w:tr w:rsidR="00425552" w:rsidRPr="00D81B0F" w14:paraId="651A5574" w14:textId="77777777" w:rsidTr="00F95593">
        <w:trPr>
          <w:trHeight w:val="320"/>
        </w:trPr>
        <w:tc>
          <w:tcPr>
            <w:tcW w:w="2435" w:type="dxa"/>
            <w:vMerge/>
            <w:tcBorders>
              <w:top w:val="nil"/>
              <w:left w:val="single" w:sz="8" w:space="0" w:color="auto"/>
              <w:bottom w:val="single" w:sz="8" w:space="0" w:color="000000"/>
              <w:right w:val="single" w:sz="4" w:space="0" w:color="auto"/>
            </w:tcBorders>
            <w:vAlign w:val="center"/>
            <w:hideMark/>
          </w:tcPr>
          <w:p w14:paraId="5405C3B5"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8" w:space="0" w:color="auto"/>
              <w:right w:val="single" w:sz="4" w:space="0" w:color="auto"/>
            </w:tcBorders>
            <w:shd w:val="clear" w:color="auto" w:fill="auto"/>
            <w:noWrap/>
            <w:vAlign w:val="bottom"/>
            <w:hideMark/>
          </w:tcPr>
          <w:p w14:paraId="7C31E83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frogs</w:t>
            </w:r>
          </w:p>
        </w:tc>
        <w:tc>
          <w:tcPr>
            <w:tcW w:w="850" w:type="dxa"/>
            <w:tcBorders>
              <w:top w:val="nil"/>
              <w:left w:val="nil"/>
              <w:bottom w:val="single" w:sz="8" w:space="0" w:color="auto"/>
              <w:right w:val="single" w:sz="4" w:space="0" w:color="auto"/>
            </w:tcBorders>
            <w:shd w:val="clear" w:color="auto" w:fill="auto"/>
            <w:noWrap/>
            <w:vAlign w:val="bottom"/>
            <w:hideMark/>
          </w:tcPr>
          <w:p w14:paraId="21A5A02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18" w:type="dxa"/>
            <w:tcBorders>
              <w:top w:val="nil"/>
              <w:left w:val="nil"/>
              <w:bottom w:val="single" w:sz="8" w:space="0" w:color="auto"/>
              <w:right w:val="single" w:sz="4" w:space="0" w:color="auto"/>
            </w:tcBorders>
            <w:shd w:val="clear" w:color="auto" w:fill="auto"/>
            <w:noWrap/>
            <w:vAlign w:val="bottom"/>
            <w:hideMark/>
          </w:tcPr>
          <w:p w14:paraId="69FDD7D9"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173" w:type="dxa"/>
            <w:tcBorders>
              <w:top w:val="nil"/>
              <w:left w:val="nil"/>
              <w:bottom w:val="single" w:sz="8" w:space="0" w:color="auto"/>
              <w:right w:val="nil"/>
            </w:tcBorders>
            <w:shd w:val="clear" w:color="auto" w:fill="auto"/>
            <w:noWrap/>
            <w:vAlign w:val="bottom"/>
            <w:hideMark/>
          </w:tcPr>
          <w:p w14:paraId="4A4E9E5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451C2DEA"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r>
      <w:tr w:rsidR="00425552" w:rsidRPr="00D81B0F" w14:paraId="31784611" w14:textId="77777777" w:rsidTr="00F95593">
        <w:trPr>
          <w:trHeight w:val="300"/>
        </w:trPr>
        <w:tc>
          <w:tcPr>
            <w:tcW w:w="2435"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E4D2F1D"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b/>
                <w:bCs/>
                <w:color w:val="000000"/>
                <w:sz w:val="18"/>
                <w:szCs w:val="18"/>
              </w:rPr>
              <w:t xml:space="preserve">2 species - </w:t>
            </w:r>
            <w:r w:rsidRPr="00B34D91">
              <w:rPr>
                <w:rFonts w:ascii="Arial" w:eastAsia="Times New Roman" w:hAnsi="Arial" w:cs="Arial"/>
                <w:color w:val="000000"/>
                <w:sz w:val="18"/>
                <w:szCs w:val="18"/>
              </w:rPr>
              <w:t>salamanders + toads</w:t>
            </w:r>
          </w:p>
        </w:tc>
        <w:tc>
          <w:tcPr>
            <w:tcW w:w="1276" w:type="dxa"/>
            <w:tcBorders>
              <w:top w:val="nil"/>
              <w:left w:val="nil"/>
              <w:bottom w:val="single" w:sz="4" w:space="0" w:color="auto"/>
              <w:right w:val="single" w:sz="4" w:space="0" w:color="auto"/>
            </w:tcBorders>
            <w:shd w:val="clear" w:color="auto" w:fill="auto"/>
            <w:noWrap/>
            <w:vAlign w:val="bottom"/>
            <w:hideMark/>
          </w:tcPr>
          <w:p w14:paraId="32153B8F"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salamanders</w:t>
            </w:r>
          </w:p>
        </w:tc>
        <w:tc>
          <w:tcPr>
            <w:tcW w:w="850" w:type="dxa"/>
            <w:tcBorders>
              <w:top w:val="nil"/>
              <w:left w:val="nil"/>
              <w:bottom w:val="single" w:sz="4" w:space="0" w:color="auto"/>
              <w:right w:val="single" w:sz="4" w:space="0" w:color="auto"/>
            </w:tcBorders>
            <w:shd w:val="clear" w:color="auto" w:fill="auto"/>
            <w:noWrap/>
            <w:vAlign w:val="bottom"/>
            <w:hideMark/>
          </w:tcPr>
          <w:p w14:paraId="739AB67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14:paraId="1157B593"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23</w:t>
            </w:r>
          </w:p>
        </w:tc>
        <w:tc>
          <w:tcPr>
            <w:tcW w:w="1173" w:type="dxa"/>
            <w:tcBorders>
              <w:top w:val="nil"/>
              <w:left w:val="nil"/>
              <w:bottom w:val="single" w:sz="4" w:space="0" w:color="auto"/>
              <w:right w:val="nil"/>
            </w:tcBorders>
            <w:shd w:val="clear" w:color="auto" w:fill="auto"/>
            <w:noWrap/>
            <w:vAlign w:val="bottom"/>
            <w:hideMark/>
          </w:tcPr>
          <w:p w14:paraId="6CDD8C0F"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23</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0A531C7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8</w:t>
            </w:r>
          </w:p>
        </w:tc>
      </w:tr>
      <w:tr w:rsidR="00425552" w:rsidRPr="00D81B0F" w14:paraId="0A712199" w14:textId="77777777" w:rsidTr="00F95593">
        <w:trPr>
          <w:trHeight w:val="300"/>
        </w:trPr>
        <w:tc>
          <w:tcPr>
            <w:tcW w:w="2435" w:type="dxa"/>
            <w:vMerge/>
            <w:tcBorders>
              <w:top w:val="nil"/>
              <w:left w:val="single" w:sz="8" w:space="0" w:color="auto"/>
              <w:bottom w:val="single" w:sz="8" w:space="0" w:color="000000"/>
              <w:right w:val="single" w:sz="4" w:space="0" w:color="auto"/>
            </w:tcBorders>
            <w:vAlign w:val="center"/>
            <w:hideMark/>
          </w:tcPr>
          <w:p w14:paraId="6E24DA88"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16E083E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frogs</w:t>
            </w:r>
          </w:p>
        </w:tc>
        <w:tc>
          <w:tcPr>
            <w:tcW w:w="850" w:type="dxa"/>
            <w:tcBorders>
              <w:top w:val="nil"/>
              <w:left w:val="nil"/>
              <w:bottom w:val="single" w:sz="4" w:space="0" w:color="auto"/>
              <w:right w:val="single" w:sz="4" w:space="0" w:color="auto"/>
            </w:tcBorders>
            <w:shd w:val="clear" w:color="auto" w:fill="auto"/>
            <w:noWrap/>
            <w:vAlign w:val="bottom"/>
            <w:hideMark/>
          </w:tcPr>
          <w:p w14:paraId="3E2FF494"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14:paraId="50C6A13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173" w:type="dxa"/>
            <w:tcBorders>
              <w:top w:val="nil"/>
              <w:left w:val="nil"/>
              <w:bottom w:val="single" w:sz="4" w:space="0" w:color="auto"/>
              <w:right w:val="nil"/>
            </w:tcBorders>
            <w:shd w:val="clear" w:color="auto" w:fill="auto"/>
            <w:noWrap/>
            <w:vAlign w:val="bottom"/>
            <w:hideMark/>
          </w:tcPr>
          <w:p w14:paraId="6F229CF4"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1DEC39C6"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12</w:t>
            </w:r>
          </w:p>
        </w:tc>
      </w:tr>
      <w:tr w:rsidR="00425552" w:rsidRPr="00D81B0F" w14:paraId="1149D468" w14:textId="77777777" w:rsidTr="00F95593">
        <w:trPr>
          <w:trHeight w:val="320"/>
        </w:trPr>
        <w:tc>
          <w:tcPr>
            <w:tcW w:w="2435" w:type="dxa"/>
            <w:vMerge/>
            <w:tcBorders>
              <w:top w:val="nil"/>
              <w:left w:val="single" w:sz="8" w:space="0" w:color="auto"/>
              <w:bottom w:val="single" w:sz="8" w:space="0" w:color="000000"/>
              <w:right w:val="single" w:sz="4" w:space="0" w:color="auto"/>
            </w:tcBorders>
            <w:vAlign w:val="center"/>
            <w:hideMark/>
          </w:tcPr>
          <w:p w14:paraId="312294B1"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8" w:space="0" w:color="auto"/>
              <w:right w:val="single" w:sz="4" w:space="0" w:color="auto"/>
            </w:tcBorders>
            <w:shd w:val="clear" w:color="auto" w:fill="auto"/>
            <w:noWrap/>
            <w:vAlign w:val="bottom"/>
            <w:hideMark/>
          </w:tcPr>
          <w:p w14:paraId="16AF274A"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toads</w:t>
            </w:r>
          </w:p>
        </w:tc>
        <w:tc>
          <w:tcPr>
            <w:tcW w:w="850" w:type="dxa"/>
            <w:tcBorders>
              <w:top w:val="nil"/>
              <w:left w:val="nil"/>
              <w:bottom w:val="single" w:sz="8" w:space="0" w:color="auto"/>
              <w:right w:val="single" w:sz="4" w:space="0" w:color="auto"/>
            </w:tcBorders>
            <w:shd w:val="clear" w:color="auto" w:fill="auto"/>
            <w:noWrap/>
            <w:vAlign w:val="bottom"/>
            <w:hideMark/>
          </w:tcPr>
          <w:p w14:paraId="5883055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18" w:type="dxa"/>
            <w:tcBorders>
              <w:top w:val="nil"/>
              <w:left w:val="nil"/>
              <w:bottom w:val="single" w:sz="8" w:space="0" w:color="auto"/>
              <w:right w:val="single" w:sz="4" w:space="0" w:color="auto"/>
            </w:tcBorders>
            <w:shd w:val="clear" w:color="auto" w:fill="auto"/>
            <w:noWrap/>
            <w:vAlign w:val="bottom"/>
            <w:hideMark/>
          </w:tcPr>
          <w:p w14:paraId="356FE08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173" w:type="dxa"/>
            <w:tcBorders>
              <w:top w:val="nil"/>
              <w:left w:val="nil"/>
              <w:bottom w:val="single" w:sz="8" w:space="0" w:color="auto"/>
              <w:right w:val="nil"/>
            </w:tcBorders>
            <w:shd w:val="clear" w:color="auto" w:fill="auto"/>
            <w:noWrap/>
            <w:vAlign w:val="bottom"/>
            <w:hideMark/>
          </w:tcPr>
          <w:p w14:paraId="200638D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29BEA197"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r>
      <w:tr w:rsidR="00425552" w:rsidRPr="00D81B0F" w14:paraId="599A4639" w14:textId="77777777" w:rsidTr="00F95593">
        <w:trPr>
          <w:trHeight w:val="300"/>
        </w:trPr>
        <w:tc>
          <w:tcPr>
            <w:tcW w:w="2435"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5866563F"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b/>
                <w:bCs/>
                <w:color w:val="000000"/>
                <w:sz w:val="18"/>
                <w:szCs w:val="18"/>
              </w:rPr>
              <w:t>2 species</w:t>
            </w:r>
            <w:r w:rsidRPr="00B34D91">
              <w:rPr>
                <w:rFonts w:ascii="Arial" w:eastAsia="Times New Roman" w:hAnsi="Arial" w:cs="Arial"/>
                <w:color w:val="000000"/>
                <w:sz w:val="18"/>
                <w:szCs w:val="18"/>
              </w:rPr>
              <w:t xml:space="preserve"> - salamanders + frogs</w:t>
            </w:r>
          </w:p>
        </w:tc>
        <w:tc>
          <w:tcPr>
            <w:tcW w:w="1276" w:type="dxa"/>
            <w:tcBorders>
              <w:top w:val="nil"/>
              <w:left w:val="nil"/>
              <w:bottom w:val="single" w:sz="4" w:space="0" w:color="auto"/>
              <w:right w:val="single" w:sz="4" w:space="0" w:color="auto"/>
            </w:tcBorders>
            <w:shd w:val="clear" w:color="auto" w:fill="auto"/>
            <w:noWrap/>
            <w:vAlign w:val="bottom"/>
            <w:hideMark/>
          </w:tcPr>
          <w:p w14:paraId="69079F2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salamanders</w:t>
            </w:r>
          </w:p>
        </w:tc>
        <w:tc>
          <w:tcPr>
            <w:tcW w:w="850" w:type="dxa"/>
            <w:tcBorders>
              <w:top w:val="nil"/>
              <w:left w:val="nil"/>
              <w:bottom w:val="single" w:sz="4" w:space="0" w:color="auto"/>
              <w:right w:val="single" w:sz="4" w:space="0" w:color="auto"/>
            </w:tcBorders>
            <w:shd w:val="clear" w:color="auto" w:fill="auto"/>
            <w:noWrap/>
            <w:vAlign w:val="bottom"/>
            <w:hideMark/>
          </w:tcPr>
          <w:p w14:paraId="6470929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14:paraId="4DB3E63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28</w:t>
            </w:r>
          </w:p>
        </w:tc>
        <w:tc>
          <w:tcPr>
            <w:tcW w:w="1173" w:type="dxa"/>
            <w:tcBorders>
              <w:top w:val="nil"/>
              <w:left w:val="nil"/>
              <w:bottom w:val="single" w:sz="4" w:space="0" w:color="auto"/>
              <w:right w:val="nil"/>
            </w:tcBorders>
            <w:shd w:val="clear" w:color="auto" w:fill="auto"/>
            <w:noWrap/>
            <w:vAlign w:val="bottom"/>
            <w:hideMark/>
          </w:tcPr>
          <w:p w14:paraId="0993E3DD"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30</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09994FE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7</w:t>
            </w:r>
          </w:p>
        </w:tc>
      </w:tr>
      <w:tr w:rsidR="00425552" w:rsidRPr="00D81B0F" w14:paraId="401A55DB" w14:textId="77777777" w:rsidTr="00F95593">
        <w:trPr>
          <w:trHeight w:val="300"/>
        </w:trPr>
        <w:tc>
          <w:tcPr>
            <w:tcW w:w="2435" w:type="dxa"/>
            <w:vMerge/>
            <w:tcBorders>
              <w:top w:val="nil"/>
              <w:left w:val="single" w:sz="8" w:space="0" w:color="auto"/>
              <w:bottom w:val="single" w:sz="8" w:space="0" w:color="000000"/>
              <w:right w:val="single" w:sz="4" w:space="0" w:color="auto"/>
            </w:tcBorders>
            <w:vAlign w:val="center"/>
            <w:hideMark/>
          </w:tcPr>
          <w:p w14:paraId="0E84F098"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1D0EC2AD"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frogs</w:t>
            </w:r>
          </w:p>
        </w:tc>
        <w:tc>
          <w:tcPr>
            <w:tcW w:w="850" w:type="dxa"/>
            <w:tcBorders>
              <w:top w:val="nil"/>
              <w:left w:val="nil"/>
              <w:bottom w:val="single" w:sz="4" w:space="0" w:color="auto"/>
              <w:right w:val="single" w:sz="4" w:space="0" w:color="auto"/>
            </w:tcBorders>
            <w:shd w:val="clear" w:color="auto" w:fill="auto"/>
            <w:noWrap/>
            <w:vAlign w:val="bottom"/>
            <w:hideMark/>
          </w:tcPr>
          <w:p w14:paraId="5A4F16F3"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bottom"/>
            <w:hideMark/>
          </w:tcPr>
          <w:p w14:paraId="273059A5"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173" w:type="dxa"/>
            <w:tcBorders>
              <w:top w:val="nil"/>
              <w:left w:val="nil"/>
              <w:bottom w:val="single" w:sz="4" w:space="0" w:color="auto"/>
              <w:right w:val="nil"/>
            </w:tcBorders>
            <w:shd w:val="clear" w:color="auto" w:fill="auto"/>
            <w:noWrap/>
            <w:vAlign w:val="bottom"/>
            <w:hideMark/>
          </w:tcPr>
          <w:p w14:paraId="04EBE1F7"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68487E1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w:t>
            </w:r>
          </w:p>
        </w:tc>
      </w:tr>
      <w:tr w:rsidR="00425552" w:rsidRPr="00D81B0F" w14:paraId="788EC929" w14:textId="77777777" w:rsidTr="00F95593">
        <w:trPr>
          <w:trHeight w:val="320"/>
        </w:trPr>
        <w:tc>
          <w:tcPr>
            <w:tcW w:w="2435" w:type="dxa"/>
            <w:vMerge/>
            <w:tcBorders>
              <w:top w:val="nil"/>
              <w:left w:val="single" w:sz="8" w:space="0" w:color="auto"/>
              <w:bottom w:val="single" w:sz="8" w:space="0" w:color="000000"/>
              <w:right w:val="single" w:sz="4" w:space="0" w:color="auto"/>
            </w:tcBorders>
            <w:vAlign w:val="center"/>
            <w:hideMark/>
          </w:tcPr>
          <w:p w14:paraId="4D5C850E"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8" w:space="0" w:color="auto"/>
              <w:right w:val="single" w:sz="4" w:space="0" w:color="auto"/>
            </w:tcBorders>
            <w:shd w:val="clear" w:color="auto" w:fill="auto"/>
            <w:noWrap/>
            <w:vAlign w:val="bottom"/>
            <w:hideMark/>
          </w:tcPr>
          <w:p w14:paraId="71694366"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toads</w:t>
            </w:r>
          </w:p>
        </w:tc>
        <w:tc>
          <w:tcPr>
            <w:tcW w:w="850" w:type="dxa"/>
            <w:tcBorders>
              <w:top w:val="nil"/>
              <w:left w:val="nil"/>
              <w:bottom w:val="single" w:sz="8" w:space="0" w:color="auto"/>
              <w:right w:val="single" w:sz="4" w:space="0" w:color="auto"/>
            </w:tcBorders>
            <w:shd w:val="clear" w:color="auto" w:fill="auto"/>
            <w:noWrap/>
            <w:vAlign w:val="bottom"/>
            <w:hideMark/>
          </w:tcPr>
          <w:p w14:paraId="6E4B8DA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c>
          <w:tcPr>
            <w:tcW w:w="1418" w:type="dxa"/>
            <w:tcBorders>
              <w:top w:val="nil"/>
              <w:left w:val="nil"/>
              <w:bottom w:val="single" w:sz="8" w:space="0" w:color="auto"/>
              <w:right w:val="single" w:sz="4" w:space="0" w:color="auto"/>
            </w:tcBorders>
            <w:shd w:val="clear" w:color="auto" w:fill="auto"/>
            <w:noWrap/>
            <w:vAlign w:val="bottom"/>
            <w:hideMark/>
          </w:tcPr>
          <w:p w14:paraId="6386F5C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173" w:type="dxa"/>
            <w:tcBorders>
              <w:top w:val="nil"/>
              <w:left w:val="nil"/>
              <w:bottom w:val="single" w:sz="8" w:space="0" w:color="auto"/>
              <w:right w:val="nil"/>
            </w:tcBorders>
            <w:shd w:val="clear" w:color="auto" w:fill="auto"/>
            <w:noWrap/>
            <w:vAlign w:val="bottom"/>
            <w:hideMark/>
          </w:tcPr>
          <w:p w14:paraId="4B9065C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7D9C845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11</w:t>
            </w:r>
          </w:p>
        </w:tc>
      </w:tr>
      <w:tr w:rsidR="00425552" w:rsidRPr="00D81B0F" w14:paraId="2518E47E" w14:textId="77777777" w:rsidTr="00F95593">
        <w:trPr>
          <w:trHeight w:val="300"/>
        </w:trPr>
        <w:tc>
          <w:tcPr>
            <w:tcW w:w="2435"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18C820F5"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b/>
                <w:bCs/>
                <w:color w:val="000000"/>
                <w:sz w:val="18"/>
                <w:szCs w:val="18"/>
              </w:rPr>
              <w:t>3 species</w:t>
            </w:r>
            <w:r w:rsidRPr="00B34D91">
              <w:rPr>
                <w:rFonts w:ascii="Arial" w:eastAsia="Times New Roman" w:hAnsi="Arial" w:cs="Arial"/>
                <w:color w:val="000000"/>
                <w:sz w:val="18"/>
                <w:szCs w:val="18"/>
              </w:rPr>
              <w:t xml:space="preserve"> - salamanders + toads</w:t>
            </w:r>
          </w:p>
        </w:tc>
        <w:tc>
          <w:tcPr>
            <w:tcW w:w="1276" w:type="dxa"/>
            <w:tcBorders>
              <w:top w:val="nil"/>
              <w:left w:val="nil"/>
              <w:bottom w:val="single" w:sz="4" w:space="0" w:color="auto"/>
              <w:right w:val="single" w:sz="4" w:space="0" w:color="auto"/>
            </w:tcBorders>
            <w:shd w:val="clear" w:color="auto" w:fill="auto"/>
            <w:noWrap/>
            <w:vAlign w:val="bottom"/>
            <w:hideMark/>
          </w:tcPr>
          <w:p w14:paraId="50A5229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salamanders</w:t>
            </w:r>
          </w:p>
        </w:tc>
        <w:tc>
          <w:tcPr>
            <w:tcW w:w="850" w:type="dxa"/>
            <w:tcBorders>
              <w:top w:val="nil"/>
              <w:left w:val="nil"/>
              <w:bottom w:val="single" w:sz="4" w:space="0" w:color="auto"/>
              <w:right w:val="single" w:sz="4" w:space="0" w:color="auto"/>
            </w:tcBorders>
            <w:shd w:val="clear" w:color="auto" w:fill="auto"/>
            <w:noWrap/>
            <w:vAlign w:val="bottom"/>
            <w:hideMark/>
          </w:tcPr>
          <w:p w14:paraId="6A2D78B6"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14:paraId="6D7CC73D"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22</w:t>
            </w:r>
          </w:p>
        </w:tc>
        <w:tc>
          <w:tcPr>
            <w:tcW w:w="1173" w:type="dxa"/>
            <w:tcBorders>
              <w:top w:val="nil"/>
              <w:left w:val="nil"/>
              <w:bottom w:val="single" w:sz="4" w:space="0" w:color="auto"/>
              <w:right w:val="nil"/>
            </w:tcBorders>
            <w:shd w:val="clear" w:color="auto" w:fill="auto"/>
            <w:noWrap/>
            <w:vAlign w:val="bottom"/>
            <w:hideMark/>
          </w:tcPr>
          <w:p w14:paraId="66F4694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22</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49783F15"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8</w:t>
            </w:r>
          </w:p>
        </w:tc>
      </w:tr>
      <w:tr w:rsidR="00425552" w:rsidRPr="00D81B0F" w14:paraId="7185062C" w14:textId="77777777" w:rsidTr="00F95593">
        <w:trPr>
          <w:trHeight w:val="300"/>
        </w:trPr>
        <w:tc>
          <w:tcPr>
            <w:tcW w:w="2435" w:type="dxa"/>
            <w:vMerge/>
            <w:tcBorders>
              <w:top w:val="nil"/>
              <w:left w:val="single" w:sz="8" w:space="0" w:color="auto"/>
              <w:bottom w:val="single" w:sz="8" w:space="0" w:color="000000"/>
              <w:right w:val="single" w:sz="4" w:space="0" w:color="auto"/>
            </w:tcBorders>
            <w:vAlign w:val="center"/>
            <w:hideMark/>
          </w:tcPr>
          <w:p w14:paraId="470283C6"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46862024"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frogs</w:t>
            </w:r>
          </w:p>
        </w:tc>
        <w:tc>
          <w:tcPr>
            <w:tcW w:w="850" w:type="dxa"/>
            <w:tcBorders>
              <w:top w:val="nil"/>
              <w:left w:val="nil"/>
              <w:bottom w:val="single" w:sz="4" w:space="0" w:color="auto"/>
              <w:right w:val="single" w:sz="4" w:space="0" w:color="auto"/>
            </w:tcBorders>
            <w:shd w:val="clear" w:color="auto" w:fill="auto"/>
            <w:noWrap/>
            <w:vAlign w:val="bottom"/>
            <w:hideMark/>
          </w:tcPr>
          <w:p w14:paraId="228BDD6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418" w:type="dxa"/>
            <w:tcBorders>
              <w:top w:val="nil"/>
              <w:left w:val="nil"/>
              <w:bottom w:val="single" w:sz="4" w:space="0" w:color="auto"/>
              <w:right w:val="single" w:sz="4" w:space="0" w:color="auto"/>
            </w:tcBorders>
            <w:shd w:val="clear" w:color="auto" w:fill="auto"/>
            <w:noWrap/>
            <w:vAlign w:val="bottom"/>
            <w:hideMark/>
          </w:tcPr>
          <w:p w14:paraId="6ABA31A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w:t>
            </w:r>
          </w:p>
        </w:tc>
        <w:tc>
          <w:tcPr>
            <w:tcW w:w="1173" w:type="dxa"/>
            <w:tcBorders>
              <w:top w:val="nil"/>
              <w:left w:val="nil"/>
              <w:bottom w:val="single" w:sz="4" w:space="0" w:color="auto"/>
              <w:right w:val="nil"/>
            </w:tcBorders>
            <w:shd w:val="clear" w:color="auto" w:fill="auto"/>
            <w:noWrap/>
            <w:vAlign w:val="bottom"/>
            <w:hideMark/>
          </w:tcPr>
          <w:p w14:paraId="040ECC94"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46CAEA2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r>
      <w:tr w:rsidR="00425552" w:rsidRPr="00D81B0F" w14:paraId="1231F7C9" w14:textId="77777777" w:rsidTr="00F95593">
        <w:trPr>
          <w:trHeight w:val="320"/>
        </w:trPr>
        <w:tc>
          <w:tcPr>
            <w:tcW w:w="2435" w:type="dxa"/>
            <w:vMerge/>
            <w:tcBorders>
              <w:top w:val="nil"/>
              <w:left w:val="single" w:sz="8" w:space="0" w:color="auto"/>
              <w:bottom w:val="single" w:sz="8" w:space="0" w:color="000000"/>
              <w:right w:val="single" w:sz="4" w:space="0" w:color="auto"/>
            </w:tcBorders>
            <w:vAlign w:val="center"/>
            <w:hideMark/>
          </w:tcPr>
          <w:p w14:paraId="174AAE70"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8" w:space="0" w:color="auto"/>
              <w:right w:val="single" w:sz="4" w:space="0" w:color="auto"/>
            </w:tcBorders>
            <w:shd w:val="clear" w:color="auto" w:fill="auto"/>
            <w:noWrap/>
            <w:vAlign w:val="bottom"/>
            <w:hideMark/>
          </w:tcPr>
          <w:p w14:paraId="2712BA4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toads</w:t>
            </w:r>
          </w:p>
        </w:tc>
        <w:tc>
          <w:tcPr>
            <w:tcW w:w="850" w:type="dxa"/>
            <w:tcBorders>
              <w:top w:val="nil"/>
              <w:left w:val="nil"/>
              <w:bottom w:val="single" w:sz="8" w:space="0" w:color="auto"/>
              <w:right w:val="single" w:sz="4" w:space="0" w:color="auto"/>
            </w:tcBorders>
            <w:shd w:val="clear" w:color="auto" w:fill="auto"/>
            <w:noWrap/>
            <w:vAlign w:val="bottom"/>
            <w:hideMark/>
          </w:tcPr>
          <w:p w14:paraId="148038F7"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c>
          <w:tcPr>
            <w:tcW w:w="1418" w:type="dxa"/>
            <w:tcBorders>
              <w:top w:val="nil"/>
              <w:left w:val="nil"/>
              <w:bottom w:val="single" w:sz="8" w:space="0" w:color="auto"/>
              <w:right w:val="single" w:sz="4" w:space="0" w:color="auto"/>
            </w:tcBorders>
            <w:shd w:val="clear" w:color="auto" w:fill="auto"/>
            <w:noWrap/>
            <w:vAlign w:val="bottom"/>
            <w:hideMark/>
          </w:tcPr>
          <w:p w14:paraId="16161E0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173" w:type="dxa"/>
            <w:tcBorders>
              <w:top w:val="nil"/>
              <w:left w:val="nil"/>
              <w:bottom w:val="single" w:sz="8" w:space="0" w:color="auto"/>
              <w:right w:val="nil"/>
            </w:tcBorders>
            <w:shd w:val="clear" w:color="auto" w:fill="auto"/>
            <w:noWrap/>
            <w:vAlign w:val="bottom"/>
            <w:hideMark/>
          </w:tcPr>
          <w:p w14:paraId="698B5C51"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226184D7"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5</w:t>
            </w:r>
          </w:p>
        </w:tc>
      </w:tr>
      <w:tr w:rsidR="00425552" w:rsidRPr="00D81B0F" w14:paraId="184DADCB" w14:textId="77777777" w:rsidTr="00F95593">
        <w:trPr>
          <w:trHeight w:val="300"/>
        </w:trPr>
        <w:tc>
          <w:tcPr>
            <w:tcW w:w="2435"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1FB9F0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b/>
                <w:bCs/>
                <w:color w:val="000000"/>
                <w:sz w:val="18"/>
                <w:szCs w:val="18"/>
              </w:rPr>
              <w:t>3 species</w:t>
            </w:r>
            <w:r w:rsidRPr="00B34D91">
              <w:rPr>
                <w:rFonts w:ascii="Arial" w:eastAsia="Times New Roman" w:hAnsi="Arial" w:cs="Arial"/>
                <w:color w:val="000000"/>
                <w:sz w:val="18"/>
                <w:szCs w:val="18"/>
              </w:rPr>
              <w:t xml:space="preserve"> - random</w:t>
            </w:r>
          </w:p>
        </w:tc>
        <w:tc>
          <w:tcPr>
            <w:tcW w:w="1276" w:type="dxa"/>
            <w:tcBorders>
              <w:top w:val="nil"/>
              <w:left w:val="nil"/>
              <w:bottom w:val="single" w:sz="4" w:space="0" w:color="auto"/>
              <w:right w:val="single" w:sz="4" w:space="0" w:color="auto"/>
            </w:tcBorders>
            <w:shd w:val="clear" w:color="auto" w:fill="auto"/>
            <w:noWrap/>
            <w:vAlign w:val="bottom"/>
            <w:hideMark/>
          </w:tcPr>
          <w:p w14:paraId="4D10B48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salamanders</w:t>
            </w:r>
          </w:p>
        </w:tc>
        <w:tc>
          <w:tcPr>
            <w:tcW w:w="850" w:type="dxa"/>
            <w:tcBorders>
              <w:top w:val="nil"/>
              <w:left w:val="nil"/>
              <w:bottom w:val="single" w:sz="4" w:space="0" w:color="auto"/>
              <w:right w:val="single" w:sz="4" w:space="0" w:color="auto"/>
            </w:tcBorders>
            <w:shd w:val="clear" w:color="auto" w:fill="auto"/>
            <w:noWrap/>
            <w:vAlign w:val="bottom"/>
            <w:hideMark/>
          </w:tcPr>
          <w:p w14:paraId="14EB330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5</w:t>
            </w:r>
          </w:p>
        </w:tc>
        <w:tc>
          <w:tcPr>
            <w:tcW w:w="1418" w:type="dxa"/>
            <w:tcBorders>
              <w:top w:val="nil"/>
              <w:left w:val="nil"/>
              <w:bottom w:val="single" w:sz="4" w:space="0" w:color="auto"/>
              <w:right w:val="single" w:sz="4" w:space="0" w:color="auto"/>
            </w:tcBorders>
            <w:shd w:val="clear" w:color="auto" w:fill="auto"/>
            <w:noWrap/>
            <w:vAlign w:val="bottom"/>
            <w:hideMark/>
          </w:tcPr>
          <w:p w14:paraId="1E10868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66</w:t>
            </w:r>
          </w:p>
        </w:tc>
        <w:tc>
          <w:tcPr>
            <w:tcW w:w="1173" w:type="dxa"/>
            <w:tcBorders>
              <w:top w:val="nil"/>
              <w:left w:val="nil"/>
              <w:bottom w:val="single" w:sz="4" w:space="0" w:color="auto"/>
              <w:right w:val="nil"/>
            </w:tcBorders>
            <w:shd w:val="clear" w:color="auto" w:fill="auto"/>
            <w:noWrap/>
            <w:vAlign w:val="bottom"/>
            <w:hideMark/>
          </w:tcPr>
          <w:p w14:paraId="7B05C8B9"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71</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27F25FB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10</w:t>
            </w:r>
          </w:p>
        </w:tc>
      </w:tr>
      <w:tr w:rsidR="00425552" w:rsidRPr="00D81B0F" w14:paraId="7A73D17A" w14:textId="77777777" w:rsidTr="00F95593">
        <w:trPr>
          <w:trHeight w:val="300"/>
        </w:trPr>
        <w:tc>
          <w:tcPr>
            <w:tcW w:w="2435" w:type="dxa"/>
            <w:vMerge/>
            <w:tcBorders>
              <w:top w:val="nil"/>
              <w:left w:val="single" w:sz="8" w:space="0" w:color="auto"/>
              <w:bottom w:val="single" w:sz="8" w:space="0" w:color="000000"/>
              <w:right w:val="single" w:sz="4" w:space="0" w:color="auto"/>
            </w:tcBorders>
            <w:vAlign w:val="center"/>
            <w:hideMark/>
          </w:tcPr>
          <w:p w14:paraId="771109D4"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14:paraId="63B2F5F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frogs</w:t>
            </w:r>
          </w:p>
        </w:tc>
        <w:tc>
          <w:tcPr>
            <w:tcW w:w="850" w:type="dxa"/>
            <w:tcBorders>
              <w:top w:val="nil"/>
              <w:left w:val="nil"/>
              <w:bottom w:val="single" w:sz="4" w:space="0" w:color="auto"/>
              <w:right w:val="single" w:sz="4" w:space="0" w:color="auto"/>
            </w:tcBorders>
            <w:shd w:val="clear" w:color="auto" w:fill="auto"/>
            <w:noWrap/>
            <w:vAlign w:val="bottom"/>
            <w:hideMark/>
          </w:tcPr>
          <w:p w14:paraId="6393BB02"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2</w:t>
            </w:r>
          </w:p>
        </w:tc>
        <w:tc>
          <w:tcPr>
            <w:tcW w:w="1418" w:type="dxa"/>
            <w:tcBorders>
              <w:top w:val="nil"/>
              <w:left w:val="nil"/>
              <w:bottom w:val="single" w:sz="4" w:space="0" w:color="auto"/>
              <w:right w:val="single" w:sz="4" w:space="0" w:color="auto"/>
            </w:tcBorders>
            <w:shd w:val="clear" w:color="auto" w:fill="auto"/>
            <w:noWrap/>
            <w:vAlign w:val="bottom"/>
            <w:hideMark/>
          </w:tcPr>
          <w:p w14:paraId="357A1C3C"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3</w:t>
            </w:r>
          </w:p>
        </w:tc>
        <w:tc>
          <w:tcPr>
            <w:tcW w:w="1173" w:type="dxa"/>
            <w:tcBorders>
              <w:top w:val="nil"/>
              <w:left w:val="nil"/>
              <w:bottom w:val="single" w:sz="4" w:space="0" w:color="auto"/>
              <w:right w:val="nil"/>
            </w:tcBorders>
            <w:shd w:val="clear" w:color="auto" w:fill="auto"/>
            <w:noWrap/>
            <w:vAlign w:val="bottom"/>
            <w:hideMark/>
          </w:tcPr>
          <w:p w14:paraId="289A01D7"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5</w:t>
            </w:r>
          </w:p>
        </w:tc>
        <w:tc>
          <w:tcPr>
            <w:tcW w:w="1440" w:type="dxa"/>
            <w:tcBorders>
              <w:top w:val="nil"/>
              <w:left w:val="single" w:sz="4" w:space="0" w:color="auto"/>
              <w:bottom w:val="single" w:sz="4" w:space="0" w:color="auto"/>
              <w:right w:val="single" w:sz="8" w:space="0" w:color="auto"/>
            </w:tcBorders>
            <w:shd w:val="clear" w:color="auto" w:fill="auto"/>
            <w:noWrap/>
            <w:vAlign w:val="bottom"/>
            <w:hideMark/>
          </w:tcPr>
          <w:p w14:paraId="374558FE"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6</w:t>
            </w:r>
          </w:p>
        </w:tc>
      </w:tr>
      <w:tr w:rsidR="00425552" w:rsidRPr="00D81B0F" w14:paraId="4420B7DB" w14:textId="77777777" w:rsidTr="00F95593">
        <w:trPr>
          <w:trHeight w:val="320"/>
        </w:trPr>
        <w:tc>
          <w:tcPr>
            <w:tcW w:w="2435" w:type="dxa"/>
            <w:vMerge/>
            <w:tcBorders>
              <w:top w:val="nil"/>
              <w:left w:val="single" w:sz="8" w:space="0" w:color="auto"/>
              <w:bottom w:val="single" w:sz="8" w:space="0" w:color="000000"/>
              <w:right w:val="single" w:sz="4" w:space="0" w:color="auto"/>
            </w:tcBorders>
            <w:vAlign w:val="center"/>
            <w:hideMark/>
          </w:tcPr>
          <w:p w14:paraId="483820EB" w14:textId="77777777" w:rsidR="00425552" w:rsidRPr="00B34D91" w:rsidRDefault="00425552" w:rsidP="00F95593">
            <w:pPr>
              <w:rPr>
                <w:rFonts w:ascii="Arial" w:eastAsia="Times New Roman" w:hAnsi="Arial" w:cs="Arial"/>
                <w:color w:val="000000"/>
                <w:sz w:val="18"/>
                <w:szCs w:val="18"/>
              </w:rPr>
            </w:pPr>
          </w:p>
        </w:tc>
        <w:tc>
          <w:tcPr>
            <w:tcW w:w="1276" w:type="dxa"/>
            <w:tcBorders>
              <w:top w:val="nil"/>
              <w:left w:val="nil"/>
              <w:bottom w:val="single" w:sz="8" w:space="0" w:color="auto"/>
              <w:right w:val="single" w:sz="4" w:space="0" w:color="auto"/>
            </w:tcBorders>
            <w:shd w:val="clear" w:color="auto" w:fill="auto"/>
            <w:noWrap/>
            <w:vAlign w:val="bottom"/>
            <w:hideMark/>
          </w:tcPr>
          <w:p w14:paraId="2C53AAEB"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toads</w:t>
            </w:r>
          </w:p>
        </w:tc>
        <w:tc>
          <w:tcPr>
            <w:tcW w:w="850" w:type="dxa"/>
            <w:tcBorders>
              <w:top w:val="nil"/>
              <w:left w:val="nil"/>
              <w:bottom w:val="single" w:sz="8" w:space="0" w:color="auto"/>
              <w:right w:val="single" w:sz="4" w:space="0" w:color="auto"/>
            </w:tcBorders>
            <w:shd w:val="clear" w:color="auto" w:fill="auto"/>
            <w:noWrap/>
            <w:vAlign w:val="bottom"/>
            <w:hideMark/>
          </w:tcPr>
          <w:p w14:paraId="20D0C128"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9</w:t>
            </w:r>
          </w:p>
        </w:tc>
        <w:tc>
          <w:tcPr>
            <w:tcW w:w="1418" w:type="dxa"/>
            <w:tcBorders>
              <w:top w:val="nil"/>
              <w:left w:val="nil"/>
              <w:bottom w:val="single" w:sz="8" w:space="0" w:color="auto"/>
              <w:right w:val="single" w:sz="4" w:space="0" w:color="auto"/>
            </w:tcBorders>
            <w:shd w:val="clear" w:color="auto" w:fill="auto"/>
            <w:noWrap/>
            <w:vAlign w:val="bottom"/>
            <w:hideMark/>
          </w:tcPr>
          <w:p w14:paraId="038ECF76"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0</w:t>
            </w:r>
          </w:p>
        </w:tc>
        <w:tc>
          <w:tcPr>
            <w:tcW w:w="1173" w:type="dxa"/>
            <w:tcBorders>
              <w:top w:val="nil"/>
              <w:left w:val="nil"/>
              <w:bottom w:val="single" w:sz="8" w:space="0" w:color="auto"/>
              <w:right w:val="nil"/>
            </w:tcBorders>
            <w:shd w:val="clear" w:color="auto" w:fill="auto"/>
            <w:noWrap/>
            <w:vAlign w:val="bottom"/>
            <w:hideMark/>
          </w:tcPr>
          <w:p w14:paraId="18B990A0"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9</w:t>
            </w:r>
          </w:p>
        </w:tc>
        <w:tc>
          <w:tcPr>
            <w:tcW w:w="1440" w:type="dxa"/>
            <w:tcBorders>
              <w:top w:val="nil"/>
              <w:left w:val="single" w:sz="4" w:space="0" w:color="auto"/>
              <w:bottom w:val="single" w:sz="8" w:space="0" w:color="auto"/>
              <w:right w:val="single" w:sz="8" w:space="0" w:color="auto"/>
            </w:tcBorders>
            <w:shd w:val="clear" w:color="auto" w:fill="auto"/>
            <w:noWrap/>
            <w:vAlign w:val="bottom"/>
            <w:hideMark/>
          </w:tcPr>
          <w:p w14:paraId="21EE0ACA" w14:textId="77777777" w:rsidR="00425552" w:rsidRPr="00B34D91" w:rsidRDefault="00425552" w:rsidP="00F95593">
            <w:pPr>
              <w:jc w:val="center"/>
              <w:rPr>
                <w:rFonts w:ascii="Arial" w:eastAsia="Times New Roman" w:hAnsi="Arial" w:cs="Arial"/>
                <w:color w:val="000000"/>
                <w:sz w:val="18"/>
                <w:szCs w:val="18"/>
              </w:rPr>
            </w:pPr>
            <w:r w:rsidRPr="00B34D91">
              <w:rPr>
                <w:rFonts w:ascii="Arial" w:eastAsia="Times New Roman" w:hAnsi="Arial" w:cs="Arial"/>
                <w:color w:val="000000"/>
                <w:sz w:val="18"/>
                <w:szCs w:val="18"/>
              </w:rPr>
              <w:t>5</w:t>
            </w:r>
          </w:p>
        </w:tc>
      </w:tr>
    </w:tbl>
    <w:p w14:paraId="363A298C" w14:textId="77777777" w:rsidR="00425552" w:rsidRDefault="00425552" w:rsidP="00425552">
      <w:pPr>
        <w:ind w:left="-450"/>
        <w:rPr>
          <w:rFonts w:ascii="Arial" w:eastAsia="Arial" w:hAnsi="Arial" w:cs="Arial"/>
          <w:sz w:val="22"/>
          <w:szCs w:val="22"/>
        </w:rPr>
      </w:pPr>
      <w:r>
        <w:rPr>
          <w:rFonts w:ascii="Arial" w:eastAsia="Arial" w:hAnsi="Arial" w:cs="Arial"/>
          <w:b/>
          <w:sz w:val="22"/>
          <w:szCs w:val="22"/>
        </w:rPr>
        <w:t>Table S1:</w:t>
      </w:r>
      <w:r>
        <w:rPr>
          <w:rFonts w:ascii="Arial" w:eastAsia="Arial" w:hAnsi="Arial" w:cs="Arial"/>
          <w:sz w:val="22"/>
          <w:szCs w:val="22"/>
        </w:rPr>
        <w:t xml:space="preserve"> Animal removals during the experiment. The number of deaths and cases of metamorphosis that occurred during the experiment are reported for each treatment and species. These individuals were removed from the experiment and omitted from data analyses.  </w:t>
      </w:r>
    </w:p>
    <w:p w14:paraId="7058A34B" w14:textId="77777777" w:rsidR="00425552" w:rsidRDefault="00425552" w:rsidP="00425552">
      <w:pPr>
        <w:rPr>
          <w:rFonts w:ascii="Arial" w:eastAsia="Arial" w:hAnsi="Arial" w:cs="Arial"/>
          <w:sz w:val="22"/>
          <w:szCs w:val="22"/>
        </w:rPr>
      </w:pPr>
    </w:p>
    <w:p w14:paraId="137D605F" w14:textId="77777777" w:rsidR="00425552" w:rsidRDefault="00425552" w:rsidP="00425552">
      <w:pPr>
        <w:rPr>
          <w:rFonts w:ascii="Arial" w:eastAsia="Arial" w:hAnsi="Arial" w:cs="Arial"/>
          <w:sz w:val="22"/>
          <w:szCs w:val="22"/>
        </w:rPr>
      </w:pPr>
      <w:r>
        <w:br w:type="page"/>
      </w:r>
    </w:p>
    <w:p w14:paraId="4BE6D42F" w14:textId="77777777" w:rsidR="00425552" w:rsidRDefault="00425552" w:rsidP="00425552">
      <w:pPr>
        <w:jc w:val="center"/>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7BF975D7" wp14:editId="2C2AB111">
            <wp:extent cx="4846566" cy="7947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a:extLst>
                        <a:ext uri="{28A0092B-C50C-407E-A947-70E740481C1C}">
                          <a14:useLocalDpi xmlns:a14="http://schemas.microsoft.com/office/drawing/2010/main" val="0"/>
                        </a:ext>
                      </a:extLst>
                    </a:blip>
                    <a:srcRect l="7732" t="5659" r="16741" b="6821"/>
                    <a:stretch/>
                  </pic:blipFill>
                  <pic:spPr bwMode="auto">
                    <a:xfrm>
                      <a:off x="0" y="0"/>
                      <a:ext cx="4854268" cy="7960291"/>
                    </a:xfrm>
                    <a:prstGeom prst="rect">
                      <a:avLst/>
                    </a:prstGeom>
                    <a:ln>
                      <a:noFill/>
                    </a:ln>
                    <a:extLst>
                      <a:ext uri="{53640926-AAD7-44D8-BBD7-CCE9431645EC}">
                        <a14:shadowObscured xmlns:a14="http://schemas.microsoft.com/office/drawing/2010/main"/>
                      </a:ext>
                    </a:extLst>
                  </pic:spPr>
                </pic:pic>
              </a:graphicData>
            </a:graphic>
          </wp:inline>
        </w:drawing>
      </w:r>
    </w:p>
    <w:p w14:paraId="7166E756" w14:textId="77777777" w:rsidR="00425552" w:rsidRDefault="00425552" w:rsidP="00425552">
      <w:pPr>
        <w:rPr>
          <w:rFonts w:ascii="Arial" w:eastAsia="Arial" w:hAnsi="Arial" w:cs="Arial"/>
          <w:sz w:val="22"/>
          <w:szCs w:val="22"/>
        </w:rPr>
      </w:pPr>
      <w:r>
        <w:rPr>
          <w:rFonts w:ascii="Arial" w:eastAsia="Arial" w:hAnsi="Arial" w:cs="Arial"/>
          <w:b/>
          <w:sz w:val="22"/>
          <w:szCs w:val="22"/>
        </w:rPr>
        <w:t>Table S2. Scenarios, model formulas, and error structures for the statistical analyses performed in sections a-c</w:t>
      </w:r>
      <w:r>
        <w:rPr>
          <w:rFonts w:ascii="Arial" w:eastAsia="Arial" w:hAnsi="Arial" w:cs="Arial"/>
          <w:sz w:val="22"/>
          <w:szCs w:val="22"/>
        </w:rPr>
        <w:t xml:space="preserve">. For sections (a) and (b), multi-model inference was performed using the </w:t>
      </w:r>
      <w:proofErr w:type="spellStart"/>
      <w:r>
        <w:rPr>
          <w:rFonts w:ascii="Arial" w:eastAsia="Arial" w:hAnsi="Arial" w:cs="Arial"/>
          <w:sz w:val="22"/>
          <w:szCs w:val="22"/>
        </w:rPr>
        <w:t>MuMIn</w:t>
      </w:r>
      <w:proofErr w:type="spellEnd"/>
      <w:r>
        <w:rPr>
          <w:rFonts w:ascii="Arial" w:eastAsia="Arial" w:hAnsi="Arial" w:cs="Arial"/>
          <w:sz w:val="22"/>
          <w:szCs w:val="22"/>
        </w:rPr>
        <w:t xml:space="preserve"> package in R to compare performance of different subsets of the global models. Models ranking within 2 Akaike’s Information Criterion for small sample sizes (</w:t>
      </w:r>
      <w:proofErr w:type="spellStart"/>
      <w:r>
        <w:rPr>
          <w:rFonts w:ascii="Arial" w:eastAsia="Arial" w:hAnsi="Arial" w:cs="Arial"/>
          <w:sz w:val="22"/>
          <w:szCs w:val="22"/>
        </w:rPr>
        <w:t>AICc</w:t>
      </w:r>
      <w:proofErr w:type="spellEnd"/>
      <w:r>
        <w:rPr>
          <w:rFonts w:ascii="Arial" w:eastAsia="Arial" w:hAnsi="Arial" w:cs="Arial"/>
          <w:sz w:val="22"/>
          <w:szCs w:val="22"/>
        </w:rPr>
        <w:t xml:space="preserve">) values of the top performing model were considered informative. For section (c) we assessed scenarios for which factors influenced </w:t>
      </w:r>
      <w:r>
        <w:rPr>
          <w:rFonts w:ascii="Arial" w:eastAsia="Arial" w:hAnsi="Arial" w:cs="Arial"/>
          <w:sz w:val="22"/>
          <w:szCs w:val="22"/>
        </w:rPr>
        <w:lastRenderedPageBreak/>
        <w:t xml:space="preserve">community-level patterns of infection by comparing </w:t>
      </w:r>
      <w:proofErr w:type="spellStart"/>
      <w:r>
        <w:rPr>
          <w:rFonts w:ascii="Arial" w:eastAsia="Arial" w:hAnsi="Arial" w:cs="Arial"/>
          <w:sz w:val="22"/>
          <w:szCs w:val="22"/>
        </w:rPr>
        <w:t>AICc</w:t>
      </w:r>
      <w:proofErr w:type="spellEnd"/>
      <w:r>
        <w:rPr>
          <w:rFonts w:ascii="Arial" w:eastAsia="Arial" w:hAnsi="Arial" w:cs="Arial"/>
          <w:sz w:val="22"/>
          <w:szCs w:val="22"/>
        </w:rPr>
        <w:t xml:space="preserve"> rankings of the specified models (</w:t>
      </w:r>
      <w:proofErr w:type="gramStart"/>
      <w:r>
        <w:rPr>
          <w:rFonts w:ascii="Arial" w:eastAsia="Arial" w:hAnsi="Arial" w:cs="Arial"/>
          <w:sz w:val="22"/>
          <w:szCs w:val="22"/>
        </w:rPr>
        <w:t>i.e.</w:t>
      </w:r>
      <w:proofErr w:type="gramEnd"/>
      <w:r>
        <w:rPr>
          <w:rFonts w:ascii="Arial" w:eastAsia="Arial" w:hAnsi="Arial" w:cs="Arial"/>
          <w:sz w:val="22"/>
          <w:szCs w:val="22"/>
        </w:rPr>
        <w:t xml:space="preserve"> we did not compare model subsets).</w:t>
      </w:r>
    </w:p>
    <w:p w14:paraId="13C5CD66" w14:textId="77777777" w:rsidR="00425552" w:rsidRDefault="00425552" w:rsidP="00425552">
      <w:pPr>
        <w:ind w:left="-450"/>
        <w:rPr>
          <w:rFonts w:ascii="Arial" w:eastAsia="Arial" w:hAnsi="Arial" w:cs="Arial"/>
          <w:b/>
          <w:sz w:val="22"/>
          <w:szCs w:val="22"/>
        </w:rPr>
      </w:pPr>
    </w:p>
    <w:p w14:paraId="26657EF9" w14:textId="77777777" w:rsidR="00425552" w:rsidRDefault="00425552" w:rsidP="00425552">
      <w:pPr>
        <w:ind w:left="-450"/>
        <w:rPr>
          <w:rFonts w:ascii="Arial" w:eastAsia="Arial" w:hAnsi="Arial" w:cs="Arial"/>
          <w:b/>
          <w:sz w:val="22"/>
          <w:szCs w:val="22"/>
        </w:rPr>
      </w:pPr>
      <w:r>
        <w:rPr>
          <w:rFonts w:ascii="Arial" w:hAnsi="Arial" w:cs="Arial"/>
          <w:b/>
          <w:noProof/>
          <w:sz w:val="22"/>
          <w:szCs w:val="22"/>
        </w:rPr>
        <w:drawing>
          <wp:inline distT="0" distB="0" distL="0" distR="0" wp14:anchorId="7CD7ABAB" wp14:editId="78E1BECC">
            <wp:extent cx="5518785" cy="8536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a:srcRect l="8509" t="8017" r="28943" b="23619"/>
                    <a:stretch/>
                  </pic:blipFill>
                  <pic:spPr bwMode="auto">
                    <a:xfrm>
                      <a:off x="0" y="0"/>
                      <a:ext cx="5518785" cy="8536451"/>
                    </a:xfrm>
                    <a:prstGeom prst="rect">
                      <a:avLst/>
                    </a:prstGeom>
                    <a:ln>
                      <a:noFill/>
                    </a:ln>
                    <a:extLst>
                      <a:ext uri="{53640926-AAD7-44D8-BBD7-CCE9431645EC}">
                        <a14:shadowObscured xmlns:a14="http://schemas.microsoft.com/office/drawing/2010/main"/>
                      </a:ext>
                    </a:extLst>
                  </pic:spPr>
                </pic:pic>
              </a:graphicData>
            </a:graphic>
          </wp:inline>
        </w:drawing>
      </w:r>
    </w:p>
    <w:p w14:paraId="1EC4E3C9" w14:textId="77777777" w:rsidR="00425552" w:rsidRDefault="00425552" w:rsidP="00425552">
      <w:pPr>
        <w:ind w:left="-450"/>
        <w:rPr>
          <w:rFonts w:ascii="Arial" w:eastAsia="Arial" w:hAnsi="Arial" w:cs="Arial"/>
          <w:b/>
          <w:sz w:val="22"/>
          <w:szCs w:val="22"/>
        </w:rPr>
      </w:pPr>
    </w:p>
    <w:p w14:paraId="02635AE2" w14:textId="77777777" w:rsidR="00425552" w:rsidRDefault="00425552" w:rsidP="00425552">
      <w:pPr>
        <w:ind w:left="-450"/>
        <w:rPr>
          <w:rFonts w:ascii="Arial" w:eastAsia="Arial" w:hAnsi="Arial" w:cs="Arial"/>
          <w:sz w:val="22"/>
          <w:szCs w:val="22"/>
        </w:rPr>
      </w:pPr>
      <w:r>
        <w:rPr>
          <w:rFonts w:ascii="Arial" w:eastAsia="Arial" w:hAnsi="Arial" w:cs="Arial"/>
          <w:b/>
          <w:sz w:val="22"/>
          <w:szCs w:val="22"/>
        </w:rPr>
        <w:lastRenderedPageBreak/>
        <w:t>Table S3.</w:t>
      </w:r>
      <w:r>
        <w:rPr>
          <w:rFonts w:ascii="Arial" w:eastAsia="Arial" w:hAnsi="Arial" w:cs="Arial"/>
          <w:sz w:val="22"/>
          <w:szCs w:val="22"/>
        </w:rPr>
        <w:t xml:space="preserve"> </w:t>
      </w:r>
      <w:proofErr w:type="spellStart"/>
      <w:r>
        <w:rPr>
          <w:rFonts w:ascii="Arial" w:eastAsia="Arial" w:hAnsi="Arial" w:cs="Arial"/>
          <w:sz w:val="22"/>
          <w:szCs w:val="22"/>
        </w:rPr>
        <w:t>AICc</w:t>
      </w:r>
      <w:proofErr w:type="spellEnd"/>
      <w:r>
        <w:rPr>
          <w:rFonts w:ascii="Arial" w:eastAsia="Arial" w:hAnsi="Arial" w:cs="Arial"/>
          <w:sz w:val="22"/>
          <w:szCs w:val="22"/>
        </w:rPr>
        <w:t xml:space="preserve">-based ranking of explanatory models for number of infected hosts at the end of the experiment for (a) tree frogs, (b) spiny toads, and (c) fire salamanders. Models are listed in order of decreasing </w:t>
      </w:r>
      <w:proofErr w:type="spellStart"/>
      <w:r>
        <w:rPr>
          <w:rFonts w:ascii="Arial" w:eastAsia="Arial" w:hAnsi="Arial" w:cs="Arial"/>
          <w:sz w:val="22"/>
          <w:szCs w:val="22"/>
        </w:rPr>
        <w:t>AICc</w:t>
      </w:r>
      <w:proofErr w:type="spellEnd"/>
      <w:r>
        <w:rPr>
          <w:rFonts w:ascii="Arial" w:eastAsia="Arial" w:hAnsi="Arial" w:cs="Arial"/>
          <w:sz w:val="22"/>
          <w:szCs w:val="22"/>
        </w:rPr>
        <w:t xml:space="preserve">, and the top 15 models are displayed. Red lines denote the 2-AICc </w:t>
      </w:r>
      <w:proofErr w:type="spellStart"/>
      <w:r>
        <w:rPr>
          <w:rFonts w:ascii="Arial" w:eastAsia="Arial" w:hAnsi="Arial" w:cs="Arial"/>
          <w:sz w:val="22"/>
          <w:szCs w:val="22"/>
        </w:rPr>
        <w:t>cutoff</w:t>
      </w:r>
      <w:proofErr w:type="spellEnd"/>
      <w:r>
        <w:rPr>
          <w:rFonts w:ascii="Arial" w:eastAsia="Arial" w:hAnsi="Arial" w:cs="Arial"/>
          <w:sz w:val="22"/>
          <w:szCs w:val="22"/>
        </w:rPr>
        <w:t xml:space="preserve">. </w:t>
      </w:r>
    </w:p>
    <w:p w14:paraId="38A240CE" w14:textId="77777777" w:rsidR="00425552" w:rsidRDefault="00425552" w:rsidP="00425552">
      <w:pPr>
        <w:rPr>
          <w:rFonts w:ascii="Arial" w:eastAsia="Arial" w:hAnsi="Arial" w:cs="Arial"/>
          <w:b/>
          <w:sz w:val="22"/>
          <w:szCs w:val="22"/>
        </w:rPr>
      </w:pPr>
      <w:r>
        <w:br w:type="page"/>
      </w:r>
    </w:p>
    <w:p w14:paraId="439CFB3A" w14:textId="77777777" w:rsidR="00425552" w:rsidRDefault="00425552" w:rsidP="00425552">
      <w:pPr>
        <w:rPr>
          <w:rFonts w:ascii="Arial" w:eastAsia="Arial" w:hAnsi="Arial" w:cs="Arial"/>
          <w:b/>
          <w:sz w:val="22"/>
          <w:szCs w:val="22"/>
        </w:rPr>
      </w:pPr>
    </w:p>
    <w:p w14:paraId="785EA91F" w14:textId="77777777" w:rsidR="00425552" w:rsidRDefault="00425552" w:rsidP="00425552">
      <w:pPr>
        <w:rPr>
          <w:rFonts w:ascii="Arial" w:eastAsia="Arial" w:hAnsi="Arial" w:cs="Arial"/>
          <w:sz w:val="22"/>
          <w:szCs w:val="22"/>
        </w:rPr>
      </w:pPr>
      <w:r>
        <w:rPr>
          <w:rFonts w:ascii="Arial" w:hAnsi="Arial" w:cs="Arial"/>
          <w:noProof/>
          <w:sz w:val="22"/>
          <w:szCs w:val="22"/>
        </w:rPr>
        <w:drawing>
          <wp:inline distT="0" distB="0" distL="0" distR="0" wp14:anchorId="076185BC" wp14:editId="435426E2">
            <wp:extent cx="5518785" cy="8075023"/>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a:srcRect l="8657" t="8017" r="10432" b="8328"/>
                    <a:stretch/>
                  </pic:blipFill>
                  <pic:spPr bwMode="auto">
                    <a:xfrm>
                      <a:off x="0" y="0"/>
                      <a:ext cx="5518785" cy="8075023"/>
                    </a:xfrm>
                    <a:prstGeom prst="rect">
                      <a:avLst/>
                    </a:prstGeom>
                    <a:ln>
                      <a:noFill/>
                    </a:ln>
                    <a:extLst>
                      <a:ext uri="{53640926-AAD7-44D8-BBD7-CCE9431645EC}">
                        <a14:shadowObscured xmlns:a14="http://schemas.microsoft.com/office/drawing/2010/main"/>
                      </a:ext>
                    </a:extLst>
                  </pic:spPr>
                </pic:pic>
              </a:graphicData>
            </a:graphic>
          </wp:inline>
        </w:drawing>
      </w:r>
    </w:p>
    <w:p w14:paraId="628B0E49" w14:textId="77777777" w:rsidR="00425552" w:rsidRDefault="00425552" w:rsidP="00425552">
      <w:pPr>
        <w:rPr>
          <w:rFonts w:ascii="Arial" w:eastAsia="Arial" w:hAnsi="Arial" w:cs="Arial"/>
          <w:sz w:val="22"/>
          <w:szCs w:val="22"/>
        </w:rPr>
      </w:pPr>
      <w:r>
        <w:rPr>
          <w:rFonts w:ascii="Arial" w:eastAsia="Arial" w:hAnsi="Arial" w:cs="Arial"/>
          <w:b/>
          <w:sz w:val="22"/>
          <w:szCs w:val="22"/>
        </w:rPr>
        <w:t>Table S4:</w:t>
      </w:r>
      <w:r>
        <w:rPr>
          <w:rFonts w:ascii="Arial" w:eastAsia="Arial" w:hAnsi="Arial" w:cs="Arial"/>
          <w:sz w:val="22"/>
          <w:szCs w:val="22"/>
        </w:rPr>
        <w:t xml:space="preserve"> </w:t>
      </w:r>
      <w:proofErr w:type="spellStart"/>
      <w:r>
        <w:rPr>
          <w:rFonts w:ascii="Arial" w:eastAsia="Arial" w:hAnsi="Arial" w:cs="Arial"/>
          <w:sz w:val="22"/>
          <w:szCs w:val="22"/>
        </w:rPr>
        <w:t>AICc</w:t>
      </w:r>
      <w:proofErr w:type="spellEnd"/>
      <w:r>
        <w:rPr>
          <w:rFonts w:ascii="Arial" w:eastAsia="Arial" w:hAnsi="Arial" w:cs="Arial"/>
          <w:sz w:val="22"/>
          <w:szCs w:val="22"/>
        </w:rPr>
        <w:t xml:space="preserve">-based ranking of explanatory models for </w:t>
      </w:r>
      <w:r>
        <w:rPr>
          <w:rFonts w:ascii="Arial" w:eastAsia="Arial" w:hAnsi="Arial" w:cs="Arial"/>
          <w:i/>
          <w:sz w:val="22"/>
          <w:szCs w:val="22"/>
        </w:rPr>
        <w:t>infection prevalence</w:t>
      </w:r>
      <w:r>
        <w:rPr>
          <w:rFonts w:ascii="Arial" w:eastAsia="Arial" w:hAnsi="Arial" w:cs="Arial"/>
          <w:sz w:val="22"/>
          <w:szCs w:val="22"/>
        </w:rPr>
        <w:t xml:space="preserve"> at the end of the experiment in infected (a) tree frogs, (b) spiny toads, and (c) fire salamanders. Models are listed in order of decreasing </w:t>
      </w:r>
      <w:proofErr w:type="spellStart"/>
      <w:r>
        <w:rPr>
          <w:rFonts w:ascii="Arial" w:eastAsia="Arial" w:hAnsi="Arial" w:cs="Arial"/>
          <w:sz w:val="22"/>
          <w:szCs w:val="22"/>
        </w:rPr>
        <w:t>AICc</w:t>
      </w:r>
      <w:proofErr w:type="spellEnd"/>
      <w:r>
        <w:rPr>
          <w:rFonts w:ascii="Arial" w:eastAsia="Arial" w:hAnsi="Arial" w:cs="Arial"/>
          <w:sz w:val="22"/>
          <w:szCs w:val="22"/>
        </w:rPr>
        <w:t xml:space="preserve">, and the top 15 models are displayed. Red lines denote the 2-AICc </w:t>
      </w:r>
      <w:proofErr w:type="spellStart"/>
      <w:r>
        <w:rPr>
          <w:rFonts w:ascii="Arial" w:eastAsia="Arial" w:hAnsi="Arial" w:cs="Arial"/>
          <w:sz w:val="22"/>
          <w:szCs w:val="22"/>
        </w:rPr>
        <w:t>cutoff</w:t>
      </w:r>
      <w:proofErr w:type="spellEnd"/>
      <w:r>
        <w:rPr>
          <w:rFonts w:ascii="Arial" w:eastAsia="Arial" w:hAnsi="Arial" w:cs="Arial"/>
          <w:sz w:val="22"/>
          <w:szCs w:val="22"/>
        </w:rPr>
        <w:t xml:space="preserve">. </w:t>
      </w:r>
    </w:p>
    <w:p w14:paraId="0BAFE276" w14:textId="77777777" w:rsidR="00425552" w:rsidRDefault="00425552" w:rsidP="00425552">
      <w:pPr>
        <w:rPr>
          <w:rFonts w:ascii="Arial" w:eastAsia="Arial" w:hAnsi="Arial" w:cs="Arial"/>
          <w:sz w:val="22"/>
          <w:szCs w:val="22"/>
        </w:rPr>
      </w:pPr>
    </w:p>
    <w:p w14:paraId="758F7778" w14:textId="77777777" w:rsidR="00425552" w:rsidRDefault="00425552" w:rsidP="00425552">
      <w:pPr>
        <w:rPr>
          <w:rFonts w:ascii="Arial" w:eastAsia="Arial" w:hAnsi="Arial" w:cs="Arial"/>
          <w:sz w:val="22"/>
          <w:szCs w:val="22"/>
        </w:rPr>
      </w:pPr>
      <w:r>
        <w:rPr>
          <w:rFonts w:ascii="Arial" w:hAnsi="Arial" w:cs="Arial"/>
          <w:noProof/>
          <w:sz w:val="22"/>
          <w:szCs w:val="22"/>
        </w:rPr>
        <w:lastRenderedPageBreak/>
        <w:drawing>
          <wp:inline distT="0" distB="0" distL="0" distR="0" wp14:anchorId="0E647EAD" wp14:editId="405C6CC4">
            <wp:extent cx="4451354" cy="86510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4"/>
                    <a:srcRect l="7924" t="6109" r="28528" b="6619"/>
                    <a:stretch/>
                  </pic:blipFill>
                  <pic:spPr bwMode="auto">
                    <a:xfrm>
                      <a:off x="0" y="0"/>
                      <a:ext cx="4460865" cy="8669504"/>
                    </a:xfrm>
                    <a:prstGeom prst="rect">
                      <a:avLst/>
                    </a:prstGeom>
                    <a:ln>
                      <a:noFill/>
                    </a:ln>
                    <a:extLst>
                      <a:ext uri="{53640926-AAD7-44D8-BBD7-CCE9431645EC}">
                        <a14:shadowObscured xmlns:a14="http://schemas.microsoft.com/office/drawing/2010/main"/>
                      </a:ext>
                    </a:extLst>
                  </pic:spPr>
                </pic:pic>
              </a:graphicData>
            </a:graphic>
          </wp:inline>
        </w:drawing>
      </w:r>
    </w:p>
    <w:p w14:paraId="1BE7360D" w14:textId="77777777" w:rsidR="00425552" w:rsidRDefault="00425552" w:rsidP="00425552">
      <w:pPr>
        <w:rPr>
          <w:rFonts w:ascii="Arial" w:eastAsia="Arial" w:hAnsi="Arial" w:cs="Arial"/>
          <w:sz w:val="22"/>
          <w:szCs w:val="22"/>
        </w:rPr>
      </w:pPr>
      <w:r>
        <w:rPr>
          <w:rFonts w:ascii="Arial" w:eastAsia="Arial" w:hAnsi="Arial" w:cs="Arial"/>
          <w:b/>
          <w:sz w:val="22"/>
          <w:szCs w:val="22"/>
        </w:rPr>
        <w:t>Table S5:</w:t>
      </w:r>
      <w:r>
        <w:rPr>
          <w:rFonts w:ascii="Arial" w:eastAsia="Arial" w:hAnsi="Arial" w:cs="Arial"/>
          <w:sz w:val="22"/>
          <w:szCs w:val="22"/>
        </w:rPr>
        <w:t xml:space="preserve"> </w:t>
      </w:r>
      <w:proofErr w:type="spellStart"/>
      <w:r>
        <w:rPr>
          <w:rFonts w:ascii="Arial" w:eastAsia="Arial" w:hAnsi="Arial" w:cs="Arial"/>
          <w:sz w:val="22"/>
          <w:szCs w:val="22"/>
        </w:rPr>
        <w:t>AICc</w:t>
      </w:r>
      <w:proofErr w:type="spellEnd"/>
      <w:r>
        <w:rPr>
          <w:rFonts w:ascii="Arial" w:eastAsia="Arial" w:hAnsi="Arial" w:cs="Arial"/>
          <w:sz w:val="22"/>
          <w:szCs w:val="22"/>
        </w:rPr>
        <w:t xml:space="preserve">-based ranking of explanatory models for </w:t>
      </w:r>
      <w:r>
        <w:rPr>
          <w:rFonts w:ascii="Arial" w:eastAsia="Arial" w:hAnsi="Arial" w:cs="Arial"/>
          <w:i/>
          <w:sz w:val="22"/>
          <w:szCs w:val="22"/>
        </w:rPr>
        <w:t>mean infection loads</w:t>
      </w:r>
      <w:r>
        <w:rPr>
          <w:rFonts w:ascii="Arial" w:eastAsia="Arial" w:hAnsi="Arial" w:cs="Arial"/>
          <w:sz w:val="22"/>
          <w:szCs w:val="22"/>
        </w:rPr>
        <w:t xml:space="preserve"> at the end of the experiment in infected (a) tree frogs, (b) spiny toads, and (c) fire salamanders. </w:t>
      </w:r>
      <w:r>
        <w:rPr>
          <w:rFonts w:ascii="Arial" w:eastAsia="Arial" w:hAnsi="Arial" w:cs="Arial"/>
          <w:sz w:val="22"/>
          <w:szCs w:val="22"/>
        </w:rPr>
        <w:lastRenderedPageBreak/>
        <w:t xml:space="preserve">Models are listed in order of decreasing </w:t>
      </w:r>
      <w:proofErr w:type="spellStart"/>
      <w:r>
        <w:rPr>
          <w:rFonts w:ascii="Arial" w:eastAsia="Arial" w:hAnsi="Arial" w:cs="Arial"/>
          <w:sz w:val="22"/>
          <w:szCs w:val="22"/>
        </w:rPr>
        <w:t>AICc</w:t>
      </w:r>
      <w:proofErr w:type="spellEnd"/>
      <w:r>
        <w:rPr>
          <w:rFonts w:ascii="Arial" w:eastAsia="Arial" w:hAnsi="Arial" w:cs="Arial"/>
          <w:sz w:val="22"/>
          <w:szCs w:val="22"/>
        </w:rPr>
        <w:t xml:space="preserve">, and the top 15 models are displayed. Red lines denote the 2-AICc </w:t>
      </w:r>
      <w:proofErr w:type="spellStart"/>
      <w:r>
        <w:rPr>
          <w:rFonts w:ascii="Arial" w:eastAsia="Arial" w:hAnsi="Arial" w:cs="Arial"/>
          <w:sz w:val="22"/>
          <w:szCs w:val="22"/>
        </w:rPr>
        <w:t>cutoff</w:t>
      </w:r>
      <w:proofErr w:type="spellEnd"/>
      <w:r>
        <w:rPr>
          <w:rFonts w:ascii="Arial" w:eastAsia="Arial" w:hAnsi="Arial" w:cs="Arial"/>
          <w:sz w:val="22"/>
          <w:szCs w:val="22"/>
        </w:rPr>
        <w:t xml:space="preserve">. </w:t>
      </w:r>
    </w:p>
    <w:p w14:paraId="10114327" w14:textId="77777777" w:rsidR="00425552" w:rsidRDefault="00425552" w:rsidP="00425552">
      <w:pPr>
        <w:rPr>
          <w:rFonts w:ascii="Arial" w:eastAsia="Arial" w:hAnsi="Arial" w:cs="Arial"/>
          <w:sz w:val="22"/>
          <w:szCs w:val="22"/>
        </w:rPr>
      </w:pPr>
    </w:p>
    <w:tbl>
      <w:tblPr>
        <w:tblW w:w="9470" w:type="dxa"/>
        <w:tblLayout w:type="fixed"/>
        <w:tblLook w:val="0400" w:firstRow="0" w:lastRow="0" w:firstColumn="0" w:lastColumn="0" w:noHBand="0" w:noVBand="1"/>
      </w:tblPr>
      <w:tblGrid>
        <w:gridCol w:w="1866"/>
        <w:gridCol w:w="1275"/>
        <w:gridCol w:w="1446"/>
        <w:gridCol w:w="1551"/>
        <w:gridCol w:w="1701"/>
        <w:gridCol w:w="1631"/>
      </w:tblGrid>
      <w:tr w:rsidR="00425552" w:rsidRPr="00EB5846" w14:paraId="634BB4DA" w14:textId="77777777" w:rsidTr="00F95593">
        <w:trPr>
          <w:trHeight w:val="300"/>
        </w:trPr>
        <w:tc>
          <w:tcPr>
            <w:tcW w:w="1866" w:type="dxa"/>
            <w:tcBorders>
              <w:top w:val="single" w:sz="8" w:space="0" w:color="000000"/>
              <w:left w:val="single" w:sz="8" w:space="0" w:color="000000"/>
              <w:bottom w:val="single" w:sz="4" w:space="0" w:color="000000"/>
              <w:right w:val="single" w:sz="4" w:space="0" w:color="000000"/>
            </w:tcBorders>
            <w:shd w:val="clear" w:color="auto" w:fill="auto"/>
            <w:vAlign w:val="bottom"/>
          </w:tcPr>
          <w:p w14:paraId="0149EC04" w14:textId="77777777" w:rsidR="00425552" w:rsidRPr="00EB5846" w:rsidRDefault="00425552" w:rsidP="00F95593">
            <w:pPr>
              <w:rPr>
                <w:rFonts w:ascii="Arial" w:eastAsia="Arial" w:hAnsi="Arial" w:cs="Arial"/>
                <w:b/>
                <w:color w:val="000000"/>
                <w:sz w:val="20"/>
                <w:szCs w:val="20"/>
              </w:rPr>
            </w:pPr>
            <w:r w:rsidRPr="00EB5846">
              <w:rPr>
                <w:rFonts w:ascii="Arial" w:eastAsia="Arial" w:hAnsi="Arial" w:cs="Arial"/>
                <w:b/>
                <w:color w:val="000000"/>
                <w:sz w:val="20"/>
                <w:szCs w:val="20"/>
              </w:rPr>
              <w:t xml:space="preserve">(a) </w:t>
            </w:r>
            <w:r>
              <w:rPr>
                <w:rFonts w:ascii="Arial" w:eastAsia="Arial" w:hAnsi="Arial" w:cs="Arial"/>
                <w:b/>
                <w:color w:val="000000"/>
                <w:sz w:val="20"/>
                <w:szCs w:val="20"/>
              </w:rPr>
              <w:t>n</w:t>
            </w:r>
            <w:r w:rsidRPr="00EB5846">
              <w:rPr>
                <w:rFonts w:ascii="Arial" w:eastAsia="Arial" w:hAnsi="Arial" w:cs="Arial"/>
                <w:b/>
                <w:color w:val="000000"/>
                <w:sz w:val="20"/>
                <w:szCs w:val="20"/>
              </w:rPr>
              <w:t>umber of infected frogs</w:t>
            </w:r>
          </w:p>
        </w:tc>
        <w:tc>
          <w:tcPr>
            <w:tcW w:w="1275" w:type="dxa"/>
            <w:tcBorders>
              <w:top w:val="single" w:sz="8" w:space="0" w:color="000000"/>
              <w:left w:val="nil"/>
              <w:bottom w:val="single" w:sz="4" w:space="0" w:color="000000"/>
              <w:right w:val="single" w:sz="4" w:space="0" w:color="000000"/>
            </w:tcBorders>
            <w:shd w:val="clear" w:color="auto" w:fill="auto"/>
            <w:vAlign w:val="bottom"/>
          </w:tcPr>
          <w:p w14:paraId="0BEFF573"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446" w:type="dxa"/>
            <w:tcBorders>
              <w:top w:val="single" w:sz="8" w:space="0" w:color="000000"/>
              <w:left w:val="nil"/>
              <w:bottom w:val="single" w:sz="4" w:space="0" w:color="000000"/>
              <w:right w:val="single" w:sz="4" w:space="0" w:color="000000"/>
            </w:tcBorders>
            <w:shd w:val="clear" w:color="auto" w:fill="auto"/>
            <w:vAlign w:val="bottom"/>
          </w:tcPr>
          <w:p w14:paraId="0FA805C3"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551" w:type="dxa"/>
            <w:tcBorders>
              <w:top w:val="single" w:sz="8" w:space="0" w:color="000000"/>
              <w:left w:val="nil"/>
              <w:bottom w:val="single" w:sz="4" w:space="0" w:color="000000"/>
              <w:right w:val="single" w:sz="4" w:space="0" w:color="000000"/>
            </w:tcBorders>
            <w:shd w:val="clear" w:color="auto" w:fill="auto"/>
            <w:vAlign w:val="bottom"/>
          </w:tcPr>
          <w:p w14:paraId="3BF1C5AC"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701" w:type="dxa"/>
            <w:tcBorders>
              <w:top w:val="single" w:sz="8" w:space="0" w:color="000000"/>
              <w:left w:val="nil"/>
              <w:bottom w:val="single" w:sz="4" w:space="0" w:color="000000"/>
              <w:right w:val="single" w:sz="4" w:space="0" w:color="000000"/>
            </w:tcBorders>
            <w:shd w:val="clear" w:color="auto" w:fill="auto"/>
            <w:vAlign w:val="bottom"/>
          </w:tcPr>
          <w:p w14:paraId="45391FAE"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631" w:type="dxa"/>
            <w:tcBorders>
              <w:top w:val="single" w:sz="8" w:space="0" w:color="000000"/>
              <w:left w:val="nil"/>
              <w:bottom w:val="single" w:sz="4" w:space="0" w:color="000000"/>
              <w:right w:val="single" w:sz="8" w:space="0" w:color="000000"/>
            </w:tcBorders>
            <w:shd w:val="clear" w:color="auto" w:fill="auto"/>
            <w:vAlign w:val="bottom"/>
          </w:tcPr>
          <w:p w14:paraId="3B811D3E"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r>
      <w:tr w:rsidR="00425552" w:rsidRPr="00EB5846" w14:paraId="2D8B0F3D" w14:textId="77777777" w:rsidTr="00F95593">
        <w:trPr>
          <w:trHeight w:val="620"/>
        </w:trPr>
        <w:tc>
          <w:tcPr>
            <w:tcW w:w="1866" w:type="dxa"/>
            <w:tcBorders>
              <w:top w:val="nil"/>
              <w:left w:val="single" w:sz="8" w:space="0" w:color="000000"/>
              <w:bottom w:val="single" w:sz="6" w:space="0" w:color="000000"/>
              <w:right w:val="single" w:sz="4" w:space="0" w:color="000000"/>
            </w:tcBorders>
            <w:shd w:val="clear" w:color="auto" w:fill="auto"/>
            <w:vAlign w:val="bottom"/>
          </w:tcPr>
          <w:p w14:paraId="6A660D86"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275" w:type="dxa"/>
            <w:tcBorders>
              <w:top w:val="nil"/>
              <w:left w:val="nil"/>
              <w:bottom w:val="single" w:sz="6" w:space="0" w:color="000000"/>
              <w:right w:val="single" w:sz="4" w:space="0" w:color="000000"/>
            </w:tcBorders>
            <w:shd w:val="clear" w:color="auto" w:fill="auto"/>
            <w:vAlign w:val="bottom"/>
          </w:tcPr>
          <w:p w14:paraId="6821B0F5"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toads</w:t>
            </w:r>
          </w:p>
        </w:tc>
        <w:tc>
          <w:tcPr>
            <w:tcW w:w="1446" w:type="dxa"/>
            <w:tcBorders>
              <w:top w:val="nil"/>
              <w:left w:val="nil"/>
              <w:bottom w:val="single" w:sz="6" w:space="0" w:color="000000"/>
              <w:right w:val="single" w:sz="4" w:space="0" w:color="000000"/>
            </w:tcBorders>
            <w:shd w:val="clear" w:color="auto" w:fill="auto"/>
            <w:vAlign w:val="bottom"/>
          </w:tcPr>
          <w:p w14:paraId="6F8E9AB1"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initial salamander infections</w:t>
            </w:r>
          </w:p>
        </w:tc>
        <w:tc>
          <w:tcPr>
            <w:tcW w:w="1551" w:type="dxa"/>
            <w:tcBorders>
              <w:top w:val="nil"/>
              <w:left w:val="nil"/>
              <w:bottom w:val="single" w:sz="6" w:space="0" w:color="000000"/>
              <w:right w:val="single" w:sz="4" w:space="0" w:color="000000"/>
            </w:tcBorders>
            <w:shd w:val="clear" w:color="auto" w:fill="auto"/>
            <w:vAlign w:val="bottom"/>
          </w:tcPr>
          <w:p w14:paraId="4CD16386" w14:textId="77777777" w:rsidR="00425552" w:rsidRPr="00EB5846" w:rsidRDefault="00425552" w:rsidP="00F95593">
            <w:pPr>
              <w:jc w:val="center"/>
              <w:rPr>
                <w:rFonts w:ascii="Arial" w:eastAsia="Arial" w:hAnsi="Arial" w:cs="Arial"/>
                <w:b/>
                <w:color w:val="000000"/>
                <w:sz w:val="20"/>
                <w:szCs w:val="20"/>
              </w:rPr>
            </w:pPr>
            <w:r>
              <w:rPr>
                <w:rFonts w:ascii="Arial" w:eastAsia="Arial" w:hAnsi="Arial" w:cs="Arial"/>
                <w:b/>
                <w:color w:val="000000"/>
                <w:sz w:val="20"/>
                <w:szCs w:val="20"/>
              </w:rPr>
              <w:t>t</w:t>
            </w:r>
            <w:r w:rsidRPr="00EB5846">
              <w:rPr>
                <w:rFonts w:ascii="Arial" w:eastAsia="Arial" w:hAnsi="Arial" w:cs="Arial"/>
                <w:b/>
                <w:color w:val="000000"/>
                <w:sz w:val="20"/>
                <w:szCs w:val="20"/>
              </w:rPr>
              <w:t>oad</w:t>
            </w:r>
            <w:r>
              <w:rPr>
                <w:rFonts w:ascii="Arial" w:eastAsia="Arial" w:hAnsi="Arial" w:cs="Arial"/>
                <w:b/>
                <w:color w:val="000000"/>
                <w:sz w:val="20"/>
                <w:szCs w:val="20"/>
              </w:rPr>
              <w:t xml:space="preserve"> </w:t>
            </w:r>
            <w:r w:rsidRPr="00EB5846">
              <w:rPr>
                <w:rFonts w:ascii="Arial" w:eastAsia="Arial" w:hAnsi="Arial" w:cs="Arial"/>
                <w:b/>
                <w:color w:val="000000"/>
                <w:sz w:val="20"/>
                <w:szCs w:val="20"/>
              </w:rPr>
              <w:t>abundance</w:t>
            </w:r>
          </w:p>
        </w:tc>
        <w:tc>
          <w:tcPr>
            <w:tcW w:w="1701" w:type="dxa"/>
            <w:tcBorders>
              <w:top w:val="nil"/>
              <w:left w:val="nil"/>
              <w:bottom w:val="single" w:sz="6" w:space="0" w:color="000000"/>
              <w:right w:val="single" w:sz="4" w:space="0" w:color="000000"/>
            </w:tcBorders>
            <w:shd w:val="clear" w:color="auto" w:fill="auto"/>
            <w:vAlign w:val="bottom"/>
          </w:tcPr>
          <w:p w14:paraId="17E3E2D3"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salamanders</w:t>
            </w:r>
          </w:p>
        </w:tc>
        <w:tc>
          <w:tcPr>
            <w:tcW w:w="1631" w:type="dxa"/>
            <w:tcBorders>
              <w:top w:val="nil"/>
              <w:left w:val="nil"/>
              <w:bottom w:val="single" w:sz="6" w:space="0" w:color="000000"/>
              <w:right w:val="single" w:sz="8" w:space="0" w:color="000000"/>
            </w:tcBorders>
            <w:shd w:val="clear" w:color="auto" w:fill="auto"/>
            <w:vAlign w:val="bottom"/>
          </w:tcPr>
          <w:p w14:paraId="1C8175A5"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salamander abundance</w:t>
            </w:r>
          </w:p>
        </w:tc>
      </w:tr>
      <w:tr w:rsidR="00425552" w:rsidRPr="00EB5846" w14:paraId="29810765" w14:textId="77777777" w:rsidTr="00F95593">
        <w:trPr>
          <w:trHeight w:val="320"/>
        </w:trPr>
        <w:tc>
          <w:tcPr>
            <w:tcW w:w="1866" w:type="dxa"/>
            <w:tcBorders>
              <w:top w:val="nil"/>
              <w:left w:val="single" w:sz="8" w:space="0" w:color="000000"/>
              <w:bottom w:val="single" w:sz="4" w:space="0" w:color="000000"/>
              <w:right w:val="single" w:sz="4" w:space="0" w:color="000000"/>
            </w:tcBorders>
            <w:shd w:val="clear" w:color="auto" w:fill="auto"/>
            <w:vAlign w:val="bottom"/>
          </w:tcPr>
          <w:p w14:paraId="4AD457E6"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importance</w:t>
            </w:r>
          </w:p>
        </w:tc>
        <w:tc>
          <w:tcPr>
            <w:tcW w:w="1275" w:type="dxa"/>
            <w:tcBorders>
              <w:top w:val="nil"/>
              <w:left w:val="nil"/>
              <w:bottom w:val="single" w:sz="4" w:space="0" w:color="000000"/>
              <w:right w:val="single" w:sz="4" w:space="0" w:color="000000"/>
            </w:tcBorders>
            <w:shd w:val="clear" w:color="auto" w:fill="auto"/>
            <w:vAlign w:val="bottom"/>
          </w:tcPr>
          <w:p w14:paraId="4F3CE9FF"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0.91</w:t>
            </w:r>
          </w:p>
        </w:tc>
        <w:tc>
          <w:tcPr>
            <w:tcW w:w="1446" w:type="dxa"/>
            <w:tcBorders>
              <w:top w:val="nil"/>
              <w:left w:val="nil"/>
              <w:bottom w:val="single" w:sz="4" w:space="0" w:color="000000"/>
              <w:right w:val="single" w:sz="4" w:space="0" w:color="000000"/>
            </w:tcBorders>
            <w:shd w:val="clear" w:color="auto" w:fill="auto"/>
            <w:vAlign w:val="bottom"/>
          </w:tcPr>
          <w:p w14:paraId="6EE9B480"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0.56</w:t>
            </w:r>
          </w:p>
        </w:tc>
        <w:tc>
          <w:tcPr>
            <w:tcW w:w="1551" w:type="dxa"/>
            <w:tcBorders>
              <w:top w:val="nil"/>
              <w:left w:val="nil"/>
              <w:bottom w:val="single" w:sz="4" w:space="0" w:color="000000"/>
              <w:right w:val="single" w:sz="4" w:space="0" w:color="000000"/>
            </w:tcBorders>
            <w:shd w:val="clear" w:color="auto" w:fill="auto"/>
            <w:vAlign w:val="bottom"/>
          </w:tcPr>
          <w:p w14:paraId="16BE7CAD"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0.26</w:t>
            </w:r>
          </w:p>
        </w:tc>
        <w:tc>
          <w:tcPr>
            <w:tcW w:w="1701" w:type="dxa"/>
            <w:tcBorders>
              <w:top w:val="nil"/>
              <w:left w:val="nil"/>
              <w:bottom w:val="single" w:sz="4" w:space="0" w:color="000000"/>
              <w:right w:val="single" w:sz="4" w:space="0" w:color="000000"/>
            </w:tcBorders>
            <w:shd w:val="clear" w:color="auto" w:fill="auto"/>
            <w:vAlign w:val="bottom"/>
          </w:tcPr>
          <w:p w14:paraId="24C1BB29"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0.25</w:t>
            </w:r>
          </w:p>
        </w:tc>
        <w:tc>
          <w:tcPr>
            <w:tcW w:w="1631" w:type="dxa"/>
            <w:tcBorders>
              <w:top w:val="nil"/>
              <w:left w:val="nil"/>
              <w:bottom w:val="single" w:sz="4" w:space="0" w:color="000000"/>
              <w:right w:val="single" w:sz="8" w:space="0" w:color="000000"/>
            </w:tcBorders>
            <w:shd w:val="clear" w:color="auto" w:fill="auto"/>
            <w:vAlign w:val="bottom"/>
          </w:tcPr>
          <w:p w14:paraId="3735E438"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0.22</w:t>
            </w:r>
          </w:p>
        </w:tc>
      </w:tr>
      <w:tr w:rsidR="00425552" w:rsidRPr="00EB5846" w14:paraId="7BD7A713" w14:textId="77777777" w:rsidTr="00F95593">
        <w:trPr>
          <w:trHeight w:val="320"/>
        </w:trPr>
        <w:tc>
          <w:tcPr>
            <w:tcW w:w="1866" w:type="dxa"/>
            <w:tcBorders>
              <w:top w:val="nil"/>
              <w:left w:val="single" w:sz="8" w:space="0" w:color="000000"/>
              <w:bottom w:val="single" w:sz="8" w:space="0" w:color="000000"/>
              <w:right w:val="single" w:sz="4" w:space="0" w:color="000000"/>
            </w:tcBorders>
            <w:shd w:val="clear" w:color="auto" w:fill="auto"/>
            <w:vAlign w:val="bottom"/>
          </w:tcPr>
          <w:p w14:paraId="5605795E"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N containing models</w:t>
            </w:r>
          </w:p>
        </w:tc>
        <w:tc>
          <w:tcPr>
            <w:tcW w:w="1275" w:type="dxa"/>
            <w:tcBorders>
              <w:top w:val="nil"/>
              <w:left w:val="nil"/>
              <w:bottom w:val="single" w:sz="8" w:space="0" w:color="000000"/>
              <w:right w:val="single" w:sz="4" w:space="0" w:color="000000"/>
            </w:tcBorders>
            <w:shd w:val="clear" w:color="auto" w:fill="auto"/>
            <w:vAlign w:val="bottom"/>
          </w:tcPr>
          <w:p w14:paraId="2B0DF686"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446" w:type="dxa"/>
            <w:tcBorders>
              <w:top w:val="nil"/>
              <w:left w:val="nil"/>
              <w:bottom w:val="single" w:sz="8" w:space="0" w:color="000000"/>
              <w:right w:val="single" w:sz="4" w:space="0" w:color="000000"/>
            </w:tcBorders>
            <w:shd w:val="clear" w:color="auto" w:fill="auto"/>
            <w:vAlign w:val="bottom"/>
          </w:tcPr>
          <w:p w14:paraId="51B73152"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551" w:type="dxa"/>
            <w:tcBorders>
              <w:top w:val="nil"/>
              <w:left w:val="nil"/>
              <w:bottom w:val="single" w:sz="8" w:space="0" w:color="000000"/>
              <w:right w:val="single" w:sz="4" w:space="0" w:color="000000"/>
            </w:tcBorders>
            <w:shd w:val="clear" w:color="auto" w:fill="auto"/>
            <w:vAlign w:val="bottom"/>
          </w:tcPr>
          <w:p w14:paraId="7BEBEAEE"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701" w:type="dxa"/>
            <w:tcBorders>
              <w:top w:val="nil"/>
              <w:left w:val="nil"/>
              <w:bottom w:val="single" w:sz="8" w:space="0" w:color="000000"/>
              <w:right w:val="single" w:sz="4" w:space="0" w:color="000000"/>
            </w:tcBorders>
            <w:shd w:val="clear" w:color="auto" w:fill="auto"/>
            <w:vAlign w:val="bottom"/>
          </w:tcPr>
          <w:p w14:paraId="24A0ABFE"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631" w:type="dxa"/>
            <w:tcBorders>
              <w:top w:val="nil"/>
              <w:left w:val="nil"/>
              <w:bottom w:val="single" w:sz="8" w:space="0" w:color="000000"/>
              <w:right w:val="single" w:sz="8" w:space="0" w:color="000000"/>
            </w:tcBorders>
            <w:shd w:val="clear" w:color="auto" w:fill="auto"/>
            <w:vAlign w:val="bottom"/>
          </w:tcPr>
          <w:p w14:paraId="42F2E8BE"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r>
      <w:tr w:rsidR="00425552" w:rsidRPr="00EB5846" w14:paraId="724B71E7" w14:textId="77777777" w:rsidTr="00F95593">
        <w:trPr>
          <w:trHeight w:val="420"/>
        </w:trPr>
        <w:tc>
          <w:tcPr>
            <w:tcW w:w="1866" w:type="dxa"/>
            <w:tcBorders>
              <w:top w:val="nil"/>
              <w:left w:val="single" w:sz="8" w:space="0" w:color="000000"/>
              <w:bottom w:val="nil"/>
              <w:right w:val="single" w:sz="4" w:space="0" w:color="000000"/>
            </w:tcBorders>
            <w:shd w:val="clear" w:color="auto" w:fill="auto"/>
            <w:vAlign w:val="bottom"/>
          </w:tcPr>
          <w:p w14:paraId="1B316CE1"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275" w:type="dxa"/>
            <w:tcBorders>
              <w:top w:val="nil"/>
              <w:left w:val="nil"/>
              <w:bottom w:val="nil"/>
              <w:right w:val="single" w:sz="4" w:space="0" w:color="000000"/>
            </w:tcBorders>
            <w:shd w:val="clear" w:color="auto" w:fill="auto"/>
            <w:vAlign w:val="bottom"/>
          </w:tcPr>
          <w:p w14:paraId="522AB9A5"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446" w:type="dxa"/>
            <w:tcBorders>
              <w:top w:val="nil"/>
              <w:left w:val="nil"/>
              <w:bottom w:val="nil"/>
              <w:right w:val="single" w:sz="4" w:space="0" w:color="000000"/>
            </w:tcBorders>
            <w:shd w:val="clear" w:color="auto" w:fill="auto"/>
            <w:vAlign w:val="bottom"/>
          </w:tcPr>
          <w:p w14:paraId="4C20DAD6"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551" w:type="dxa"/>
            <w:tcBorders>
              <w:top w:val="nil"/>
              <w:left w:val="nil"/>
              <w:bottom w:val="nil"/>
              <w:right w:val="single" w:sz="4" w:space="0" w:color="000000"/>
            </w:tcBorders>
            <w:shd w:val="clear" w:color="auto" w:fill="auto"/>
            <w:vAlign w:val="bottom"/>
          </w:tcPr>
          <w:p w14:paraId="2378332A"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701" w:type="dxa"/>
            <w:tcBorders>
              <w:top w:val="nil"/>
              <w:left w:val="nil"/>
              <w:bottom w:val="nil"/>
              <w:right w:val="single" w:sz="4" w:space="0" w:color="000000"/>
            </w:tcBorders>
            <w:shd w:val="clear" w:color="auto" w:fill="auto"/>
            <w:vAlign w:val="bottom"/>
          </w:tcPr>
          <w:p w14:paraId="554F898E"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631" w:type="dxa"/>
            <w:tcBorders>
              <w:top w:val="nil"/>
              <w:left w:val="nil"/>
              <w:bottom w:val="nil"/>
              <w:right w:val="single" w:sz="8" w:space="0" w:color="000000"/>
            </w:tcBorders>
            <w:shd w:val="clear" w:color="auto" w:fill="auto"/>
            <w:vAlign w:val="bottom"/>
          </w:tcPr>
          <w:p w14:paraId="675CE85F"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r>
      <w:tr w:rsidR="00425552" w:rsidRPr="00EB5846" w14:paraId="629E40A0" w14:textId="77777777" w:rsidTr="00F95593">
        <w:trPr>
          <w:trHeight w:val="300"/>
        </w:trPr>
        <w:tc>
          <w:tcPr>
            <w:tcW w:w="1866" w:type="dxa"/>
            <w:tcBorders>
              <w:top w:val="single" w:sz="8" w:space="0" w:color="000000"/>
              <w:left w:val="single" w:sz="8" w:space="0" w:color="000000"/>
              <w:bottom w:val="single" w:sz="4" w:space="0" w:color="000000"/>
              <w:right w:val="single" w:sz="4" w:space="0" w:color="000000"/>
            </w:tcBorders>
            <w:shd w:val="clear" w:color="auto" w:fill="auto"/>
            <w:vAlign w:val="bottom"/>
          </w:tcPr>
          <w:p w14:paraId="535DB29D" w14:textId="77777777" w:rsidR="00425552" w:rsidRPr="00EB5846" w:rsidRDefault="00425552" w:rsidP="00F95593">
            <w:pPr>
              <w:rPr>
                <w:rFonts w:ascii="Arial" w:eastAsia="Arial" w:hAnsi="Arial" w:cs="Arial"/>
                <w:b/>
                <w:color w:val="000000"/>
                <w:sz w:val="20"/>
                <w:szCs w:val="20"/>
              </w:rPr>
            </w:pPr>
            <w:r w:rsidRPr="00EB5846">
              <w:rPr>
                <w:rFonts w:ascii="Arial" w:eastAsia="Arial" w:hAnsi="Arial" w:cs="Arial"/>
                <w:b/>
                <w:color w:val="000000"/>
                <w:sz w:val="20"/>
                <w:szCs w:val="20"/>
              </w:rPr>
              <w:t xml:space="preserve">(b) </w:t>
            </w:r>
            <w:r>
              <w:rPr>
                <w:rFonts w:ascii="Arial" w:eastAsia="Arial" w:hAnsi="Arial" w:cs="Arial"/>
                <w:b/>
                <w:color w:val="000000"/>
                <w:sz w:val="20"/>
                <w:szCs w:val="20"/>
              </w:rPr>
              <w:t>n</w:t>
            </w:r>
            <w:r w:rsidRPr="00EB5846">
              <w:rPr>
                <w:rFonts w:ascii="Arial" w:eastAsia="Arial" w:hAnsi="Arial" w:cs="Arial"/>
                <w:b/>
                <w:color w:val="000000"/>
                <w:sz w:val="20"/>
                <w:szCs w:val="20"/>
              </w:rPr>
              <w:t>umber of infected toads</w:t>
            </w:r>
          </w:p>
        </w:tc>
        <w:tc>
          <w:tcPr>
            <w:tcW w:w="1275" w:type="dxa"/>
            <w:tcBorders>
              <w:top w:val="single" w:sz="8" w:space="0" w:color="000000"/>
              <w:left w:val="nil"/>
              <w:bottom w:val="single" w:sz="4" w:space="0" w:color="000000"/>
              <w:right w:val="single" w:sz="4" w:space="0" w:color="000000"/>
            </w:tcBorders>
            <w:shd w:val="clear" w:color="auto" w:fill="auto"/>
            <w:vAlign w:val="bottom"/>
          </w:tcPr>
          <w:p w14:paraId="4C9A0913"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446" w:type="dxa"/>
            <w:tcBorders>
              <w:top w:val="single" w:sz="8" w:space="0" w:color="000000"/>
              <w:left w:val="nil"/>
              <w:bottom w:val="single" w:sz="4" w:space="0" w:color="000000"/>
              <w:right w:val="single" w:sz="4" w:space="0" w:color="000000"/>
            </w:tcBorders>
            <w:shd w:val="clear" w:color="auto" w:fill="auto"/>
            <w:vAlign w:val="bottom"/>
          </w:tcPr>
          <w:p w14:paraId="4C5B0826"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551" w:type="dxa"/>
            <w:tcBorders>
              <w:top w:val="single" w:sz="8" w:space="0" w:color="000000"/>
              <w:left w:val="nil"/>
              <w:bottom w:val="single" w:sz="4" w:space="0" w:color="000000"/>
              <w:right w:val="single" w:sz="4" w:space="0" w:color="000000"/>
            </w:tcBorders>
            <w:shd w:val="clear" w:color="auto" w:fill="auto"/>
            <w:vAlign w:val="bottom"/>
          </w:tcPr>
          <w:p w14:paraId="5B54895F"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701" w:type="dxa"/>
            <w:tcBorders>
              <w:top w:val="single" w:sz="8" w:space="0" w:color="000000"/>
              <w:left w:val="nil"/>
              <w:bottom w:val="single" w:sz="4" w:space="0" w:color="000000"/>
              <w:right w:val="single" w:sz="4" w:space="0" w:color="000000"/>
            </w:tcBorders>
            <w:shd w:val="clear" w:color="auto" w:fill="auto"/>
            <w:vAlign w:val="bottom"/>
          </w:tcPr>
          <w:p w14:paraId="5526ED1C"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631" w:type="dxa"/>
            <w:tcBorders>
              <w:top w:val="single" w:sz="8" w:space="0" w:color="000000"/>
              <w:left w:val="nil"/>
              <w:bottom w:val="single" w:sz="4" w:space="0" w:color="000000"/>
              <w:right w:val="single" w:sz="8" w:space="0" w:color="000000"/>
            </w:tcBorders>
            <w:shd w:val="clear" w:color="auto" w:fill="auto"/>
            <w:vAlign w:val="bottom"/>
          </w:tcPr>
          <w:p w14:paraId="51631EB7"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r>
      <w:tr w:rsidR="00425552" w:rsidRPr="00EB5846" w14:paraId="047B7C80" w14:textId="77777777" w:rsidTr="00F95593">
        <w:trPr>
          <w:trHeight w:val="640"/>
        </w:trPr>
        <w:tc>
          <w:tcPr>
            <w:tcW w:w="1866" w:type="dxa"/>
            <w:tcBorders>
              <w:top w:val="nil"/>
              <w:left w:val="single" w:sz="8" w:space="0" w:color="000000"/>
              <w:bottom w:val="single" w:sz="6" w:space="0" w:color="000000"/>
              <w:right w:val="single" w:sz="4" w:space="0" w:color="000000"/>
            </w:tcBorders>
            <w:shd w:val="clear" w:color="auto" w:fill="auto"/>
            <w:vAlign w:val="bottom"/>
          </w:tcPr>
          <w:p w14:paraId="6C221469"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275" w:type="dxa"/>
            <w:tcBorders>
              <w:top w:val="nil"/>
              <w:left w:val="nil"/>
              <w:bottom w:val="single" w:sz="6" w:space="0" w:color="000000"/>
              <w:right w:val="single" w:sz="4" w:space="0" w:color="000000"/>
            </w:tcBorders>
            <w:shd w:val="clear" w:color="auto" w:fill="auto"/>
            <w:vAlign w:val="bottom"/>
          </w:tcPr>
          <w:p w14:paraId="7275FBA0"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frogs</w:t>
            </w:r>
          </w:p>
        </w:tc>
        <w:tc>
          <w:tcPr>
            <w:tcW w:w="1446" w:type="dxa"/>
            <w:tcBorders>
              <w:top w:val="nil"/>
              <w:left w:val="nil"/>
              <w:bottom w:val="single" w:sz="6" w:space="0" w:color="000000"/>
              <w:right w:val="single" w:sz="4" w:space="0" w:color="000000"/>
            </w:tcBorders>
            <w:shd w:val="clear" w:color="auto" w:fill="auto"/>
            <w:vAlign w:val="bottom"/>
          </w:tcPr>
          <w:p w14:paraId="33431027"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Frog abundance</w:t>
            </w:r>
          </w:p>
        </w:tc>
        <w:tc>
          <w:tcPr>
            <w:tcW w:w="1551" w:type="dxa"/>
            <w:tcBorders>
              <w:top w:val="nil"/>
              <w:left w:val="nil"/>
              <w:bottom w:val="single" w:sz="6" w:space="0" w:color="000000"/>
              <w:right w:val="single" w:sz="4" w:space="0" w:color="000000"/>
            </w:tcBorders>
            <w:shd w:val="clear" w:color="auto" w:fill="auto"/>
            <w:vAlign w:val="bottom"/>
          </w:tcPr>
          <w:p w14:paraId="2ECF78B8" w14:textId="77777777" w:rsidR="00425552" w:rsidRPr="00EB5846" w:rsidRDefault="00425552" w:rsidP="00F95593">
            <w:pPr>
              <w:jc w:val="center"/>
              <w:rPr>
                <w:rFonts w:ascii="Arial" w:eastAsia="Arial" w:hAnsi="Arial" w:cs="Arial"/>
                <w:b/>
                <w:color w:val="000000"/>
                <w:sz w:val="20"/>
                <w:szCs w:val="20"/>
              </w:rPr>
            </w:pPr>
            <w:r>
              <w:rPr>
                <w:rFonts w:ascii="Arial" w:eastAsia="Arial" w:hAnsi="Arial" w:cs="Arial"/>
                <w:b/>
                <w:color w:val="000000"/>
                <w:sz w:val="20"/>
                <w:szCs w:val="20"/>
              </w:rPr>
              <w:t>s</w:t>
            </w:r>
            <w:r w:rsidRPr="00EB5846">
              <w:rPr>
                <w:rFonts w:ascii="Arial" w:eastAsia="Arial" w:hAnsi="Arial" w:cs="Arial"/>
                <w:b/>
                <w:color w:val="000000"/>
                <w:sz w:val="20"/>
                <w:szCs w:val="20"/>
              </w:rPr>
              <w:t>alamander abundance</w:t>
            </w:r>
          </w:p>
        </w:tc>
        <w:tc>
          <w:tcPr>
            <w:tcW w:w="1701" w:type="dxa"/>
            <w:tcBorders>
              <w:top w:val="nil"/>
              <w:left w:val="nil"/>
              <w:bottom w:val="single" w:sz="6" w:space="0" w:color="000000"/>
              <w:right w:val="single" w:sz="4" w:space="0" w:color="000000"/>
            </w:tcBorders>
            <w:shd w:val="clear" w:color="auto" w:fill="auto"/>
            <w:vAlign w:val="bottom"/>
          </w:tcPr>
          <w:p w14:paraId="6856E86F"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salamanders</w:t>
            </w:r>
          </w:p>
        </w:tc>
        <w:tc>
          <w:tcPr>
            <w:tcW w:w="1631" w:type="dxa"/>
            <w:tcBorders>
              <w:top w:val="nil"/>
              <w:left w:val="nil"/>
              <w:bottom w:val="single" w:sz="6" w:space="0" w:color="000000"/>
              <w:right w:val="single" w:sz="8" w:space="0" w:color="000000"/>
            </w:tcBorders>
            <w:shd w:val="clear" w:color="auto" w:fill="auto"/>
            <w:vAlign w:val="bottom"/>
          </w:tcPr>
          <w:p w14:paraId="691FD000"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initial salamander infections</w:t>
            </w:r>
          </w:p>
        </w:tc>
      </w:tr>
      <w:tr w:rsidR="00425552" w:rsidRPr="00EB5846" w14:paraId="2A7866E6" w14:textId="77777777" w:rsidTr="00F95593">
        <w:trPr>
          <w:trHeight w:val="320"/>
        </w:trPr>
        <w:tc>
          <w:tcPr>
            <w:tcW w:w="1866" w:type="dxa"/>
            <w:tcBorders>
              <w:top w:val="nil"/>
              <w:left w:val="single" w:sz="8" w:space="0" w:color="000000"/>
              <w:bottom w:val="single" w:sz="4" w:space="0" w:color="000000"/>
              <w:right w:val="single" w:sz="4" w:space="0" w:color="000000"/>
            </w:tcBorders>
            <w:shd w:val="clear" w:color="auto" w:fill="auto"/>
            <w:vAlign w:val="bottom"/>
          </w:tcPr>
          <w:p w14:paraId="1063EE94"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importance</w:t>
            </w:r>
          </w:p>
        </w:tc>
        <w:tc>
          <w:tcPr>
            <w:tcW w:w="1275" w:type="dxa"/>
            <w:tcBorders>
              <w:top w:val="nil"/>
              <w:left w:val="nil"/>
              <w:bottom w:val="single" w:sz="4" w:space="0" w:color="000000"/>
              <w:right w:val="single" w:sz="4" w:space="0" w:color="000000"/>
            </w:tcBorders>
            <w:shd w:val="clear" w:color="auto" w:fill="auto"/>
            <w:vAlign w:val="bottom"/>
          </w:tcPr>
          <w:p w14:paraId="64C46075"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0.93</w:t>
            </w:r>
          </w:p>
        </w:tc>
        <w:tc>
          <w:tcPr>
            <w:tcW w:w="1446" w:type="dxa"/>
            <w:tcBorders>
              <w:top w:val="nil"/>
              <w:left w:val="nil"/>
              <w:bottom w:val="single" w:sz="4" w:space="0" w:color="000000"/>
              <w:right w:val="single" w:sz="4" w:space="0" w:color="000000"/>
            </w:tcBorders>
            <w:shd w:val="clear" w:color="auto" w:fill="auto"/>
            <w:vAlign w:val="bottom"/>
          </w:tcPr>
          <w:p w14:paraId="5CB54749"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0.37</w:t>
            </w:r>
          </w:p>
        </w:tc>
        <w:tc>
          <w:tcPr>
            <w:tcW w:w="1551" w:type="dxa"/>
            <w:tcBorders>
              <w:top w:val="nil"/>
              <w:left w:val="nil"/>
              <w:bottom w:val="single" w:sz="4" w:space="0" w:color="000000"/>
              <w:right w:val="single" w:sz="4" w:space="0" w:color="000000"/>
            </w:tcBorders>
            <w:shd w:val="clear" w:color="auto" w:fill="auto"/>
            <w:vAlign w:val="bottom"/>
          </w:tcPr>
          <w:p w14:paraId="317CB31B"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0.36</w:t>
            </w:r>
          </w:p>
        </w:tc>
        <w:tc>
          <w:tcPr>
            <w:tcW w:w="1701" w:type="dxa"/>
            <w:tcBorders>
              <w:top w:val="nil"/>
              <w:left w:val="nil"/>
              <w:bottom w:val="single" w:sz="4" w:space="0" w:color="000000"/>
              <w:right w:val="single" w:sz="4" w:space="0" w:color="000000"/>
            </w:tcBorders>
            <w:shd w:val="clear" w:color="auto" w:fill="auto"/>
            <w:vAlign w:val="bottom"/>
          </w:tcPr>
          <w:p w14:paraId="17EFE8C1"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0.33</w:t>
            </w:r>
          </w:p>
        </w:tc>
        <w:tc>
          <w:tcPr>
            <w:tcW w:w="1631" w:type="dxa"/>
            <w:tcBorders>
              <w:top w:val="nil"/>
              <w:left w:val="nil"/>
              <w:bottom w:val="single" w:sz="4" w:space="0" w:color="000000"/>
              <w:right w:val="single" w:sz="8" w:space="0" w:color="000000"/>
            </w:tcBorders>
            <w:shd w:val="clear" w:color="auto" w:fill="auto"/>
            <w:vAlign w:val="bottom"/>
          </w:tcPr>
          <w:p w14:paraId="69C0F4B3"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0.21</w:t>
            </w:r>
          </w:p>
        </w:tc>
      </w:tr>
      <w:tr w:rsidR="00425552" w:rsidRPr="00EB5846" w14:paraId="2B36614F" w14:textId="77777777" w:rsidTr="00F95593">
        <w:trPr>
          <w:trHeight w:val="320"/>
        </w:trPr>
        <w:tc>
          <w:tcPr>
            <w:tcW w:w="1866" w:type="dxa"/>
            <w:tcBorders>
              <w:top w:val="nil"/>
              <w:left w:val="single" w:sz="8" w:space="0" w:color="000000"/>
              <w:bottom w:val="single" w:sz="8" w:space="0" w:color="000000"/>
              <w:right w:val="single" w:sz="4" w:space="0" w:color="000000"/>
            </w:tcBorders>
            <w:shd w:val="clear" w:color="auto" w:fill="auto"/>
            <w:vAlign w:val="bottom"/>
          </w:tcPr>
          <w:p w14:paraId="6810404C"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N containing models</w:t>
            </w:r>
          </w:p>
        </w:tc>
        <w:tc>
          <w:tcPr>
            <w:tcW w:w="1275" w:type="dxa"/>
            <w:tcBorders>
              <w:top w:val="nil"/>
              <w:left w:val="nil"/>
              <w:bottom w:val="single" w:sz="8" w:space="0" w:color="000000"/>
              <w:right w:val="single" w:sz="4" w:space="0" w:color="000000"/>
            </w:tcBorders>
            <w:shd w:val="clear" w:color="auto" w:fill="auto"/>
            <w:vAlign w:val="bottom"/>
          </w:tcPr>
          <w:p w14:paraId="527F8D08"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446" w:type="dxa"/>
            <w:tcBorders>
              <w:top w:val="nil"/>
              <w:left w:val="nil"/>
              <w:bottom w:val="single" w:sz="8" w:space="0" w:color="000000"/>
              <w:right w:val="single" w:sz="4" w:space="0" w:color="000000"/>
            </w:tcBorders>
            <w:shd w:val="clear" w:color="auto" w:fill="auto"/>
            <w:vAlign w:val="bottom"/>
          </w:tcPr>
          <w:p w14:paraId="02525B8E"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551" w:type="dxa"/>
            <w:tcBorders>
              <w:top w:val="nil"/>
              <w:left w:val="nil"/>
              <w:bottom w:val="single" w:sz="8" w:space="0" w:color="000000"/>
              <w:right w:val="single" w:sz="4" w:space="0" w:color="000000"/>
            </w:tcBorders>
            <w:shd w:val="clear" w:color="auto" w:fill="auto"/>
            <w:vAlign w:val="bottom"/>
          </w:tcPr>
          <w:p w14:paraId="2C8EFC6D"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701" w:type="dxa"/>
            <w:tcBorders>
              <w:top w:val="nil"/>
              <w:left w:val="nil"/>
              <w:bottom w:val="single" w:sz="8" w:space="0" w:color="000000"/>
              <w:right w:val="single" w:sz="4" w:space="0" w:color="000000"/>
            </w:tcBorders>
            <w:shd w:val="clear" w:color="auto" w:fill="auto"/>
            <w:vAlign w:val="bottom"/>
          </w:tcPr>
          <w:p w14:paraId="0476B107"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631" w:type="dxa"/>
            <w:tcBorders>
              <w:top w:val="nil"/>
              <w:left w:val="nil"/>
              <w:bottom w:val="single" w:sz="8" w:space="0" w:color="000000"/>
              <w:right w:val="single" w:sz="8" w:space="0" w:color="000000"/>
            </w:tcBorders>
            <w:shd w:val="clear" w:color="auto" w:fill="auto"/>
            <w:vAlign w:val="bottom"/>
          </w:tcPr>
          <w:p w14:paraId="58721256"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r>
      <w:tr w:rsidR="00425552" w:rsidRPr="00EB5846" w14:paraId="2C41E837" w14:textId="77777777" w:rsidTr="00F95593">
        <w:trPr>
          <w:trHeight w:val="420"/>
        </w:trPr>
        <w:tc>
          <w:tcPr>
            <w:tcW w:w="1866" w:type="dxa"/>
            <w:tcBorders>
              <w:top w:val="nil"/>
              <w:left w:val="single" w:sz="8" w:space="0" w:color="000000"/>
              <w:bottom w:val="nil"/>
              <w:right w:val="single" w:sz="4" w:space="0" w:color="000000"/>
            </w:tcBorders>
            <w:shd w:val="clear" w:color="auto" w:fill="auto"/>
            <w:vAlign w:val="bottom"/>
          </w:tcPr>
          <w:p w14:paraId="603FD509"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275" w:type="dxa"/>
            <w:tcBorders>
              <w:top w:val="nil"/>
              <w:left w:val="nil"/>
              <w:bottom w:val="nil"/>
              <w:right w:val="single" w:sz="4" w:space="0" w:color="000000"/>
            </w:tcBorders>
            <w:shd w:val="clear" w:color="auto" w:fill="auto"/>
            <w:vAlign w:val="bottom"/>
          </w:tcPr>
          <w:p w14:paraId="0BDCA319"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446" w:type="dxa"/>
            <w:tcBorders>
              <w:top w:val="nil"/>
              <w:left w:val="nil"/>
              <w:bottom w:val="nil"/>
              <w:right w:val="single" w:sz="4" w:space="0" w:color="000000"/>
            </w:tcBorders>
            <w:shd w:val="clear" w:color="auto" w:fill="auto"/>
            <w:vAlign w:val="bottom"/>
          </w:tcPr>
          <w:p w14:paraId="2A69ADFB"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551" w:type="dxa"/>
            <w:tcBorders>
              <w:top w:val="nil"/>
              <w:left w:val="nil"/>
              <w:bottom w:val="nil"/>
              <w:right w:val="single" w:sz="4" w:space="0" w:color="000000"/>
            </w:tcBorders>
            <w:shd w:val="clear" w:color="auto" w:fill="auto"/>
            <w:vAlign w:val="bottom"/>
          </w:tcPr>
          <w:p w14:paraId="33443CFE"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701" w:type="dxa"/>
            <w:tcBorders>
              <w:top w:val="nil"/>
              <w:left w:val="nil"/>
              <w:bottom w:val="nil"/>
              <w:right w:val="single" w:sz="4" w:space="0" w:color="000000"/>
            </w:tcBorders>
            <w:shd w:val="clear" w:color="auto" w:fill="auto"/>
            <w:vAlign w:val="bottom"/>
          </w:tcPr>
          <w:p w14:paraId="5BE4A8B3"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631" w:type="dxa"/>
            <w:tcBorders>
              <w:top w:val="nil"/>
              <w:left w:val="nil"/>
              <w:bottom w:val="nil"/>
              <w:right w:val="single" w:sz="8" w:space="0" w:color="000000"/>
            </w:tcBorders>
            <w:shd w:val="clear" w:color="auto" w:fill="auto"/>
            <w:vAlign w:val="bottom"/>
          </w:tcPr>
          <w:p w14:paraId="6E28BF5B"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r>
      <w:tr w:rsidR="00425552" w:rsidRPr="00EB5846" w14:paraId="27A6AEC9" w14:textId="77777777" w:rsidTr="00F95593">
        <w:trPr>
          <w:trHeight w:val="300"/>
        </w:trPr>
        <w:tc>
          <w:tcPr>
            <w:tcW w:w="1866" w:type="dxa"/>
            <w:tcBorders>
              <w:top w:val="single" w:sz="8" w:space="0" w:color="000000"/>
              <w:left w:val="single" w:sz="8" w:space="0" w:color="000000"/>
              <w:bottom w:val="single" w:sz="4" w:space="0" w:color="000000"/>
              <w:right w:val="single" w:sz="4" w:space="0" w:color="000000"/>
            </w:tcBorders>
            <w:shd w:val="clear" w:color="auto" w:fill="auto"/>
            <w:vAlign w:val="bottom"/>
          </w:tcPr>
          <w:p w14:paraId="77765E05" w14:textId="77777777" w:rsidR="00425552" w:rsidRPr="00EB5846" w:rsidRDefault="00425552" w:rsidP="00F95593">
            <w:pPr>
              <w:rPr>
                <w:rFonts w:ascii="Arial" w:eastAsia="Arial" w:hAnsi="Arial" w:cs="Arial"/>
                <w:b/>
                <w:color w:val="000000"/>
                <w:sz w:val="20"/>
                <w:szCs w:val="20"/>
              </w:rPr>
            </w:pPr>
            <w:r w:rsidRPr="00EB5846">
              <w:rPr>
                <w:rFonts w:ascii="Arial" w:eastAsia="Arial" w:hAnsi="Arial" w:cs="Arial"/>
                <w:b/>
                <w:color w:val="000000"/>
                <w:sz w:val="20"/>
                <w:szCs w:val="20"/>
              </w:rPr>
              <w:t>(c) number of infected salamanders</w:t>
            </w:r>
          </w:p>
        </w:tc>
        <w:tc>
          <w:tcPr>
            <w:tcW w:w="1275" w:type="dxa"/>
            <w:tcBorders>
              <w:top w:val="single" w:sz="8" w:space="0" w:color="000000"/>
              <w:left w:val="nil"/>
              <w:bottom w:val="single" w:sz="4" w:space="0" w:color="000000"/>
              <w:right w:val="single" w:sz="4" w:space="0" w:color="000000"/>
            </w:tcBorders>
            <w:shd w:val="clear" w:color="auto" w:fill="auto"/>
            <w:vAlign w:val="bottom"/>
          </w:tcPr>
          <w:p w14:paraId="1301D011"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446" w:type="dxa"/>
            <w:tcBorders>
              <w:top w:val="single" w:sz="8" w:space="0" w:color="000000"/>
              <w:left w:val="nil"/>
              <w:bottom w:val="single" w:sz="4" w:space="0" w:color="000000"/>
              <w:right w:val="single" w:sz="4" w:space="0" w:color="000000"/>
            </w:tcBorders>
            <w:shd w:val="clear" w:color="auto" w:fill="auto"/>
            <w:vAlign w:val="bottom"/>
          </w:tcPr>
          <w:p w14:paraId="4797E588"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551" w:type="dxa"/>
            <w:tcBorders>
              <w:top w:val="single" w:sz="8" w:space="0" w:color="000000"/>
              <w:left w:val="nil"/>
              <w:bottom w:val="single" w:sz="4" w:space="0" w:color="000000"/>
              <w:right w:val="single" w:sz="4" w:space="0" w:color="000000"/>
            </w:tcBorders>
            <w:shd w:val="clear" w:color="auto" w:fill="auto"/>
            <w:vAlign w:val="bottom"/>
          </w:tcPr>
          <w:p w14:paraId="294D6594"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701" w:type="dxa"/>
            <w:tcBorders>
              <w:top w:val="single" w:sz="8" w:space="0" w:color="000000"/>
              <w:left w:val="nil"/>
              <w:bottom w:val="single" w:sz="4" w:space="0" w:color="000000"/>
              <w:right w:val="single" w:sz="4" w:space="0" w:color="000000"/>
            </w:tcBorders>
            <w:shd w:val="clear" w:color="auto" w:fill="auto"/>
            <w:vAlign w:val="bottom"/>
          </w:tcPr>
          <w:p w14:paraId="193EAA12"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631" w:type="dxa"/>
            <w:tcBorders>
              <w:top w:val="single" w:sz="8" w:space="0" w:color="000000"/>
              <w:left w:val="nil"/>
              <w:bottom w:val="single" w:sz="4" w:space="0" w:color="000000"/>
              <w:right w:val="single" w:sz="8" w:space="0" w:color="000000"/>
            </w:tcBorders>
            <w:shd w:val="clear" w:color="auto" w:fill="auto"/>
            <w:vAlign w:val="bottom"/>
          </w:tcPr>
          <w:p w14:paraId="140F3D13"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r>
      <w:tr w:rsidR="00425552" w:rsidRPr="00EB5846" w14:paraId="78B28C20" w14:textId="77777777" w:rsidTr="00F95593">
        <w:trPr>
          <w:trHeight w:val="620"/>
        </w:trPr>
        <w:tc>
          <w:tcPr>
            <w:tcW w:w="1866" w:type="dxa"/>
            <w:tcBorders>
              <w:top w:val="nil"/>
              <w:left w:val="single" w:sz="8" w:space="0" w:color="000000"/>
              <w:bottom w:val="single" w:sz="6" w:space="0" w:color="000000"/>
              <w:right w:val="single" w:sz="4" w:space="0" w:color="000000"/>
            </w:tcBorders>
            <w:shd w:val="clear" w:color="auto" w:fill="auto"/>
            <w:vAlign w:val="bottom"/>
          </w:tcPr>
          <w:p w14:paraId="408C274B" w14:textId="77777777" w:rsidR="00425552" w:rsidRPr="00EB5846" w:rsidRDefault="00425552" w:rsidP="00F95593">
            <w:pPr>
              <w:rPr>
                <w:rFonts w:ascii="Arial" w:eastAsia="Arial" w:hAnsi="Arial" w:cs="Arial"/>
                <w:color w:val="000000"/>
                <w:sz w:val="20"/>
                <w:szCs w:val="20"/>
              </w:rPr>
            </w:pPr>
            <w:r w:rsidRPr="00EB5846">
              <w:rPr>
                <w:rFonts w:ascii="Arial" w:eastAsia="Arial" w:hAnsi="Arial" w:cs="Arial"/>
                <w:color w:val="000000"/>
                <w:sz w:val="20"/>
                <w:szCs w:val="20"/>
              </w:rPr>
              <w:t> </w:t>
            </w:r>
          </w:p>
        </w:tc>
        <w:tc>
          <w:tcPr>
            <w:tcW w:w="1275" w:type="dxa"/>
            <w:tcBorders>
              <w:top w:val="nil"/>
              <w:left w:val="nil"/>
              <w:bottom w:val="single" w:sz="6" w:space="0" w:color="000000"/>
              <w:right w:val="single" w:sz="4" w:space="0" w:color="000000"/>
            </w:tcBorders>
            <w:shd w:val="clear" w:color="auto" w:fill="auto"/>
            <w:vAlign w:val="bottom"/>
          </w:tcPr>
          <w:p w14:paraId="5BCC2CA7"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toads</w:t>
            </w:r>
          </w:p>
        </w:tc>
        <w:tc>
          <w:tcPr>
            <w:tcW w:w="1446" w:type="dxa"/>
            <w:tcBorders>
              <w:top w:val="nil"/>
              <w:left w:val="nil"/>
              <w:bottom w:val="single" w:sz="6" w:space="0" w:color="000000"/>
              <w:right w:val="single" w:sz="4" w:space="0" w:color="000000"/>
            </w:tcBorders>
            <w:shd w:val="clear" w:color="auto" w:fill="auto"/>
            <w:vAlign w:val="bottom"/>
          </w:tcPr>
          <w:p w14:paraId="42D9FCA7"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Toad abundance</w:t>
            </w:r>
          </w:p>
        </w:tc>
        <w:tc>
          <w:tcPr>
            <w:tcW w:w="1551" w:type="dxa"/>
            <w:tcBorders>
              <w:top w:val="nil"/>
              <w:left w:val="nil"/>
              <w:bottom w:val="single" w:sz="6" w:space="0" w:color="000000"/>
              <w:right w:val="single" w:sz="4" w:space="0" w:color="000000"/>
            </w:tcBorders>
            <w:shd w:val="clear" w:color="auto" w:fill="auto"/>
            <w:vAlign w:val="bottom"/>
          </w:tcPr>
          <w:p w14:paraId="3FBE616B"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frog abundance</w:t>
            </w:r>
          </w:p>
        </w:tc>
        <w:tc>
          <w:tcPr>
            <w:tcW w:w="1701" w:type="dxa"/>
            <w:tcBorders>
              <w:top w:val="nil"/>
              <w:left w:val="nil"/>
              <w:bottom w:val="single" w:sz="6" w:space="0" w:color="000000"/>
              <w:right w:val="single" w:sz="4" w:space="0" w:color="000000"/>
            </w:tcBorders>
            <w:shd w:val="clear" w:color="auto" w:fill="auto"/>
            <w:vAlign w:val="bottom"/>
          </w:tcPr>
          <w:p w14:paraId="05AC1C0B"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initial salamander infections</w:t>
            </w:r>
          </w:p>
        </w:tc>
        <w:tc>
          <w:tcPr>
            <w:tcW w:w="1631" w:type="dxa"/>
            <w:tcBorders>
              <w:top w:val="nil"/>
              <w:left w:val="nil"/>
              <w:bottom w:val="single" w:sz="6" w:space="0" w:color="000000"/>
              <w:right w:val="single" w:sz="8" w:space="0" w:color="000000"/>
            </w:tcBorders>
            <w:shd w:val="clear" w:color="auto" w:fill="auto"/>
            <w:vAlign w:val="bottom"/>
          </w:tcPr>
          <w:p w14:paraId="36BC8120" w14:textId="77777777" w:rsidR="00425552" w:rsidRPr="00EB5846" w:rsidRDefault="00425552" w:rsidP="00F95593">
            <w:pPr>
              <w:jc w:val="center"/>
              <w:rPr>
                <w:rFonts w:ascii="Arial" w:eastAsia="Arial" w:hAnsi="Arial" w:cs="Arial"/>
                <w:b/>
                <w:color w:val="000000"/>
                <w:sz w:val="20"/>
                <w:szCs w:val="20"/>
              </w:rPr>
            </w:pPr>
            <w:r w:rsidRPr="00EB5846">
              <w:rPr>
                <w:rFonts w:ascii="Arial" w:eastAsia="Arial" w:hAnsi="Arial" w:cs="Arial"/>
                <w:b/>
                <w:color w:val="000000"/>
                <w:sz w:val="20"/>
                <w:szCs w:val="20"/>
              </w:rPr>
              <w:t>number of infected frogs</w:t>
            </w:r>
          </w:p>
        </w:tc>
      </w:tr>
      <w:tr w:rsidR="00425552" w:rsidRPr="00EB5846" w14:paraId="1FD48B2D" w14:textId="77777777" w:rsidTr="00F95593">
        <w:trPr>
          <w:trHeight w:val="320"/>
        </w:trPr>
        <w:tc>
          <w:tcPr>
            <w:tcW w:w="1866" w:type="dxa"/>
            <w:tcBorders>
              <w:top w:val="nil"/>
              <w:left w:val="single" w:sz="8" w:space="0" w:color="000000"/>
              <w:bottom w:val="single" w:sz="4" w:space="0" w:color="000000"/>
              <w:right w:val="single" w:sz="4" w:space="0" w:color="000000"/>
            </w:tcBorders>
            <w:shd w:val="clear" w:color="auto" w:fill="auto"/>
            <w:vAlign w:val="bottom"/>
          </w:tcPr>
          <w:p w14:paraId="74B6B037"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importance</w:t>
            </w:r>
          </w:p>
        </w:tc>
        <w:tc>
          <w:tcPr>
            <w:tcW w:w="1275" w:type="dxa"/>
            <w:tcBorders>
              <w:top w:val="nil"/>
              <w:left w:val="nil"/>
              <w:bottom w:val="single" w:sz="4" w:space="0" w:color="000000"/>
              <w:right w:val="single" w:sz="4" w:space="0" w:color="000000"/>
            </w:tcBorders>
            <w:shd w:val="clear" w:color="auto" w:fill="auto"/>
            <w:vAlign w:val="bottom"/>
          </w:tcPr>
          <w:p w14:paraId="1F933348"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0.4</w:t>
            </w:r>
          </w:p>
        </w:tc>
        <w:tc>
          <w:tcPr>
            <w:tcW w:w="1446" w:type="dxa"/>
            <w:tcBorders>
              <w:top w:val="nil"/>
              <w:left w:val="nil"/>
              <w:bottom w:val="single" w:sz="4" w:space="0" w:color="000000"/>
              <w:right w:val="single" w:sz="4" w:space="0" w:color="000000"/>
            </w:tcBorders>
            <w:shd w:val="clear" w:color="auto" w:fill="auto"/>
            <w:vAlign w:val="bottom"/>
          </w:tcPr>
          <w:p w14:paraId="6D230A06"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0.34</w:t>
            </w:r>
          </w:p>
        </w:tc>
        <w:tc>
          <w:tcPr>
            <w:tcW w:w="1551" w:type="dxa"/>
            <w:tcBorders>
              <w:top w:val="nil"/>
              <w:left w:val="nil"/>
              <w:bottom w:val="single" w:sz="4" w:space="0" w:color="000000"/>
              <w:right w:val="single" w:sz="4" w:space="0" w:color="000000"/>
            </w:tcBorders>
            <w:shd w:val="clear" w:color="auto" w:fill="auto"/>
            <w:vAlign w:val="bottom"/>
          </w:tcPr>
          <w:p w14:paraId="74448336"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0.31</w:t>
            </w:r>
          </w:p>
        </w:tc>
        <w:tc>
          <w:tcPr>
            <w:tcW w:w="1701" w:type="dxa"/>
            <w:tcBorders>
              <w:top w:val="nil"/>
              <w:left w:val="nil"/>
              <w:bottom w:val="single" w:sz="4" w:space="0" w:color="000000"/>
              <w:right w:val="single" w:sz="4" w:space="0" w:color="000000"/>
            </w:tcBorders>
            <w:shd w:val="clear" w:color="auto" w:fill="auto"/>
            <w:vAlign w:val="bottom"/>
          </w:tcPr>
          <w:p w14:paraId="036A925A"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0.3</w:t>
            </w:r>
          </w:p>
        </w:tc>
        <w:tc>
          <w:tcPr>
            <w:tcW w:w="1631" w:type="dxa"/>
            <w:tcBorders>
              <w:top w:val="nil"/>
              <w:left w:val="nil"/>
              <w:bottom w:val="single" w:sz="4" w:space="0" w:color="000000"/>
              <w:right w:val="single" w:sz="8" w:space="0" w:color="000000"/>
            </w:tcBorders>
            <w:shd w:val="clear" w:color="auto" w:fill="auto"/>
            <w:vAlign w:val="bottom"/>
          </w:tcPr>
          <w:p w14:paraId="2A7D312E"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0.25</w:t>
            </w:r>
          </w:p>
        </w:tc>
      </w:tr>
      <w:tr w:rsidR="00425552" w:rsidRPr="00EB5846" w14:paraId="74F3D24C" w14:textId="77777777" w:rsidTr="00F95593">
        <w:trPr>
          <w:trHeight w:val="320"/>
        </w:trPr>
        <w:tc>
          <w:tcPr>
            <w:tcW w:w="1866" w:type="dxa"/>
            <w:tcBorders>
              <w:top w:val="nil"/>
              <w:left w:val="single" w:sz="8" w:space="0" w:color="000000"/>
              <w:bottom w:val="single" w:sz="8" w:space="0" w:color="000000"/>
              <w:right w:val="single" w:sz="4" w:space="0" w:color="000000"/>
            </w:tcBorders>
            <w:shd w:val="clear" w:color="auto" w:fill="auto"/>
            <w:vAlign w:val="bottom"/>
          </w:tcPr>
          <w:p w14:paraId="37EC128B" w14:textId="77777777" w:rsidR="00425552" w:rsidRPr="00EB5846" w:rsidRDefault="00425552" w:rsidP="00F95593">
            <w:pPr>
              <w:jc w:val="right"/>
              <w:rPr>
                <w:rFonts w:ascii="Arial" w:eastAsia="Arial" w:hAnsi="Arial" w:cs="Arial"/>
                <w:color w:val="000000"/>
                <w:sz w:val="20"/>
                <w:szCs w:val="20"/>
              </w:rPr>
            </w:pPr>
            <w:r w:rsidRPr="00EB5846">
              <w:rPr>
                <w:rFonts w:ascii="Arial" w:eastAsia="Arial" w:hAnsi="Arial" w:cs="Arial"/>
                <w:color w:val="000000"/>
                <w:sz w:val="20"/>
                <w:szCs w:val="20"/>
              </w:rPr>
              <w:t>N containing models</w:t>
            </w:r>
          </w:p>
        </w:tc>
        <w:tc>
          <w:tcPr>
            <w:tcW w:w="1275" w:type="dxa"/>
            <w:tcBorders>
              <w:top w:val="nil"/>
              <w:left w:val="nil"/>
              <w:bottom w:val="single" w:sz="8" w:space="0" w:color="000000"/>
              <w:right w:val="single" w:sz="4" w:space="0" w:color="000000"/>
            </w:tcBorders>
            <w:shd w:val="clear" w:color="auto" w:fill="auto"/>
            <w:vAlign w:val="bottom"/>
          </w:tcPr>
          <w:p w14:paraId="76902620"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446" w:type="dxa"/>
            <w:tcBorders>
              <w:top w:val="nil"/>
              <w:left w:val="nil"/>
              <w:bottom w:val="single" w:sz="8" w:space="0" w:color="000000"/>
              <w:right w:val="single" w:sz="4" w:space="0" w:color="000000"/>
            </w:tcBorders>
            <w:shd w:val="clear" w:color="auto" w:fill="auto"/>
            <w:vAlign w:val="bottom"/>
          </w:tcPr>
          <w:p w14:paraId="13138C58"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551" w:type="dxa"/>
            <w:tcBorders>
              <w:top w:val="nil"/>
              <w:left w:val="nil"/>
              <w:bottom w:val="single" w:sz="8" w:space="0" w:color="000000"/>
              <w:right w:val="single" w:sz="4" w:space="0" w:color="000000"/>
            </w:tcBorders>
            <w:shd w:val="clear" w:color="auto" w:fill="auto"/>
            <w:vAlign w:val="bottom"/>
          </w:tcPr>
          <w:p w14:paraId="6FFBC30A"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701" w:type="dxa"/>
            <w:tcBorders>
              <w:top w:val="nil"/>
              <w:left w:val="nil"/>
              <w:bottom w:val="single" w:sz="8" w:space="0" w:color="000000"/>
              <w:right w:val="single" w:sz="4" w:space="0" w:color="000000"/>
            </w:tcBorders>
            <w:shd w:val="clear" w:color="auto" w:fill="auto"/>
            <w:vAlign w:val="bottom"/>
          </w:tcPr>
          <w:p w14:paraId="287643E1"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c>
          <w:tcPr>
            <w:tcW w:w="1631" w:type="dxa"/>
            <w:tcBorders>
              <w:top w:val="nil"/>
              <w:left w:val="nil"/>
              <w:bottom w:val="single" w:sz="8" w:space="0" w:color="000000"/>
              <w:right w:val="single" w:sz="8" w:space="0" w:color="000000"/>
            </w:tcBorders>
            <w:shd w:val="clear" w:color="auto" w:fill="auto"/>
            <w:vAlign w:val="bottom"/>
          </w:tcPr>
          <w:p w14:paraId="5C16E248" w14:textId="77777777" w:rsidR="00425552" w:rsidRPr="00EB5846" w:rsidRDefault="00425552" w:rsidP="00F95593">
            <w:pPr>
              <w:jc w:val="center"/>
              <w:rPr>
                <w:rFonts w:ascii="Arial" w:eastAsia="Arial" w:hAnsi="Arial" w:cs="Arial"/>
                <w:color w:val="000000"/>
                <w:sz w:val="20"/>
                <w:szCs w:val="20"/>
              </w:rPr>
            </w:pPr>
            <w:r w:rsidRPr="00EB5846">
              <w:rPr>
                <w:rFonts w:ascii="Arial" w:eastAsia="Arial" w:hAnsi="Arial" w:cs="Arial"/>
                <w:color w:val="000000"/>
                <w:sz w:val="20"/>
                <w:szCs w:val="20"/>
              </w:rPr>
              <w:t>32</w:t>
            </w:r>
          </w:p>
        </w:tc>
      </w:tr>
    </w:tbl>
    <w:p w14:paraId="48D7AE43" w14:textId="77777777" w:rsidR="00425552" w:rsidRDefault="00425552" w:rsidP="00425552">
      <w:pPr>
        <w:ind w:left="-426"/>
        <w:rPr>
          <w:rFonts w:ascii="Arial" w:eastAsia="Arial" w:hAnsi="Arial" w:cs="Arial"/>
          <w:sz w:val="22"/>
          <w:szCs w:val="22"/>
        </w:rPr>
      </w:pPr>
      <w:r>
        <w:rPr>
          <w:rFonts w:ascii="Arial" w:eastAsia="Arial" w:hAnsi="Arial" w:cs="Arial"/>
          <w:b/>
          <w:sz w:val="22"/>
          <w:szCs w:val="22"/>
        </w:rPr>
        <w:t>Table S6.</w:t>
      </w:r>
      <w:r>
        <w:rPr>
          <w:rFonts w:ascii="Arial" w:eastAsia="Arial" w:hAnsi="Arial" w:cs="Arial"/>
          <w:sz w:val="22"/>
          <w:szCs w:val="22"/>
        </w:rPr>
        <w:t xml:space="preserve"> Outputs of variable importance tests for factors included in global models for predicting the proliferation of </w:t>
      </w:r>
      <w:r>
        <w:rPr>
          <w:rFonts w:ascii="Arial" w:eastAsia="Arial" w:hAnsi="Arial" w:cs="Arial"/>
          <w:i/>
          <w:sz w:val="22"/>
          <w:szCs w:val="22"/>
        </w:rPr>
        <w:t>Bd</w:t>
      </w:r>
      <w:r>
        <w:rPr>
          <w:rFonts w:ascii="Arial" w:eastAsia="Arial" w:hAnsi="Arial" w:cs="Arial"/>
          <w:sz w:val="22"/>
          <w:szCs w:val="22"/>
        </w:rPr>
        <w:t xml:space="preserve"> infections in (a) tree frogs, (b) spiny toads, and (c) fire salamanders. </w:t>
      </w:r>
    </w:p>
    <w:p w14:paraId="15451589" w14:textId="77777777" w:rsidR="00425552" w:rsidRDefault="00425552" w:rsidP="00425552">
      <w:pPr>
        <w:ind w:left="-426"/>
        <w:rPr>
          <w:rFonts w:ascii="Arial" w:eastAsia="Arial" w:hAnsi="Arial" w:cs="Arial"/>
          <w:sz w:val="22"/>
          <w:szCs w:val="22"/>
        </w:rPr>
      </w:pPr>
    </w:p>
    <w:p w14:paraId="1657F067" w14:textId="77777777" w:rsidR="00425552" w:rsidRDefault="00425552" w:rsidP="00425552">
      <w:pPr>
        <w:rPr>
          <w:rFonts w:ascii="Arial" w:eastAsia="Arial" w:hAnsi="Arial" w:cs="Arial"/>
          <w:sz w:val="22"/>
          <w:szCs w:val="22"/>
        </w:rPr>
      </w:pPr>
      <w:r>
        <w:br w:type="page"/>
      </w:r>
    </w:p>
    <w:p w14:paraId="46AE6BC5" w14:textId="77777777" w:rsidR="00425552" w:rsidRDefault="00425552" w:rsidP="00425552">
      <w:pPr>
        <w:ind w:left="-426"/>
        <w:rPr>
          <w:rFonts w:ascii="Arial" w:eastAsia="Arial" w:hAnsi="Arial" w:cs="Arial"/>
          <w:sz w:val="22"/>
          <w:szCs w:val="22"/>
        </w:rPr>
      </w:pPr>
    </w:p>
    <w:p w14:paraId="2C6941EE" w14:textId="77777777" w:rsidR="00425552" w:rsidRDefault="00425552" w:rsidP="00425552">
      <w:pPr>
        <w:ind w:left="-426"/>
        <w:rPr>
          <w:rFonts w:ascii="Arial" w:eastAsia="Arial" w:hAnsi="Arial" w:cs="Arial"/>
          <w:sz w:val="22"/>
          <w:szCs w:val="22"/>
        </w:rPr>
      </w:pPr>
      <w:r>
        <w:rPr>
          <w:rFonts w:ascii="Arial" w:hAnsi="Arial" w:cs="Arial"/>
          <w:noProof/>
          <w:sz w:val="22"/>
          <w:szCs w:val="22"/>
        </w:rPr>
        <w:drawing>
          <wp:inline distT="0" distB="0" distL="0" distR="0" wp14:anchorId="34C584B4" wp14:editId="1880BDA4">
            <wp:extent cx="5897790" cy="4861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a:extLst>
                        <a:ext uri="{28A0092B-C50C-407E-A947-70E740481C1C}">
                          <a14:useLocalDpi xmlns:a14="http://schemas.microsoft.com/office/drawing/2010/main" val="0"/>
                        </a:ext>
                      </a:extLst>
                    </a:blip>
                    <a:srcRect l="7871" t="6147" r="8042" b="44873"/>
                    <a:stretch/>
                  </pic:blipFill>
                  <pic:spPr bwMode="auto">
                    <a:xfrm>
                      <a:off x="0" y="0"/>
                      <a:ext cx="5905848" cy="4868202"/>
                    </a:xfrm>
                    <a:prstGeom prst="rect">
                      <a:avLst/>
                    </a:prstGeom>
                    <a:ln>
                      <a:noFill/>
                    </a:ln>
                    <a:extLst>
                      <a:ext uri="{53640926-AAD7-44D8-BBD7-CCE9431645EC}">
                        <a14:shadowObscured xmlns:a14="http://schemas.microsoft.com/office/drawing/2010/main"/>
                      </a:ext>
                    </a:extLst>
                  </pic:spPr>
                </pic:pic>
              </a:graphicData>
            </a:graphic>
          </wp:inline>
        </w:drawing>
      </w:r>
    </w:p>
    <w:p w14:paraId="5D130760" w14:textId="77777777" w:rsidR="00425552" w:rsidRDefault="00425552" w:rsidP="00425552">
      <w:pPr>
        <w:ind w:left="-426"/>
        <w:rPr>
          <w:rFonts w:ascii="Arial" w:eastAsia="Arial" w:hAnsi="Arial" w:cs="Arial"/>
          <w:sz w:val="22"/>
          <w:szCs w:val="22"/>
        </w:rPr>
      </w:pPr>
      <w:r>
        <w:rPr>
          <w:rFonts w:ascii="Arial" w:eastAsia="Arial" w:hAnsi="Arial" w:cs="Arial"/>
          <w:b/>
          <w:sz w:val="22"/>
          <w:szCs w:val="22"/>
        </w:rPr>
        <w:t>Table S7.</w:t>
      </w:r>
      <w:r>
        <w:rPr>
          <w:rFonts w:ascii="Arial" w:eastAsia="Arial" w:hAnsi="Arial" w:cs="Arial"/>
          <w:sz w:val="22"/>
          <w:szCs w:val="22"/>
        </w:rPr>
        <w:t xml:space="preserve"> </w:t>
      </w:r>
      <w:r>
        <w:rPr>
          <w:rFonts w:ascii="Arial" w:eastAsia="Arial" w:hAnsi="Arial" w:cs="Arial"/>
          <w:b/>
          <w:sz w:val="22"/>
          <w:szCs w:val="22"/>
        </w:rPr>
        <w:t>Coefficients of models comprising Structural Equation Models (SEMs)</w:t>
      </w:r>
      <w:r>
        <w:rPr>
          <w:rFonts w:ascii="Arial" w:eastAsia="Arial" w:hAnsi="Arial" w:cs="Arial"/>
          <w:sz w:val="22"/>
          <w:szCs w:val="22"/>
        </w:rPr>
        <w:t xml:space="preserve">. Provided are the outputs of the specific general linear models (GLMs) comprising the SEMs used to test five scenarios for the direction by which </w:t>
      </w:r>
      <w:r w:rsidRPr="00AE2EA3">
        <w:rPr>
          <w:rFonts w:ascii="Arial" w:eastAsia="Arial" w:hAnsi="Arial" w:cs="Arial"/>
          <w:i/>
          <w:iCs/>
          <w:sz w:val="22"/>
          <w:szCs w:val="22"/>
        </w:rPr>
        <w:t>Bd</w:t>
      </w:r>
      <w:r>
        <w:rPr>
          <w:rFonts w:ascii="Arial" w:eastAsia="Arial" w:hAnsi="Arial" w:cs="Arial"/>
          <w:sz w:val="22"/>
          <w:szCs w:val="22"/>
        </w:rPr>
        <w:t xml:space="preserve"> circulated through host communities, described in section (b) of the main text. The models represent a directed path among a group of inter-related variables, here being the (a) count of </w:t>
      </w:r>
      <w:r>
        <w:rPr>
          <w:rFonts w:ascii="Arial" w:eastAsia="Arial" w:hAnsi="Arial" w:cs="Arial"/>
          <w:i/>
          <w:sz w:val="22"/>
          <w:szCs w:val="22"/>
        </w:rPr>
        <w:t>Bd</w:t>
      </w:r>
      <w:r>
        <w:rPr>
          <w:rFonts w:ascii="Arial" w:eastAsia="Arial" w:hAnsi="Arial" w:cs="Arial"/>
          <w:sz w:val="22"/>
          <w:szCs w:val="22"/>
        </w:rPr>
        <w:t xml:space="preserve"> infections contracted by frogs, toads, and salamanders at the end of the experiment or (b) the mean </w:t>
      </w:r>
      <w:r>
        <w:rPr>
          <w:rFonts w:ascii="Arial" w:eastAsia="Arial" w:hAnsi="Arial" w:cs="Arial"/>
          <w:i/>
          <w:sz w:val="22"/>
          <w:szCs w:val="22"/>
        </w:rPr>
        <w:t>Bd</w:t>
      </w:r>
      <w:r>
        <w:rPr>
          <w:rFonts w:ascii="Arial" w:eastAsia="Arial" w:hAnsi="Arial" w:cs="Arial"/>
          <w:sz w:val="22"/>
          <w:szCs w:val="22"/>
        </w:rPr>
        <w:t xml:space="preserve"> loads exhibited by frogs, toads, and salamanders at the end of the experiment. Note that scenarios 4 and 5 also include a GLM portraying the possible seeding effect of initially infected salamanders on infection development in frogs and toads. Bold rows denote models for which the predictor variables influenced the responses, denoted by values of &lt;0.05 in the ‘p’ column. Df = degrees of freedom. All outputs were derived using the </w:t>
      </w:r>
      <w:proofErr w:type="spellStart"/>
      <w:proofErr w:type="gramStart"/>
      <w:r>
        <w:rPr>
          <w:rFonts w:ascii="Arial" w:eastAsia="Arial" w:hAnsi="Arial" w:cs="Arial"/>
          <w:i/>
          <w:sz w:val="22"/>
          <w:szCs w:val="22"/>
        </w:rPr>
        <w:t>psem</w:t>
      </w:r>
      <w:proofErr w:type="spellEnd"/>
      <w:r>
        <w:rPr>
          <w:rFonts w:ascii="Arial" w:eastAsia="Arial" w:hAnsi="Arial" w:cs="Arial"/>
          <w:i/>
          <w:sz w:val="22"/>
          <w:szCs w:val="22"/>
        </w:rPr>
        <w:t>(</w:t>
      </w:r>
      <w:proofErr w:type="gramEnd"/>
      <w:r>
        <w:rPr>
          <w:rFonts w:ascii="Arial" w:eastAsia="Arial" w:hAnsi="Arial" w:cs="Arial"/>
          <w:i/>
          <w:sz w:val="22"/>
          <w:szCs w:val="22"/>
        </w:rPr>
        <w:t>)</w:t>
      </w:r>
      <w:r>
        <w:rPr>
          <w:rFonts w:ascii="Arial" w:eastAsia="Arial" w:hAnsi="Arial" w:cs="Arial"/>
          <w:sz w:val="22"/>
          <w:szCs w:val="22"/>
        </w:rPr>
        <w:t xml:space="preserve"> and </w:t>
      </w:r>
      <w:proofErr w:type="spellStart"/>
      <w:r>
        <w:rPr>
          <w:rFonts w:ascii="Arial" w:eastAsia="Arial" w:hAnsi="Arial" w:cs="Arial"/>
          <w:i/>
          <w:sz w:val="22"/>
          <w:szCs w:val="22"/>
        </w:rPr>
        <w:t>coefs</w:t>
      </w:r>
      <w:proofErr w:type="spellEnd"/>
      <w:r>
        <w:rPr>
          <w:rFonts w:ascii="Arial" w:eastAsia="Arial" w:hAnsi="Arial" w:cs="Arial"/>
          <w:i/>
          <w:sz w:val="22"/>
          <w:szCs w:val="22"/>
        </w:rPr>
        <w:t>()</w:t>
      </w:r>
      <w:r>
        <w:rPr>
          <w:rFonts w:ascii="Arial" w:eastAsia="Arial" w:hAnsi="Arial" w:cs="Arial"/>
          <w:sz w:val="22"/>
          <w:szCs w:val="22"/>
        </w:rPr>
        <w:t xml:space="preserve"> functions of the </w:t>
      </w:r>
      <w:proofErr w:type="spellStart"/>
      <w:r>
        <w:rPr>
          <w:rFonts w:ascii="Arial" w:eastAsia="Arial" w:hAnsi="Arial" w:cs="Arial"/>
          <w:sz w:val="22"/>
          <w:szCs w:val="22"/>
        </w:rPr>
        <w:t>piecewiseSEM</w:t>
      </w:r>
      <w:proofErr w:type="spellEnd"/>
      <w:r>
        <w:rPr>
          <w:rFonts w:ascii="Arial" w:eastAsia="Arial" w:hAnsi="Arial" w:cs="Arial"/>
          <w:sz w:val="22"/>
          <w:szCs w:val="22"/>
        </w:rPr>
        <w:t xml:space="preserve"> package in R. </w:t>
      </w:r>
    </w:p>
    <w:p w14:paraId="3E0EC564" w14:textId="77777777" w:rsidR="00425552" w:rsidRDefault="00425552" w:rsidP="00425552">
      <w:pPr>
        <w:rPr>
          <w:rFonts w:ascii="Arial" w:eastAsia="Arial" w:hAnsi="Arial" w:cs="Arial"/>
          <w:sz w:val="22"/>
          <w:szCs w:val="22"/>
        </w:rPr>
      </w:pPr>
    </w:p>
    <w:p w14:paraId="57B76D29" w14:textId="77777777" w:rsidR="00425552" w:rsidRDefault="00425552" w:rsidP="00425552">
      <w:pPr>
        <w:rPr>
          <w:rFonts w:ascii="Arial" w:eastAsia="Arial" w:hAnsi="Arial" w:cs="Arial"/>
          <w:sz w:val="22"/>
          <w:szCs w:val="22"/>
        </w:rPr>
      </w:pPr>
    </w:p>
    <w:p w14:paraId="32E3A3F3" w14:textId="77777777" w:rsidR="00425552" w:rsidRDefault="00425552" w:rsidP="00425552">
      <w:pPr>
        <w:rPr>
          <w:rFonts w:ascii="Arial" w:eastAsia="Arial" w:hAnsi="Arial" w:cs="Arial"/>
          <w:sz w:val="22"/>
          <w:szCs w:val="22"/>
        </w:rPr>
      </w:pPr>
    </w:p>
    <w:p w14:paraId="621563E3" w14:textId="77777777" w:rsidR="00425552" w:rsidRDefault="00425552" w:rsidP="00425552">
      <w:pPr>
        <w:rPr>
          <w:rFonts w:ascii="Arial" w:eastAsia="Arial" w:hAnsi="Arial" w:cs="Arial"/>
          <w:sz w:val="22"/>
          <w:szCs w:val="22"/>
        </w:rPr>
      </w:pPr>
    </w:p>
    <w:p w14:paraId="69A5E7A9" w14:textId="77777777" w:rsidR="00425552" w:rsidRDefault="00425552" w:rsidP="00425552">
      <w:pPr>
        <w:rPr>
          <w:rFonts w:ascii="Arial" w:eastAsia="Arial" w:hAnsi="Arial" w:cs="Arial"/>
          <w:sz w:val="22"/>
          <w:szCs w:val="22"/>
        </w:rPr>
      </w:pPr>
    </w:p>
    <w:p w14:paraId="1CB52353" w14:textId="77777777" w:rsidR="00425552" w:rsidRDefault="00425552" w:rsidP="00425552">
      <w:pPr>
        <w:rPr>
          <w:rFonts w:ascii="Arial" w:eastAsia="Arial" w:hAnsi="Arial" w:cs="Arial"/>
          <w:sz w:val="22"/>
          <w:szCs w:val="22"/>
        </w:rPr>
      </w:pPr>
    </w:p>
    <w:p w14:paraId="6C18F453" w14:textId="77777777" w:rsidR="00425552" w:rsidRDefault="00425552" w:rsidP="00425552">
      <w:pPr>
        <w:rPr>
          <w:rFonts w:ascii="Arial" w:eastAsia="Arial" w:hAnsi="Arial" w:cs="Arial"/>
          <w:sz w:val="22"/>
          <w:szCs w:val="22"/>
        </w:rPr>
      </w:pPr>
    </w:p>
    <w:p w14:paraId="146217CE" w14:textId="77777777" w:rsidR="00425552" w:rsidRDefault="00425552" w:rsidP="00425552">
      <w:pPr>
        <w:rPr>
          <w:rFonts w:ascii="Arial" w:eastAsia="Arial" w:hAnsi="Arial" w:cs="Arial"/>
          <w:sz w:val="22"/>
          <w:szCs w:val="22"/>
        </w:rPr>
      </w:pPr>
    </w:p>
    <w:p w14:paraId="1237F2DC" w14:textId="77777777" w:rsidR="00425552" w:rsidRDefault="00425552" w:rsidP="00425552">
      <w:pPr>
        <w:rPr>
          <w:rFonts w:ascii="Arial" w:eastAsia="Arial" w:hAnsi="Arial" w:cs="Arial"/>
          <w:sz w:val="22"/>
          <w:szCs w:val="22"/>
        </w:rPr>
      </w:pPr>
    </w:p>
    <w:p w14:paraId="076C9E2B" w14:textId="77777777" w:rsidR="00425552" w:rsidRDefault="00425552" w:rsidP="00425552">
      <w:pPr>
        <w:rPr>
          <w:rFonts w:ascii="Arial" w:eastAsia="Arial" w:hAnsi="Arial" w:cs="Arial"/>
          <w:sz w:val="22"/>
          <w:szCs w:val="22"/>
        </w:rPr>
      </w:pPr>
    </w:p>
    <w:p w14:paraId="6CFC8C98" w14:textId="77777777" w:rsidR="00425552" w:rsidRDefault="00425552" w:rsidP="00425552">
      <w:pPr>
        <w:rPr>
          <w:rFonts w:ascii="Arial" w:eastAsia="Arial" w:hAnsi="Arial" w:cs="Arial"/>
          <w:sz w:val="22"/>
          <w:szCs w:val="22"/>
        </w:rPr>
      </w:pPr>
    </w:p>
    <w:p w14:paraId="2FAA8D2B" w14:textId="77777777" w:rsidR="00425552" w:rsidRDefault="00425552" w:rsidP="00425552">
      <w:pPr>
        <w:rPr>
          <w:rFonts w:ascii="Arial" w:eastAsia="Arial" w:hAnsi="Arial" w:cs="Arial"/>
          <w:sz w:val="22"/>
          <w:szCs w:val="22"/>
        </w:rPr>
      </w:pPr>
    </w:p>
    <w:p w14:paraId="3CF67E77" w14:textId="77777777" w:rsidR="00425552" w:rsidRDefault="00425552" w:rsidP="00425552">
      <w:pPr>
        <w:rPr>
          <w:rFonts w:ascii="Arial" w:eastAsia="Arial" w:hAnsi="Arial" w:cs="Arial"/>
          <w:sz w:val="22"/>
          <w:szCs w:val="22"/>
        </w:rPr>
      </w:pPr>
    </w:p>
    <w:p w14:paraId="575E7EE2" w14:textId="77777777" w:rsidR="00425552" w:rsidRDefault="00425552" w:rsidP="00425552">
      <w:pPr>
        <w:rPr>
          <w:rFonts w:ascii="Arial" w:eastAsia="Arial" w:hAnsi="Arial" w:cs="Arial"/>
          <w:sz w:val="22"/>
          <w:szCs w:val="22"/>
        </w:rPr>
      </w:pPr>
    </w:p>
    <w:p w14:paraId="5F369445" w14:textId="77777777" w:rsidR="00425552" w:rsidRDefault="00425552" w:rsidP="00425552">
      <w:pPr>
        <w:rPr>
          <w:rFonts w:ascii="Arial" w:eastAsia="Arial" w:hAnsi="Arial" w:cs="Arial"/>
          <w:sz w:val="22"/>
          <w:szCs w:val="22"/>
        </w:rPr>
      </w:pPr>
    </w:p>
    <w:p w14:paraId="4BE2F1AF" w14:textId="77777777" w:rsidR="00425552" w:rsidRDefault="00425552" w:rsidP="00425552">
      <w:pPr>
        <w:rPr>
          <w:rFonts w:ascii="Arial" w:eastAsia="Arial" w:hAnsi="Arial" w:cs="Arial"/>
          <w:color w:val="4472C4"/>
          <w:sz w:val="22"/>
          <w:szCs w:val="22"/>
        </w:rPr>
      </w:pPr>
    </w:p>
    <w:tbl>
      <w:tblPr>
        <w:tblW w:w="7213" w:type="dxa"/>
        <w:tblLook w:val="04A0" w:firstRow="1" w:lastRow="0" w:firstColumn="1" w:lastColumn="0" w:noHBand="0" w:noVBand="1"/>
      </w:tblPr>
      <w:tblGrid>
        <w:gridCol w:w="1660"/>
        <w:gridCol w:w="1300"/>
        <w:gridCol w:w="1300"/>
        <w:gridCol w:w="1300"/>
        <w:gridCol w:w="1653"/>
      </w:tblGrid>
      <w:tr w:rsidR="00425552" w:rsidRPr="0060333F" w14:paraId="6C052C42"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E9F83" w14:textId="77777777" w:rsidR="00425552" w:rsidRPr="0060333F" w:rsidRDefault="00425552" w:rsidP="00F95593">
            <w:pPr>
              <w:jc w:val="center"/>
              <w:rPr>
                <w:rFonts w:ascii="Arial" w:eastAsia="Times New Roman" w:hAnsi="Arial" w:cs="Arial"/>
                <w:color w:val="000000"/>
                <w:sz w:val="22"/>
                <w:szCs w:val="22"/>
              </w:rPr>
            </w:pPr>
            <w:r w:rsidRPr="0060333F">
              <w:rPr>
                <w:rFonts w:ascii="Arial" w:eastAsia="Times New Roman" w:hAnsi="Arial" w:cs="Arial"/>
                <w:color w:val="000000"/>
                <w:sz w:val="22"/>
                <w:szCs w:val="22"/>
              </w:rPr>
              <w:t>salamanders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51A55BC" w14:textId="77777777" w:rsidR="00425552" w:rsidRPr="0060333F" w:rsidRDefault="00425552" w:rsidP="00F95593">
            <w:pPr>
              <w:jc w:val="center"/>
              <w:rPr>
                <w:rFonts w:ascii="Arial" w:eastAsia="Times New Roman" w:hAnsi="Arial" w:cs="Arial"/>
                <w:color w:val="000000"/>
                <w:sz w:val="22"/>
                <w:szCs w:val="22"/>
              </w:rPr>
            </w:pPr>
            <w:r w:rsidRPr="0060333F">
              <w:rPr>
                <w:rFonts w:ascii="Arial" w:eastAsia="Times New Roman" w:hAnsi="Arial" w:cs="Arial"/>
                <w:color w:val="000000"/>
                <w:sz w:val="22"/>
                <w:szCs w:val="22"/>
              </w:rPr>
              <w:t>Toads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E57CB69" w14:textId="77777777" w:rsidR="00425552" w:rsidRPr="0060333F" w:rsidRDefault="00425552" w:rsidP="00F95593">
            <w:pPr>
              <w:jc w:val="center"/>
              <w:rPr>
                <w:rFonts w:ascii="Arial" w:eastAsia="Times New Roman" w:hAnsi="Arial" w:cs="Arial"/>
                <w:color w:val="000000"/>
                <w:sz w:val="22"/>
                <w:szCs w:val="22"/>
              </w:rPr>
            </w:pPr>
            <w:r w:rsidRPr="0060333F">
              <w:rPr>
                <w:rFonts w:ascii="Arial" w:eastAsia="Times New Roman" w:hAnsi="Arial" w:cs="Arial"/>
                <w:color w:val="000000"/>
                <w:sz w:val="22"/>
                <w:szCs w:val="22"/>
              </w:rPr>
              <w:t>Frogs</w:t>
            </w:r>
          </w:p>
        </w:tc>
        <w:tc>
          <w:tcPr>
            <w:tcW w:w="1300" w:type="dxa"/>
            <w:tcBorders>
              <w:top w:val="single" w:sz="4" w:space="0" w:color="auto"/>
              <w:left w:val="nil"/>
              <w:bottom w:val="single" w:sz="4" w:space="0" w:color="auto"/>
              <w:right w:val="single" w:sz="4" w:space="0" w:color="auto"/>
            </w:tcBorders>
          </w:tcPr>
          <w:p w14:paraId="19236B3D" w14:textId="77777777" w:rsidR="00425552" w:rsidRPr="0060333F" w:rsidRDefault="00425552" w:rsidP="00F95593">
            <w:pPr>
              <w:jc w:val="center"/>
              <w:rPr>
                <w:rFonts w:ascii="Arial" w:eastAsia="Times New Roman" w:hAnsi="Arial" w:cs="Arial"/>
                <w:color w:val="000000"/>
                <w:sz w:val="22"/>
                <w:szCs w:val="22"/>
              </w:rPr>
            </w:pPr>
            <w:r>
              <w:rPr>
                <w:rFonts w:ascii="Arial" w:eastAsia="Times New Roman" w:hAnsi="Arial" w:cs="Arial"/>
                <w:color w:val="000000"/>
                <w:sz w:val="22"/>
                <w:szCs w:val="22"/>
              </w:rPr>
              <w:t>Tank Label</w:t>
            </w:r>
          </w:p>
        </w:tc>
        <w:tc>
          <w:tcPr>
            <w:tcW w:w="1653" w:type="dxa"/>
            <w:tcBorders>
              <w:top w:val="single" w:sz="4" w:space="0" w:color="auto"/>
              <w:left w:val="nil"/>
              <w:bottom w:val="single" w:sz="4" w:space="0" w:color="auto"/>
              <w:right w:val="single" w:sz="4" w:space="0" w:color="auto"/>
            </w:tcBorders>
          </w:tcPr>
          <w:p w14:paraId="7ED5D2CE" w14:textId="77777777" w:rsidR="00425552" w:rsidRDefault="00425552" w:rsidP="00F95593">
            <w:pPr>
              <w:jc w:val="center"/>
              <w:rPr>
                <w:rFonts w:ascii="Arial" w:eastAsia="Times New Roman" w:hAnsi="Arial" w:cs="Arial"/>
                <w:color w:val="000000"/>
                <w:sz w:val="22"/>
                <w:szCs w:val="22"/>
              </w:rPr>
            </w:pPr>
            <w:r>
              <w:rPr>
                <w:rFonts w:ascii="Arial" w:eastAsia="Times New Roman" w:hAnsi="Arial" w:cs="Arial"/>
                <w:color w:val="000000"/>
                <w:sz w:val="22"/>
                <w:szCs w:val="22"/>
              </w:rPr>
              <w:t>Tank type</w:t>
            </w:r>
          </w:p>
        </w:tc>
      </w:tr>
      <w:tr w:rsidR="00425552" w:rsidRPr="0060333F" w14:paraId="77C7CE0B"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D7FD0E5"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7</w:t>
            </w:r>
          </w:p>
        </w:tc>
        <w:tc>
          <w:tcPr>
            <w:tcW w:w="1300" w:type="dxa"/>
            <w:tcBorders>
              <w:top w:val="nil"/>
              <w:left w:val="nil"/>
              <w:bottom w:val="single" w:sz="4" w:space="0" w:color="auto"/>
              <w:right w:val="single" w:sz="4" w:space="0" w:color="auto"/>
            </w:tcBorders>
            <w:shd w:val="clear" w:color="auto" w:fill="auto"/>
            <w:vAlign w:val="center"/>
            <w:hideMark/>
          </w:tcPr>
          <w:p w14:paraId="4B7DB0D7"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9</w:t>
            </w:r>
          </w:p>
        </w:tc>
        <w:tc>
          <w:tcPr>
            <w:tcW w:w="1300" w:type="dxa"/>
            <w:tcBorders>
              <w:top w:val="nil"/>
              <w:left w:val="nil"/>
              <w:bottom w:val="single" w:sz="4" w:space="0" w:color="auto"/>
              <w:right w:val="single" w:sz="4" w:space="0" w:color="auto"/>
            </w:tcBorders>
            <w:shd w:val="clear" w:color="auto" w:fill="auto"/>
            <w:vAlign w:val="center"/>
            <w:hideMark/>
          </w:tcPr>
          <w:p w14:paraId="2FF6052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8</w:t>
            </w:r>
          </w:p>
        </w:tc>
        <w:tc>
          <w:tcPr>
            <w:tcW w:w="1300" w:type="dxa"/>
            <w:tcBorders>
              <w:top w:val="nil"/>
              <w:left w:val="nil"/>
              <w:bottom w:val="single" w:sz="4" w:space="0" w:color="auto"/>
              <w:right w:val="single" w:sz="4" w:space="0" w:color="auto"/>
            </w:tcBorders>
            <w:vAlign w:val="center"/>
          </w:tcPr>
          <w:p w14:paraId="0C310D07"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A</w:t>
            </w:r>
          </w:p>
        </w:tc>
        <w:tc>
          <w:tcPr>
            <w:tcW w:w="1653" w:type="dxa"/>
            <w:tcBorders>
              <w:top w:val="nil"/>
              <w:left w:val="nil"/>
              <w:bottom w:val="single" w:sz="4" w:space="0" w:color="auto"/>
              <w:right w:val="single" w:sz="4" w:space="0" w:color="auto"/>
            </w:tcBorders>
          </w:tcPr>
          <w:p w14:paraId="50CD872E" w14:textId="77777777" w:rsidR="00425552" w:rsidRDefault="00425552" w:rsidP="00F95593">
            <w:pPr>
              <w:jc w:val="center"/>
              <w:rPr>
                <w:rFonts w:ascii="Arial" w:hAnsi="Arial" w:cs="Arial"/>
                <w:color w:val="000000"/>
                <w:sz w:val="22"/>
                <w:szCs w:val="22"/>
              </w:rPr>
            </w:pPr>
            <w:r>
              <w:rPr>
                <w:rFonts w:ascii="Arial" w:hAnsi="Arial" w:cs="Arial"/>
                <w:color w:val="000000"/>
                <w:sz w:val="22"/>
                <w:szCs w:val="22"/>
              </w:rPr>
              <w:t>Random</w:t>
            </w:r>
          </w:p>
        </w:tc>
      </w:tr>
      <w:tr w:rsidR="00425552" w:rsidRPr="0060333F" w14:paraId="2A77FF06"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738702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6</w:t>
            </w:r>
          </w:p>
        </w:tc>
        <w:tc>
          <w:tcPr>
            <w:tcW w:w="1300" w:type="dxa"/>
            <w:tcBorders>
              <w:top w:val="nil"/>
              <w:left w:val="nil"/>
              <w:bottom w:val="single" w:sz="4" w:space="0" w:color="auto"/>
              <w:right w:val="single" w:sz="4" w:space="0" w:color="auto"/>
            </w:tcBorders>
            <w:shd w:val="clear" w:color="auto" w:fill="auto"/>
            <w:vAlign w:val="center"/>
            <w:hideMark/>
          </w:tcPr>
          <w:p w14:paraId="5B32B72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7</w:t>
            </w:r>
          </w:p>
        </w:tc>
        <w:tc>
          <w:tcPr>
            <w:tcW w:w="1300" w:type="dxa"/>
            <w:tcBorders>
              <w:top w:val="nil"/>
              <w:left w:val="nil"/>
              <w:bottom w:val="single" w:sz="4" w:space="0" w:color="auto"/>
              <w:right w:val="single" w:sz="4" w:space="0" w:color="auto"/>
            </w:tcBorders>
            <w:shd w:val="clear" w:color="auto" w:fill="auto"/>
            <w:vAlign w:val="center"/>
            <w:hideMark/>
          </w:tcPr>
          <w:p w14:paraId="43A9DF4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11</w:t>
            </w:r>
          </w:p>
        </w:tc>
        <w:tc>
          <w:tcPr>
            <w:tcW w:w="1300" w:type="dxa"/>
            <w:tcBorders>
              <w:top w:val="nil"/>
              <w:left w:val="nil"/>
              <w:bottom w:val="single" w:sz="4" w:space="0" w:color="auto"/>
              <w:right w:val="single" w:sz="4" w:space="0" w:color="auto"/>
            </w:tcBorders>
            <w:vAlign w:val="center"/>
          </w:tcPr>
          <w:p w14:paraId="66E6E3B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B</w:t>
            </w:r>
          </w:p>
        </w:tc>
        <w:tc>
          <w:tcPr>
            <w:tcW w:w="1653" w:type="dxa"/>
            <w:tcBorders>
              <w:top w:val="nil"/>
              <w:left w:val="nil"/>
              <w:bottom w:val="single" w:sz="4" w:space="0" w:color="auto"/>
              <w:right w:val="single" w:sz="4" w:space="0" w:color="auto"/>
            </w:tcBorders>
          </w:tcPr>
          <w:p w14:paraId="42BB6755" w14:textId="77777777" w:rsidR="00425552" w:rsidRDefault="00425552" w:rsidP="00F95593">
            <w:pPr>
              <w:jc w:val="center"/>
            </w:pPr>
            <w:r w:rsidRPr="00CD33E4">
              <w:rPr>
                <w:rFonts w:ascii="Arial" w:hAnsi="Arial" w:cs="Arial"/>
                <w:color w:val="000000"/>
                <w:sz w:val="22"/>
                <w:szCs w:val="22"/>
              </w:rPr>
              <w:t>Random</w:t>
            </w:r>
          </w:p>
        </w:tc>
      </w:tr>
      <w:tr w:rsidR="00425552" w:rsidRPr="0060333F" w14:paraId="08A08D9A"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87F462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10</w:t>
            </w:r>
          </w:p>
        </w:tc>
        <w:tc>
          <w:tcPr>
            <w:tcW w:w="1300" w:type="dxa"/>
            <w:tcBorders>
              <w:top w:val="nil"/>
              <w:left w:val="nil"/>
              <w:bottom w:val="single" w:sz="4" w:space="0" w:color="auto"/>
              <w:right w:val="single" w:sz="4" w:space="0" w:color="auto"/>
            </w:tcBorders>
            <w:shd w:val="clear" w:color="auto" w:fill="auto"/>
            <w:vAlign w:val="center"/>
            <w:hideMark/>
          </w:tcPr>
          <w:p w14:paraId="25B3DA4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15</w:t>
            </w:r>
          </w:p>
        </w:tc>
        <w:tc>
          <w:tcPr>
            <w:tcW w:w="1300" w:type="dxa"/>
            <w:tcBorders>
              <w:top w:val="nil"/>
              <w:left w:val="nil"/>
              <w:bottom w:val="single" w:sz="4" w:space="0" w:color="auto"/>
              <w:right w:val="single" w:sz="4" w:space="0" w:color="auto"/>
            </w:tcBorders>
            <w:shd w:val="clear" w:color="auto" w:fill="auto"/>
            <w:vAlign w:val="center"/>
            <w:hideMark/>
          </w:tcPr>
          <w:p w14:paraId="7FC9BCE4"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796074A1"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C</w:t>
            </w:r>
          </w:p>
        </w:tc>
        <w:tc>
          <w:tcPr>
            <w:tcW w:w="1653" w:type="dxa"/>
            <w:tcBorders>
              <w:top w:val="nil"/>
              <w:left w:val="nil"/>
              <w:bottom w:val="single" w:sz="4" w:space="0" w:color="auto"/>
              <w:right w:val="single" w:sz="4" w:space="0" w:color="auto"/>
            </w:tcBorders>
          </w:tcPr>
          <w:p w14:paraId="046743CC" w14:textId="77777777" w:rsidR="00425552" w:rsidRDefault="00425552" w:rsidP="00F95593">
            <w:pPr>
              <w:jc w:val="center"/>
            </w:pPr>
            <w:r w:rsidRPr="00CD33E4">
              <w:rPr>
                <w:rFonts w:ascii="Arial" w:hAnsi="Arial" w:cs="Arial"/>
                <w:color w:val="000000"/>
                <w:sz w:val="22"/>
                <w:szCs w:val="22"/>
              </w:rPr>
              <w:t>Random</w:t>
            </w:r>
          </w:p>
        </w:tc>
      </w:tr>
      <w:tr w:rsidR="00425552" w:rsidRPr="0060333F" w14:paraId="3C76F3E0"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265120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11</w:t>
            </w:r>
          </w:p>
        </w:tc>
        <w:tc>
          <w:tcPr>
            <w:tcW w:w="1300" w:type="dxa"/>
            <w:tcBorders>
              <w:top w:val="nil"/>
              <w:left w:val="nil"/>
              <w:bottom w:val="single" w:sz="4" w:space="0" w:color="auto"/>
              <w:right w:val="single" w:sz="4" w:space="0" w:color="auto"/>
            </w:tcBorders>
            <w:shd w:val="clear" w:color="auto" w:fill="auto"/>
            <w:vAlign w:val="center"/>
            <w:hideMark/>
          </w:tcPr>
          <w:p w14:paraId="4A718284"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6</w:t>
            </w:r>
          </w:p>
        </w:tc>
        <w:tc>
          <w:tcPr>
            <w:tcW w:w="1300" w:type="dxa"/>
            <w:tcBorders>
              <w:top w:val="nil"/>
              <w:left w:val="nil"/>
              <w:bottom w:val="single" w:sz="4" w:space="0" w:color="auto"/>
              <w:right w:val="single" w:sz="4" w:space="0" w:color="auto"/>
            </w:tcBorders>
            <w:shd w:val="clear" w:color="auto" w:fill="auto"/>
            <w:vAlign w:val="center"/>
            <w:hideMark/>
          </w:tcPr>
          <w:p w14:paraId="7FA8D1F9"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vAlign w:val="center"/>
          </w:tcPr>
          <w:p w14:paraId="0A8C3D5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F</w:t>
            </w:r>
          </w:p>
        </w:tc>
        <w:tc>
          <w:tcPr>
            <w:tcW w:w="1653" w:type="dxa"/>
            <w:tcBorders>
              <w:top w:val="nil"/>
              <w:left w:val="nil"/>
              <w:bottom w:val="single" w:sz="4" w:space="0" w:color="auto"/>
              <w:right w:val="single" w:sz="4" w:space="0" w:color="auto"/>
            </w:tcBorders>
          </w:tcPr>
          <w:p w14:paraId="411ACEA9" w14:textId="77777777" w:rsidR="00425552" w:rsidRDefault="00425552" w:rsidP="00F95593">
            <w:pPr>
              <w:jc w:val="center"/>
            </w:pPr>
            <w:r w:rsidRPr="00CD33E4">
              <w:rPr>
                <w:rFonts w:ascii="Arial" w:hAnsi="Arial" w:cs="Arial"/>
                <w:color w:val="000000"/>
                <w:sz w:val="22"/>
                <w:szCs w:val="22"/>
              </w:rPr>
              <w:t>Random</w:t>
            </w:r>
          </w:p>
        </w:tc>
      </w:tr>
      <w:tr w:rsidR="00425552" w:rsidRPr="0060333F" w14:paraId="22E7A356"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A76A0F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12</w:t>
            </w:r>
          </w:p>
        </w:tc>
        <w:tc>
          <w:tcPr>
            <w:tcW w:w="1300" w:type="dxa"/>
            <w:tcBorders>
              <w:top w:val="nil"/>
              <w:left w:val="nil"/>
              <w:bottom w:val="single" w:sz="4" w:space="0" w:color="auto"/>
              <w:right w:val="single" w:sz="4" w:space="0" w:color="auto"/>
            </w:tcBorders>
            <w:shd w:val="clear" w:color="auto" w:fill="auto"/>
            <w:vAlign w:val="center"/>
            <w:hideMark/>
          </w:tcPr>
          <w:p w14:paraId="740A9765"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4</w:t>
            </w:r>
          </w:p>
        </w:tc>
        <w:tc>
          <w:tcPr>
            <w:tcW w:w="1300" w:type="dxa"/>
            <w:tcBorders>
              <w:top w:val="nil"/>
              <w:left w:val="nil"/>
              <w:bottom w:val="single" w:sz="4" w:space="0" w:color="auto"/>
              <w:right w:val="single" w:sz="4" w:space="0" w:color="auto"/>
            </w:tcBorders>
            <w:shd w:val="clear" w:color="auto" w:fill="auto"/>
            <w:vAlign w:val="center"/>
            <w:hideMark/>
          </w:tcPr>
          <w:p w14:paraId="555EF234"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8</w:t>
            </w:r>
          </w:p>
        </w:tc>
        <w:tc>
          <w:tcPr>
            <w:tcW w:w="1300" w:type="dxa"/>
            <w:tcBorders>
              <w:top w:val="nil"/>
              <w:left w:val="nil"/>
              <w:bottom w:val="single" w:sz="4" w:space="0" w:color="auto"/>
              <w:right w:val="single" w:sz="4" w:space="0" w:color="auto"/>
            </w:tcBorders>
            <w:vAlign w:val="center"/>
          </w:tcPr>
          <w:p w14:paraId="367EA01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H</w:t>
            </w:r>
          </w:p>
        </w:tc>
        <w:tc>
          <w:tcPr>
            <w:tcW w:w="1653" w:type="dxa"/>
            <w:tcBorders>
              <w:top w:val="nil"/>
              <w:left w:val="nil"/>
              <w:bottom w:val="single" w:sz="4" w:space="0" w:color="auto"/>
              <w:right w:val="single" w:sz="4" w:space="0" w:color="auto"/>
            </w:tcBorders>
          </w:tcPr>
          <w:p w14:paraId="32D14F9A" w14:textId="77777777" w:rsidR="00425552" w:rsidRDefault="00425552" w:rsidP="00F95593">
            <w:pPr>
              <w:jc w:val="center"/>
            </w:pPr>
            <w:r w:rsidRPr="00CD33E4">
              <w:rPr>
                <w:rFonts w:ascii="Arial" w:hAnsi="Arial" w:cs="Arial"/>
                <w:color w:val="000000"/>
                <w:sz w:val="22"/>
                <w:szCs w:val="22"/>
              </w:rPr>
              <w:t>Random</w:t>
            </w:r>
          </w:p>
        </w:tc>
      </w:tr>
      <w:tr w:rsidR="00425552" w:rsidRPr="0060333F" w14:paraId="54439120"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B71CC4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12</w:t>
            </w:r>
          </w:p>
        </w:tc>
        <w:tc>
          <w:tcPr>
            <w:tcW w:w="1300" w:type="dxa"/>
            <w:tcBorders>
              <w:top w:val="nil"/>
              <w:left w:val="nil"/>
              <w:bottom w:val="single" w:sz="4" w:space="0" w:color="auto"/>
              <w:right w:val="single" w:sz="4" w:space="0" w:color="auto"/>
            </w:tcBorders>
            <w:shd w:val="clear" w:color="auto" w:fill="auto"/>
            <w:vAlign w:val="center"/>
            <w:hideMark/>
          </w:tcPr>
          <w:p w14:paraId="47B73FF9"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shd w:val="clear" w:color="auto" w:fill="auto"/>
            <w:vAlign w:val="center"/>
            <w:hideMark/>
          </w:tcPr>
          <w:p w14:paraId="5C1E0E6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vAlign w:val="center"/>
          </w:tcPr>
          <w:p w14:paraId="081C0C5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K</w:t>
            </w:r>
          </w:p>
        </w:tc>
        <w:tc>
          <w:tcPr>
            <w:tcW w:w="1653" w:type="dxa"/>
            <w:tcBorders>
              <w:top w:val="nil"/>
              <w:left w:val="nil"/>
              <w:bottom w:val="single" w:sz="4" w:space="0" w:color="auto"/>
              <w:right w:val="single" w:sz="4" w:space="0" w:color="auto"/>
            </w:tcBorders>
          </w:tcPr>
          <w:p w14:paraId="37124DE8" w14:textId="77777777" w:rsidR="00425552" w:rsidRDefault="00425552" w:rsidP="00F95593">
            <w:pPr>
              <w:jc w:val="center"/>
            </w:pPr>
            <w:r w:rsidRPr="00CD33E4">
              <w:rPr>
                <w:rFonts w:ascii="Arial" w:hAnsi="Arial" w:cs="Arial"/>
                <w:color w:val="000000"/>
                <w:sz w:val="22"/>
                <w:szCs w:val="22"/>
              </w:rPr>
              <w:t>Random</w:t>
            </w:r>
          </w:p>
        </w:tc>
      </w:tr>
      <w:tr w:rsidR="00425552" w:rsidRPr="0060333F" w14:paraId="11D4EDEB"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F235C4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14</w:t>
            </w:r>
          </w:p>
        </w:tc>
        <w:tc>
          <w:tcPr>
            <w:tcW w:w="1300" w:type="dxa"/>
            <w:tcBorders>
              <w:top w:val="nil"/>
              <w:left w:val="nil"/>
              <w:bottom w:val="single" w:sz="4" w:space="0" w:color="auto"/>
              <w:right w:val="single" w:sz="4" w:space="0" w:color="auto"/>
            </w:tcBorders>
            <w:shd w:val="clear" w:color="auto" w:fill="auto"/>
            <w:vAlign w:val="center"/>
            <w:hideMark/>
          </w:tcPr>
          <w:p w14:paraId="4A97FFF6"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6</w:t>
            </w:r>
          </w:p>
        </w:tc>
        <w:tc>
          <w:tcPr>
            <w:tcW w:w="1300" w:type="dxa"/>
            <w:tcBorders>
              <w:top w:val="nil"/>
              <w:left w:val="nil"/>
              <w:bottom w:val="single" w:sz="4" w:space="0" w:color="auto"/>
              <w:right w:val="single" w:sz="4" w:space="0" w:color="auto"/>
            </w:tcBorders>
            <w:shd w:val="clear" w:color="auto" w:fill="auto"/>
            <w:vAlign w:val="center"/>
            <w:hideMark/>
          </w:tcPr>
          <w:p w14:paraId="444356F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4</w:t>
            </w:r>
          </w:p>
        </w:tc>
        <w:tc>
          <w:tcPr>
            <w:tcW w:w="1300" w:type="dxa"/>
            <w:tcBorders>
              <w:top w:val="nil"/>
              <w:left w:val="nil"/>
              <w:bottom w:val="single" w:sz="4" w:space="0" w:color="auto"/>
              <w:right w:val="single" w:sz="4" w:space="0" w:color="auto"/>
            </w:tcBorders>
            <w:vAlign w:val="center"/>
          </w:tcPr>
          <w:p w14:paraId="666CDA7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L</w:t>
            </w:r>
          </w:p>
        </w:tc>
        <w:tc>
          <w:tcPr>
            <w:tcW w:w="1653" w:type="dxa"/>
            <w:tcBorders>
              <w:top w:val="nil"/>
              <w:left w:val="nil"/>
              <w:bottom w:val="single" w:sz="4" w:space="0" w:color="auto"/>
              <w:right w:val="single" w:sz="4" w:space="0" w:color="auto"/>
            </w:tcBorders>
          </w:tcPr>
          <w:p w14:paraId="7906B82F" w14:textId="77777777" w:rsidR="00425552" w:rsidRDefault="00425552" w:rsidP="00F95593">
            <w:pPr>
              <w:jc w:val="center"/>
            </w:pPr>
            <w:r w:rsidRPr="00CD33E4">
              <w:rPr>
                <w:rFonts w:ascii="Arial" w:hAnsi="Arial" w:cs="Arial"/>
                <w:color w:val="000000"/>
                <w:sz w:val="22"/>
                <w:szCs w:val="22"/>
              </w:rPr>
              <w:t>Random</w:t>
            </w:r>
          </w:p>
        </w:tc>
      </w:tr>
      <w:tr w:rsidR="00425552" w:rsidRPr="0060333F" w14:paraId="181882C3"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0B81A2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15</w:t>
            </w:r>
          </w:p>
        </w:tc>
        <w:tc>
          <w:tcPr>
            <w:tcW w:w="1300" w:type="dxa"/>
            <w:tcBorders>
              <w:top w:val="nil"/>
              <w:left w:val="nil"/>
              <w:bottom w:val="single" w:sz="4" w:space="0" w:color="auto"/>
              <w:right w:val="single" w:sz="4" w:space="0" w:color="auto"/>
            </w:tcBorders>
            <w:shd w:val="clear" w:color="auto" w:fill="auto"/>
            <w:vAlign w:val="center"/>
            <w:hideMark/>
          </w:tcPr>
          <w:p w14:paraId="21D106F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4</w:t>
            </w:r>
          </w:p>
        </w:tc>
        <w:tc>
          <w:tcPr>
            <w:tcW w:w="1300" w:type="dxa"/>
            <w:tcBorders>
              <w:top w:val="nil"/>
              <w:left w:val="nil"/>
              <w:bottom w:val="single" w:sz="4" w:space="0" w:color="auto"/>
              <w:right w:val="single" w:sz="4" w:space="0" w:color="auto"/>
            </w:tcBorders>
            <w:shd w:val="clear" w:color="auto" w:fill="auto"/>
            <w:vAlign w:val="center"/>
            <w:hideMark/>
          </w:tcPr>
          <w:p w14:paraId="6B050AAB"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7</w:t>
            </w:r>
          </w:p>
        </w:tc>
        <w:tc>
          <w:tcPr>
            <w:tcW w:w="1300" w:type="dxa"/>
            <w:tcBorders>
              <w:top w:val="nil"/>
              <w:left w:val="nil"/>
              <w:bottom w:val="single" w:sz="4" w:space="0" w:color="auto"/>
              <w:right w:val="single" w:sz="4" w:space="0" w:color="auto"/>
            </w:tcBorders>
            <w:vAlign w:val="center"/>
          </w:tcPr>
          <w:p w14:paraId="3B77334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M</w:t>
            </w:r>
          </w:p>
        </w:tc>
        <w:tc>
          <w:tcPr>
            <w:tcW w:w="1653" w:type="dxa"/>
            <w:tcBorders>
              <w:top w:val="nil"/>
              <w:left w:val="nil"/>
              <w:bottom w:val="single" w:sz="4" w:space="0" w:color="auto"/>
              <w:right w:val="single" w:sz="4" w:space="0" w:color="auto"/>
            </w:tcBorders>
          </w:tcPr>
          <w:p w14:paraId="66F675F7" w14:textId="77777777" w:rsidR="00425552" w:rsidRDefault="00425552" w:rsidP="00F95593">
            <w:pPr>
              <w:jc w:val="center"/>
            </w:pPr>
            <w:r w:rsidRPr="00CD33E4">
              <w:rPr>
                <w:rFonts w:ascii="Arial" w:hAnsi="Arial" w:cs="Arial"/>
                <w:color w:val="000000"/>
                <w:sz w:val="22"/>
                <w:szCs w:val="22"/>
              </w:rPr>
              <w:t>Random</w:t>
            </w:r>
          </w:p>
        </w:tc>
      </w:tr>
      <w:tr w:rsidR="00425552" w:rsidRPr="0060333F" w14:paraId="050B6F1C"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F5D3A3E"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15</w:t>
            </w:r>
          </w:p>
        </w:tc>
        <w:tc>
          <w:tcPr>
            <w:tcW w:w="1300" w:type="dxa"/>
            <w:tcBorders>
              <w:top w:val="nil"/>
              <w:left w:val="nil"/>
              <w:bottom w:val="single" w:sz="4" w:space="0" w:color="auto"/>
              <w:right w:val="single" w:sz="4" w:space="0" w:color="auto"/>
            </w:tcBorders>
            <w:shd w:val="clear" w:color="auto" w:fill="auto"/>
            <w:vAlign w:val="center"/>
            <w:hideMark/>
          </w:tcPr>
          <w:p w14:paraId="369060B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shd w:val="clear" w:color="auto" w:fill="auto"/>
            <w:vAlign w:val="center"/>
            <w:hideMark/>
          </w:tcPr>
          <w:p w14:paraId="5BDA766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vAlign w:val="center"/>
          </w:tcPr>
          <w:p w14:paraId="66FC991E"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N</w:t>
            </w:r>
          </w:p>
        </w:tc>
        <w:tc>
          <w:tcPr>
            <w:tcW w:w="1653" w:type="dxa"/>
            <w:tcBorders>
              <w:top w:val="nil"/>
              <w:left w:val="nil"/>
              <w:bottom w:val="single" w:sz="4" w:space="0" w:color="auto"/>
              <w:right w:val="single" w:sz="4" w:space="0" w:color="auto"/>
            </w:tcBorders>
          </w:tcPr>
          <w:p w14:paraId="038AF5FC" w14:textId="77777777" w:rsidR="00425552" w:rsidRDefault="00425552" w:rsidP="00F95593">
            <w:pPr>
              <w:jc w:val="center"/>
            </w:pPr>
            <w:r w:rsidRPr="00CD33E4">
              <w:rPr>
                <w:rFonts w:ascii="Arial" w:hAnsi="Arial" w:cs="Arial"/>
                <w:color w:val="000000"/>
                <w:sz w:val="22"/>
                <w:szCs w:val="22"/>
              </w:rPr>
              <w:t>Random</w:t>
            </w:r>
          </w:p>
        </w:tc>
      </w:tr>
      <w:tr w:rsidR="00425552" w:rsidRPr="0060333F" w14:paraId="67EF4E73"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2B23F3E"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16</w:t>
            </w:r>
          </w:p>
        </w:tc>
        <w:tc>
          <w:tcPr>
            <w:tcW w:w="1300" w:type="dxa"/>
            <w:tcBorders>
              <w:top w:val="nil"/>
              <w:left w:val="nil"/>
              <w:bottom w:val="single" w:sz="4" w:space="0" w:color="auto"/>
              <w:right w:val="single" w:sz="4" w:space="0" w:color="auto"/>
            </w:tcBorders>
            <w:shd w:val="clear" w:color="auto" w:fill="auto"/>
            <w:vAlign w:val="center"/>
            <w:hideMark/>
          </w:tcPr>
          <w:p w14:paraId="2B30FE99"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shd w:val="clear" w:color="auto" w:fill="auto"/>
            <w:vAlign w:val="center"/>
            <w:hideMark/>
          </w:tcPr>
          <w:p w14:paraId="11A3FB97"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4</w:t>
            </w:r>
          </w:p>
        </w:tc>
        <w:tc>
          <w:tcPr>
            <w:tcW w:w="1300" w:type="dxa"/>
            <w:tcBorders>
              <w:top w:val="nil"/>
              <w:left w:val="nil"/>
              <w:bottom w:val="single" w:sz="4" w:space="0" w:color="auto"/>
              <w:right w:val="single" w:sz="4" w:space="0" w:color="auto"/>
            </w:tcBorders>
            <w:vAlign w:val="center"/>
          </w:tcPr>
          <w:p w14:paraId="5AF798AF"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O</w:t>
            </w:r>
          </w:p>
        </w:tc>
        <w:tc>
          <w:tcPr>
            <w:tcW w:w="1653" w:type="dxa"/>
            <w:tcBorders>
              <w:top w:val="nil"/>
              <w:left w:val="nil"/>
              <w:bottom w:val="single" w:sz="4" w:space="0" w:color="auto"/>
              <w:right w:val="single" w:sz="4" w:space="0" w:color="auto"/>
            </w:tcBorders>
          </w:tcPr>
          <w:p w14:paraId="67A960B1" w14:textId="77777777" w:rsidR="00425552" w:rsidRDefault="00425552" w:rsidP="00F95593">
            <w:pPr>
              <w:jc w:val="center"/>
            </w:pPr>
            <w:r w:rsidRPr="00CD33E4">
              <w:rPr>
                <w:rFonts w:ascii="Arial" w:hAnsi="Arial" w:cs="Arial"/>
                <w:color w:val="000000"/>
                <w:sz w:val="22"/>
                <w:szCs w:val="22"/>
              </w:rPr>
              <w:t>Random</w:t>
            </w:r>
          </w:p>
        </w:tc>
      </w:tr>
      <w:tr w:rsidR="00425552" w:rsidRPr="0060333F" w14:paraId="0D7CE944"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2A17E0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16</w:t>
            </w:r>
          </w:p>
        </w:tc>
        <w:tc>
          <w:tcPr>
            <w:tcW w:w="1300" w:type="dxa"/>
            <w:tcBorders>
              <w:top w:val="nil"/>
              <w:left w:val="nil"/>
              <w:bottom w:val="single" w:sz="4" w:space="0" w:color="auto"/>
              <w:right w:val="single" w:sz="4" w:space="0" w:color="auto"/>
            </w:tcBorders>
            <w:shd w:val="clear" w:color="auto" w:fill="auto"/>
            <w:vAlign w:val="center"/>
            <w:hideMark/>
          </w:tcPr>
          <w:p w14:paraId="686D7E41"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8</w:t>
            </w:r>
          </w:p>
        </w:tc>
        <w:tc>
          <w:tcPr>
            <w:tcW w:w="1300" w:type="dxa"/>
            <w:tcBorders>
              <w:top w:val="nil"/>
              <w:left w:val="nil"/>
              <w:bottom w:val="single" w:sz="4" w:space="0" w:color="auto"/>
              <w:right w:val="single" w:sz="4" w:space="0" w:color="auto"/>
            </w:tcBorders>
            <w:shd w:val="clear" w:color="auto" w:fill="auto"/>
            <w:vAlign w:val="center"/>
            <w:hideMark/>
          </w:tcPr>
          <w:p w14:paraId="4B917308"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vAlign w:val="center"/>
          </w:tcPr>
          <w:p w14:paraId="25F6D792"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P</w:t>
            </w:r>
          </w:p>
        </w:tc>
        <w:tc>
          <w:tcPr>
            <w:tcW w:w="1653" w:type="dxa"/>
            <w:tcBorders>
              <w:top w:val="nil"/>
              <w:left w:val="nil"/>
              <w:bottom w:val="single" w:sz="4" w:space="0" w:color="auto"/>
              <w:right w:val="single" w:sz="4" w:space="0" w:color="auto"/>
            </w:tcBorders>
          </w:tcPr>
          <w:p w14:paraId="09B8B177" w14:textId="77777777" w:rsidR="00425552" w:rsidRDefault="00425552" w:rsidP="00F95593">
            <w:pPr>
              <w:jc w:val="center"/>
            </w:pPr>
            <w:r w:rsidRPr="00CD33E4">
              <w:rPr>
                <w:rFonts w:ascii="Arial" w:hAnsi="Arial" w:cs="Arial"/>
                <w:color w:val="000000"/>
                <w:sz w:val="22"/>
                <w:szCs w:val="22"/>
              </w:rPr>
              <w:t>Random</w:t>
            </w:r>
          </w:p>
        </w:tc>
      </w:tr>
      <w:tr w:rsidR="00425552" w:rsidRPr="0060333F" w14:paraId="181E4921"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C0D90A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17</w:t>
            </w:r>
          </w:p>
        </w:tc>
        <w:tc>
          <w:tcPr>
            <w:tcW w:w="1300" w:type="dxa"/>
            <w:tcBorders>
              <w:top w:val="nil"/>
              <w:left w:val="nil"/>
              <w:bottom w:val="single" w:sz="4" w:space="0" w:color="auto"/>
              <w:right w:val="single" w:sz="4" w:space="0" w:color="auto"/>
            </w:tcBorders>
            <w:shd w:val="clear" w:color="auto" w:fill="auto"/>
            <w:vAlign w:val="center"/>
            <w:hideMark/>
          </w:tcPr>
          <w:p w14:paraId="7F73EE72"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shd w:val="clear" w:color="auto" w:fill="auto"/>
            <w:vAlign w:val="center"/>
            <w:hideMark/>
          </w:tcPr>
          <w:p w14:paraId="1D8F950F"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28562DDA"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Q</w:t>
            </w:r>
          </w:p>
        </w:tc>
        <w:tc>
          <w:tcPr>
            <w:tcW w:w="1653" w:type="dxa"/>
            <w:tcBorders>
              <w:top w:val="nil"/>
              <w:left w:val="nil"/>
              <w:bottom w:val="single" w:sz="4" w:space="0" w:color="auto"/>
              <w:right w:val="single" w:sz="4" w:space="0" w:color="auto"/>
            </w:tcBorders>
          </w:tcPr>
          <w:p w14:paraId="0D29D007" w14:textId="77777777" w:rsidR="00425552" w:rsidRDefault="00425552" w:rsidP="00F95593">
            <w:pPr>
              <w:jc w:val="center"/>
            </w:pPr>
            <w:r w:rsidRPr="00CD33E4">
              <w:rPr>
                <w:rFonts w:ascii="Arial" w:hAnsi="Arial" w:cs="Arial"/>
                <w:color w:val="000000"/>
                <w:sz w:val="22"/>
                <w:szCs w:val="22"/>
              </w:rPr>
              <w:t>Random</w:t>
            </w:r>
          </w:p>
        </w:tc>
      </w:tr>
      <w:tr w:rsidR="00425552" w:rsidRPr="0060333F" w14:paraId="7AF3BA64"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CE82D63"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18</w:t>
            </w:r>
          </w:p>
        </w:tc>
        <w:tc>
          <w:tcPr>
            <w:tcW w:w="1300" w:type="dxa"/>
            <w:tcBorders>
              <w:top w:val="nil"/>
              <w:left w:val="nil"/>
              <w:bottom w:val="single" w:sz="4" w:space="0" w:color="auto"/>
              <w:right w:val="single" w:sz="4" w:space="0" w:color="auto"/>
            </w:tcBorders>
            <w:shd w:val="clear" w:color="auto" w:fill="auto"/>
            <w:vAlign w:val="center"/>
            <w:hideMark/>
          </w:tcPr>
          <w:p w14:paraId="522203DC"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shd w:val="clear" w:color="auto" w:fill="auto"/>
            <w:vAlign w:val="center"/>
            <w:hideMark/>
          </w:tcPr>
          <w:p w14:paraId="7DFAE10A"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1C983FD6"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R</w:t>
            </w:r>
          </w:p>
        </w:tc>
        <w:tc>
          <w:tcPr>
            <w:tcW w:w="1653" w:type="dxa"/>
            <w:tcBorders>
              <w:top w:val="nil"/>
              <w:left w:val="nil"/>
              <w:bottom w:val="single" w:sz="4" w:space="0" w:color="auto"/>
              <w:right w:val="single" w:sz="4" w:space="0" w:color="auto"/>
            </w:tcBorders>
          </w:tcPr>
          <w:p w14:paraId="17D5AA52" w14:textId="77777777" w:rsidR="00425552" w:rsidRDefault="00425552" w:rsidP="00F95593">
            <w:pPr>
              <w:jc w:val="center"/>
            </w:pPr>
            <w:r w:rsidRPr="00CD33E4">
              <w:rPr>
                <w:rFonts w:ascii="Arial" w:hAnsi="Arial" w:cs="Arial"/>
                <w:color w:val="000000"/>
                <w:sz w:val="22"/>
                <w:szCs w:val="22"/>
              </w:rPr>
              <w:t>Random</w:t>
            </w:r>
          </w:p>
        </w:tc>
      </w:tr>
      <w:tr w:rsidR="00425552" w:rsidRPr="0060333F" w14:paraId="1104536C"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3428DC7"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18</w:t>
            </w:r>
          </w:p>
        </w:tc>
        <w:tc>
          <w:tcPr>
            <w:tcW w:w="1300" w:type="dxa"/>
            <w:tcBorders>
              <w:top w:val="nil"/>
              <w:left w:val="nil"/>
              <w:bottom w:val="single" w:sz="4" w:space="0" w:color="auto"/>
              <w:right w:val="single" w:sz="4" w:space="0" w:color="auto"/>
            </w:tcBorders>
            <w:shd w:val="clear" w:color="auto" w:fill="auto"/>
            <w:vAlign w:val="center"/>
            <w:hideMark/>
          </w:tcPr>
          <w:p w14:paraId="5B460A72"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11</w:t>
            </w:r>
          </w:p>
        </w:tc>
        <w:tc>
          <w:tcPr>
            <w:tcW w:w="1300" w:type="dxa"/>
            <w:tcBorders>
              <w:top w:val="nil"/>
              <w:left w:val="nil"/>
              <w:bottom w:val="single" w:sz="4" w:space="0" w:color="auto"/>
              <w:right w:val="single" w:sz="4" w:space="0" w:color="auto"/>
            </w:tcBorders>
            <w:shd w:val="clear" w:color="auto" w:fill="auto"/>
            <w:vAlign w:val="center"/>
            <w:hideMark/>
          </w:tcPr>
          <w:p w14:paraId="290B9AB2"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3D3A6BFE"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S</w:t>
            </w:r>
          </w:p>
        </w:tc>
        <w:tc>
          <w:tcPr>
            <w:tcW w:w="1653" w:type="dxa"/>
            <w:tcBorders>
              <w:top w:val="nil"/>
              <w:left w:val="nil"/>
              <w:bottom w:val="single" w:sz="4" w:space="0" w:color="auto"/>
              <w:right w:val="single" w:sz="4" w:space="0" w:color="auto"/>
            </w:tcBorders>
          </w:tcPr>
          <w:p w14:paraId="054DB423" w14:textId="77777777" w:rsidR="00425552" w:rsidRDefault="00425552" w:rsidP="00F95593">
            <w:pPr>
              <w:jc w:val="center"/>
            </w:pPr>
            <w:r w:rsidRPr="00CD33E4">
              <w:rPr>
                <w:rFonts w:ascii="Arial" w:hAnsi="Arial" w:cs="Arial"/>
                <w:color w:val="000000"/>
                <w:sz w:val="22"/>
                <w:szCs w:val="22"/>
              </w:rPr>
              <w:t>Random</w:t>
            </w:r>
          </w:p>
        </w:tc>
      </w:tr>
      <w:tr w:rsidR="00425552" w:rsidRPr="0060333F" w14:paraId="64C23D0E"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E010C41"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18</w:t>
            </w:r>
          </w:p>
        </w:tc>
        <w:tc>
          <w:tcPr>
            <w:tcW w:w="1300" w:type="dxa"/>
            <w:tcBorders>
              <w:top w:val="nil"/>
              <w:left w:val="nil"/>
              <w:bottom w:val="single" w:sz="4" w:space="0" w:color="auto"/>
              <w:right w:val="single" w:sz="4" w:space="0" w:color="auto"/>
            </w:tcBorders>
            <w:shd w:val="clear" w:color="auto" w:fill="auto"/>
            <w:vAlign w:val="center"/>
            <w:hideMark/>
          </w:tcPr>
          <w:p w14:paraId="39401865"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5</w:t>
            </w:r>
          </w:p>
        </w:tc>
        <w:tc>
          <w:tcPr>
            <w:tcW w:w="1300" w:type="dxa"/>
            <w:tcBorders>
              <w:top w:val="nil"/>
              <w:left w:val="nil"/>
              <w:bottom w:val="single" w:sz="4" w:space="0" w:color="auto"/>
              <w:right w:val="single" w:sz="4" w:space="0" w:color="auto"/>
            </w:tcBorders>
            <w:shd w:val="clear" w:color="auto" w:fill="auto"/>
            <w:vAlign w:val="center"/>
            <w:hideMark/>
          </w:tcPr>
          <w:p w14:paraId="6AF49B0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44ED430D"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T</w:t>
            </w:r>
          </w:p>
        </w:tc>
        <w:tc>
          <w:tcPr>
            <w:tcW w:w="1653" w:type="dxa"/>
            <w:tcBorders>
              <w:top w:val="nil"/>
              <w:left w:val="nil"/>
              <w:bottom w:val="single" w:sz="4" w:space="0" w:color="auto"/>
              <w:right w:val="single" w:sz="4" w:space="0" w:color="auto"/>
            </w:tcBorders>
          </w:tcPr>
          <w:p w14:paraId="5D3210FA" w14:textId="77777777" w:rsidR="00425552" w:rsidRDefault="00425552" w:rsidP="00F95593">
            <w:pPr>
              <w:jc w:val="center"/>
            </w:pPr>
            <w:r w:rsidRPr="00CD33E4">
              <w:rPr>
                <w:rFonts w:ascii="Arial" w:hAnsi="Arial" w:cs="Arial"/>
                <w:color w:val="000000"/>
                <w:sz w:val="22"/>
                <w:szCs w:val="22"/>
              </w:rPr>
              <w:t>Random</w:t>
            </w:r>
          </w:p>
        </w:tc>
      </w:tr>
      <w:tr w:rsidR="00425552" w:rsidRPr="0060333F" w14:paraId="18D7034B" w14:textId="77777777" w:rsidTr="00F95593">
        <w:trPr>
          <w:trHeight w:val="3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AAD340E"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20</w:t>
            </w:r>
          </w:p>
        </w:tc>
        <w:tc>
          <w:tcPr>
            <w:tcW w:w="1300" w:type="dxa"/>
            <w:tcBorders>
              <w:top w:val="nil"/>
              <w:left w:val="nil"/>
              <w:bottom w:val="single" w:sz="4" w:space="0" w:color="auto"/>
              <w:right w:val="single" w:sz="4" w:space="0" w:color="auto"/>
            </w:tcBorders>
            <w:shd w:val="clear" w:color="auto" w:fill="auto"/>
            <w:vAlign w:val="center"/>
            <w:hideMark/>
          </w:tcPr>
          <w:p w14:paraId="31B2BB21"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4</w:t>
            </w:r>
          </w:p>
        </w:tc>
        <w:tc>
          <w:tcPr>
            <w:tcW w:w="1300" w:type="dxa"/>
            <w:tcBorders>
              <w:top w:val="nil"/>
              <w:left w:val="nil"/>
              <w:bottom w:val="single" w:sz="4" w:space="0" w:color="auto"/>
              <w:right w:val="single" w:sz="4" w:space="0" w:color="auto"/>
            </w:tcBorders>
            <w:shd w:val="clear" w:color="auto" w:fill="auto"/>
            <w:vAlign w:val="center"/>
            <w:hideMark/>
          </w:tcPr>
          <w:p w14:paraId="30C1A3C0"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3</w:t>
            </w:r>
          </w:p>
        </w:tc>
        <w:tc>
          <w:tcPr>
            <w:tcW w:w="1300" w:type="dxa"/>
            <w:tcBorders>
              <w:top w:val="nil"/>
              <w:left w:val="nil"/>
              <w:bottom w:val="single" w:sz="4" w:space="0" w:color="auto"/>
              <w:right w:val="single" w:sz="4" w:space="0" w:color="auto"/>
            </w:tcBorders>
            <w:vAlign w:val="center"/>
          </w:tcPr>
          <w:p w14:paraId="0FB3D086" w14:textId="77777777" w:rsidR="00425552" w:rsidRPr="0060333F" w:rsidRDefault="00425552" w:rsidP="00F95593">
            <w:pPr>
              <w:jc w:val="center"/>
              <w:rPr>
                <w:rFonts w:ascii="Arial" w:eastAsia="Times New Roman" w:hAnsi="Arial" w:cs="Arial"/>
                <w:color w:val="000000"/>
                <w:sz w:val="22"/>
                <w:szCs w:val="22"/>
              </w:rPr>
            </w:pPr>
            <w:r>
              <w:rPr>
                <w:rFonts w:ascii="Arial" w:hAnsi="Arial" w:cs="Arial"/>
                <w:color w:val="000000"/>
                <w:sz w:val="22"/>
                <w:szCs w:val="22"/>
              </w:rPr>
              <w:t>U</w:t>
            </w:r>
          </w:p>
        </w:tc>
        <w:tc>
          <w:tcPr>
            <w:tcW w:w="1653" w:type="dxa"/>
            <w:tcBorders>
              <w:top w:val="nil"/>
              <w:left w:val="nil"/>
              <w:bottom w:val="single" w:sz="4" w:space="0" w:color="auto"/>
              <w:right w:val="single" w:sz="4" w:space="0" w:color="auto"/>
            </w:tcBorders>
          </w:tcPr>
          <w:p w14:paraId="00535B02" w14:textId="77777777" w:rsidR="00425552" w:rsidRDefault="00425552" w:rsidP="00F95593">
            <w:pPr>
              <w:jc w:val="center"/>
            </w:pPr>
            <w:r w:rsidRPr="00CD33E4">
              <w:rPr>
                <w:rFonts w:ascii="Arial" w:hAnsi="Arial" w:cs="Arial"/>
                <w:color w:val="000000"/>
                <w:sz w:val="22"/>
                <w:szCs w:val="22"/>
              </w:rPr>
              <w:t>Random</w:t>
            </w:r>
          </w:p>
        </w:tc>
      </w:tr>
      <w:tr w:rsidR="00425552" w:rsidRPr="0060333F" w14:paraId="7A1FC121"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tcPr>
          <w:p w14:paraId="0BA60421"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12</w:t>
            </w:r>
          </w:p>
        </w:tc>
        <w:tc>
          <w:tcPr>
            <w:tcW w:w="1300" w:type="dxa"/>
            <w:tcBorders>
              <w:top w:val="single" w:sz="4" w:space="0" w:color="auto"/>
              <w:left w:val="nil"/>
              <w:bottom w:val="single" w:sz="4" w:space="0" w:color="auto"/>
              <w:right w:val="single" w:sz="4" w:space="0" w:color="auto"/>
            </w:tcBorders>
            <w:shd w:val="clear" w:color="auto" w:fill="auto"/>
            <w:vAlign w:val="bottom"/>
          </w:tcPr>
          <w:p w14:paraId="7AF92A73"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shd w:val="clear" w:color="auto" w:fill="auto"/>
            <w:vAlign w:val="bottom"/>
          </w:tcPr>
          <w:p w14:paraId="43DE8694"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vAlign w:val="bottom"/>
          </w:tcPr>
          <w:p w14:paraId="4ADDB11C"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D</w:t>
            </w:r>
          </w:p>
        </w:tc>
        <w:tc>
          <w:tcPr>
            <w:tcW w:w="1653" w:type="dxa"/>
            <w:tcBorders>
              <w:top w:val="single" w:sz="4" w:space="0" w:color="auto"/>
              <w:left w:val="nil"/>
              <w:bottom w:val="single" w:sz="4" w:space="0" w:color="auto"/>
              <w:right w:val="single" w:sz="4" w:space="0" w:color="auto"/>
            </w:tcBorders>
          </w:tcPr>
          <w:p w14:paraId="35E054BE" w14:textId="77777777" w:rsidR="00425552" w:rsidRPr="001A3C49" w:rsidRDefault="00425552" w:rsidP="00F95593">
            <w:pPr>
              <w:jc w:val="center"/>
              <w:rPr>
                <w:rFonts w:ascii="Arial" w:hAnsi="Arial" w:cs="Arial"/>
                <w:color w:val="000000"/>
                <w:sz w:val="22"/>
                <w:szCs w:val="22"/>
              </w:rPr>
            </w:pPr>
            <w:r>
              <w:rPr>
                <w:rFonts w:ascii="Arial" w:hAnsi="Arial" w:cs="Arial"/>
                <w:color w:val="000000"/>
                <w:sz w:val="22"/>
                <w:szCs w:val="22"/>
              </w:rPr>
              <w:t>Non-random</w:t>
            </w:r>
          </w:p>
        </w:tc>
      </w:tr>
      <w:tr w:rsidR="00425552" w:rsidRPr="0060333F" w14:paraId="235EBAD2"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tcPr>
          <w:p w14:paraId="2F411376"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12</w:t>
            </w:r>
          </w:p>
        </w:tc>
        <w:tc>
          <w:tcPr>
            <w:tcW w:w="1300" w:type="dxa"/>
            <w:tcBorders>
              <w:top w:val="single" w:sz="4" w:space="0" w:color="auto"/>
              <w:left w:val="nil"/>
              <w:bottom w:val="single" w:sz="4" w:space="0" w:color="auto"/>
              <w:right w:val="single" w:sz="4" w:space="0" w:color="auto"/>
            </w:tcBorders>
            <w:shd w:val="clear" w:color="auto" w:fill="auto"/>
            <w:vAlign w:val="bottom"/>
          </w:tcPr>
          <w:p w14:paraId="6E947519"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shd w:val="clear" w:color="auto" w:fill="auto"/>
            <w:vAlign w:val="bottom"/>
          </w:tcPr>
          <w:p w14:paraId="505D3B1D"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vAlign w:val="bottom"/>
          </w:tcPr>
          <w:p w14:paraId="23B1AB44"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E</w:t>
            </w:r>
          </w:p>
        </w:tc>
        <w:tc>
          <w:tcPr>
            <w:tcW w:w="1653" w:type="dxa"/>
            <w:tcBorders>
              <w:top w:val="single" w:sz="4" w:space="0" w:color="auto"/>
              <w:left w:val="nil"/>
              <w:bottom w:val="single" w:sz="4" w:space="0" w:color="auto"/>
              <w:right w:val="single" w:sz="4" w:space="0" w:color="auto"/>
            </w:tcBorders>
          </w:tcPr>
          <w:p w14:paraId="72042079" w14:textId="77777777" w:rsidR="00425552" w:rsidRPr="001A3C49" w:rsidRDefault="00425552" w:rsidP="00F95593">
            <w:pPr>
              <w:jc w:val="center"/>
              <w:rPr>
                <w:rFonts w:ascii="Arial" w:hAnsi="Arial" w:cs="Arial"/>
                <w:color w:val="000000"/>
                <w:sz w:val="22"/>
                <w:szCs w:val="22"/>
              </w:rPr>
            </w:pPr>
            <w:r>
              <w:rPr>
                <w:rFonts w:ascii="Arial" w:hAnsi="Arial" w:cs="Arial"/>
                <w:color w:val="000000"/>
                <w:sz w:val="22"/>
                <w:szCs w:val="22"/>
              </w:rPr>
              <w:t>Non-random</w:t>
            </w:r>
          </w:p>
        </w:tc>
      </w:tr>
      <w:tr w:rsidR="00425552" w:rsidRPr="0060333F" w14:paraId="57097A51"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tcPr>
          <w:p w14:paraId="0431BD52"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12</w:t>
            </w:r>
          </w:p>
        </w:tc>
        <w:tc>
          <w:tcPr>
            <w:tcW w:w="1300" w:type="dxa"/>
            <w:tcBorders>
              <w:top w:val="single" w:sz="4" w:space="0" w:color="auto"/>
              <w:left w:val="nil"/>
              <w:bottom w:val="single" w:sz="4" w:space="0" w:color="auto"/>
              <w:right w:val="single" w:sz="4" w:space="0" w:color="auto"/>
            </w:tcBorders>
            <w:shd w:val="clear" w:color="auto" w:fill="auto"/>
            <w:vAlign w:val="bottom"/>
          </w:tcPr>
          <w:p w14:paraId="03389AA8"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shd w:val="clear" w:color="auto" w:fill="auto"/>
            <w:vAlign w:val="bottom"/>
          </w:tcPr>
          <w:p w14:paraId="2D91C46C"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vAlign w:val="bottom"/>
          </w:tcPr>
          <w:p w14:paraId="4C292F37"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G</w:t>
            </w:r>
          </w:p>
        </w:tc>
        <w:tc>
          <w:tcPr>
            <w:tcW w:w="1653" w:type="dxa"/>
            <w:tcBorders>
              <w:top w:val="single" w:sz="4" w:space="0" w:color="auto"/>
              <w:left w:val="nil"/>
              <w:bottom w:val="single" w:sz="4" w:space="0" w:color="auto"/>
              <w:right w:val="single" w:sz="4" w:space="0" w:color="auto"/>
            </w:tcBorders>
          </w:tcPr>
          <w:p w14:paraId="63052280" w14:textId="77777777" w:rsidR="00425552" w:rsidRPr="001A3C49" w:rsidRDefault="00425552" w:rsidP="00F95593">
            <w:pPr>
              <w:jc w:val="center"/>
              <w:rPr>
                <w:rFonts w:ascii="Arial" w:hAnsi="Arial" w:cs="Arial"/>
                <w:color w:val="000000"/>
                <w:sz w:val="22"/>
                <w:szCs w:val="22"/>
              </w:rPr>
            </w:pPr>
            <w:r>
              <w:rPr>
                <w:rFonts w:ascii="Arial" w:hAnsi="Arial" w:cs="Arial"/>
                <w:color w:val="000000"/>
                <w:sz w:val="22"/>
                <w:szCs w:val="22"/>
              </w:rPr>
              <w:t>Non-random</w:t>
            </w:r>
          </w:p>
        </w:tc>
      </w:tr>
      <w:tr w:rsidR="00425552" w:rsidRPr="0060333F" w14:paraId="10C7842C"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tcPr>
          <w:p w14:paraId="21A64BE5"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12</w:t>
            </w:r>
          </w:p>
        </w:tc>
        <w:tc>
          <w:tcPr>
            <w:tcW w:w="1300" w:type="dxa"/>
            <w:tcBorders>
              <w:top w:val="single" w:sz="4" w:space="0" w:color="auto"/>
              <w:left w:val="nil"/>
              <w:bottom w:val="single" w:sz="4" w:space="0" w:color="auto"/>
              <w:right w:val="single" w:sz="4" w:space="0" w:color="auto"/>
            </w:tcBorders>
            <w:shd w:val="clear" w:color="auto" w:fill="auto"/>
            <w:vAlign w:val="bottom"/>
          </w:tcPr>
          <w:p w14:paraId="03BA5B33"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shd w:val="clear" w:color="auto" w:fill="auto"/>
            <w:vAlign w:val="bottom"/>
          </w:tcPr>
          <w:p w14:paraId="1F496030"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vAlign w:val="bottom"/>
          </w:tcPr>
          <w:p w14:paraId="5CFBCECD"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I</w:t>
            </w:r>
          </w:p>
        </w:tc>
        <w:tc>
          <w:tcPr>
            <w:tcW w:w="1653" w:type="dxa"/>
            <w:tcBorders>
              <w:top w:val="single" w:sz="4" w:space="0" w:color="auto"/>
              <w:left w:val="nil"/>
              <w:bottom w:val="single" w:sz="4" w:space="0" w:color="auto"/>
              <w:right w:val="single" w:sz="4" w:space="0" w:color="auto"/>
            </w:tcBorders>
          </w:tcPr>
          <w:p w14:paraId="4339859C" w14:textId="77777777" w:rsidR="00425552" w:rsidRPr="001A3C49" w:rsidRDefault="00425552" w:rsidP="00F95593">
            <w:pPr>
              <w:jc w:val="center"/>
              <w:rPr>
                <w:rFonts w:ascii="Arial" w:hAnsi="Arial" w:cs="Arial"/>
                <w:color w:val="000000"/>
                <w:sz w:val="22"/>
                <w:szCs w:val="22"/>
              </w:rPr>
            </w:pPr>
            <w:r>
              <w:rPr>
                <w:rFonts w:ascii="Arial" w:hAnsi="Arial" w:cs="Arial"/>
                <w:color w:val="000000"/>
                <w:sz w:val="22"/>
                <w:szCs w:val="22"/>
              </w:rPr>
              <w:t>Non-random</w:t>
            </w:r>
          </w:p>
        </w:tc>
      </w:tr>
      <w:tr w:rsidR="00425552" w:rsidRPr="0060333F" w14:paraId="31CA68C6" w14:textId="77777777" w:rsidTr="00F95593">
        <w:trPr>
          <w:trHeight w:val="320"/>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tcPr>
          <w:p w14:paraId="51263EEF"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12</w:t>
            </w:r>
          </w:p>
        </w:tc>
        <w:tc>
          <w:tcPr>
            <w:tcW w:w="1300" w:type="dxa"/>
            <w:tcBorders>
              <w:top w:val="single" w:sz="4" w:space="0" w:color="auto"/>
              <w:left w:val="nil"/>
              <w:bottom w:val="single" w:sz="4" w:space="0" w:color="auto"/>
              <w:right w:val="single" w:sz="4" w:space="0" w:color="auto"/>
            </w:tcBorders>
            <w:shd w:val="clear" w:color="auto" w:fill="auto"/>
            <w:vAlign w:val="bottom"/>
          </w:tcPr>
          <w:p w14:paraId="43494472"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shd w:val="clear" w:color="auto" w:fill="auto"/>
            <w:vAlign w:val="bottom"/>
          </w:tcPr>
          <w:p w14:paraId="6CD39949"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6</w:t>
            </w:r>
          </w:p>
        </w:tc>
        <w:tc>
          <w:tcPr>
            <w:tcW w:w="1300" w:type="dxa"/>
            <w:tcBorders>
              <w:top w:val="single" w:sz="4" w:space="0" w:color="auto"/>
              <w:left w:val="nil"/>
              <w:bottom w:val="single" w:sz="4" w:space="0" w:color="auto"/>
              <w:right w:val="single" w:sz="4" w:space="0" w:color="auto"/>
            </w:tcBorders>
            <w:vAlign w:val="bottom"/>
          </w:tcPr>
          <w:p w14:paraId="0CAC777D" w14:textId="77777777" w:rsidR="00425552" w:rsidRPr="001A3C49" w:rsidRDefault="00425552" w:rsidP="00F95593">
            <w:pPr>
              <w:jc w:val="center"/>
              <w:rPr>
                <w:rFonts w:ascii="Arial" w:hAnsi="Arial" w:cs="Arial"/>
                <w:color w:val="000000"/>
                <w:sz w:val="22"/>
                <w:szCs w:val="22"/>
              </w:rPr>
            </w:pPr>
            <w:r w:rsidRPr="001A3C49">
              <w:rPr>
                <w:rFonts w:ascii="Arial" w:hAnsi="Arial" w:cs="Arial"/>
                <w:color w:val="000000"/>
                <w:sz w:val="22"/>
                <w:szCs w:val="22"/>
              </w:rPr>
              <w:t>J</w:t>
            </w:r>
          </w:p>
        </w:tc>
        <w:tc>
          <w:tcPr>
            <w:tcW w:w="1653" w:type="dxa"/>
            <w:tcBorders>
              <w:top w:val="single" w:sz="4" w:space="0" w:color="auto"/>
              <w:left w:val="nil"/>
              <w:bottom w:val="single" w:sz="4" w:space="0" w:color="auto"/>
              <w:right w:val="single" w:sz="4" w:space="0" w:color="auto"/>
            </w:tcBorders>
          </w:tcPr>
          <w:p w14:paraId="4F70B486" w14:textId="77777777" w:rsidR="00425552" w:rsidRPr="001A3C49" w:rsidRDefault="00425552" w:rsidP="00F95593">
            <w:pPr>
              <w:jc w:val="center"/>
              <w:rPr>
                <w:rFonts w:ascii="Arial" w:hAnsi="Arial" w:cs="Arial"/>
                <w:color w:val="000000"/>
                <w:sz w:val="22"/>
                <w:szCs w:val="22"/>
              </w:rPr>
            </w:pPr>
            <w:r>
              <w:rPr>
                <w:rFonts w:ascii="Arial" w:hAnsi="Arial" w:cs="Arial"/>
                <w:color w:val="000000"/>
                <w:sz w:val="22"/>
                <w:szCs w:val="22"/>
              </w:rPr>
              <w:t>Non-random</w:t>
            </w:r>
          </w:p>
        </w:tc>
      </w:tr>
    </w:tbl>
    <w:p w14:paraId="3D224394" w14:textId="77777777" w:rsidR="00425552" w:rsidRDefault="00425552" w:rsidP="00425552">
      <w:pPr>
        <w:rPr>
          <w:rFonts w:ascii="Arial" w:eastAsia="Arial" w:hAnsi="Arial" w:cs="Arial"/>
          <w:sz w:val="22"/>
          <w:szCs w:val="22"/>
        </w:rPr>
      </w:pPr>
    </w:p>
    <w:p w14:paraId="668761D3" w14:textId="77777777" w:rsidR="00425552" w:rsidRPr="008F03AD" w:rsidRDefault="00425552" w:rsidP="00425552">
      <w:pPr>
        <w:rPr>
          <w:rFonts w:ascii="Arial" w:eastAsia="Arial" w:hAnsi="Arial" w:cs="Arial"/>
          <w:sz w:val="22"/>
          <w:szCs w:val="22"/>
        </w:rPr>
      </w:pPr>
      <w:r>
        <w:rPr>
          <w:rFonts w:ascii="Arial" w:eastAsia="Arial" w:hAnsi="Arial" w:cs="Arial"/>
          <w:b/>
          <w:sz w:val="22"/>
          <w:szCs w:val="22"/>
        </w:rPr>
        <w:t>Table S8. Initial abundances of salamanders, toads and frogs assigned to 3-species ‘random’ and ‘non-random’ tanks.</w:t>
      </w:r>
      <w:r>
        <w:rPr>
          <w:rFonts w:ascii="Arial" w:eastAsia="Arial" w:hAnsi="Arial" w:cs="Arial"/>
          <w:sz w:val="22"/>
          <w:szCs w:val="22"/>
        </w:rPr>
        <w:t xml:space="preserve"> The ‘Tank label’ corresponds to the labels in Figures 4c and d of the main paper.</w:t>
      </w:r>
    </w:p>
    <w:p w14:paraId="72C0CC6B" w14:textId="77777777" w:rsidR="00425552" w:rsidRDefault="00425552" w:rsidP="00425552">
      <w:pPr>
        <w:rPr>
          <w:rFonts w:ascii="Arial" w:eastAsia="Arial" w:hAnsi="Arial" w:cs="Arial"/>
          <w:sz w:val="22"/>
          <w:szCs w:val="22"/>
        </w:rPr>
      </w:pPr>
    </w:p>
    <w:p w14:paraId="696F0CDF" w14:textId="77777777" w:rsidR="00425552" w:rsidRDefault="00425552" w:rsidP="00425552">
      <w:pPr>
        <w:rPr>
          <w:rFonts w:ascii="Arial" w:eastAsia="Arial" w:hAnsi="Arial" w:cs="Arial"/>
          <w:sz w:val="22"/>
          <w:szCs w:val="22"/>
        </w:rPr>
      </w:pPr>
    </w:p>
    <w:p w14:paraId="644DA558" w14:textId="77777777" w:rsidR="00425552" w:rsidRDefault="00425552" w:rsidP="00425552">
      <w:pPr>
        <w:rPr>
          <w:rFonts w:ascii="Arial" w:eastAsia="Arial" w:hAnsi="Arial" w:cs="Arial"/>
          <w:sz w:val="22"/>
          <w:szCs w:val="22"/>
        </w:rPr>
      </w:pPr>
    </w:p>
    <w:p w14:paraId="11CD151C" w14:textId="77777777" w:rsidR="00425552" w:rsidRDefault="00425552" w:rsidP="00425552">
      <w:pPr>
        <w:rPr>
          <w:rFonts w:ascii="Arial" w:eastAsia="Arial" w:hAnsi="Arial" w:cs="Arial"/>
          <w:sz w:val="22"/>
          <w:szCs w:val="22"/>
        </w:rPr>
      </w:pPr>
    </w:p>
    <w:p w14:paraId="03AF9B7B" w14:textId="77777777" w:rsidR="00425552" w:rsidRDefault="00425552" w:rsidP="00425552">
      <w:pPr>
        <w:rPr>
          <w:rFonts w:ascii="Arial" w:eastAsia="Arial" w:hAnsi="Arial" w:cs="Arial"/>
          <w:sz w:val="22"/>
          <w:szCs w:val="22"/>
        </w:rPr>
      </w:pPr>
    </w:p>
    <w:p w14:paraId="02EC7C07" w14:textId="77777777" w:rsidR="00425552" w:rsidRDefault="00425552" w:rsidP="00425552">
      <w:pPr>
        <w:rPr>
          <w:rFonts w:ascii="Arial" w:eastAsia="Arial" w:hAnsi="Arial" w:cs="Arial"/>
          <w:sz w:val="22"/>
          <w:szCs w:val="22"/>
        </w:rPr>
      </w:pPr>
    </w:p>
    <w:p w14:paraId="455ED0D0" w14:textId="77777777" w:rsidR="00425552" w:rsidRDefault="00425552" w:rsidP="00425552">
      <w:pPr>
        <w:rPr>
          <w:rFonts w:ascii="Arial" w:eastAsia="Arial" w:hAnsi="Arial" w:cs="Arial"/>
          <w:sz w:val="22"/>
          <w:szCs w:val="22"/>
        </w:rPr>
      </w:pPr>
    </w:p>
    <w:p w14:paraId="617DA536" w14:textId="77777777" w:rsidR="00425552" w:rsidRDefault="00425552" w:rsidP="00425552">
      <w:pPr>
        <w:rPr>
          <w:rFonts w:ascii="Arial" w:eastAsia="Arial" w:hAnsi="Arial" w:cs="Arial"/>
          <w:sz w:val="22"/>
          <w:szCs w:val="22"/>
        </w:rPr>
      </w:pPr>
    </w:p>
    <w:p w14:paraId="2C37FDCE" w14:textId="77777777" w:rsidR="00425552" w:rsidRDefault="00425552" w:rsidP="00425552">
      <w:pPr>
        <w:rPr>
          <w:rFonts w:ascii="Arial" w:eastAsia="Arial" w:hAnsi="Arial" w:cs="Arial"/>
          <w:sz w:val="22"/>
          <w:szCs w:val="22"/>
        </w:rPr>
      </w:pPr>
    </w:p>
    <w:tbl>
      <w:tblPr>
        <w:tblW w:w="8910" w:type="dxa"/>
        <w:tblInd w:w="-180" w:type="dxa"/>
        <w:tblLayout w:type="fixed"/>
        <w:tblLook w:val="04A0" w:firstRow="1" w:lastRow="0" w:firstColumn="1" w:lastColumn="0" w:noHBand="0" w:noVBand="1"/>
      </w:tblPr>
      <w:tblGrid>
        <w:gridCol w:w="2700"/>
        <w:gridCol w:w="720"/>
        <w:gridCol w:w="1170"/>
        <w:gridCol w:w="1620"/>
        <w:gridCol w:w="1260"/>
        <w:gridCol w:w="1440"/>
      </w:tblGrid>
      <w:tr w:rsidR="00425552" w:rsidRPr="006A777A" w14:paraId="438317AD" w14:textId="77777777" w:rsidTr="00F95593">
        <w:trPr>
          <w:trHeight w:val="320"/>
        </w:trPr>
        <w:tc>
          <w:tcPr>
            <w:tcW w:w="2700" w:type="dxa"/>
            <w:tcBorders>
              <w:top w:val="nil"/>
              <w:left w:val="nil"/>
              <w:bottom w:val="single" w:sz="4" w:space="0" w:color="auto"/>
              <w:right w:val="nil"/>
            </w:tcBorders>
            <w:shd w:val="clear" w:color="auto" w:fill="auto"/>
            <w:noWrap/>
            <w:vAlign w:val="bottom"/>
            <w:hideMark/>
          </w:tcPr>
          <w:p w14:paraId="7B10A4F8"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Amphibian community</w:t>
            </w:r>
          </w:p>
        </w:tc>
        <w:tc>
          <w:tcPr>
            <w:tcW w:w="720" w:type="dxa"/>
            <w:tcBorders>
              <w:top w:val="nil"/>
              <w:left w:val="nil"/>
              <w:bottom w:val="single" w:sz="4" w:space="0" w:color="auto"/>
              <w:right w:val="nil"/>
            </w:tcBorders>
            <w:shd w:val="clear" w:color="auto" w:fill="auto"/>
            <w:noWrap/>
            <w:vAlign w:val="bottom"/>
            <w:hideMark/>
          </w:tcPr>
          <w:p w14:paraId="4895B5D4"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n</w:t>
            </w:r>
          </w:p>
        </w:tc>
        <w:tc>
          <w:tcPr>
            <w:tcW w:w="1170" w:type="dxa"/>
            <w:tcBorders>
              <w:top w:val="nil"/>
              <w:left w:val="nil"/>
              <w:bottom w:val="single" w:sz="4" w:space="0" w:color="auto"/>
              <w:right w:val="nil"/>
            </w:tcBorders>
            <w:shd w:val="clear" w:color="auto" w:fill="auto"/>
            <w:noWrap/>
            <w:vAlign w:val="bottom"/>
            <w:hideMark/>
          </w:tcPr>
          <w:p w14:paraId="326D6A0C"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area (m2)</w:t>
            </w:r>
          </w:p>
        </w:tc>
        <w:tc>
          <w:tcPr>
            <w:tcW w:w="1620" w:type="dxa"/>
            <w:tcBorders>
              <w:top w:val="nil"/>
              <w:left w:val="nil"/>
              <w:bottom w:val="single" w:sz="4" w:space="0" w:color="auto"/>
              <w:right w:val="nil"/>
            </w:tcBorders>
            <w:shd w:val="clear" w:color="auto" w:fill="auto"/>
            <w:noWrap/>
            <w:vAlign w:val="bottom"/>
            <w:hideMark/>
          </w:tcPr>
          <w:p w14:paraId="2A8A14A5"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perimeter (m)</w:t>
            </w:r>
          </w:p>
        </w:tc>
        <w:tc>
          <w:tcPr>
            <w:tcW w:w="1260" w:type="dxa"/>
            <w:tcBorders>
              <w:top w:val="nil"/>
              <w:left w:val="nil"/>
              <w:bottom w:val="single" w:sz="4" w:space="0" w:color="auto"/>
              <w:right w:val="nil"/>
            </w:tcBorders>
            <w:shd w:val="clear" w:color="auto" w:fill="auto"/>
            <w:noWrap/>
            <w:vAlign w:val="bottom"/>
            <w:hideMark/>
          </w:tcPr>
          <w:p w14:paraId="0E46BFF5"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depth (m)</w:t>
            </w:r>
          </w:p>
        </w:tc>
        <w:tc>
          <w:tcPr>
            <w:tcW w:w="1440" w:type="dxa"/>
            <w:tcBorders>
              <w:top w:val="nil"/>
              <w:left w:val="nil"/>
              <w:bottom w:val="single" w:sz="4" w:space="0" w:color="auto"/>
              <w:right w:val="nil"/>
            </w:tcBorders>
            <w:shd w:val="clear" w:color="auto" w:fill="auto"/>
            <w:noWrap/>
            <w:vAlign w:val="bottom"/>
            <w:hideMark/>
          </w:tcPr>
          <w:p w14:paraId="4B3ECE74"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altitude (m)</w:t>
            </w:r>
          </w:p>
        </w:tc>
      </w:tr>
      <w:tr w:rsidR="00425552" w:rsidRPr="006A777A" w14:paraId="4F647227" w14:textId="77777777" w:rsidTr="00F95593">
        <w:trPr>
          <w:trHeight w:val="320"/>
        </w:trPr>
        <w:tc>
          <w:tcPr>
            <w:tcW w:w="2700" w:type="dxa"/>
            <w:tcBorders>
              <w:top w:val="nil"/>
              <w:left w:val="nil"/>
              <w:bottom w:val="nil"/>
              <w:right w:val="nil"/>
            </w:tcBorders>
            <w:shd w:val="clear" w:color="auto" w:fill="auto"/>
            <w:noWrap/>
            <w:vAlign w:val="bottom"/>
            <w:hideMark/>
          </w:tcPr>
          <w:p w14:paraId="17301208"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Ss / Bs / Hm absence</w:t>
            </w:r>
          </w:p>
        </w:tc>
        <w:tc>
          <w:tcPr>
            <w:tcW w:w="720" w:type="dxa"/>
            <w:tcBorders>
              <w:top w:val="nil"/>
              <w:left w:val="nil"/>
              <w:bottom w:val="nil"/>
              <w:right w:val="nil"/>
            </w:tcBorders>
            <w:shd w:val="clear" w:color="auto" w:fill="auto"/>
            <w:noWrap/>
            <w:vAlign w:val="bottom"/>
            <w:hideMark/>
          </w:tcPr>
          <w:p w14:paraId="2A3069A4"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50</w:t>
            </w:r>
          </w:p>
        </w:tc>
        <w:tc>
          <w:tcPr>
            <w:tcW w:w="1170" w:type="dxa"/>
            <w:tcBorders>
              <w:top w:val="nil"/>
              <w:left w:val="nil"/>
              <w:bottom w:val="nil"/>
              <w:right w:val="nil"/>
            </w:tcBorders>
            <w:shd w:val="clear" w:color="auto" w:fill="auto"/>
            <w:noWrap/>
            <w:vAlign w:val="bottom"/>
            <w:hideMark/>
          </w:tcPr>
          <w:p w14:paraId="1E517CEA"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14.5</w:t>
            </w:r>
          </w:p>
        </w:tc>
        <w:tc>
          <w:tcPr>
            <w:tcW w:w="1620" w:type="dxa"/>
            <w:tcBorders>
              <w:top w:val="nil"/>
              <w:left w:val="nil"/>
              <w:bottom w:val="nil"/>
              <w:right w:val="nil"/>
            </w:tcBorders>
            <w:shd w:val="clear" w:color="auto" w:fill="auto"/>
            <w:noWrap/>
            <w:vAlign w:val="bottom"/>
            <w:hideMark/>
          </w:tcPr>
          <w:p w14:paraId="3731E9A9"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18.9</w:t>
            </w:r>
          </w:p>
        </w:tc>
        <w:tc>
          <w:tcPr>
            <w:tcW w:w="1260" w:type="dxa"/>
            <w:tcBorders>
              <w:top w:val="nil"/>
              <w:left w:val="nil"/>
              <w:bottom w:val="nil"/>
              <w:right w:val="nil"/>
            </w:tcBorders>
            <w:shd w:val="clear" w:color="auto" w:fill="auto"/>
            <w:noWrap/>
            <w:vAlign w:val="bottom"/>
            <w:hideMark/>
          </w:tcPr>
          <w:p w14:paraId="10DDCB45"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0.3</w:t>
            </w:r>
          </w:p>
        </w:tc>
        <w:tc>
          <w:tcPr>
            <w:tcW w:w="1440" w:type="dxa"/>
            <w:tcBorders>
              <w:top w:val="nil"/>
              <w:left w:val="nil"/>
              <w:bottom w:val="nil"/>
              <w:right w:val="nil"/>
            </w:tcBorders>
            <w:shd w:val="clear" w:color="auto" w:fill="auto"/>
            <w:noWrap/>
            <w:vAlign w:val="bottom"/>
            <w:hideMark/>
          </w:tcPr>
          <w:p w14:paraId="27CBC57F"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2003.9</w:t>
            </w:r>
          </w:p>
        </w:tc>
      </w:tr>
      <w:tr w:rsidR="00425552" w:rsidRPr="006A777A" w14:paraId="29FC53C3" w14:textId="77777777" w:rsidTr="00F95593">
        <w:trPr>
          <w:trHeight w:val="320"/>
        </w:trPr>
        <w:tc>
          <w:tcPr>
            <w:tcW w:w="2700" w:type="dxa"/>
            <w:tcBorders>
              <w:top w:val="nil"/>
              <w:left w:val="nil"/>
              <w:bottom w:val="nil"/>
              <w:right w:val="nil"/>
            </w:tcBorders>
            <w:shd w:val="clear" w:color="auto" w:fill="auto"/>
            <w:noWrap/>
            <w:vAlign w:val="bottom"/>
            <w:hideMark/>
          </w:tcPr>
          <w:p w14:paraId="5B7C13EA"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Ss presence</w:t>
            </w:r>
          </w:p>
        </w:tc>
        <w:tc>
          <w:tcPr>
            <w:tcW w:w="720" w:type="dxa"/>
            <w:tcBorders>
              <w:top w:val="nil"/>
              <w:left w:val="nil"/>
              <w:bottom w:val="nil"/>
              <w:right w:val="nil"/>
            </w:tcBorders>
            <w:shd w:val="clear" w:color="auto" w:fill="auto"/>
            <w:noWrap/>
            <w:vAlign w:val="bottom"/>
            <w:hideMark/>
          </w:tcPr>
          <w:p w14:paraId="4214D85E"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153</w:t>
            </w:r>
          </w:p>
        </w:tc>
        <w:tc>
          <w:tcPr>
            <w:tcW w:w="1170" w:type="dxa"/>
            <w:tcBorders>
              <w:top w:val="nil"/>
              <w:left w:val="nil"/>
              <w:bottom w:val="nil"/>
              <w:right w:val="nil"/>
            </w:tcBorders>
            <w:shd w:val="clear" w:color="auto" w:fill="auto"/>
            <w:noWrap/>
            <w:vAlign w:val="bottom"/>
            <w:hideMark/>
          </w:tcPr>
          <w:p w14:paraId="34BD5841"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19.1</w:t>
            </w:r>
          </w:p>
        </w:tc>
        <w:tc>
          <w:tcPr>
            <w:tcW w:w="1620" w:type="dxa"/>
            <w:tcBorders>
              <w:top w:val="nil"/>
              <w:left w:val="nil"/>
              <w:bottom w:val="nil"/>
              <w:right w:val="nil"/>
            </w:tcBorders>
            <w:shd w:val="clear" w:color="auto" w:fill="auto"/>
            <w:noWrap/>
            <w:vAlign w:val="bottom"/>
            <w:hideMark/>
          </w:tcPr>
          <w:p w14:paraId="5EEF81BD"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23.3</w:t>
            </w:r>
          </w:p>
        </w:tc>
        <w:tc>
          <w:tcPr>
            <w:tcW w:w="1260" w:type="dxa"/>
            <w:tcBorders>
              <w:top w:val="nil"/>
              <w:left w:val="nil"/>
              <w:bottom w:val="nil"/>
              <w:right w:val="nil"/>
            </w:tcBorders>
            <w:shd w:val="clear" w:color="auto" w:fill="auto"/>
            <w:noWrap/>
            <w:vAlign w:val="bottom"/>
            <w:hideMark/>
          </w:tcPr>
          <w:p w14:paraId="25511E7B"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0.4</w:t>
            </w:r>
          </w:p>
        </w:tc>
        <w:tc>
          <w:tcPr>
            <w:tcW w:w="1440" w:type="dxa"/>
            <w:tcBorders>
              <w:top w:val="nil"/>
              <w:left w:val="nil"/>
              <w:bottom w:val="nil"/>
              <w:right w:val="nil"/>
            </w:tcBorders>
            <w:shd w:val="clear" w:color="auto" w:fill="auto"/>
            <w:noWrap/>
            <w:vAlign w:val="bottom"/>
            <w:hideMark/>
          </w:tcPr>
          <w:p w14:paraId="340B20F6"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2101.3</w:t>
            </w:r>
          </w:p>
        </w:tc>
      </w:tr>
      <w:tr w:rsidR="00425552" w:rsidRPr="006A777A" w14:paraId="453B9D4A" w14:textId="77777777" w:rsidTr="00F95593">
        <w:trPr>
          <w:trHeight w:val="320"/>
        </w:trPr>
        <w:tc>
          <w:tcPr>
            <w:tcW w:w="2700" w:type="dxa"/>
            <w:tcBorders>
              <w:top w:val="nil"/>
              <w:left w:val="nil"/>
              <w:bottom w:val="nil"/>
              <w:right w:val="nil"/>
            </w:tcBorders>
            <w:shd w:val="clear" w:color="auto" w:fill="auto"/>
            <w:noWrap/>
            <w:vAlign w:val="bottom"/>
            <w:hideMark/>
          </w:tcPr>
          <w:p w14:paraId="502623E0"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Ss / Bs presence</w:t>
            </w:r>
          </w:p>
        </w:tc>
        <w:tc>
          <w:tcPr>
            <w:tcW w:w="720" w:type="dxa"/>
            <w:tcBorders>
              <w:top w:val="nil"/>
              <w:left w:val="nil"/>
              <w:bottom w:val="nil"/>
              <w:right w:val="nil"/>
            </w:tcBorders>
            <w:shd w:val="clear" w:color="auto" w:fill="auto"/>
            <w:noWrap/>
            <w:vAlign w:val="bottom"/>
            <w:hideMark/>
          </w:tcPr>
          <w:p w14:paraId="623B1F84"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9</w:t>
            </w:r>
          </w:p>
        </w:tc>
        <w:tc>
          <w:tcPr>
            <w:tcW w:w="1170" w:type="dxa"/>
            <w:tcBorders>
              <w:top w:val="nil"/>
              <w:left w:val="nil"/>
              <w:bottom w:val="nil"/>
              <w:right w:val="nil"/>
            </w:tcBorders>
            <w:shd w:val="clear" w:color="auto" w:fill="auto"/>
            <w:noWrap/>
            <w:vAlign w:val="bottom"/>
            <w:hideMark/>
          </w:tcPr>
          <w:p w14:paraId="1134EE50"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2248.9</w:t>
            </w:r>
          </w:p>
        </w:tc>
        <w:tc>
          <w:tcPr>
            <w:tcW w:w="1620" w:type="dxa"/>
            <w:tcBorders>
              <w:top w:val="nil"/>
              <w:left w:val="nil"/>
              <w:bottom w:val="nil"/>
              <w:right w:val="nil"/>
            </w:tcBorders>
            <w:shd w:val="clear" w:color="auto" w:fill="auto"/>
            <w:noWrap/>
            <w:vAlign w:val="bottom"/>
            <w:hideMark/>
          </w:tcPr>
          <w:p w14:paraId="36A720FF"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416.3</w:t>
            </w:r>
          </w:p>
        </w:tc>
        <w:tc>
          <w:tcPr>
            <w:tcW w:w="1260" w:type="dxa"/>
            <w:tcBorders>
              <w:top w:val="nil"/>
              <w:left w:val="nil"/>
              <w:bottom w:val="nil"/>
              <w:right w:val="nil"/>
            </w:tcBorders>
            <w:shd w:val="clear" w:color="auto" w:fill="auto"/>
            <w:noWrap/>
            <w:vAlign w:val="bottom"/>
            <w:hideMark/>
          </w:tcPr>
          <w:p w14:paraId="44A99760"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1.3</w:t>
            </w:r>
          </w:p>
        </w:tc>
        <w:tc>
          <w:tcPr>
            <w:tcW w:w="1440" w:type="dxa"/>
            <w:tcBorders>
              <w:top w:val="nil"/>
              <w:left w:val="nil"/>
              <w:bottom w:val="nil"/>
              <w:right w:val="nil"/>
            </w:tcBorders>
            <w:shd w:val="clear" w:color="auto" w:fill="auto"/>
            <w:noWrap/>
            <w:vAlign w:val="bottom"/>
            <w:hideMark/>
          </w:tcPr>
          <w:p w14:paraId="39211551"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2119.2</w:t>
            </w:r>
          </w:p>
        </w:tc>
      </w:tr>
      <w:tr w:rsidR="00425552" w:rsidRPr="006A777A" w14:paraId="23DF5CFC" w14:textId="77777777" w:rsidTr="00F95593">
        <w:trPr>
          <w:trHeight w:val="320"/>
        </w:trPr>
        <w:tc>
          <w:tcPr>
            <w:tcW w:w="2700" w:type="dxa"/>
            <w:tcBorders>
              <w:top w:val="nil"/>
              <w:left w:val="nil"/>
              <w:bottom w:val="nil"/>
              <w:right w:val="nil"/>
            </w:tcBorders>
            <w:shd w:val="clear" w:color="auto" w:fill="auto"/>
            <w:noWrap/>
            <w:vAlign w:val="bottom"/>
            <w:hideMark/>
          </w:tcPr>
          <w:p w14:paraId="1B0E0A0F"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Ss / Hm presence</w:t>
            </w:r>
          </w:p>
        </w:tc>
        <w:tc>
          <w:tcPr>
            <w:tcW w:w="720" w:type="dxa"/>
            <w:tcBorders>
              <w:top w:val="nil"/>
              <w:left w:val="nil"/>
              <w:bottom w:val="nil"/>
              <w:right w:val="nil"/>
            </w:tcBorders>
            <w:shd w:val="clear" w:color="auto" w:fill="auto"/>
            <w:noWrap/>
            <w:vAlign w:val="bottom"/>
            <w:hideMark/>
          </w:tcPr>
          <w:p w14:paraId="04A4A3B1"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27</w:t>
            </w:r>
          </w:p>
        </w:tc>
        <w:tc>
          <w:tcPr>
            <w:tcW w:w="1170" w:type="dxa"/>
            <w:tcBorders>
              <w:top w:val="nil"/>
              <w:left w:val="nil"/>
              <w:bottom w:val="nil"/>
              <w:right w:val="nil"/>
            </w:tcBorders>
            <w:shd w:val="clear" w:color="auto" w:fill="auto"/>
            <w:noWrap/>
            <w:vAlign w:val="bottom"/>
            <w:hideMark/>
          </w:tcPr>
          <w:p w14:paraId="3B28604B"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68.6</w:t>
            </w:r>
          </w:p>
        </w:tc>
        <w:tc>
          <w:tcPr>
            <w:tcW w:w="1620" w:type="dxa"/>
            <w:tcBorders>
              <w:top w:val="nil"/>
              <w:left w:val="nil"/>
              <w:bottom w:val="nil"/>
              <w:right w:val="nil"/>
            </w:tcBorders>
            <w:shd w:val="clear" w:color="auto" w:fill="auto"/>
            <w:noWrap/>
            <w:vAlign w:val="bottom"/>
            <w:hideMark/>
          </w:tcPr>
          <w:p w14:paraId="1702F06B"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70.5</w:t>
            </w:r>
          </w:p>
        </w:tc>
        <w:tc>
          <w:tcPr>
            <w:tcW w:w="1260" w:type="dxa"/>
            <w:tcBorders>
              <w:top w:val="nil"/>
              <w:left w:val="nil"/>
              <w:bottom w:val="nil"/>
              <w:right w:val="nil"/>
            </w:tcBorders>
            <w:shd w:val="clear" w:color="auto" w:fill="auto"/>
            <w:noWrap/>
            <w:vAlign w:val="bottom"/>
            <w:hideMark/>
          </w:tcPr>
          <w:p w14:paraId="66CE042C"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0.5</w:t>
            </w:r>
          </w:p>
        </w:tc>
        <w:tc>
          <w:tcPr>
            <w:tcW w:w="1440" w:type="dxa"/>
            <w:tcBorders>
              <w:top w:val="nil"/>
              <w:left w:val="nil"/>
              <w:bottom w:val="nil"/>
              <w:right w:val="nil"/>
            </w:tcBorders>
            <w:shd w:val="clear" w:color="auto" w:fill="auto"/>
            <w:noWrap/>
            <w:vAlign w:val="bottom"/>
            <w:hideMark/>
          </w:tcPr>
          <w:p w14:paraId="0882FAE2"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2047.9</w:t>
            </w:r>
          </w:p>
        </w:tc>
      </w:tr>
      <w:tr w:rsidR="00425552" w:rsidRPr="006A777A" w14:paraId="59E0FD5A" w14:textId="77777777" w:rsidTr="00F95593">
        <w:trPr>
          <w:trHeight w:val="320"/>
        </w:trPr>
        <w:tc>
          <w:tcPr>
            <w:tcW w:w="2700" w:type="dxa"/>
            <w:tcBorders>
              <w:top w:val="nil"/>
              <w:left w:val="nil"/>
              <w:bottom w:val="nil"/>
              <w:right w:val="nil"/>
            </w:tcBorders>
            <w:shd w:val="clear" w:color="auto" w:fill="auto"/>
            <w:noWrap/>
            <w:vAlign w:val="bottom"/>
            <w:hideMark/>
          </w:tcPr>
          <w:p w14:paraId="4AFF01D1"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Ss / Bs / Hm presence</w:t>
            </w:r>
          </w:p>
        </w:tc>
        <w:tc>
          <w:tcPr>
            <w:tcW w:w="720" w:type="dxa"/>
            <w:tcBorders>
              <w:top w:val="nil"/>
              <w:left w:val="nil"/>
              <w:bottom w:val="nil"/>
              <w:right w:val="nil"/>
            </w:tcBorders>
            <w:shd w:val="clear" w:color="auto" w:fill="auto"/>
            <w:noWrap/>
            <w:vAlign w:val="bottom"/>
            <w:hideMark/>
          </w:tcPr>
          <w:p w14:paraId="33F599B3"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3</w:t>
            </w:r>
          </w:p>
        </w:tc>
        <w:tc>
          <w:tcPr>
            <w:tcW w:w="1170" w:type="dxa"/>
            <w:tcBorders>
              <w:top w:val="nil"/>
              <w:left w:val="nil"/>
              <w:bottom w:val="nil"/>
              <w:right w:val="nil"/>
            </w:tcBorders>
            <w:shd w:val="clear" w:color="auto" w:fill="auto"/>
            <w:noWrap/>
            <w:vAlign w:val="bottom"/>
            <w:hideMark/>
          </w:tcPr>
          <w:p w14:paraId="70163BA5"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337.6</w:t>
            </w:r>
          </w:p>
        </w:tc>
        <w:tc>
          <w:tcPr>
            <w:tcW w:w="1620" w:type="dxa"/>
            <w:tcBorders>
              <w:top w:val="nil"/>
              <w:left w:val="nil"/>
              <w:bottom w:val="nil"/>
              <w:right w:val="nil"/>
            </w:tcBorders>
            <w:shd w:val="clear" w:color="auto" w:fill="auto"/>
            <w:noWrap/>
            <w:vAlign w:val="bottom"/>
            <w:hideMark/>
          </w:tcPr>
          <w:p w14:paraId="1FFB1E0E"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171.4</w:t>
            </w:r>
          </w:p>
        </w:tc>
        <w:tc>
          <w:tcPr>
            <w:tcW w:w="1260" w:type="dxa"/>
            <w:tcBorders>
              <w:top w:val="nil"/>
              <w:left w:val="nil"/>
              <w:bottom w:val="nil"/>
              <w:right w:val="nil"/>
            </w:tcBorders>
            <w:shd w:val="clear" w:color="auto" w:fill="auto"/>
            <w:noWrap/>
            <w:vAlign w:val="bottom"/>
            <w:hideMark/>
          </w:tcPr>
          <w:p w14:paraId="7FBCD553"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0.6</w:t>
            </w:r>
          </w:p>
        </w:tc>
        <w:tc>
          <w:tcPr>
            <w:tcW w:w="1440" w:type="dxa"/>
            <w:tcBorders>
              <w:top w:val="nil"/>
              <w:left w:val="nil"/>
              <w:bottom w:val="nil"/>
              <w:right w:val="nil"/>
            </w:tcBorders>
            <w:shd w:val="clear" w:color="auto" w:fill="auto"/>
            <w:noWrap/>
            <w:vAlign w:val="bottom"/>
            <w:hideMark/>
          </w:tcPr>
          <w:p w14:paraId="0A50D3FB" w14:textId="77777777" w:rsidR="00425552" w:rsidRPr="006A777A" w:rsidRDefault="00425552" w:rsidP="00F95593">
            <w:pPr>
              <w:rPr>
                <w:rFonts w:ascii="Arial" w:eastAsia="Arial" w:hAnsi="Arial" w:cs="Arial"/>
                <w:sz w:val="22"/>
                <w:szCs w:val="22"/>
              </w:rPr>
            </w:pPr>
            <w:r w:rsidRPr="006A777A">
              <w:rPr>
                <w:rFonts w:ascii="Arial" w:eastAsia="Arial" w:hAnsi="Arial" w:cs="Arial"/>
                <w:sz w:val="22"/>
                <w:szCs w:val="22"/>
              </w:rPr>
              <w:t>2023.3</w:t>
            </w:r>
          </w:p>
        </w:tc>
      </w:tr>
    </w:tbl>
    <w:p w14:paraId="2764563D" w14:textId="77777777" w:rsidR="00425552" w:rsidRDefault="00425552" w:rsidP="00425552">
      <w:pPr>
        <w:rPr>
          <w:rFonts w:ascii="Arial" w:eastAsia="Arial" w:hAnsi="Arial" w:cs="Arial"/>
          <w:sz w:val="22"/>
          <w:szCs w:val="22"/>
        </w:rPr>
      </w:pPr>
    </w:p>
    <w:p w14:paraId="4F4D3541" w14:textId="77777777" w:rsidR="00425552" w:rsidRPr="006A777A" w:rsidRDefault="00425552" w:rsidP="00425552">
      <w:pPr>
        <w:rPr>
          <w:rFonts w:ascii="Arial" w:eastAsia="Arial" w:hAnsi="Arial" w:cs="Arial"/>
          <w:sz w:val="22"/>
          <w:szCs w:val="22"/>
        </w:rPr>
      </w:pPr>
      <w:r w:rsidRPr="006A777A">
        <w:rPr>
          <w:rFonts w:ascii="Arial" w:eastAsia="Arial" w:hAnsi="Arial" w:cs="Arial"/>
          <w:b/>
          <w:bCs/>
          <w:sz w:val="22"/>
          <w:szCs w:val="22"/>
        </w:rPr>
        <w:t xml:space="preserve">Table S9.  Characteristics of ponds for the amphibian field system.  </w:t>
      </w:r>
      <w:r>
        <w:rPr>
          <w:rFonts w:ascii="Arial" w:eastAsia="Arial" w:hAnsi="Arial" w:cs="Arial"/>
          <w:sz w:val="22"/>
          <w:szCs w:val="22"/>
        </w:rPr>
        <w:t xml:space="preserve">Shown is summary information on amphibian assemblages in a network of 242 ponds in Central Spain, which provided a basis for our experimental communities.  </w:t>
      </w:r>
    </w:p>
    <w:p w14:paraId="6000E94F" w14:textId="77777777" w:rsidR="00425552" w:rsidRDefault="00425552" w:rsidP="00425552">
      <w:pPr>
        <w:rPr>
          <w:rFonts w:ascii="Arial" w:eastAsia="Arial" w:hAnsi="Arial" w:cs="Arial"/>
          <w:sz w:val="22"/>
          <w:szCs w:val="22"/>
        </w:rPr>
      </w:pPr>
    </w:p>
    <w:p w14:paraId="1E036EB7" w14:textId="77777777" w:rsidR="00425552" w:rsidRDefault="00425552" w:rsidP="00425552">
      <w:pPr>
        <w:rPr>
          <w:rFonts w:ascii="Arial" w:eastAsia="Arial" w:hAnsi="Arial" w:cs="Arial"/>
          <w:sz w:val="22"/>
          <w:szCs w:val="22"/>
        </w:rPr>
      </w:pPr>
      <w:r>
        <w:rPr>
          <w:rFonts w:ascii="Arial" w:eastAsia="Arial" w:hAnsi="Arial" w:cs="Arial"/>
          <w:sz w:val="22"/>
          <w:szCs w:val="22"/>
        </w:rPr>
        <w:t xml:space="preserve">  </w:t>
      </w:r>
    </w:p>
    <w:p w14:paraId="04BB355B" w14:textId="77777777" w:rsidR="00425552" w:rsidRDefault="00425552" w:rsidP="00425552">
      <w:pPr>
        <w:rPr>
          <w:rFonts w:ascii="Arial" w:eastAsia="Arial" w:hAnsi="Arial" w:cs="Arial"/>
          <w:b/>
          <w:sz w:val="22"/>
          <w:szCs w:val="22"/>
        </w:rPr>
      </w:pPr>
    </w:p>
    <w:p w14:paraId="1CFA937E" w14:textId="77777777" w:rsidR="00425552" w:rsidRDefault="00425552" w:rsidP="00425552">
      <w:pPr>
        <w:rPr>
          <w:rFonts w:ascii="Arial" w:eastAsia="Arial" w:hAnsi="Arial" w:cs="Arial"/>
          <w:b/>
          <w:sz w:val="22"/>
          <w:szCs w:val="22"/>
        </w:rPr>
      </w:pPr>
    </w:p>
    <w:p w14:paraId="53F8FB6D" w14:textId="77777777" w:rsidR="00425552" w:rsidRDefault="00425552" w:rsidP="00425552">
      <w:pPr>
        <w:rPr>
          <w:rFonts w:ascii="Arial" w:eastAsia="Arial" w:hAnsi="Arial" w:cs="Arial"/>
          <w:b/>
          <w:sz w:val="22"/>
          <w:szCs w:val="22"/>
        </w:rPr>
      </w:pPr>
    </w:p>
    <w:p w14:paraId="11D25659" w14:textId="77777777" w:rsidR="00425552" w:rsidRDefault="00425552" w:rsidP="00425552">
      <w:pPr>
        <w:rPr>
          <w:rFonts w:ascii="Arial" w:eastAsia="Arial" w:hAnsi="Arial" w:cs="Arial"/>
          <w:b/>
          <w:sz w:val="22"/>
          <w:szCs w:val="22"/>
        </w:rPr>
      </w:pPr>
    </w:p>
    <w:p w14:paraId="4D474E53" w14:textId="77777777" w:rsidR="00425552" w:rsidRPr="0060333F" w:rsidRDefault="00425552" w:rsidP="00425552">
      <w:pPr>
        <w:rPr>
          <w:rFonts w:ascii="Arial" w:eastAsia="Arial" w:hAnsi="Arial" w:cs="Arial"/>
          <w:sz w:val="22"/>
          <w:szCs w:val="22"/>
        </w:rPr>
      </w:pPr>
      <w:r>
        <w:rPr>
          <w:rFonts w:ascii="Arial" w:eastAsia="Arial" w:hAnsi="Arial" w:cs="Arial"/>
          <w:b/>
          <w:sz w:val="22"/>
          <w:szCs w:val="22"/>
        </w:rPr>
        <w:t>References</w:t>
      </w:r>
    </w:p>
    <w:p w14:paraId="4394B69F" w14:textId="77777777" w:rsidR="00425552" w:rsidRDefault="00425552" w:rsidP="00425552">
      <w:pPr>
        <w:ind w:left="-284"/>
        <w:rPr>
          <w:rFonts w:ascii="Arial" w:eastAsia="Arial" w:hAnsi="Arial" w:cs="Arial"/>
          <w:sz w:val="22"/>
          <w:szCs w:val="22"/>
        </w:rPr>
      </w:pPr>
    </w:p>
    <w:p w14:paraId="3B2EBDE4" w14:textId="77777777" w:rsidR="00425552" w:rsidRDefault="00425552" w:rsidP="00425552">
      <w:pPr>
        <w:pStyle w:val="Bibliography"/>
        <w:ind w:left="426" w:hanging="426"/>
        <w:rPr>
          <w:rFonts w:ascii="Arial" w:hAnsi="Arial" w:cs="Arial"/>
          <w:sz w:val="22"/>
        </w:rPr>
      </w:pPr>
      <w:r>
        <w:rPr>
          <w:rFonts w:ascii="Arial" w:eastAsia="Arial" w:hAnsi="Arial" w:cs="Arial"/>
          <w:sz w:val="22"/>
          <w:szCs w:val="22"/>
        </w:rPr>
        <w:fldChar w:fldCharType="begin"/>
      </w:r>
      <w:r>
        <w:rPr>
          <w:rFonts w:ascii="Arial" w:eastAsia="Arial" w:hAnsi="Arial" w:cs="Arial"/>
          <w:sz w:val="22"/>
          <w:szCs w:val="22"/>
        </w:rPr>
        <w:instrText xml:space="preserve"> ADDIN ZOTERO_BIBL {"uncited":[],"omitted":[],"custom":[]} CSL_BIBLIOGRAPHY </w:instrText>
      </w:r>
      <w:r>
        <w:rPr>
          <w:rFonts w:ascii="Arial" w:eastAsia="Arial" w:hAnsi="Arial" w:cs="Arial"/>
          <w:sz w:val="22"/>
          <w:szCs w:val="22"/>
        </w:rPr>
        <w:fldChar w:fldCharType="separate"/>
      </w:r>
      <w:r w:rsidRPr="005056E3">
        <w:rPr>
          <w:rFonts w:ascii="Arial" w:hAnsi="Arial" w:cs="Arial"/>
          <w:sz w:val="22"/>
        </w:rPr>
        <w:t>Arnold, T. W. 2010. Uninformative parameters and model selection using Akaike’s information criterion. Journal of Wildlife Management 74:1175–1178.</w:t>
      </w:r>
    </w:p>
    <w:p w14:paraId="0B379C4A" w14:textId="77777777" w:rsidR="00425552" w:rsidRPr="00E01CCF" w:rsidRDefault="00425552" w:rsidP="00425552"/>
    <w:p w14:paraId="6F7368CB" w14:textId="77777777" w:rsidR="00425552" w:rsidRDefault="00425552" w:rsidP="00425552">
      <w:pPr>
        <w:pStyle w:val="Bibliography"/>
        <w:ind w:left="426" w:hanging="426"/>
        <w:rPr>
          <w:rFonts w:ascii="Arial" w:hAnsi="Arial" w:cs="Arial"/>
          <w:sz w:val="22"/>
        </w:rPr>
      </w:pPr>
      <w:proofErr w:type="spellStart"/>
      <w:r w:rsidRPr="005056E3">
        <w:rPr>
          <w:rFonts w:ascii="Arial" w:hAnsi="Arial" w:cs="Arial"/>
          <w:sz w:val="22"/>
        </w:rPr>
        <w:t>Bartoń</w:t>
      </w:r>
      <w:proofErr w:type="spellEnd"/>
      <w:r w:rsidRPr="005056E3">
        <w:rPr>
          <w:rFonts w:ascii="Arial" w:hAnsi="Arial" w:cs="Arial"/>
          <w:sz w:val="22"/>
        </w:rPr>
        <w:t xml:space="preserve">, K. 2019. </w:t>
      </w:r>
      <w:proofErr w:type="spellStart"/>
      <w:r w:rsidRPr="005056E3">
        <w:rPr>
          <w:rFonts w:ascii="Arial" w:hAnsi="Arial" w:cs="Arial"/>
          <w:sz w:val="22"/>
        </w:rPr>
        <w:t>MuMIn</w:t>
      </w:r>
      <w:proofErr w:type="spellEnd"/>
      <w:r w:rsidRPr="005056E3">
        <w:rPr>
          <w:rFonts w:ascii="Arial" w:hAnsi="Arial" w:cs="Arial"/>
          <w:sz w:val="22"/>
        </w:rPr>
        <w:t>: Multi-Model Inference.</w:t>
      </w:r>
    </w:p>
    <w:p w14:paraId="39883081" w14:textId="77777777" w:rsidR="00425552" w:rsidRPr="00E01CCF" w:rsidRDefault="00425552" w:rsidP="00425552"/>
    <w:p w14:paraId="38B988F9" w14:textId="77777777" w:rsidR="00425552" w:rsidRDefault="00425552" w:rsidP="00425552">
      <w:pPr>
        <w:pStyle w:val="Bibliography"/>
        <w:ind w:left="426" w:hanging="426"/>
        <w:rPr>
          <w:rFonts w:ascii="Arial" w:hAnsi="Arial" w:cs="Arial"/>
          <w:sz w:val="22"/>
        </w:rPr>
      </w:pPr>
      <w:r w:rsidRPr="005056E3">
        <w:rPr>
          <w:rFonts w:ascii="Arial" w:hAnsi="Arial" w:cs="Arial"/>
          <w:sz w:val="22"/>
        </w:rPr>
        <w:t>Bosch, J., S. Fernández-</w:t>
      </w:r>
      <w:proofErr w:type="spellStart"/>
      <w:r w:rsidRPr="005056E3">
        <w:rPr>
          <w:rFonts w:ascii="Arial" w:hAnsi="Arial" w:cs="Arial"/>
          <w:sz w:val="22"/>
        </w:rPr>
        <w:t>Beaskoetxea</w:t>
      </w:r>
      <w:proofErr w:type="spellEnd"/>
      <w:r w:rsidRPr="005056E3">
        <w:rPr>
          <w:rFonts w:ascii="Arial" w:hAnsi="Arial" w:cs="Arial"/>
          <w:sz w:val="22"/>
        </w:rPr>
        <w:t xml:space="preserve">, T. W. J. Garner, and L. M. </w:t>
      </w:r>
      <w:proofErr w:type="spellStart"/>
      <w:r w:rsidRPr="005056E3">
        <w:rPr>
          <w:rFonts w:ascii="Arial" w:hAnsi="Arial" w:cs="Arial"/>
          <w:sz w:val="22"/>
        </w:rPr>
        <w:t>Carrascal</w:t>
      </w:r>
      <w:proofErr w:type="spellEnd"/>
      <w:r w:rsidRPr="005056E3">
        <w:rPr>
          <w:rFonts w:ascii="Arial" w:hAnsi="Arial" w:cs="Arial"/>
          <w:sz w:val="22"/>
        </w:rPr>
        <w:t>. 2018. Long-term monitoring of an amphibian community after a climate change- and infectious disease-driven species extirpation. Global Change Biology 24:2622–2632.</w:t>
      </w:r>
    </w:p>
    <w:p w14:paraId="40C89691" w14:textId="77777777" w:rsidR="00425552" w:rsidRPr="00E01CCF" w:rsidRDefault="00425552" w:rsidP="00425552"/>
    <w:p w14:paraId="6A4517E8" w14:textId="77777777" w:rsidR="00425552" w:rsidRDefault="00425552" w:rsidP="00425552">
      <w:pPr>
        <w:pStyle w:val="Bibliography"/>
        <w:ind w:left="426" w:hanging="426"/>
        <w:rPr>
          <w:rFonts w:ascii="Arial" w:hAnsi="Arial" w:cs="Arial"/>
          <w:sz w:val="22"/>
        </w:rPr>
      </w:pPr>
      <w:r w:rsidRPr="005056E3">
        <w:rPr>
          <w:rFonts w:ascii="Arial" w:hAnsi="Arial" w:cs="Arial"/>
          <w:sz w:val="22"/>
        </w:rPr>
        <w:t xml:space="preserve">Burnham, K. P., and D. R. Anderson. 2002. Model selection and </w:t>
      </w:r>
      <w:proofErr w:type="spellStart"/>
      <w:r w:rsidRPr="005056E3">
        <w:rPr>
          <w:rFonts w:ascii="Arial" w:hAnsi="Arial" w:cs="Arial"/>
          <w:sz w:val="22"/>
        </w:rPr>
        <w:t>multimodel</w:t>
      </w:r>
      <w:proofErr w:type="spellEnd"/>
      <w:r w:rsidRPr="005056E3">
        <w:rPr>
          <w:rFonts w:ascii="Arial" w:hAnsi="Arial" w:cs="Arial"/>
          <w:sz w:val="22"/>
        </w:rPr>
        <w:t xml:space="preserve"> inference: a practical information-theoretic approach. Springer, New York, NY.</w:t>
      </w:r>
    </w:p>
    <w:p w14:paraId="77B31A4F" w14:textId="77777777" w:rsidR="00425552" w:rsidRPr="00E01CCF" w:rsidRDefault="00425552" w:rsidP="00425552"/>
    <w:p w14:paraId="2D0552A5" w14:textId="77777777" w:rsidR="00425552" w:rsidRDefault="00425552" w:rsidP="00425552">
      <w:pPr>
        <w:pStyle w:val="Bibliography"/>
        <w:ind w:left="426" w:hanging="426"/>
        <w:rPr>
          <w:rFonts w:ascii="Arial" w:hAnsi="Arial" w:cs="Arial"/>
          <w:sz w:val="22"/>
        </w:rPr>
      </w:pPr>
      <w:proofErr w:type="spellStart"/>
      <w:r w:rsidRPr="005056E3">
        <w:rPr>
          <w:rFonts w:ascii="Arial" w:hAnsi="Arial" w:cs="Arial"/>
          <w:sz w:val="22"/>
        </w:rPr>
        <w:t>Lefcheck</w:t>
      </w:r>
      <w:proofErr w:type="spellEnd"/>
      <w:r w:rsidRPr="005056E3">
        <w:rPr>
          <w:rFonts w:ascii="Arial" w:hAnsi="Arial" w:cs="Arial"/>
          <w:sz w:val="22"/>
        </w:rPr>
        <w:t xml:space="preserve">, J. S. 2016. </w:t>
      </w:r>
      <w:proofErr w:type="spellStart"/>
      <w:proofErr w:type="gramStart"/>
      <w:r w:rsidRPr="005056E3">
        <w:rPr>
          <w:rFonts w:ascii="Arial" w:hAnsi="Arial" w:cs="Arial"/>
          <w:smallCaps/>
          <w:sz w:val="22"/>
        </w:rPr>
        <w:t>piecewiseSEM</w:t>
      </w:r>
      <w:proofErr w:type="spellEnd"/>
      <w:r w:rsidRPr="005056E3">
        <w:rPr>
          <w:rFonts w:ascii="Arial" w:hAnsi="Arial" w:cs="Arial"/>
          <w:sz w:val="22"/>
        </w:rPr>
        <w:t> :</w:t>
      </w:r>
      <w:proofErr w:type="gramEnd"/>
      <w:r w:rsidRPr="005056E3">
        <w:rPr>
          <w:rFonts w:ascii="Arial" w:hAnsi="Arial" w:cs="Arial"/>
          <w:sz w:val="22"/>
        </w:rPr>
        <w:t xml:space="preserve"> Piecewise structural equation modelling in </w:t>
      </w:r>
      <w:r w:rsidRPr="005056E3">
        <w:rPr>
          <w:rFonts w:ascii="Arial" w:hAnsi="Arial" w:cs="Arial"/>
          <w:smallCaps/>
          <w:sz w:val="22"/>
        </w:rPr>
        <w:t>r</w:t>
      </w:r>
      <w:r w:rsidRPr="005056E3">
        <w:rPr>
          <w:rFonts w:ascii="Arial" w:hAnsi="Arial" w:cs="Arial"/>
          <w:sz w:val="22"/>
        </w:rPr>
        <w:t xml:space="preserve"> for ecology, evolution, and systematics. (R. </w:t>
      </w:r>
      <w:proofErr w:type="spellStart"/>
      <w:r w:rsidRPr="005056E3">
        <w:rPr>
          <w:rFonts w:ascii="Arial" w:hAnsi="Arial" w:cs="Arial"/>
          <w:sz w:val="22"/>
        </w:rPr>
        <w:t>Freckleton</w:t>
      </w:r>
      <w:proofErr w:type="spellEnd"/>
      <w:r w:rsidRPr="005056E3">
        <w:rPr>
          <w:rFonts w:ascii="Arial" w:hAnsi="Arial" w:cs="Arial"/>
          <w:sz w:val="22"/>
        </w:rPr>
        <w:t xml:space="preserve">, </w:t>
      </w:r>
      <w:proofErr w:type="gramStart"/>
      <w:r w:rsidRPr="005056E3">
        <w:rPr>
          <w:rFonts w:ascii="Arial" w:hAnsi="Arial" w:cs="Arial"/>
          <w:sz w:val="22"/>
        </w:rPr>
        <w:t>ed.)Methods</w:t>
      </w:r>
      <w:proofErr w:type="gramEnd"/>
      <w:r w:rsidRPr="005056E3">
        <w:rPr>
          <w:rFonts w:ascii="Arial" w:hAnsi="Arial" w:cs="Arial"/>
          <w:sz w:val="22"/>
        </w:rPr>
        <w:t xml:space="preserve"> in Ecology and Evolution 7:573–579.</w:t>
      </w:r>
    </w:p>
    <w:p w14:paraId="404046DA" w14:textId="77777777" w:rsidR="00425552" w:rsidRPr="00E01CCF" w:rsidRDefault="00425552" w:rsidP="00425552"/>
    <w:p w14:paraId="7CEAFAE6" w14:textId="77777777" w:rsidR="00425552" w:rsidRDefault="00425552" w:rsidP="00425552">
      <w:pPr>
        <w:pStyle w:val="Bibliography"/>
        <w:ind w:left="426" w:hanging="426"/>
        <w:rPr>
          <w:rFonts w:ascii="Arial" w:hAnsi="Arial" w:cs="Arial"/>
          <w:sz w:val="22"/>
        </w:rPr>
      </w:pPr>
      <w:r w:rsidRPr="005056E3">
        <w:rPr>
          <w:rFonts w:ascii="Arial" w:hAnsi="Arial" w:cs="Arial"/>
          <w:sz w:val="22"/>
        </w:rPr>
        <w:t>R Core Team. 2019. R: A language and environment for statistical computing. R Foundation for Statistical Computing, Vienna, Austria.</w:t>
      </w:r>
    </w:p>
    <w:p w14:paraId="5DA8445C" w14:textId="77777777" w:rsidR="00425552" w:rsidRPr="00E01CCF" w:rsidRDefault="00425552" w:rsidP="00425552"/>
    <w:p w14:paraId="1B53728A" w14:textId="77777777" w:rsidR="00425552" w:rsidRDefault="00425552" w:rsidP="00425552">
      <w:pPr>
        <w:pStyle w:val="Bibliography"/>
        <w:ind w:left="426" w:hanging="426"/>
        <w:rPr>
          <w:rFonts w:ascii="Arial" w:hAnsi="Arial" w:cs="Arial"/>
          <w:sz w:val="22"/>
        </w:rPr>
      </w:pPr>
      <w:proofErr w:type="spellStart"/>
      <w:r w:rsidRPr="005056E3">
        <w:rPr>
          <w:rFonts w:ascii="Arial" w:hAnsi="Arial" w:cs="Arial"/>
          <w:sz w:val="22"/>
        </w:rPr>
        <w:t>Therneau</w:t>
      </w:r>
      <w:proofErr w:type="spellEnd"/>
      <w:r w:rsidRPr="005056E3">
        <w:rPr>
          <w:rFonts w:ascii="Arial" w:hAnsi="Arial" w:cs="Arial"/>
          <w:sz w:val="22"/>
        </w:rPr>
        <w:t>, T. M. 2015. A Package for Survival Analysis in R.</w:t>
      </w:r>
    </w:p>
    <w:p w14:paraId="6B5DC7EF" w14:textId="77777777" w:rsidR="00425552" w:rsidRPr="00E01CCF" w:rsidRDefault="00425552" w:rsidP="00425552"/>
    <w:p w14:paraId="07CC17AF" w14:textId="77777777" w:rsidR="00425552" w:rsidRPr="005056E3" w:rsidRDefault="00425552" w:rsidP="00425552">
      <w:pPr>
        <w:pStyle w:val="Bibliography"/>
        <w:ind w:left="426" w:hanging="426"/>
        <w:rPr>
          <w:rFonts w:ascii="Arial" w:hAnsi="Arial" w:cs="Arial"/>
          <w:sz w:val="22"/>
        </w:rPr>
      </w:pPr>
      <w:proofErr w:type="spellStart"/>
      <w:r w:rsidRPr="005056E3">
        <w:rPr>
          <w:rFonts w:ascii="Arial" w:hAnsi="Arial" w:cs="Arial"/>
          <w:sz w:val="22"/>
        </w:rPr>
        <w:t>Therneau</w:t>
      </w:r>
      <w:proofErr w:type="spellEnd"/>
      <w:r w:rsidRPr="005056E3">
        <w:rPr>
          <w:rFonts w:ascii="Arial" w:hAnsi="Arial" w:cs="Arial"/>
          <w:sz w:val="22"/>
        </w:rPr>
        <w:t xml:space="preserve">, T., and G. Patricia. 2015. </w:t>
      </w:r>
      <w:proofErr w:type="spellStart"/>
      <w:r w:rsidRPr="005056E3">
        <w:rPr>
          <w:rFonts w:ascii="Arial" w:hAnsi="Arial" w:cs="Arial"/>
          <w:sz w:val="22"/>
        </w:rPr>
        <w:t>Modeling</w:t>
      </w:r>
      <w:proofErr w:type="spellEnd"/>
      <w:r w:rsidRPr="005056E3">
        <w:rPr>
          <w:rFonts w:ascii="Arial" w:hAnsi="Arial" w:cs="Arial"/>
          <w:sz w:val="22"/>
        </w:rPr>
        <w:t xml:space="preserve"> Survival Data: Extending the Cox Model. Springer, New York.</w:t>
      </w:r>
    </w:p>
    <w:p w14:paraId="3BB551CB" w14:textId="77777777" w:rsidR="00425552" w:rsidRDefault="00425552" w:rsidP="00425552">
      <w:pPr>
        <w:ind w:left="426" w:hanging="426"/>
        <w:rPr>
          <w:rFonts w:ascii="Arial" w:eastAsia="Arial" w:hAnsi="Arial" w:cs="Arial"/>
          <w:sz w:val="22"/>
          <w:szCs w:val="22"/>
        </w:rPr>
      </w:pPr>
      <w:r>
        <w:rPr>
          <w:rFonts w:ascii="Arial" w:eastAsia="Arial" w:hAnsi="Arial" w:cs="Arial"/>
          <w:sz w:val="22"/>
          <w:szCs w:val="22"/>
        </w:rPr>
        <w:fldChar w:fldCharType="end"/>
      </w:r>
    </w:p>
    <w:p w14:paraId="3E816F57" w14:textId="77777777" w:rsidR="00425552" w:rsidRDefault="00425552" w:rsidP="00E85A01">
      <w:pPr>
        <w:rPr>
          <w:rFonts w:ascii="Arial" w:eastAsia="Arial" w:hAnsi="Arial" w:cs="Arial"/>
          <w:sz w:val="22"/>
          <w:szCs w:val="22"/>
        </w:rPr>
      </w:pPr>
    </w:p>
    <w:sectPr w:rsidR="00425552" w:rsidSect="00513197">
      <w:headerReference w:type="even" r:id="rId26"/>
      <w:headerReference w:type="default" r:id="rId27"/>
      <w:footerReference w:type="even" r:id="rId28"/>
      <w:footerReference w:type="default" r:id="rId29"/>
      <w:headerReference w:type="first" r:id="rId30"/>
      <w:footerReference w:type="first" r:id="rId31"/>
      <w:type w:val="continuous"/>
      <w:pgSz w:w="11900" w:h="16840"/>
      <w:pgMar w:top="1106" w:right="1412" w:bottom="425" w:left="179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982A" w14:textId="77777777" w:rsidR="004049D4" w:rsidRDefault="004049D4">
      <w:r>
        <w:separator/>
      </w:r>
    </w:p>
  </w:endnote>
  <w:endnote w:type="continuationSeparator" w:id="0">
    <w:p w14:paraId="1EC7A660" w14:textId="77777777" w:rsidR="004049D4" w:rsidRDefault="00404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E701" w14:textId="77777777" w:rsidR="00CC5D21" w:rsidRDefault="00CC5D2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6E06DA57" w14:textId="77777777" w:rsidR="00CC5D21" w:rsidRDefault="00CC5D2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8B60" w14:textId="77777777" w:rsidR="00CC5D21" w:rsidRDefault="00CC5D21">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9DCD5DD" w14:textId="77777777" w:rsidR="00CC5D21" w:rsidRDefault="00CC5D21">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CBE1" w14:textId="77777777" w:rsidR="00CC5D21" w:rsidRDefault="00CC5D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9AD68" w14:textId="77777777" w:rsidR="004049D4" w:rsidRDefault="004049D4">
      <w:r>
        <w:separator/>
      </w:r>
    </w:p>
  </w:footnote>
  <w:footnote w:type="continuationSeparator" w:id="0">
    <w:p w14:paraId="673F9038" w14:textId="77777777" w:rsidR="004049D4" w:rsidRDefault="00404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2315" w14:textId="77777777" w:rsidR="00CC5D21" w:rsidRDefault="00CC5D2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68AD" w14:textId="77777777" w:rsidR="00CC5D21" w:rsidRDefault="00CC5D21">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6666" w14:textId="77777777" w:rsidR="00CC5D21" w:rsidRDefault="00CC5D2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4B99"/>
    <w:multiLevelType w:val="multilevel"/>
    <w:tmpl w:val="CE80BA18"/>
    <w:lvl w:ilvl="0">
      <w:start w:val="2"/>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A9022C"/>
    <w:multiLevelType w:val="multilevel"/>
    <w:tmpl w:val="11EAB1C0"/>
    <w:lvl w:ilvl="0">
      <w:start w:val="2"/>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15:restartNumberingAfterBreak="0">
    <w:nsid w:val="60531C4A"/>
    <w:multiLevelType w:val="multilevel"/>
    <w:tmpl w:val="F5FEA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210144"/>
    <w:multiLevelType w:val="multilevel"/>
    <w:tmpl w:val="7688BB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F925F7C"/>
    <w:multiLevelType w:val="multilevel"/>
    <w:tmpl w:val="E6C0EEA0"/>
    <w:lvl w:ilvl="0">
      <w:start w:val="2"/>
      <w:numFmt w:val="lowerLetter"/>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774626">
    <w:abstractNumId w:val="3"/>
  </w:num>
  <w:num w:numId="2" w16cid:durableId="2122912087">
    <w:abstractNumId w:val="0"/>
  </w:num>
  <w:num w:numId="3" w16cid:durableId="987129140">
    <w:abstractNumId w:val="1"/>
  </w:num>
  <w:num w:numId="4" w16cid:durableId="899513375">
    <w:abstractNumId w:val="2"/>
  </w:num>
  <w:num w:numId="5" w16cid:durableId="1113941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D8E"/>
    <w:rsid w:val="000003F2"/>
    <w:rsid w:val="00000A0B"/>
    <w:rsid w:val="000063F5"/>
    <w:rsid w:val="00023770"/>
    <w:rsid w:val="000240DB"/>
    <w:rsid w:val="000248B7"/>
    <w:rsid w:val="00025DCA"/>
    <w:rsid w:val="00033483"/>
    <w:rsid w:val="00037D89"/>
    <w:rsid w:val="00050606"/>
    <w:rsid w:val="000548D5"/>
    <w:rsid w:val="00060962"/>
    <w:rsid w:val="00072FE4"/>
    <w:rsid w:val="000863C8"/>
    <w:rsid w:val="00087CE0"/>
    <w:rsid w:val="00094996"/>
    <w:rsid w:val="000B0FBA"/>
    <w:rsid w:val="000B2522"/>
    <w:rsid w:val="000B5246"/>
    <w:rsid w:val="000E038D"/>
    <w:rsid w:val="001029F3"/>
    <w:rsid w:val="001174DC"/>
    <w:rsid w:val="00117A31"/>
    <w:rsid w:val="00124793"/>
    <w:rsid w:val="00140473"/>
    <w:rsid w:val="00147009"/>
    <w:rsid w:val="00155321"/>
    <w:rsid w:val="0018088F"/>
    <w:rsid w:val="00182D04"/>
    <w:rsid w:val="00182F8E"/>
    <w:rsid w:val="00191FC4"/>
    <w:rsid w:val="001A0090"/>
    <w:rsid w:val="001B3CBA"/>
    <w:rsid w:val="001B7919"/>
    <w:rsid w:val="001C1FFF"/>
    <w:rsid w:val="001C3658"/>
    <w:rsid w:val="001E0379"/>
    <w:rsid w:val="001F0860"/>
    <w:rsid w:val="001F78CF"/>
    <w:rsid w:val="0020015C"/>
    <w:rsid w:val="00205B63"/>
    <w:rsid w:val="00216486"/>
    <w:rsid w:val="0021706B"/>
    <w:rsid w:val="0023531A"/>
    <w:rsid w:val="00236669"/>
    <w:rsid w:val="00240277"/>
    <w:rsid w:val="00252F67"/>
    <w:rsid w:val="00255E92"/>
    <w:rsid w:val="00261419"/>
    <w:rsid w:val="00271EF9"/>
    <w:rsid w:val="00274A8E"/>
    <w:rsid w:val="00274B26"/>
    <w:rsid w:val="00275BFF"/>
    <w:rsid w:val="00283588"/>
    <w:rsid w:val="00285444"/>
    <w:rsid w:val="002854F1"/>
    <w:rsid w:val="002A0FF6"/>
    <w:rsid w:val="002B073B"/>
    <w:rsid w:val="002B7C0C"/>
    <w:rsid w:val="002B7E35"/>
    <w:rsid w:val="002C06A7"/>
    <w:rsid w:val="002E05DF"/>
    <w:rsid w:val="002E426E"/>
    <w:rsid w:val="002E61CF"/>
    <w:rsid w:val="002F3A07"/>
    <w:rsid w:val="002F6324"/>
    <w:rsid w:val="00301C77"/>
    <w:rsid w:val="0032673F"/>
    <w:rsid w:val="00327689"/>
    <w:rsid w:val="003410CF"/>
    <w:rsid w:val="00344C97"/>
    <w:rsid w:val="0036666A"/>
    <w:rsid w:val="003742BD"/>
    <w:rsid w:val="003822DA"/>
    <w:rsid w:val="00382CC4"/>
    <w:rsid w:val="00390778"/>
    <w:rsid w:val="003A445D"/>
    <w:rsid w:val="003A5D55"/>
    <w:rsid w:val="003A62BD"/>
    <w:rsid w:val="003C01E9"/>
    <w:rsid w:val="003C27DF"/>
    <w:rsid w:val="003D02C5"/>
    <w:rsid w:val="003D79F5"/>
    <w:rsid w:val="003D7E41"/>
    <w:rsid w:val="003E30E3"/>
    <w:rsid w:val="003E3D78"/>
    <w:rsid w:val="003F2B44"/>
    <w:rsid w:val="003F3AE6"/>
    <w:rsid w:val="00402DD0"/>
    <w:rsid w:val="004049D4"/>
    <w:rsid w:val="00414E0C"/>
    <w:rsid w:val="00415915"/>
    <w:rsid w:val="00417BBC"/>
    <w:rsid w:val="00425552"/>
    <w:rsid w:val="00436964"/>
    <w:rsid w:val="0046125B"/>
    <w:rsid w:val="0048313A"/>
    <w:rsid w:val="004A0118"/>
    <w:rsid w:val="004A09A9"/>
    <w:rsid w:val="004A17E3"/>
    <w:rsid w:val="004C6339"/>
    <w:rsid w:val="004C6F40"/>
    <w:rsid w:val="004D3E38"/>
    <w:rsid w:val="004D6803"/>
    <w:rsid w:val="004F0948"/>
    <w:rsid w:val="00505BDC"/>
    <w:rsid w:val="005067B4"/>
    <w:rsid w:val="00513197"/>
    <w:rsid w:val="00542527"/>
    <w:rsid w:val="00570E0B"/>
    <w:rsid w:val="005752B0"/>
    <w:rsid w:val="00576B78"/>
    <w:rsid w:val="00585D91"/>
    <w:rsid w:val="005A2E65"/>
    <w:rsid w:val="005B3DA1"/>
    <w:rsid w:val="005B6CFD"/>
    <w:rsid w:val="005D447A"/>
    <w:rsid w:val="005F1F00"/>
    <w:rsid w:val="00604FD8"/>
    <w:rsid w:val="00610B94"/>
    <w:rsid w:val="00614161"/>
    <w:rsid w:val="00625C53"/>
    <w:rsid w:val="00626728"/>
    <w:rsid w:val="00627D73"/>
    <w:rsid w:val="00635B08"/>
    <w:rsid w:val="00641AE5"/>
    <w:rsid w:val="00646835"/>
    <w:rsid w:val="00657126"/>
    <w:rsid w:val="0066764D"/>
    <w:rsid w:val="0067243E"/>
    <w:rsid w:val="00676D7E"/>
    <w:rsid w:val="00686926"/>
    <w:rsid w:val="00692D69"/>
    <w:rsid w:val="00694F64"/>
    <w:rsid w:val="0069539D"/>
    <w:rsid w:val="00696C68"/>
    <w:rsid w:val="006A3BEE"/>
    <w:rsid w:val="006A7303"/>
    <w:rsid w:val="006B6376"/>
    <w:rsid w:val="006C1E86"/>
    <w:rsid w:val="006C2995"/>
    <w:rsid w:val="006E33FA"/>
    <w:rsid w:val="006F73D4"/>
    <w:rsid w:val="00704F94"/>
    <w:rsid w:val="0071066C"/>
    <w:rsid w:val="00710B79"/>
    <w:rsid w:val="007227B4"/>
    <w:rsid w:val="00722E03"/>
    <w:rsid w:val="00723FB1"/>
    <w:rsid w:val="00751A2C"/>
    <w:rsid w:val="00752B31"/>
    <w:rsid w:val="0076290F"/>
    <w:rsid w:val="0079333A"/>
    <w:rsid w:val="007B0D74"/>
    <w:rsid w:val="007B4DB1"/>
    <w:rsid w:val="007C1BBA"/>
    <w:rsid w:val="007C7D49"/>
    <w:rsid w:val="007D23BD"/>
    <w:rsid w:val="007F00C0"/>
    <w:rsid w:val="00801555"/>
    <w:rsid w:val="00801A58"/>
    <w:rsid w:val="0080234C"/>
    <w:rsid w:val="008045C1"/>
    <w:rsid w:val="008071F0"/>
    <w:rsid w:val="00816484"/>
    <w:rsid w:val="00823AB5"/>
    <w:rsid w:val="00830475"/>
    <w:rsid w:val="008347CF"/>
    <w:rsid w:val="0086605E"/>
    <w:rsid w:val="00875BF7"/>
    <w:rsid w:val="00881A0C"/>
    <w:rsid w:val="008B3B30"/>
    <w:rsid w:val="008B3C54"/>
    <w:rsid w:val="008B492F"/>
    <w:rsid w:val="008C5B69"/>
    <w:rsid w:val="008C641A"/>
    <w:rsid w:val="008C6543"/>
    <w:rsid w:val="008D2A9F"/>
    <w:rsid w:val="008D412D"/>
    <w:rsid w:val="008F6992"/>
    <w:rsid w:val="00937A56"/>
    <w:rsid w:val="00937D0C"/>
    <w:rsid w:val="0094385E"/>
    <w:rsid w:val="00961E50"/>
    <w:rsid w:val="009667B6"/>
    <w:rsid w:val="00971825"/>
    <w:rsid w:val="0099452F"/>
    <w:rsid w:val="009A0675"/>
    <w:rsid w:val="009C7244"/>
    <w:rsid w:val="009D13C5"/>
    <w:rsid w:val="009D6473"/>
    <w:rsid w:val="009E3688"/>
    <w:rsid w:val="009F46FE"/>
    <w:rsid w:val="00A05B19"/>
    <w:rsid w:val="00A12BB7"/>
    <w:rsid w:val="00A209D6"/>
    <w:rsid w:val="00A2363B"/>
    <w:rsid w:val="00A24135"/>
    <w:rsid w:val="00A272F6"/>
    <w:rsid w:val="00A32997"/>
    <w:rsid w:val="00A34F13"/>
    <w:rsid w:val="00A3647F"/>
    <w:rsid w:val="00A575D2"/>
    <w:rsid w:val="00A602EB"/>
    <w:rsid w:val="00A753D5"/>
    <w:rsid w:val="00A75446"/>
    <w:rsid w:val="00A75502"/>
    <w:rsid w:val="00A832AE"/>
    <w:rsid w:val="00A84E54"/>
    <w:rsid w:val="00A8738E"/>
    <w:rsid w:val="00A92953"/>
    <w:rsid w:val="00AA37EA"/>
    <w:rsid w:val="00AC1301"/>
    <w:rsid w:val="00AC4805"/>
    <w:rsid w:val="00AD005B"/>
    <w:rsid w:val="00AE0C5B"/>
    <w:rsid w:val="00AF0A9B"/>
    <w:rsid w:val="00B00E8F"/>
    <w:rsid w:val="00B11315"/>
    <w:rsid w:val="00B15CA8"/>
    <w:rsid w:val="00B174DB"/>
    <w:rsid w:val="00B21BF2"/>
    <w:rsid w:val="00B22378"/>
    <w:rsid w:val="00B23007"/>
    <w:rsid w:val="00B30915"/>
    <w:rsid w:val="00B30941"/>
    <w:rsid w:val="00B34CB3"/>
    <w:rsid w:val="00B41DBC"/>
    <w:rsid w:val="00B51441"/>
    <w:rsid w:val="00B575C1"/>
    <w:rsid w:val="00B662A3"/>
    <w:rsid w:val="00B8251D"/>
    <w:rsid w:val="00B826C6"/>
    <w:rsid w:val="00B93629"/>
    <w:rsid w:val="00BA21F2"/>
    <w:rsid w:val="00BA7129"/>
    <w:rsid w:val="00BA788B"/>
    <w:rsid w:val="00BB1FD0"/>
    <w:rsid w:val="00BB7DB7"/>
    <w:rsid w:val="00BC1760"/>
    <w:rsid w:val="00BD6E64"/>
    <w:rsid w:val="00BD6FE5"/>
    <w:rsid w:val="00BF09B3"/>
    <w:rsid w:val="00BF3D8E"/>
    <w:rsid w:val="00BF574C"/>
    <w:rsid w:val="00BF57BC"/>
    <w:rsid w:val="00BF5FF1"/>
    <w:rsid w:val="00BF6B27"/>
    <w:rsid w:val="00C10FB3"/>
    <w:rsid w:val="00C123F8"/>
    <w:rsid w:val="00C159D1"/>
    <w:rsid w:val="00C22F41"/>
    <w:rsid w:val="00C260D7"/>
    <w:rsid w:val="00C272CC"/>
    <w:rsid w:val="00C323DE"/>
    <w:rsid w:val="00C3304F"/>
    <w:rsid w:val="00C44A22"/>
    <w:rsid w:val="00C513C2"/>
    <w:rsid w:val="00C664A6"/>
    <w:rsid w:val="00C745D3"/>
    <w:rsid w:val="00C74BF0"/>
    <w:rsid w:val="00C81579"/>
    <w:rsid w:val="00C818F2"/>
    <w:rsid w:val="00C9598D"/>
    <w:rsid w:val="00CA175C"/>
    <w:rsid w:val="00CA646E"/>
    <w:rsid w:val="00CB4B4D"/>
    <w:rsid w:val="00CC5D21"/>
    <w:rsid w:val="00CC7B49"/>
    <w:rsid w:val="00CE3F95"/>
    <w:rsid w:val="00CE4073"/>
    <w:rsid w:val="00CF01C6"/>
    <w:rsid w:val="00CF167E"/>
    <w:rsid w:val="00CF7874"/>
    <w:rsid w:val="00D01BF1"/>
    <w:rsid w:val="00D11849"/>
    <w:rsid w:val="00D237D0"/>
    <w:rsid w:val="00D27ED2"/>
    <w:rsid w:val="00D37CED"/>
    <w:rsid w:val="00D52517"/>
    <w:rsid w:val="00D76E43"/>
    <w:rsid w:val="00D93894"/>
    <w:rsid w:val="00DA18C7"/>
    <w:rsid w:val="00DA1AD6"/>
    <w:rsid w:val="00DB3CCD"/>
    <w:rsid w:val="00DB70D6"/>
    <w:rsid w:val="00DC0F2D"/>
    <w:rsid w:val="00DC602D"/>
    <w:rsid w:val="00DD27EE"/>
    <w:rsid w:val="00DE03AF"/>
    <w:rsid w:val="00DE17B5"/>
    <w:rsid w:val="00DE47C5"/>
    <w:rsid w:val="00DE5CD0"/>
    <w:rsid w:val="00DF691A"/>
    <w:rsid w:val="00DF6D10"/>
    <w:rsid w:val="00DF7EB4"/>
    <w:rsid w:val="00E06029"/>
    <w:rsid w:val="00E07DF0"/>
    <w:rsid w:val="00E23870"/>
    <w:rsid w:val="00E3482C"/>
    <w:rsid w:val="00E406A0"/>
    <w:rsid w:val="00E57270"/>
    <w:rsid w:val="00E61975"/>
    <w:rsid w:val="00E85A01"/>
    <w:rsid w:val="00EB2F43"/>
    <w:rsid w:val="00EB482F"/>
    <w:rsid w:val="00EC44AA"/>
    <w:rsid w:val="00EE2069"/>
    <w:rsid w:val="00EE65E6"/>
    <w:rsid w:val="00EF347C"/>
    <w:rsid w:val="00EF7B00"/>
    <w:rsid w:val="00F12A6A"/>
    <w:rsid w:val="00F20522"/>
    <w:rsid w:val="00F21AEC"/>
    <w:rsid w:val="00F319F1"/>
    <w:rsid w:val="00F3470E"/>
    <w:rsid w:val="00F40174"/>
    <w:rsid w:val="00F530C2"/>
    <w:rsid w:val="00F54DD8"/>
    <w:rsid w:val="00F56E6D"/>
    <w:rsid w:val="00F63C78"/>
    <w:rsid w:val="00F642E0"/>
    <w:rsid w:val="00F74D86"/>
    <w:rsid w:val="00F86017"/>
    <w:rsid w:val="00FA0868"/>
    <w:rsid w:val="00FA314B"/>
    <w:rsid w:val="00FB4D63"/>
    <w:rsid w:val="00FD750F"/>
    <w:rsid w:val="00FE285D"/>
    <w:rsid w:val="00FE44F2"/>
    <w:rsid w:val="00FE49DA"/>
    <w:rsid w:val="00FE573C"/>
    <w:rsid w:val="00FF126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57A6"/>
  <w15:docId w15:val="{1096119F-B91C-2A4F-A086-ED0AC7C6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751A2C"/>
  </w:style>
  <w:style w:type="paragraph" w:styleId="CommentSubject">
    <w:name w:val="annotation subject"/>
    <w:basedOn w:val="CommentText"/>
    <w:next w:val="CommentText"/>
    <w:link w:val="CommentSubjectChar"/>
    <w:uiPriority w:val="99"/>
    <w:semiHidden/>
    <w:unhideWhenUsed/>
    <w:rsid w:val="00641AE5"/>
    <w:rPr>
      <w:b/>
      <w:bCs/>
    </w:rPr>
  </w:style>
  <w:style w:type="character" w:customStyle="1" w:styleId="CommentSubjectChar">
    <w:name w:val="Comment Subject Char"/>
    <w:basedOn w:val="CommentTextChar"/>
    <w:link w:val="CommentSubject"/>
    <w:uiPriority w:val="99"/>
    <w:semiHidden/>
    <w:rsid w:val="00641AE5"/>
    <w:rPr>
      <w:b/>
      <w:bCs/>
      <w:sz w:val="20"/>
      <w:szCs w:val="20"/>
    </w:rPr>
  </w:style>
  <w:style w:type="paragraph" w:styleId="NormalWeb">
    <w:name w:val="Normal (Web)"/>
    <w:basedOn w:val="Normal"/>
    <w:uiPriority w:val="99"/>
    <w:semiHidden/>
    <w:unhideWhenUsed/>
    <w:rsid w:val="001F78CF"/>
    <w:pPr>
      <w:spacing w:before="100" w:beforeAutospacing="1" w:after="100" w:afterAutospacing="1"/>
    </w:pPr>
    <w:rPr>
      <w:rFonts w:ascii="Times New Roman" w:eastAsia="Times New Roman" w:hAnsi="Times New Roman" w:cs="Times New Roman"/>
    </w:rPr>
  </w:style>
  <w:style w:type="paragraph" w:styleId="Bibliography">
    <w:name w:val="Bibliography"/>
    <w:basedOn w:val="Normal"/>
    <w:next w:val="Normal"/>
    <w:uiPriority w:val="37"/>
    <w:unhideWhenUsed/>
    <w:rsid w:val="00A12BB7"/>
  </w:style>
  <w:style w:type="paragraph" w:styleId="Revision">
    <w:name w:val="Revision"/>
    <w:hidden/>
    <w:uiPriority w:val="99"/>
    <w:semiHidden/>
    <w:rsid w:val="004A09A9"/>
  </w:style>
  <w:style w:type="paragraph" w:styleId="BalloonText">
    <w:name w:val="Balloon Text"/>
    <w:basedOn w:val="Normal"/>
    <w:link w:val="BalloonTextChar"/>
    <w:uiPriority w:val="99"/>
    <w:semiHidden/>
    <w:unhideWhenUsed/>
    <w:rsid w:val="00614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161"/>
    <w:rPr>
      <w:rFonts w:ascii="Segoe UI" w:hAnsi="Segoe UI" w:cs="Segoe UI"/>
      <w:sz w:val="18"/>
      <w:szCs w:val="18"/>
    </w:rPr>
  </w:style>
  <w:style w:type="character" w:styleId="PlaceholderText">
    <w:name w:val="Placeholder Text"/>
    <w:basedOn w:val="DefaultParagraphFont"/>
    <w:uiPriority w:val="99"/>
    <w:semiHidden/>
    <w:rsid w:val="00F74D86"/>
    <w:rPr>
      <w:color w:val="808080"/>
    </w:rPr>
  </w:style>
  <w:style w:type="character" w:styleId="Hyperlink">
    <w:name w:val="Hyperlink"/>
    <w:basedOn w:val="DefaultParagraphFont"/>
    <w:uiPriority w:val="99"/>
    <w:unhideWhenUsed/>
    <w:rsid w:val="008C5B69"/>
    <w:rPr>
      <w:color w:val="0000FF" w:themeColor="hyperlink"/>
      <w:u w:val="single"/>
    </w:rPr>
  </w:style>
  <w:style w:type="character" w:styleId="UnresolvedMention">
    <w:name w:val="Unresolved Mention"/>
    <w:basedOn w:val="DefaultParagraphFont"/>
    <w:uiPriority w:val="99"/>
    <w:semiHidden/>
    <w:unhideWhenUsed/>
    <w:rsid w:val="008C5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5633">
      <w:bodyDiv w:val="1"/>
      <w:marLeft w:val="0"/>
      <w:marRight w:val="0"/>
      <w:marTop w:val="0"/>
      <w:marBottom w:val="0"/>
      <w:divBdr>
        <w:top w:val="none" w:sz="0" w:space="0" w:color="auto"/>
        <w:left w:val="none" w:sz="0" w:space="0" w:color="auto"/>
        <w:bottom w:val="none" w:sz="0" w:space="0" w:color="auto"/>
        <w:right w:val="none" w:sz="0" w:space="0" w:color="auto"/>
      </w:divBdr>
    </w:div>
    <w:div w:id="47536532">
      <w:bodyDiv w:val="1"/>
      <w:marLeft w:val="0"/>
      <w:marRight w:val="0"/>
      <w:marTop w:val="0"/>
      <w:marBottom w:val="0"/>
      <w:divBdr>
        <w:top w:val="none" w:sz="0" w:space="0" w:color="auto"/>
        <w:left w:val="none" w:sz="0" w:space="0" w:color="auto"/>
        <w:bottom w:val="none" w:sz="0" w:space="0" w:color="auto"/>
        <w:right w:val="none" w:sz="0" w:space="0" w:color="auto"/>
      </w:divBdr>
    </w:div>
    <w:div w:id="66342291">
      <w:bodyDiv w:val="1"/>
      <w:marLeft w:val="0"/>
      <w:marRight w:val="0"/>
      <w:marTop w:val="0"/>
      <w:marBottom w:val="0"/>
      <w:divBdr>
        <w:top w:val="none" w:sz="0" w:space="0" w:color="auto"/>
        <w:left w:val="none" w:sz="0" w:space="0" w:color="auto"/>
        <w:bottom w:val="none" w:sz="0" w:space="0" w:color="auto"/>
        <w:right w:val="none" w:sz="0" w:space="0" w:color="auto"/>
      </w:divBdr>
    </w:div>
    <w:div w:id="414939425">
      <w:bodyDiv w:val="1"/>
      <w:marLeft w:val="0"/>
      <w:marRight w:val="0"/>
      <w:marTop w:val="0"/>
      <w:marBottom w:val="0"/>
      <w:divBdr>
        <w:top w:val="none" w:sz="0" w:space="0" w:color="auto"/>
        <w:left w:val="none" w:sz="0" w:space="0" w:color="auto"/>
        <w:bottom w:val="none" w:sz="0" w:space="0" w:color="auto"/>
        <w:right w:val="none" w:sz="0" w:space="0" w:color="auto"/>
      </w:divBdr>
    </w:div>
    <w:div w:id="452335251">
      <w:bodyDiv w:val="1"/>
      <w:marLeft w:val="0"/>
      <w:marRight w:val="0"/>
      <w:marTop w:val="0"/>
      <w:marBottom w:val="0"/>
      <w:divBdr>
        <w:top w:val="none" w:sz="0" w:space="0" w:color="auto"/>
        <w:left w:val="none" w:sz="0" w:space="0" w:color="auto"/>
        <w:bottom w:val="none" w:sz="0" w:space="0" w:color="auto"/>
        <w:right w:val="none" w:sz="0" w:space="0" w:color="auto"/>
      </w:divBdr>
    </w:div>
    <w:div w:id="552497539">
      <w:bodyDiv w:val="1"/>
      <w:marLeft w:val="0"/>
      <w:marRight w:val="0"/>
      <w:marTop w:val="0"/>
      <w:marBottom w:val="0"/>
      <w:divBdr>
        <w:top w:val="none" w:sz="0" w:space="0" w:color="auto"/>
        <w:left w:val="none" w:sz="0" w:space="0" w:color="auto"/>
        <w:bottom w:val="none" w:sz="0" w:space="0" w:color="auto"/>
        <w:right w:val="none" w:sz="0" w:space="0" w:color="auto"/>
      </w:divBdr>
    </w:div>
    <w:div w:id="674841745">
      <w:bodyDiv w:val="1"/>
      <w:marLeft w:val="0"/>
      <w:marRight w:val="0"/>
      <w:marTop w:val="0"/>
      <w:marBottom w:val="0"/>
      <w:divBdr>
        <w:top w:val="none" w:sz="0" w:space="0" w:color="auto"/>
        <w:left w:val="none" w:sz="0" w:space="0" w:color="auto"/>
        <w:bottom w:val="none" w:sz="0" w:space="0" w:color="auto"/>
        <w:right w:val="none" w:sz="0" w:space="0" w:color="auto"/>
      </w:divBdr>
    </w:div>
    <w:div w:id="773212021">
      <w:bodyDiv w:val="1"/>
      <w:marLeft w:val="0"/>
      <w:marRight w:val="0"/>
      <w:marTop w:val="0"/>
      <w:marBottom w:val="0"/>
      <w:divBdr>
        <w:top w:val="none" w:sz="0" w:space="0" w:color="auto"/>
        <w:left w:val="none" w:sz="0" w:space="0" w:color="auto"/>
        <w:bottom w:val="none" w:sz="0" w:space="0" w:color="auto"/>
        <w:right w:val="none" w:sz="0" w:space="0" w:color="auto"/>
      </w:divBdr>
    </w:div>
    <w:div w:id="874927349">
      <w:bodyDiv w:val="1"/>
      <w:marLeft w:val="0"/>
      <w:marRight w:val="0"/>
      <w:marTop w:val="0"/>
      <w:marBottom w:val="0"/>
      <w:divBdr>
        <w:top w:val="none" w:sz="0" w:space="0" w:color="auto"/>
        <w:left w:val="none" w:sz="0" w:space="0" w:color="auto"/>
        <w:bottom w:val="none" w:sz="0" w:space="0" w:color="auto"/>
        <w:right w:val="none" w:sz="0" w:space="0" w:color="auto"/>
      </w:divBdr>
    </w:div>
    <w:div w:id="909922705">
      <w:bodyDiv w:val="1"/>
      <w:marLeft w:val="0"/>
      <w:marRight w:val="0"/>
      <w:marTop w:val="0"/>
      <w:marBottom w:val="0"/>
      <w:divBdr>
        <w:top w:val="none" w:sz="0" w:space="0" w:color="auto"/>
        <w:left w:val="none" w:sz="0" w:space="0" w:color="auto"/>
        <w:bottom w:val="none" w:sz="0" w:space="0" w:color="auto"/>
        <w:right w:val="none" w:sz="0" w:space="0" w:color="auto"/>
      </w:divBdr>
    </w:div>
    <w:div w:id="1088036613">
      <w:bodyDiv w:val="1"/>
      <w:marLeft w:val="0"/>
      <w:marRight w:val="0"/>
      <w:marTop w:val="0"/>
      <w:marBottom w:val="0"/>
      <w:divBdr>
        <w:top w:val="none" w:sz="0" w:space="0" w:color="auto"/>
        <w:left w:val="none" w:sz="0" w:space="0" w:color="auto"/>
        <w:bottom w:val="none" w:sz="0" w:space="0" w:color="auto"/>
        <w:right w:val="none" w:sz="0" w:space="0" w:color="auto"/>
      </w:divBdr>
    </w:div>
    <w:div w:id="1093430998">
      <w:bodyDiv w:val="1"/>
      <w:marLeft w:val="0"/>
      <w:marRight w:val="0"/>
      <w:marTop w:val="0"/>
      <w:marBottom w:val="0"/>
      <w:divBdr>
        <w:top w:val="none" w:sz="0" w:space="0" w:color="auto"/>
        <w:left w:val="none" w:sz="0" w:space="0" w:color="auto"/>
        <w:bottom w:val="none" w:sz="0" w:space="0" w:color="auto"/>
        <w:right w:val="none" w:sz="0" w:space="0" w:color="auto"/>
      </w:divBdr>
    </w:div>
    <w:div w:id="1265653111">
      <w:bodyDiv w:val="1"/>
      <w:marLeft w:val="0"/>
      <w:marRight w:val="0"/>
      <w:marTop w:val="0"/>
      <w:marBottom w:val="0"/>
      <w:divBdr>
        <w:top w:val="none" w:sz="0" w:space="0" w:color="auto"/>
        <w:left w:val="none" w:sz="0" w:space="0" w:color="auto"/>
        <w:bottom w:val="none" w:sz="0" w:space="0" w:color="auto"/>
        <w:right w:val="none" w:sz="0" w:space="0" w:color="auto"/>
      </w:divBdr>
    </w:div>
    <w:div w:id="1397819326">
      <w:bodyDiv w:val="1"/>
      <w:marLeft w:val="0"/>
      <w:marRight w:val="0"/>
      <w:marTop w:val="0"/>
      <w:marBottom w:val="0"/>
      <w:divBdr>
        <w:top w:val="none" w:sz="0" w:space="0" w:color="auto"/>
        <w:left w:val="none" w:sz="0" w:space="0" w:color="auto"/>
        <w:bottom w:val="none" w:sz="0" w:space="0" w:color="auto"/>
        <w:right w:val="none" w:sz="0" w:space="0" w:color="auto"/>
      </w:divBdr>
    </w:div>
    <w:div w:id="1508397731">
      <w:bodyDiv w:val="1"/>
      <w:marLeft w:val="0"/>
      <w:marRight w:val="0"/>
      <w:marTop w:val="0"/>
      <w:marBottom w:val="0"/>
      <w:divBdr>
        <w:top w:val="none" w:sz="0" w:space="0" w:color="auto"/>
        <w:left w:val="none" w:sz="0" w:space="0" w:color="auto"/>
        <w:bottom w:val="none" w:sz="0" w:space="0" w:color="auto"/>
        <w:right w:val="none" w:sz="0" w:space="0" w:color="auto"/>
      </w:divBdr>
    </w:div>
    <w:div w:id="1667441921">
      <w:bodyDiv w:val="1"/>
      <w:marLeft w:val="0"/>
      <w:marRight w:val="0"/>
      <w:marTop w:val="0"/>
      <w:marBottom w:val="0"/>
      <w:divBdr>
        <w:top w:val="none" w:sz="0" w:space="0" w:color="auto"/>
        <w:left w:val="none" w:sz="0" w:space="0" w:color="auto"/>
        <w:bottom w:val="none" w:sz="0" w:space="0" w:color="auto"/>
        <w:right w:val="none" w:sz="0" w:space="0" w:color="auto"/>
      </w:divBdr>
    </w:div>
    <w:div w:id="1833525937">
      <w:bodyDiv w:val="1"/>
      <w:marLeft w:val="0"/>
      <w:marRight w:val="0"/>
      <w:marTop w:val="0"/>
      <w:marBottom w:val="0"/>
      <w:divBdr>
        <w:top w:val="none" w:sz="0" w:space="0" w:color="auto"/>
        <w:left w:val="none" w:sz="0" w:space="0" w:color="auto"/>
        <w:bottom w:val="none" w:sz="0" w:space="0" w:color="auto"/>
        <w:right w:val="none" w:sz="0" w:space="0" w:color="auto"/>
      </w:divBdr>
    </w:div>
    <w:div w:id="1834642681">
      <w:bodyDiv w:val="1"/>
      <w:marLeft w:val="0"/>
      <w:marRight w:val="0"/>
      <w:marTop w:val="0"/>
      <w:marBottom w:val="0"/>
      <w:divBdr>
        <w:top w:val="none" w:sz="0" w:space="0" w:color="auto"/>
        <w:left w:val="none" w:sz="0" w:space="0" w:color="auto"/>
        <w:bottom w:val="none" w:sz="0" w:space="0" w:color="auto"/>
        <w:right w:val="none" w:sz="0" w:space="0" w:color="auto"/>
      </w:divBdr>
    </w:div>
    <w:div w:id="1844465546">
      <w:bodyDiv w:val="1"/>
      <w:marLeft w:val="0"/>
      <w:marRight w:val="0"/>
      <w:marTop w:val="0"/>
      <w:marBottom w:val="0"/>
      <w:divBdr>
        <w:top w:val="none" w:sz="0" w:space="0" w:color="auto"/>
        <w:left w:val="none" w:sz="0" w:space="0" w:color="auto"/>
        <w:bottom w:val="none" w:sz="0" w:space="0" w:color="auto"/>
        <w:right w:val="none" w:sz="0" w:space="0" w:color="auto"/>
      </w:divBdr>
    </w:div>
    <w:div w:id="1853105674">
      <w:bodyDiv w:val="1"/>
      <w:marLeft w:val="0"/>
      <w:marRight w:val="0"/>
      <w:marTop w:val="0"/>
      <w:marBottom w:val="0"/>
      <w:divBdr>
        <w:top w:val="none" w:sz="0" w:space="0" w:color="auto"/>
        <w:left w:val="none" w:sz="0" w:space="0" w:color="auto"/>
        <w:bottom w:val="none" w:sz="0" w:space="0" w:color="auto"/>
        <w:right w:val="none" w:sz="0" w:space="0" w:color="auto"/>
      </w:divBdr>
    </w:div>
    <w:div w:id="1948929226">
      <w:bodyDiv w:val="1"/>
      <w:marLeft w:val="0"/>
      <w:marRight w:val="0"/>
      <w:marTop w:val="0"/>
      <w:marBottom w:val="0"/>
      <w:divBdr>
        <w:top w:val="none" w:sz="0" w:space="0" w:color="auto"/>
        <w:left w:val="none" w:sz="0" w:space="0" w:color="auto"/>
        <w:bottom w:val="none" w:sz="0" w:space="0" w:color="auto"/>
        <w:right w:val="none" w:sz="0" w:space="0" w:color="auto"/>
      </w:divBdr>
    </w:div>
    <w:div w:id="2009016802">
      <w:bodyDiv w:val="1"/>
      <w:marLeft w:val="0"/>
      <w:marRight w:val="0"/>
      <w:marTop w:val="0"/>
      <w:marBottom w:val="0"/>
      <w:divBdr>
        <w:top w:val="none" w:sz="0" w:space="0" w:color="auto"/>
        <w:left w:val="none" w:sz="0" w:space="0" w:color="auto"/>
        <w:bottom w:val="none" w:sz="0" w:space="0" w:color="auto"/>
        <w:right w:val="none" w:sz="0" w:space="0" w:color="auto"/>
      </w:divBdr>
    </w:div>
    <w:div w:id="2012026705">
      <w:bodyDiv w:val="1"/>
      <w:marLeft w:val="0"/>
      <w:marRight w:val="0"/>
      <w:marTop w:val="0"/>
      <w:marBottom w:val="0"/>
      <w:divBdr>
        <w:top w:val="none" w:sz="0" w:space="0" w:color="auto"/>
        <w:left w:val="none" w:sz="0" w:space="0" w:color="auto"/>
        <w:bottom w:val="none" w:sz="0" w:space="0" w:color="auto"/>
        <w:right w:val="none" w:sz="0" w:space="0" w:color="auto"/>
      </w:divBdr>
    </w:div>
    <w:div w:id="2018342523">
      <w:bodyDiv w:val="1"/>
      <w:marLeft w:val="0"/>
      <w:marRight w:val="0"/>
      <w:marTop w:val="0"/>
      <w:marBottom w:val="0"/>
      <w:divBdr>
        <w:top w:val="none" w:sz="0" w:space="0" w:color="auto"/>
        <w:left w:val="none" w:sz="0" w:space="0" w:color="auto"/>
        <w:bottom w:val="none" w:sz="0" w:space="0" w:color="auto"/>
        <w:right w:val="none" w:sz="0" w:space="0" w:color="auto"/>
      </w:divBdr>
    </w:div>
    <w:div w:id="2039045589">
      <w:bodyDiv w:val="1"/>
      <w:marLeft w:val="0"/>
      <w:marRight w:val="0"/>
      <w:marTop w:val="0"/>
      <w:marBottom w:val="0"/>
      <w:divBdr>
        <w:top w:val="none" w:sz="0" w:space="0" w:color="auto"/>
        <w:left w:val="none" w:sz="0" w:space="0" w:color="auto"/>
        <w:bottom w:val="none" w:sz="0" w:space="0" w:color="auto"/>
        <w:right w:val="none" w:sz="0" w:space="0" w:color="auto"/>
      </w:divBdr>
    </w:div>
    <w:div w:id="2064325931">
      <w:bodyDiv w:val="1"/>
      <w:marLeft w:val="0"/>
      <w:marRight w:val="0"/>
      <w:marTop w:val="0"/>
      <w:marBottom w:val="0"/>
      <w:divBdr>
        <w:top w:val="none" w:sz="0" w:space="0" w:color="auto"/>
        <w:left w:val="none" w:sz="0" w:space="0" w:color="auto"/>
        <w:bottom w:val="none" w:sz="0" w:space="0" w:color="auto"/>
        <w:right w:val="none" w:sz="0" w:space="0" w:color="auto"/>
      </w:divBdr>
    </w:div>
    <w:div w:id="2135365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zotero.org/google-docs/?t0rO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73F15-AC8B-4791-9CED-8CD81B2B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28098</Words>
  <Characters>160165</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Manica</dc:creator>
  <cp:lastModifiedBy>David Daversa</cp:lastModifiedBy>
  <cp:revision>3</cp:revision>
  <cp:lastPrinted>2021-11-11T00:00:00Z</cp:lastPrinted>
  <dcterms:created xsi:type="dcterms:W3CDTF">2022-04-12T21:30:00Z</dcterms:created>
  <dcterms:modified xsi:type="dcterms:W3CDTF">2022-04-12T21:32:00Z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id="biCgDnd6"/&gt;&lt;style id="http://www.zotero.org/styles/the-american-naturalist" hasBibliography="1" bibliographyStyleHasBeenSet="1"/&gt;&lt;prefs&gt;&lt;pref name="fieldType" value="Field"/&gt;&lt;/prefs&gt;&lt;/data&gt;</vt:lpwstr>
  </property>
</Properties>
</file>