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5CC0" w:rsidRDefault="001A46DB" w:rsidP="00541F41">
      <w:pPr>
        <w:jc w:val="center"/>
        <w:rPr>
          <w:sz w:val="28"/>
          <w:szCs w:val="28"/>
        </w:rPr>
      </w:pPr>
      <w:r>
        <w:rPr>
          <w:sz w:val="28"/>
          <w:szCs w:val="28"/>
        </w:rPr>
        <w:t>Sleeping partners:</w:t>
      </w:r>
      <w:bookmarkStart w:id="0" w:name="_GoBack"/>
      <w:bookmarkEnd w:id="0"/>
      <w:r w:rsidR="00541F41" w:rsidRPr="00541F41">
        <w:rPr>
          <w:sz w:val="28"/>
          <w:szCs w:val="28"/>
        </w:rPr>
        <w:t>The role of the dentist in multi-disciplinary care of patients with obstructive sleep apnoea.</w:t>
      </w:r>
    </w:p>
    <w:p w:rsidR="00541F41" w:rsidRDefault="00541F41" w:rsidP="00541F41">
      <w:pPr>
        <w:jc w:val="center"/>
        <w:rPr>
          <w:sz w:val="28"/>
          <w:szCs w:val="28"/>
        </w:rPr>
      </w:pPr>
    </w:p>
    <w:p w:rsidR="00CE6557" w:rsidRDefault="00541F41" w:rsidP="00541F41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Obstructive sleep apnoea/hypopnoea syndrome (OSAHS) is characterised by repeated, intermittent complete or partial obstruction of the upper airway during sleep</w:t>
      </w:r>
      <w:r w:rsidR="0006098C">
        <w:rPr>
          <w:sz w:val="28"/>
          <w:szCs w:val="28"/>
        </w:rPr>
        <w:t xml:space="preserve">. The word apnoea is derived from the Greek meaning “without breath”. Obesity is the main predisposing risk factor for OSAHS and as early as </w:t>
      </w:r>
      <w:r w:rsidR="00DF7A87">
        <w:rPr>
          <w:sz w:val="28"/>
          <w:szCs w:val="28"/>
        </w:rPr>
        <w:t xml:space="preserve">1837, the astute observer of the human condition Charles Dickens described in the </w:t>
      </w:r>
      <w:r w:rsidR="00DF7A87" w:rsidRPr="00DF7A87">
        <w:rPr>
          <w:i/>
          <w:sz w:val="28"/>
          <w:szCs w:val="28"/>
        </w:rPr>
        <w:t xml:space="preserve">Pickwick </w:t>
      </w:r>
      <w:r w:rsidR="00CE6557" w:rsidRPr="00DF7A87">
        <w:rPr>
          <w:i/>
          <w:sz w:val="28"/>
          <w:szCs w:val="28"/>
        </w:rPr>
        <w:t>Papers</w:t>
      </w:r>
      <w:r w:rsidR="00CE6557">
        <w:rPr>
          <w:i/>
          <w:sz w:val="28"/>
          <w:szCs w:val="28"/>
        </w:rPr>
        <w:t>:</w:t>
      </w:r>
      <w:r w:rsidR="00DF7A87">
        <w:rPr>
          <w:i/>
          <w:sz w:val="28"/>
          <w:szCs w:val="28"/>
        </w:rPr>
        <w:t xml:space="preserve"> </w:t>
      </w:r>
    </w:p>
    <w:p w:rsidR="0006098C" w:rsidRDefault="00DF7A87" w:rsidP="00541F41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“Joe was obese, excessively sleepy, snored loudly and suffered from heart failure”</w:t>
      </w:r>
      <w:sdt>
        <w:sdtPr>
          <w:rPr>
            <w:i/>
            <w:sz w:val="28"/>
            <w:szCs w:val="28"/>
          </w:rPr>
          <w:id w:val="1786615970"/>
          <w:citation/>
        </w:sdtPr>
        <w:sdtEndPr/>
        <w:sdtContent>
          <w:r w:rsidR="00890823">
            <w:rPr>
              <w:i/>
              <w:sz w:val="28"/>
              <w:szCs w:val="28"/>
            </w:rPr>
            <w:fldChar w:fldCharType="begin"/>
          </w:r>
          <w:r w:rsidR="00890823">
            <w:rPr>
              <w:i/>
              <w:sz w:val="28"/>
              <w:szCs w:val="28"/>
            </w:rPr>
            <w:instrText xml:space="preserve"> CITATION Dic37 \l 2057 </w:instrText>
          </w:r>
          <w:r w:rsidR="00890823">
            <w:rPr>
              <w:i/>
              <w:sz w:val="28"/>
              <w:szCs w:val="28"/>
            </w:rPr>
            <w:fldChar w:fldCharType="separate"/>
          </w:r>
          <w:r w:rsidR="00216AAA">
            <w:rPr>
              <w:i/>
              <w:noProof/>
              <w:sz w:val="28"/>
              <w:szCs w:val="28"/>
            </w:rPr>
            <w:t xml:space="preserve"> </w:t>
          </w:r>
          <w:r w:rsidR="00216AAA" w:rsidRPr="00216AAA">
            <w:rPr>
              <w:noProof/>
              <w:sz w:val="28"/>
              <w:szCs w:val="28"/>
            </w:rPr>
            <w:t>(Dickens, 1837)</w:t>
          </w:r>
          <w:r w:rsidR="00890823">
            <w:rPr>
              <w:i/>
              <w:sz w:val="28"/>
              <w:szCs w:val="28"/>
            </w:rPr>
            <w:fldChar w:fldCharType="end"/>
          </w:r>
        </w:sdtContent>
      </w:sdt>
    </w:p>
    <w:p w:rsidR="00CE6557" w:rsidRDefault="00CE6557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Dickens had described OSAHS and a consequence of the condition.</w:t>
      </w:r>
      <w:r w:rsidR="005C7FBF">
        <w:rPr>
          <w:sz w:val="28"/>
          <w:szCs w:val="28"/>
        </w:rPr>
        <w:t xml:space="preserve"> </w:t>
      </w:r>
      <w:r w:rsidR="00454D56">
        <w:rPr>
          <w:sz w:val="28"/>
          <w:szCs w:val="28"/>
        </w:rPr>
        <w:t>OSA</w:t>
      </w:r>
      <w:r w:rsidR="00E62AFC">
        <w:rPr>
          <w:sz w:val="28"/>
          <w:szCs w:val="28"/>
        </w:rPr>
        <w:t xml:space="preserve">HS is a common condition and can present with or without symptoms. </w:t>
      </w:r>
      <w:r w:rsidR="005C7FBF">
        <w:rPr>
          <w:sz w:val="28"/>
          <w:szCs w:val="28"/>
        </w:rPr>
        <w:t>The main presenting</w:t>
      </w:r>
      <w:r w:rsidR="00944A6D" w:rsidRPr="00944A6D">
        <w:rPr>
          <w:sz w:val="28"/>
          <w:szCs w:val="28"/>
        </w:rPr>
        <w:t xml:space="preserve"> </w:t>
      </w:r>
      <w:r w:rsidR="00944A6D">
        <w:rPr>
          <w:sz w:val="28"/>
          <w:szCs w:val="28"/>
        </w:rPr>
        <w:t>signs</w:t>
      </w:r>
      <w:r w:rsidR="005C7FBF">
        <w:rPr>
          <w:sz w:val="28"/>
          <w:szCs w:val="28"/>
        </w:rPr>
        <w:t xml:space="preserve"> and </w:t>
      </w:r>
      <w:r w:rsidR="00944A6D">
        <w:rPr>
          <w:sz w:val="28"/>
          <w:szCs w:val="28"/>
        </w:rPr>
        <w:t xml:space="preserve">symptoms </w:t>
      </w:r>
      <w:r w:rsidR="005C7FBF">
        <w:rPr>
          <w:sz w:val="28"/>
          <w:szCs w:val="28"/>
        </w:rPr>
        <w:t xml:space="preserve">of OSAHS are </w:t>
      </w:r>
      <w:r w:rsidR="00944A6D">
        <w:rPr>
          <w:sz w:val="28"/>
          <w:szCs w:val="28"/>
        </w:rPr>
        <w:t>loud snoring, though not all snorers may have OSAHS, excessive diurnal sleepiness, feelings of choking when asleep, restless and unsatisfying sleep, mood changes and nocturia.</w:t>
      </w:r>
    </w:p>
    <w:p w:rsidR="004D275F" w:rsidRDefault="004D275F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The consequences of untreated OSAHS can include hypertension, stroke, arrhythmias</w:t>
      </w:r>
      <w:r w:rsidR="001757D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757DF">
        <w:rPr>
          <w:sz w:val="28"/>
          <w:szCs w:val="28"/>
        </w:rPr>
        <w:t>c</w:t>
      </w:r>
      <w:r>
        <w:rPr>
          <w:sz w:val="28"/>
          <w:szCs w:val="28"/>
        </w:rPr>
        <w:t>ardiomyopathy, heart failure, unstable diabetes and cardiac arrest. The social</w:t>
      </w:r>
      <w:r w:rsidR="001757DF">
        <w:rPr>
          <w:sz w:val="28"/>
          <w:szCs w:val="28"/>
        </w:rPr>
        <w:t xml:space="preserve"> consequences</w:t>
      </w:r>
      <w:r>
        <w:rPr>
          <w:sz w:val="28"/>
          <w:szCs w:val="28"/>
        </w:rPr>
        <w:t xml:space="preserve"> are many and include lack of concentration impacting work, road accidents, depression and marital difficulties.</w:t>
      </w:r>
    </w:p>
    <w:p w:rsidR="000A55C3" w:rsidRDefault="000A55C3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The financial impact for diagnosing and treating OSAHS in the USA in 2015 was estimated to be $12.4 billion</w:t>
      </w:r>
      <w:sdt>
        <w:sdtPr>
          <w:rPr>
            <w:sz w:val="28"/>
            <w:szCs w:val="28"/>
          </w:rPr>
          <w:id w:val="-1422488205"/>
          <w:citation/>
        </w:sdtPr>
        <w:sdtEndPr/>
        <w:sdtContent>
          <w:r w:rsidR="008708AC">
            <w:rPr>
              <w:sz w:val="28"/>
              <w:szCs w:val="28"/>
            </w:rPr>
            <w:fldChar w:fldCharType="begin"/>
          </w:r>
          <w:r w:rsidR="008708AC">
            <w:rPr>
              <w:sz w:val="28"/>
              <w:szCs w:val="28"/>
            </w:rPr>
            <w:instrText xml:space="preserve"> CITATION Wat16 \l 2057 </w:instrText>
          </w:r>
          <w:r w:rsidR="008708AC">
            <w:rPr>
              <w:sz w:val="28"/>
              <w:szCs w:val="28"/>
            </w:rPr>
            <w:fldChar w:fldCharType="separate"/>
          </w:r>
          <w:r w:rsidR="00216AAA">
            <w:rPr>
              <w:noProof/>
              <w:sz w:val="28"/>
              <w:szCs w:val="28"/>
            </w:rPr>
            <w:t xml:space="preserve"> </w:t>
          </w:r>
          <w:r w:rsidR="00216AAA" w:rsidRPr="00216AAA">
            <w:rPr>
              <w:noProof/>
              <w:sz w:val="28"/>
              <w:szCs w:val="28"/>
            </w:rPr>
            <w:t>(Watson, 2016)</w:t>
          </w:r>
          <w:r w:rsidR="008708AC">
            <w:rPr>
              <w:sz w:val="28"/>
              <w:szCs w:val="28"/>
            </w:rPr>
            <w:fldChar w:fldCharType="end"/>
          </w:r>
        </w:sdtContent>
      </w:sdt>
      <w:r w:rsidR="00A66963">
        <w:rPr>
          <w:sz w:val="28"/>
          <w:szCs w:val="28"/>
        </w:rPr>
        <w:t xml:space="preserve"> and the global burden of adults affected has been estimated to be nearly 1 billion</w:t>
      </w:r>
      <w:sdt>
        <w:sdtPr>
          <w:rPr>
            <w:sz w:val="28"/>
            <w:szCs w:val="28"/>
          </w:rPr>
          <w:id w:val="1092206127"/>
          <w:citation/>
        </w:sdtPr>
        <w:sdtEndPr/>
        <w:sdtContent>
          <w:r w:rsidR="00B32CD8">
            <w:rPr>
              <w:sz w:val="28"/>
              <w:szCs w:val="28"/>
            </w:rPr>
            <w:fldChar w:fldCharType="begin"/>
          </w:r>
          <w:r w:rsidR="00B32CD8">
            <w:rPr>
              <w:sz w:val="28"/>
              <w:szCs w:val="28"/>
            </w:rPr>
            <w:instrText xml:space="preserve"> CITATION Ben19 \l 2057 </w:instrText>
          </w:r>
          <w:r w:rsidR="00B32CD8">
            <w:rPr>
              <w:sz w:val="28"/>
              <w:szCs w:val="28"/>
            </w:rPr>
            <w:fldChar w:fldCharType="separate"/>
          </w:r>
          <w:r w:rsidR="00216AAA">
            <w:rPr>
              <w:noProof/>
              <w:sz w:val="28"/>
              <w:szCs w:val="28"/>
            </w:rPr>
            <w:t xml:space="preserve"> </w:t>
          </w:r>
          <w:r w:rsidR="00216AAA" w:rsidRPr="00216AAA">
            <w:rPr>
              <w:noProof/>
              <w:sz w:val="28"/>
              <w:szCs w:val="28"/>
            </w:rPr>
            <w:t>(Benjafield, et al., 2019)</w:t>
          </w:r>
          <w:r w:rsidR="00B32CD8">
            <w:rPr>
              <w:sz w:val="28"/>
              <w:szCs w:val="28"/>
            </w:rPr>
            <w:fldChar w:fldCharType="end"/>
          </w:r>
        </w:sdtContent>
      </w:sdt>
      <w:r w:rsidR="00E86425">
        <w:rPr>
          <w:sz w:val="28"/>
          <w:szCs w:val="28"/>
        </w:rPr>
        <w:t>.</w:t>
      </w:r>
      <w:r w:rsidR="00111BCC">
        <w:rPr>
          <w:sz w:val="28"/>
          <w:szCs w:val="28"/>
        </w:rPr>
        <w:t xml:space="preserve"> The increasing incidence of obesity worldwide will undoubtedly increase the </w:t>
      </w:r>
      <w:r w:rsidR="00832FCD">
        <w:rPr>
          <w:sz w:val="28"/>
          <w:szCs w:val="28"/>
        </w:rPr>
        <w:t xml:space="preserve">future </w:t>
      </w:r>
      <w:r w:rsidR="00111BCC">
        <w:rPr>
          <w:sz w:val="28"/>
          <w:szCs w:val="28"/>
        </w:rPr>
        <w:t>incidence of OSAHS</w:t>
      </w:r>
      <w:r w:rsidR="00832FCD">
        <w:rPr>
          <w:sz w:val="28"/>
          <w:szCs w:val="28"/>
        </w:rPr>
        <w:t>.</w:t>
      </w:r>
    </w:p>
    <w:p w:rsidR="003206F8" w:rsidRDefault="003206F8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In the UK, diagnosis is performed by respiratory physicians which will involve the history of signs and symptoms as well as polysomnographic (PSG) assessment which has traditionally involved</w:t>
      </w:r>
      <w:r w:rsidRPr="003206F8">
        <w:rPr>
          <w:sz w:val="28"/>
          <w:szCs w:val="28"/>
        </w:rPr>
        <w:t xml:space="preserve"> an</w:t>
      </w:r>
      <w:r>
        <w:rPr>
          <w:sz w:val="28"/>
          <w:szCs w:val="28"/>
        </w:rPr>
        <w:t xml:space="preserve"> overnight stay in a hospital. The Covid-19 pandemic has increased the use of home assessment kits </w:t>
      </w:r>
      <w:r w:rsidR="00BA0848">
        <w:rPr>
          <w:sz w:val="28"/>
          <w:szCs w:val="28"/>
        </w:rPr>
        <w:t xml:space="preserve">and in some </w:t>
      </w:r>
      <w:r w:rsidR="00E22D8A">
        <w:rPr>
          <w:sz w:val="28"/>
          <w:szCs w:val="28"/>
        </w:rPr>
        <w:t>countries, dentists</w:t>
      </w:r>
      <w:r w:rsidR="00BA0848">
        <w:rPr>
          <w:sz w:val="28"/>
          <w:szCs w:val="28"/>
        </w:rPr>
        <w:t xml:space="preserve"> are getting involved in the diagnosis of mild to moderate cases with such home kits.</w:t>
      </w:r>
      <w:r w:rsidR="004C44C5">
        <w:rPr>
          <w:sz w:val="28"/>
          <w:szCs w:val="28"/>
        </w:rPr>
        <w:t xml:space="preserve"> This</w:t>
      </w:r>
      <w:r w:rsidR="0053600E">
        <w:rPr>
          <w:sz w:val="28"/>
          <w:szCs w:val="28"/>
        </w:rPr>
        <w:t>,</w:t>
      </w:r>
      <w:r w:rsidR="004C44C5">
        <w:rPr>
          <w:sz w:val="28"/>
          <w:szCs w:val="28"/>
        </w:rPr>
        <w:t xml:space="preserve"> in the UK would be considered beyond </w:t>
      </w:r>
      <w:r w:rsidR="0053600E">
        <w:rPr>
          <w:sz w:val="28"/>
          <w:szCs w:val="28"/>
        </w:rPr>
        <w:t xml:space="preserve">the dentists’ </w:t>
      </w:r>
      <w:r w:rsidR="004C44C5">
        <w:rPr>
          <w:sz w:val="28"/>
          <w:szCs w:val="28"/>
        </w:rPr>
        <w:t xml:space="preserve">scope of </w:t>
      </w:r>
      <w:r w:rsidR="00E22D8A">
        <w:rPr>
          <w:sz w:val="28"/>
          <w:szCs w:val="28"/>
        </w:rPr>
        <w:t>practice</w:t>
      </w:r>
      <w:r w:rsidR="004C44C5">
        <w:rPr>
          <w:sz w:val="28"/>
          <w:szCs w:val="28"/>
        </w:rPr>
        <w:t>.</w:t>
      </w:r>
    </w:p>
    <w:p w:rsidR="000A55C3" w:rsidRDefault="00111BCC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The </w:t>
      </w:r>
      <w:r w:rsidR="0053600E">
        <w:rPr>
          <w:sz w:val="28"/>
          <w:szCs w:val="28"/>
        </w:rPr>
        <w:t xml:space="preserve">standard treatment for OSAHS is continuous positive airway pressure (CPAP) </w:t>
      </w:r>
      <w:r w:rsidR="003F5FED">
        <w:rPr>
          <w:sz w:val="28"/>
          <w:szCs w:val="28"/>
        </w:rPr>
        <w:t xml:space="preserve">which has been in reduced supply due to the increased demand brought on by </w:t>
      </w:r>
      <w:r w:rsidR="00EE6395">
        <w:rPr>
          <w:sz w:val="28"/>
          <w:szCs w:val="28"/>
        </w:rPr>
        <w:t xml:space="preserve">the number of </w:t>
      </w:r>
      <w:r w:rsidR="003F5FED">
        <w:rPr>
          <w:sz w:val="28"/>
          <w:szCs w:val="28"/>
        </w:rPr>
        <w:t>covid</w:t>
      </w:r>
      <w:r w:rsidR="00EE6395">
        <w:rPr>
          <w:sz w:val="28"/>
          <w:szCs w:val="28"/>
        </w:rPr>
        <w:t xml:space="preserve"> patients requiring this form of ventilation.</w:t>
      </w:r>
    </w:p>
    <w:p w:rsidR="006638C2" w:rsidRDefault="006638C2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In August 2021 the national Institute for Health and Care Excellence published their guidelines for OSAHS</w:t>
      </w:r>
      <w:sdt>
        <w:sdtPr>
          <w:rPr>
            <w:sz w:val="28"/>
            <w:szCs w:val="28"/>
          </w:rPr>
          <w:id w:val="2083481472"/>
          <w:citation/>
        </w:sdtPr>
        <w:sdtEndPr/>
        <w:sdtContent>
          <w:r w:rsidR="00BA351B">
            <w:rPr>
              <w:sz w:val="28"/>
              <w:szCs w:val="28"/>
            </w:rPr>
            <w:fldChar w:fldCharType="begin"/>
          </w:r>
          <w:r w:rsidR="00BA351B">
            <w:rPr>
              <w:sz w:val="28"/>
              <w:szCs w:val="28"/>
            </w:rPr>
            <w:instrText xml:space="preserve">CITATION Obs21 \l 2057 </w:instrText>
          </w:r>
          <w:r w:rsidR="00BA351B">
            <w:rPr>
              <w:sz w:val="28"/>
              <w:szCs w:val="28"/>
            </w:rPr>
            <w:fldChar w:fldCharType="separate"/>
          </w:r>
          <w:r w:rsidR="00216AAA">
            <w:rPr>
              <w:noProof/>
              <w:sz w:val="28"/>
              <w:szCs w:val="28"/>
            </w:rPr>
            <w:t xml:space="preserve"> </w:t>
          </w:r>
          <w:r w:rsidR="00216AAA" w:rsidRPr="00216AAA">
            <w:rPr>
              <w:noProof/>
              <w:sz w:val="28"/>
              <w:szCs w:val="28"/>
            </w:rPr>
            <w:t>(NICE, 2021)</w:t>
          </w:r>
          <w:r w:rsidR="00BA351B">
            <w:rPr>
              <w:sz w:val="28"/>
              <w:szCs w:val="28"/>
            </w:rPr>
            <w:fldChar w:fldCharType="end"/>
          </w:r>
        </w:sdtContent>
      </w:sdt>
      <w:r>
        <w:rPr>
          <w:sz w:val="28"/>
          <w:szCs w:val="28"/>
        </w:rPr>
        <w:t>.</w:t>
      </w:r>
      <w:r w:rsidR="006408B3">
        <w:rPr>
          <w:sz w:val="28"/>
          <w:szCs w:val="28"/>
        </w:rPr>
        <w:t xml:space="preserve"> </w:t>
      </w:r>
      <w:r w:rsidR="00C34ED9">
        <w:rPr>
          <w:sz w:val="28"/>
          <w:szCs w:val="28"/>
        </w:rPr>
        <w:t>These guidelines recommended for mild to moderate OSAHS for patients who have refused or cannot tolerate CPAP that customisable or semi-customisable mandibular advancement splints should be considered for patient treatment.</w:t>
      </w:r>
    </w:p>
    <w:p w:rsidR="005771B9" w:rsidRDefault="00861572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This report has brought dentists into the possibility of joining multi-disciplinary teams to treat OSAHS</w:t>
      </w:r>
      <w:r w:rsidR="00A7354F">
        <w:rPr>
          <w:sz w:val="28"/>
          <w:szCs w:val="28"/>
        </w:rPr>
        <w:t xml:space="preserve"> patients</w:t>
      </w:r>
      <w:r w:rsidR="006B39BD">
        <w:rPr>
          <w:sz w:val="28"/>
          <w:szCs w:val="28"/>
        </w:rPr>
        <w:t xml:space="preserve"> by collaboratively sharing care with our respiratory physician </w:t>
      </w:r>
      <w:r w:rsidR="00A7354F">
        <w:rPr>
          <w:sz w:val="28"/>
          <w:szCs w:val="28"/>
        </w:rPr>
        <w:t>colleagues</w:t>
      </w:r>
      <w:r w:rsidR="006B39BD">
        <w:rPr>
          <w:sz w:val="28"/>
          <w:szCs w:val="28"/>
        </w:rPr>
        <w:t>.</w:t>
      </w:r>
    </w:p>
    <w:p w:rsidR="00861572" w:rsidRDefault="005771B9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>So,</w:t>
      </w:r>
      <w:r w:rsidR="00861572">
        <w:rPr>
          <w:sz w:val="28"/>
          <w:szCs w:val="28"/>
        </w:rPr>
        <w:t xml:space="preserve"> what is the role of the dentist for OSAHS in the UK?</w:t>
      </w:r>
    </w:p>
    <w:p w:rsidR="005771B9" w:rsidRDefault="005771B9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Dentists can refer patients who have reported issues with snoring or sleepiness for a sleep assessment at their local </w:t>
      </w:r>
      <w:r w:rsidR="00E2231F">
        <w:rPr>
          <w:sz w:val="28"/>
          <w:szCs w:val="28"/>
        </w:rPr>
        <w:t xml:space="preserve">hospital </w:t>
      </w:r>
      <w:r>
        <w:rPr>
          <w:sz w:val="28"/>
          <w:szCs w:val="28"/>
        </w:rPr>
        <w:t xml:space="preserve">respiratory department, possibility via the general practitioner or directly. Dentists are also ideally positioned to start health advice about weight loss and </w:t>
      </w:r>
      <w:r w:rsidR="005C5121">
        <w:rPr>
          <w:sz w:val="28"/>
          <w:szCs w:val="28"/>
        </w:rPr>
        <w:t>healthy life styles.</w:t>
      </w:r>
      <w:r w:rsidR="00E2231F">
        <w:rPr>
          <w:sz w:val="28"/>
          <w:szCs w:val="28"/>
        </w:rPr>
        <w:t xml:space="preserve"> Once diagnosed the dentist, after suitable training can provide mandibular advancement splints which work by opening the airway and reducing the number of apnoea episodes when the patient sleeps.</w:t>
      </w:r>
      <w:r w:rsidR="00D61C81">
        <w:rPr>
          <w:sz w:val="28"/>
          <w:szCs w:val="28"/>
        </w:rPr>
        <w:t xml:space="preserve"> These devices work best when there are some teeth left in both jaws and it is important that the dental team emphasi</w:t>
      </w:r>
      <w:r w:rsidR="005425A5">
        <w:rPr>
          <w:sz w:val="28"/>
          <w:szCs w:val="28"/>
        </w:rPr>
        <w:t>se</w:t>
      </w:r>
      <w:r w:rsidR="00D61C81">
        <w:rPr>
          <w:sz w:val="28"/>
          <w:szCs w:val="28"/>
        </w:rPr>
        <w:t xml:space="preserve"> the importance of preventive care.</w:t>
      </w:r>
      <w:r w:rsidR="009F4ACF">
        <w:rPr>
          <w:sz w:val="28"/>
          <w:szCs w:val="28"/>
        </w:rPr>
        <w:t xml:space="preserve"> Dentist</w:t>
      </w:r>
      <w:r w:rsidR="005425A5">
        <w:rPr>
          <w:sz w:val="28"/>
          <w:szCs w:val="28"/>
        </w:rPr>
        <w:t>s</w:t>
      </w:r>
      <w:r w:rsidR="009F4ACF">
        <w:rPr>
          <w:sz w:val="28"/>
          <w:szCs w:val="28"/>
        </w:rPr>
        <w:t xml:space="preserve"> need also to be aware of some of the dental consequences of OSAHS. These patients are at increased risk of respiratory complications</w:t>
      </w:r>
      <w:r w:rsidR="00F301EB">
        <w:rPr>
          <w:sz w:val="28"/>
          <w:szCs w:val="28"/>
        </w:rPr>
        <w:t xml:space="preserve"> after receiving sedation/general anaesthesia</w:t>
      </w:r>
      <w:r w:rsidR="005425A5">
        <w:rPr>
          <w:sz w:val="28"/>
          <w:szCs w:val="28"/>
        </w:rPr>
        <w:t xml:space="preserve"> and need extended monitoring. The OSAHS patients frequently have evidence of bruxism. Possibly caused by trying to open the airway</w:t>
      </w:r>
      <w:r w:rsidR="0045369A">
        <w:rPr>
          <w:sz w:val="28"/>
          <w:szCs w:val="28"/>
        </w:rPr>
        <w:t>,</w:t>
      </w:r>
      <w:r w:rsidR="005425A5">
        <w:rPr>
          <w:sz w:val="28"/>
          <w:szCs w:val="28"/>
        </w:rPr>
        <w:t xml:space="preserve"> as well as acid erosion of the teeth caused by gastro-oesophageal reflux occurring when the patients gasp air in loudly. The low oxygen levels in OSAHS patients have been associated with morning headaches and </w:t>
      </w:r>
      <w:proofErr w:type="spellStart"/>
      <w:r w:rsidR="005425A5">
        <w:rPr>
          <w:sz w:val="28"/>
          <w:szCs w:val="28"/>
        </w:rPr>
        <w:t>tempero</w:t>
      </w:r>
      <w:proofErr w:type="spellEnd"/>
      <w:r w:rsidR="005425A5">
        <w:rPr>
          <w:sz w:val="28"/>
          <w:szCs w:val="28"/>
        </w:rPr>
        <w:t>-mandibular dysfunction</w:t>
      </w:r>
      <w:r w:rsidR="007E30E2">
        <w:rPr>
          <w:sz w:val="28"/>
          <w:szCs w:val="28"/>
        </w:rPr>
        <w:t xml:space="preserve"> </w:t>
      </w:r>
      <w:r w:rsidR="005425A5">
        <w:rPr>
          <w:sz w:val="28"/>
          <w:szCs w:val="28"/>
        </w:rPr>
        <w:t>disorders</w:t>
      </w:r>
      <w:r w:rsidR="00216AAA">
        <w:rPr>
          <w:sz w:val="28"/>
          <w:szCs w:val="28"/>
        </w:rPr>
        <w:t xml:space="preserve"> (TMJD)</w:t>
      </w:r>
      <w:r w:rsidR="0045369A">
        <w:rPr>
          <w:sz w:val="28"/>
          <w:szCs w:val="28"/>
        </w:rPr>
        <w:t>. Indeed, there is some evidence that single ar</w:t>
      </w:r>
      <w:r w:rsidR="007E30E2">
        <w:rPr>
          <w:sz w:val="28"/>
          <w:szCs w:val="28"/>
        </w:rPr>
        <w:t>ch</w:t>
      </w:r>
      <w:r w:rsidR="0045369A">
        <w:rPr>
          <w:sz w:val="28"/>
          <w:szCs w:val="28"/>
        </w:rPr>
        <w:t xml:space="preserve"> splints may aggravate sleep apnoea</w:t>
      </w:r>
      <w:r w:rsidR="007E30E2">
        <w:rPr>
          <w:sz w:val="28"/>
          <w:szCs w:val="28"/>
        </w:rPr>
        <w:t xml:space="preserve"> and that correct diagnosis of bruxism, acid erosion and TMJD is essential for safe patient</w:t>
      </w:r>
      <w:r w:rsidR="007767AA">
        <w:rPr>
          <w:sz w:val="28"/>
          <w:szCs w:val="28"/>
        </w:rPr>
        <w:t xml:space="preserve"> care</w:t>
      </w:r>
      <w:sdt>
        <w:sdtPr>
          <w:rPr>
            <w:sz w:val="28"/>
            <w:szCs w:val="28"/>
          </w:rPr>
          <w:id w:val="1441495920"/>
          <w:citation/>
        </w:sdtPr>
        <w:sdtEndPr/>
        <w:sdtContent>
          <w:r w:rsidR="00216AAA">
            <w:rPr>
              <w:sz w:val="28"/>
              <w:szCs w:val="28"/>
            </w:rPr>
            <w:fldChar w:fldCharType="begin"/>
          </w:r>
          <w:r w:rsidR="00216AAA">
            <w:rPr>
              <w:sz w:val="28"/>
              <w:szCs w:val="28"/>
            </w:rPr>
            <w:instrText xml:space="preserve"> CITATION Nik11 \l 2057 </w:instrText>
          </w:r>
          <w:r w:rsidR="00216AAA">
            <w:rPr>
              <w:sz w:val="28"/>
              <w:szCs w:val="28"/>
            </w:rPr>
            <w:fldChar w:fldCharType="separate"/>
          </w:r>
          <w:r w:rsidR="00216AAA">
            <w:rPr>
              <w:noProof/>
              <w:sz w:val="28"/>
              <w:szCs w:val="28"/>
            </w:rPr>
            <w:t xml:space="preserve"> </w:t>
          </w:r>
          <w:r w:rsidR="00216AAA" w:rsidRPr="00216AAA">
            <w:rPr>
              <w:noProof/>
              <w:sz w:val="28"/>
              <w:szCs w:val="28"/>
            </w:rPr>
            <w:t>(Nikolopoulou, et al., 2011)</w:t>
          </w:r>
          <w:r w:rsidR="00216AAA">
            <w:rPr>
              <w:sz w:val="28"/>
              <w:szCs w:val="28"/>
            </w:rPr>
            <w:fldChar w:fldCharType="end"/>
          </w:r>
        </w:sdtContent>
      </w:sdt>
      <w:r w:rsidR="007E30E2">
        <w:rPr>
          <w:sz w:val="28"/>
          <w:szCs w:val="28"/>
        </w:rPr>
        <w:t>.</w:t>
      </w:r>
    </w:p>
    <w:p w:rsidR="007767AA" w:rsidRDefault="007767AA" w:rsidP="00541F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With the recent NICE </w:t>
      </w:r>
      <w:proofErr w:type="gramStart"/>
      <w:r>
        <w:rPr>
          <w:sz w:val="28"/>
          <w:szCs w:val="28"/>
        </w:rPr>
        <w:t>guidance</w:t>
      </w:r>
      <w:proofErr w:type="gramEnd"/>
      <w:r>
        <w:rPr>
          <w:sz w:val="28"/>
          <w:szCs w:val="28"/>
        </w:rPr>
        <w:t xml:space="preserve"> the role of the dentist has become more</w:t>
      </w:r>
      <w:r w:rsidR="0050027C">
        <w:rPr>
          <w:sz w:val="28"/>
          <w:szCs w:val="28"/>
        </w:rPr>
        <w:t xml:space="preserve"> central and</w:t>
      </w:r>
      <w:r>
        <w:rPr>
          <w:sz w:val="28"/>
          <w:szCs w:val="28"/>
        </w:rPr>
        <w:t xml:space="preserve"> important in the care of patients with OSAHS.</w:t>
      </w:r>
    </w:p>
    <w:p w:rsidR="00890823" w:rsidRDefault="00890823" w:rsidP="00890823">
      <w:pPr>
        <w:jc w:val="both"/>
        <w:rPr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/>
        </w:rPr>
        <w:id w:val="500250892"/>
        <w:docPartObj>
          <w:docPartGallery w:val="Bibliographies"/>
          <w:docPartUnique/>
        </w:docPartObj>
      </w:sdtPr>
      <w:sdtEndPr/>
      <w:sdtContent>
        <w:p w:rsidR="00890823" w:rsidRDefault="00890823">
          <w:pPr>
            <w:pStyle w:val="Heading1"/>
          </w:pPr>
          <w:r>
            <w:t>References</w:t>
          </w:r>
        </w:p>
        <w:sdt>
          <w:sdtPr>
            <w:id w:val="-573587230"/>
            <w:bibliography/>
          </w:sdtPr>
          <w:sdtEndPr/>
          <w:sdtContent>
            <w:p w:rsidR="00216AAA" w:rsidRDefault="00890823" w:rsidP="00216AAA">
              <w:pPr>
                <w:pStyle w:val="Bibliography"/>
                <w:ind w:left="720" w:hanging="720"/>
                <w:rPr>
                  <w:noProof/>
                  <w:sz w:val="24"/>
                  <w:szCs w:val="24"/>
                  <w:lang w:val="en-US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  <w:r w:rsidR="00216AAA">
                <w:rPr>
                  <w:noProof/>
                  <w:lang w:val="en-US"/>
                </w:rPr>
                <w:t xml:space="preserve">Benjafield, A., Ayas, N., Eastwood, P., Heinzen, R., Ip, M., Morrell, M., . . . Malhotra, A. (2019, August). Estimation of the global prevalence and burden of obstructive sleep apnoea: a literature-based analysis. </w:t>
              </w:r>
              <w:r w:rsidR="00216AAA">
                <w:rPr>
                  <w:i/>
                  <w:iCs/>
                  <w:noProof/>
                  <w:lang w:val="en-US"/>
                </w:rPr>
                <w:t>The Lamcet, 7</w:t>
              </w:r>
              <w:r w:rsidR="00216AAA">
                <w:rPr>
                  <w:noProof/>
                  <w:lang w:val="en-US"/>
                </w:rPr>
                <w:t>, 687697.</w:t>
              </w:r>
            </w:p>
            <w:p w:rsidR="00216AAA" w:rsidRDefault="00216AAA" w:rsidP="00216AA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Dickens, C. (1837). </w:t>
              </w:r>
              <w:r>
                <w:rPr>
                  <w:i/>
                  <w:iCs/>
                  <w:noProof/>
                  <w:lang w:val="en-US"/>
                </w:rPr>
                <w:t>The posthumous papers of the Pickwick Club. .</w:t>
              </w:r>
              <w:r>
                <w:rPr>
                  <w:noProof/>
                  <w:lang w:val="en-US"/>
                </w:rPr>
                <w:t xml:space="preserve"> London: Chapman and Hal.</w:t>
              </w:r>
            </w:p>
            <w:p w:rsidR="00216AAA" w:rsidRDefault="00216AAA" w:rsidP="00216AA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NICE. (2021). </w:t>
              </w:r>
              <w:r>
                <w:rPr>
                  <w:i/>
                  <w:iCs/>
                  <w:noProof/>
                  <w:lang w:val="en-US"/>
                </w:rPr>
                <w:t>Obstructive sleep apnoea/hypopnoea syndrome and obesity hypoventilation syndrome in over 16's.</w:t>
              </w:r>
              <w:r>
                <w:rPr>
                  <w:noProof/>
                  <w:lang w:val="en-US"/>
                </w:rPr>
                <w:t xml:space="preserve"> National Institute for Health and Care Excellence. Retrieved from https://www.nice.org.uk/guidance/ng202</w:t>
              </w:r>
            </w:p>
            <w:p w:rsidR="00216AAA" w:rsidRDefault="00216AAA" w:rsidP="00216AA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Nikolopoulou, M., Naeije, M., Aarab, G., Hamburger, H., Visschler, C., &amp; Lobbezoo, F. (2011). The effect of raising the bite without mandibular protrusion on obstructive sleep apnoea. </w:t>
              </w:r>
              <w:r>
                <w:rPr>
                  <w:i/>
                  <w:iCs/>
                  <w:noProof/>
                  <w:lang w:val="en-US"/>
                </w:rPr>
                <w:t>Journal of Oral rehabilitation, 38</w:t>
              </w:r>
              <w:r>
                <w:rPr>
                  <w:noProof/>
                  <w:lang w:val="en-US"/>
                </w:rPr>
                <w:t>, 643-647.</w:t>
              </w:r>
            </w:p>
            <w:p w:rsidR="00216AAA" w:rsidRDefault="00216AAA" w:rsidP="00216AAA">
              <w:pPr>
                <w:pStyle w:val="Bibliography"/>
                <w:ind w:left="720" w:hanging="720"/>
                <w:rPr>
                  <w:noProof/>
                  <w:lang w:val="en-US"/>
                </w:rPr>
              </w:pPr>
              <w:r>
                <w:rPr>
                  <w:noProof/>
                  <w:lang w:val="en-US"/>
                </w:rPr>
                <w:t xml:space="preserve">Watson, N. F. (2016). </w:t>
              </w:r>
              <w:r>
                <w:rPr>
                  <w:i/>
                  <w:iCs/>
                  <w:noProof/>
                  <w:lang w:val="en-US"/>
                </w:rPr>
                <w:t>J.Clin. Sleep Med, 12</w:t>
              </w:r>
              <w:r>
                <w:rPr>
                  <w:noProof/>
                  <w:lang w:val="en-US"/>
                </w:rPr>
                <w:t>, 1075-71.</w:t>
              </w:r>
            </w:p>
            <w:p w:rsidR="00EE56BA" w:rsidRDefault="00890823" w:rsidP="00216AAA">
              <w:pPr>
                <w:rPr>
                  <w:b/>
                  <w:bCs/>
                  <w:noProof/>
                </w:rPr>
              </w:pPr>
              <w:r>
                <w:rPr>
                  <w:b/>
                  <w:bCs/>
                  <w:noProof/>
                </w:rPr>
                <w:fldChar w:fldCharType="end"/>
              </w:r>
            </w:p>
            <w:p w:rsidR="00890823" w:rsidRDefault="001A46DB" w:rsidP="00216AAA"/>
          </w:sdtContent>
        </w:sdt>
      </w:sdtContent>
    </w:sdt>
    <w:p w:rsidR="00890823" w:rsidRDefault="00890823" w:rsidP="00890823">
      <w:pPr>
        <w:jc w:val="both"/>
        <w:rPr>
          <w:sz w:val="28"/>
          <w:szCs w:val="28"/>
        </w:rPr>
      </w:pPr>
    </w:p>
    <w:p w:rsidR="00EE56BA" w:rsidRDefault="00EE56BA" w:rsidP="00890823">
      <w:pPr>
        <w:jc w:val="both"/>
        <w:rPr>
          <w:sz w:val="28"/>
          <w:szCs w:val="28"/>
        </w:rPr>
      </w:pPr>
    </w:p>
    <w:p w:rsidR="00EE56BA" w:rsidRDefault="00EE56BA" w:rsidP="00890823">
      <w:pPr>
        <w:jc w:val="both"/>
        <w:rPr>
          <w:sz w:val="28"/>
          <w:szCs w:val="28"/>
        </w:rPr>
      </w:pPr>
    </w:p>
    <w:p w:rsidR="00EE56BA" w:rsidRDefault="00EE56BA" w:rsidP="0089082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228725" cy="160077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hare Selfie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6569" cy="1624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56BA" w:rsidRDefault="00EE56BA" w:rsidP="00890823">
      <w:pPr>
        <w:jc w:val="both"/>
        <w:rPr>
          <w:sz w:val="28"/>
          <w:szCs w:val="28"/>
        </w:rPr>
      </w:pPr>
    </w:p>
    <w:p w:rsidR="00EE56BA" w:rsidRPr="00890823" w:rsidRDefault="00EE56BA" w:rsidP="00890823">
      <w:pPr>
        <w:jc w:val="both"/>
        <w:rPr>
          <w:sz w:val="28"/>
          <w:szCs w:val="28"/>
        </w:rPr>
      </w:pPr>
      <w:r>
        <w:rPr>
          <w:sz w:val="28"/>
          <w:szCs w:val="28"/>
        </w:rPr>
        <w:t>Professor Barry F.A. Quinn Chair in Restorative Dentistry &amp; Dental Education. University of Liverpool, Faculty of Health and Life Science, School of Dentistry</w:t>
      </w:r>
    </w:p>
    <w:sectPr w:rsidR="00EE56BA" w:rsidRPr="0089082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0704C6"/>
    <w:multiLevelType w:val="hybridMultilevel"/>
    <w:tmpl w:val="EAAC8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F41"/>
    <w:rsid w:val="0006098C"/>
    <w:rsid w:val="0007290D"/>
    <w:rsid w:val="000A55C3"/>
    <w:rsid w:val="00111BCC"/>
    <w:rsid w:val="001757DF"/>
    <w:rsid w:val="001A46DB"/>
    <w:rsid w:val="00216AAA"/>
    <w:rsid w:val="00247904"/>
    <w:rsid w:val="003206F8"/>
    <w:rsid w:val="003F5FED"/>
    <w:rsid w:val="0045369A"/>
    <w:rsid w:val="00454D56"/>
    <w:rsid w:val="004C44C5"/>
    <w:rsid w:val="004D275F"/>
    <w:rsid w:val="0050027C"/>
    <w:rsid w:val="0053600E"/>
    <w:rsid w:val="00541F41"/>
    <w:rsid w:val="005425A5"/>
    <w:rsid w:val="005771B9"/>
    <w:rsid w:val="005C5121"/>
    <w:rsid w:val="005C7FBF"/>
    <w:rsid w:val="006408B3"/>
    <w:rsid w:val="006638C2"/>
    <w:rsid w:val="006B39BD"/>
    <w:rsid w:val="006F11B7"/>
    <w:rsid w:val="00726A48"/>
    <w:rsid w:val="007767AA"/>
    <w:rsid w:val="007E30E2"/>
    <w:rsid w:val="00832FCD"/>
    <w:rsid w:val="00861572"/>
    <w:rsid w:val="008708AC"/>
    <w:rsid w:val="00890823"/>
    <w:rsid w:val="00944A6D"/>
    <w:rsid w:val="009F4ACF"/>
    <w:rsid w:val="00A66963"/>
    <w:rsid w:val="00A7354F"/>
    <w:rsid w:val="00B25CC0"/>
    <w:rsid w:val="00B32CD8"/>
    <w:rsid w:val="00BA0848"/>
    <w:rsid w:val="00BA351B"/>
    <w:rsid w:val="00BB70CF"/>
    <w:rsid w:val="00C34ED9"/>
    <w:rsid w:val="00CE6557"/>
    <w:rsid w:val="00D61C81"/>
    <w:rsid w:val="00DF7A87"/>
    <w:rsid w:val="00E2231F"/>
    <w:rsid w:val="00E22D8A"/>
    <w:rsid w:val="00E62AFC"/>
    <w:rsid w:val="00E86425"/>
    <w:rsid w:val="00EE56BA"/>
    <w:rsid w:val="00EE6395"/>
    <w:rsid w:val="00F3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E3148"/>
  <w15:chartTrackingRefBased/>
  <w15:docId w15:val="{FAD8CE16-1B42-4B0F-B485-29147B591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9082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lement-citation">
    <w:name w:val="element-citation"/>
    <w:basedOn w:val="DefaultParagraphFont"/>
    <w:rsid w:val="00DF7A87"/>
  </w:style>
  <w:style w:type="character" w:customStyle="1" w:styleId="ref-journal">
    <w:name w:val="ref-journal"/>
    <w:basedOn w:val="DefaultParagraphFont"/>
    <w:rsid w:val="00DF7A87"/>
  </w:style>
  <w:style w:type="character" w:customStyle="1" w:styleId="Heading1Char">
    <w:name w:val="Heading 1 Char"/>
    <w:basedOn w:val="DefaultParagraphFont"/>
    <w:link w:val="Heading1"/>
    <w:uiPriority w:val="9"/>
    <w:rsid w:val="0089082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Bibliography">
    <w:name w:val="Bibliography"/>
    <w:basedOn w:val="Normal"/>
    <w:next w:val="Normal"/>
    <w:uiPriority w:val="37"/>
    <w:unhideWhenUsed/>
    <w:rsid w:val="00890823"/>
  </w:style>
  <w:style w:type="paragraph" w:styleId="ListParagraph">
    <w:name w:val="List Paragraph"/>
    <w:basedOn w:val="Normal"/>
    <w:uiPriority w:val="34"/>
    <w:qFormat/>
    <w:rsid w:val="00890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1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Dic37</b:Tag>
    <b:SourceType>Book</b:SourceType>
    <b:Guid>{73F77F52-CB6D-4297-9B7C-89315A1F41CB}</b:Guid>
    <b:Title>The posthumous papers of the Pickwick Club. </b:Title>
    <b:Year>1837</b:Year>
    <b:City>London</b:City>
    <b:Publisher>Chapman and Hal</b:Publisher>
    <b:Author>
      <b:Author>
        <b:NameList>
          <b:Person>
            <b:Last>Dickens</b:Last>
            <b:First>Charles</b:First>
          </b:Person>
        </b:NameList>
      </b:Author>
    </b:Author>
    <b:RefOrder>1</b:RefOrder>
  </b:Source>
  <b:Source>
    <b:Tag>Wat16</b:Tag>
    <b:SourceType>JournalArticle</b:SourceType>
    <b:Guid>{7CF315D1-DC60-46E4-81FC-2A85CDB4A67F}</b:Guid>
    <b:Year>2016</b:Year>
    <b:JournalName>J.Clin. Sleep Med</b:JournalName>
    <b:Pages>1075-71</b:Pages>
    <b:Volume>12</b:Volume>
    <b:Author>
      <b:Author>
        <b:NameList>
          <b:Person>
            <b:Last>Watson</b:Last>
            <b:Middle>F</b:Middle>
            <b:First>N</b:First>
          </b:Person>
        </b:NameList>
      </b:Author>
    </b:Author>
    <b:RefOrder>2</b:RefOrder>
  </b:Source>
  <b:Source>
    <b:Tag>Ben19</b:Tag>
    <b:SourceType>JournalArticle</b:SourceType>
    <b:Guid>{A30A85B6-957E-4DEF-B088-97FB20E058F9}</b:Guid>
    <b:Title>Estimation of the global prevalence and burden of obstructive sleep apnoea: a literature-based analysis</b:Title>
    <b:JournalName>The Lamcet</b:JournalName>
    <b:Year>2019</b:Year>
    <b:Pages>687697</b:Pages>
    <b:Author>
      <b:Author>
        <b:NameList>
          <b:Person>
            <b:Last>Benjafield</b:Last>
            <b:First>A</b:First>
          </b:Person>
          <b:Person>
            <b:Last>Ayas</b:Last>
            <b:First>N</b:First>
          </b:Person>
          <b:Person>
            <b:Last>Eastwood</b:Last>
            <b:First>P</b:First>
          </b:Person>
          <b:Person>
            <b:Last>Heinzen</b:Last>
            <b:First>R</b:First>
          </b:Person>
          <b:Person>
            <b:Last>Ip</b:Last>
            <b:First>M</b:First>
          </b:Person>
          <b:Person>
            <b:Last>Morrell</b:Last>
            <b:First>M</b:First>
          </b:Person>
          <b:Person>
            <b:Last>Nunez</b:Last>
            <b:First>C</b:First>
          </b:Person>
          <b:Person>
            <b:Last>Patel</b:Last>
            <b:First>S</b:First>
          </b:Person>
          <b:Person>
            <b:Last>Penzel</b:Last>
            <b:First>T</b:First>
          </b:Person>
          <b:Person>
            <b:Last>Pepin</b:Last>
            <b:First>J-L</b:First>
          </b:Person>
          <b:Person>
            <b:Last>Peppard</b:Last>
            <b:First>P</b:First>
          </b:Person>
          <b:Person>
            <b:Last>Sinha</b:Last>
            <b:First>S</b:First>
          </b:Person>
          <b:Person>
            <b:Last>Tufik</b:Last>
            <b:First>S</b:First>
          </b:Person>
          <b:Person>
            <b:Last>Valentine</b:Last>
            <b:First>K</b:First>
          </b:Person>
          <b:Person>
            <b:Last>Malhotra</b:Last>
            <b:First>A</b:First>
          </b:Person>
        </b:NameList>
      </b:Author>
    </b:Author>
    <b:Month>August</b:Month>
    <b:Volume>7</b:Volume>
    <b:RefOrder>3</b:RefOrder>
  </b:Source>
  <b:Source>
    <b:Tag>Obs21</b:Tag>
    <b:SourceType>Report</b:SourceType>
    <b:Guid>{C5BEF46A-A26A-40D5-B0D3-DF347600BD03}</b:Guid>
    <b:Title>Obstructive sleep apnoea/hypopnoea syndrome and obesity hypoventilation syndrome in over 16's</b:Title>
    <b:Year>2021</b:Year>
    <b:Publisher>National Institute for Health and Care Excellence</b:Publisher>
    <b:URL>https://www.nice.org.uk/guidance/ng202</b:URL>
    <b:Author>
      <b:Author>
        <b:NameList>
          <b:Person>
            <b:Last>NICE</b:Last>
          </b:Person>
        </b:NameList>
      </b:Author>
    </b:Author>
    <b:RefOrder>4</b:RefOrder>
  </b:Source>
  <b:Source>
    <b:Tag>Nik11</b:Tag>
    <b:SourceType>JournalArticle</b:SourceType>
    <b:Guid>{A091EBC9-26DE-4C5C-929B-7FAFBB1921D5}</b:Guid>
    <b:Title>The effect of raising the bite without mandibular protrusion on obstructive sleep apnoea</b:Title>
    <b:Year>2011</b:Year>
    <b:JournalName>Journal of Oral rehabilitation</b:JournalName>
    <b:Pages>643-647</b:Pages>
    <b:Author>
      <b:Author>
        <b:NameList>
          <b:Person>
            <b:Last>Nikolopoulou</b:Last>
            <b:First>M</b:First>
          </b:Person>
          <b:Person>
            <b:Last>Naeije</b:Last>
            <b:First>M</b:First>
          </b:Person>
          <b:Person>
            <b:Last>Aarab</b:Last>
            <b:First>G</b:First>
          </b:Person>
          <b:Person>
            <b:Last>Hamburger</b:Last>
            <b:First>H</b:First>
          </b:Person>
          <b:Person>
            <b:Last>Visschler</b:Last>
            <b:First>C</b:First>
          </b:Person>
          <b:Person>
            <b:Last>Lobbezoo</b:Last>
            <b:First>F</b:First>
          </b:Person>
        </b:NameList>
      </b:Author>
    </b:Author>
    <b:Volume>38</b:Volume>
    <b:RefOrder>5</b:RefOrder>
  </b:Source>
</b:Sources>
</file>

<file path=customXml/itemProps1.xml><?xml version="1.0" encoding="utf-8"?>
<ds:datastoreItem xmlns:ds="http://schemas.openxmlformats.org/officeDocument/2006/customXml" ds:itemID="{F7E1A2B1-3181-4D76-8B06-77F1D13B6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Quinn, Barry</dc:creator>
  <cp:keywords/>
  <dc:description/>
  <cp:lastModifiedBy>Quinn, Barry</cp:lastModifiedBy>
  <cp:revision>2</cp:revision>
  <dcterms:created xsi:type="dcterms:W3CDTF">2022-06-01T08:45:00Z</dcterms:created>
  <dcterms:modified xsi:type="dcterms:W3CDTF">2022-06-01T08:45:00Z</dcterms:modified>
</cp:coreProperties>
</file>